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outlineLvl w:val="0"/>
        <w:rPr>
          <w:rFonts w:ascii="仿宋_GB2312" w:hAnsi="Times New Roman Regular" w:eastAsia="仿宋_GB2312" w:cs="Times New Roman"/>
          <w:spacing w:val="-6"/>
          <w:sz w:val="40"/>
          <w:szCs w:val="40"/>
        </w:rPr>
      </w:pPr>
      <w:r>
        <w:rPr>
          <w:rFonts w:hint="eastAsia" w:ascii="仿宋_GB2312" w:hAnsi="Times New Roman Regular" w:eastAsia="仿宋_GB2312" w:cs="Times New Roman"/>
          <w:spacing w:val="-6"/>
          <w:sz w:val="40"/>
          <w:szCs w:val="40"/>
          <w:lang w:val="en-US" w:eastAsia="zh-CN"/>
        </w:rPr>
        <w:t>附件1 内部</w:t>
      </w:r>
      <w:r>
        <w:rPr>
          <w:rFonts w:hint="eastAsia" w:ascii="仿宋_GB2312" w:hAnsi="Times New Roman Regular" w:eastAsia="仿宋_GB2312" w:cs="Times New Roman"/>
          <w:spacing w:val="-6"/>
          <w:sz w:val="40"/>
          <w:szCs w:val="40"/>
        </w:rPr>
        <w:t>评标专家在线培训班学习操作指南</w:t>
      </w:r>
    </w:p>
    <w:p>
      <w:pPr>
        <w:spacing w:line="560" w:lineRule="exact"/>
        <w:ind w:firstLine="640" w:firstLineChars="200"/>
        <w:outlineLvl w:val="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一、培训须知</w:t>
      </w:r>
    </w:p>
    <w:p>
      <w:pPr>
        <w:spacing w:line="560" w:lineRule="exact"/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（一）本次培训为网络学习，请提前准备好学习工具，手机或</w:t>
      </w:r>
      <w:r>
        <w:rPr>
          <w:rFonts w:hint="eastAsia" w:ascii="仿宋_GB2312" w:hAnsi="Times New Roman Regular" w:eastAsia="仿宋_GB2312" w:cs="Times New Roman Regular"/>
          <w:sz w:val="32"/>
          <w:szCs w:val="32"/>
          <w:lang w:eastAsia="zh-Hans"/>
        </w:rPr>
        <w:t>Pad（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平板电脑）、台式机或笔记本电脑，在网速快且稳定、较为安静的地方开展学习。</w:t>
      </w:r>
    </w:p>
    <w:p>
      <w:pPr>
        <w:spacing w:line="560" w:lineRule="exact"/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（二）需要通过</w:t>
      </w: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融智学习平台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进行。请使用浏览器登录网址或者提前下载</w:t>
      </w: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ICE客户端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学习。</w:t>
      </w:r>
    </w:p>
    <w:p>
      <w:pPr>
        <w:spacing w:line="560" w:lineRule="exact"/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（三）为方便学员熟悉平台，请参照以下</w:t>
      </w:r>
      <w:r>
        <w:rPr>
          <w:rFonts w:hint="eastAsia" w:ascii="仿宋_GB2312" w:hAnsi="Times New Roman Regular" w:eastAsia="仿宋_GB2312" w:cs="Times New Roman Regular"/>
          <w:sz w:val="32"/>
          <w:szCs w:val="32"/>
          <w:lang w:eastAsia="zh-Hans"/>
        </w:rPr>
        <w:t>操作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指南。</w:t>
      </w:r>
    </w:p>
    <w:p>
      <w:pPr>
        <w:spacing w:line="560" w:lineRule="exact"/>
        <w:ind w:firstLine="640" w:firstLineChars="200"/>
        <w:outlineLvl w:val="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二、操作指南</w:t>
      </w:r>
    </w:p>
    <w:p>
      <w:pPr>
        <w:pStyle w:val="6"/>
        <w:spacing w:after="0" w:line="560" w:lineRule="exact"/>
        <w:ind w:left="0" w:leftChars="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eastAsia="仿宋_GB231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725170</wp:posOffset>
            </wp:positionV>
            <wp:extent cx="5641340" cy="1296670"/>
            <wp:effectExtent l="0" t="0" r="22860" b="2413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1340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（一）网页登录，请在集团官网点击导航栏“融智学习”进入。</w:t>
      </w:r>
    </w:p>
    <w:p>
      <w:pPr>
        <w:pStyle w:val="6"/>
        <w:spacing w:after="0" w:line="560" w:lineRule="exact"/>
        <w:ind w:left="0" w:leftChars="0" w:firstLine="640"/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pStyle w:val="6"/>
        <w:spacing w:after="0" w:line="560" w:lineRule="exact"/>
        <w:ind w:left="0" w:leftChars="0"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进入融智学习登录页，点击融智学习进入学习界面。</w:t>
      </w:r>
    </w:p>
    <w:p>
      <w:pPr>
        <w:pStyle w:val="6"/>
        <w:spacing w:after="0" w:line="560" w:lineRule="exact"/>
        <w:ind w:left="0" w:leftChars="0"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 xml:space="preserve">或在浏览器复制网址 </w:t>
      </w:r>
      <w:r>
        <w:fldChar w:fldCharType="begin"/>
      </w:r>
      <w:r>
        <w:instrText xml:space="preserve"> HYPERLINK "http://aisearch.ceic.com/" </w:instrText>
      </w:r>
      <w:r>
        <w:fldChar w:fldCharType="separate"/>
      </w:r>
      <w:r>
        <w:rPr>
          <w:rStyle w:val="10"/>
          <w:rFonts w:hint="eastAsia" w:ascii="仿宋_GB2312" w:hAnsi="Times New Roman Regular" w:eastAsia="仿宋_GB2312" w:cs="Times New Roman Regular"/>
          <w:sz w:val="32"/>
          <w:szCs w:val="32"/>
        </w:rPr>
        <w:t>http://aisearch.ceic.com/</w:t>
      </w:r>
      <w:r>
        <w:rPr>
          <w:rStyle w:val="10"/>
          <w:rFonts w:hint="eastAsia" w:ascii="仿宋_GB2312" w:hAnsi="Times New Roman Regular" w:eastAsia="仿宋_GB2312" w:cs="Times New Roman Regular"/>
          <w:sz w:val="32"/>
          <w:szCs w:val="32"/>
        </w:rPr>
        <w:fldChar w:fldCharType="end"/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 xml:space="preserve"> 进入网站登录页。</w:t>
      </w:r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drawing>
          <wp:inline distT="0" distB="0" distL="114300" distR="114300">
            <wp:extent cx="5640705" cy="2741295"/>
            <wp:effectExtent l="0" t="0" r="23495" b="1905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0705" cy="27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eastAsia="仿宋_GB2312"/>
        </w:rPr>
      </w:pPr>
    </w:p>
    <w:p>
      <w:pPr>
        <w:pStyle w:val="6"/>
        <w:spacing w:after="0" w:line="560" w:lineRule="exact"/>
        <w:ind w:left="0" w:leftChars="0" w:firstLine="640"/>
        <w:rPr>
          <w:rFonts w:ascii="仿宋_GB2312" w:hAnsi="Times New Roman Regular" w:eastAsia="仿宋_GB2312" w:cs="Times New Roman Regular"/>
          <w:sz w:val="32"/>
          <w:szCs w:val="32"/>
        </w:rPr>
      </w:pPr>
      <w:bookmarkStart w:id="0" w:name="_Hlk216874251"/>
      <w:r>
        <w:rPr>
          <w:rFonts w:hint="eastAsia" w:ascii="仿宋_GB2312" w:hAnsi="Times New Roman Regular" w:eastAsia="仿宋_GB2312" w:cs="Times New Roman Regular"/>
          <w:sz w:val="32"/>
          <w:szCs w:val="32"/>
        </w:rPr>
        <w:t>鼠标点在右上角的头像上，弹出个人信息，点击“学习中心”，进入到“个人中心”界面</w:t>
      </w:r>
      <w:bookmarkEnd w:id="0"/>
      <w:r>
        <w:rPr>
          <w:rFonts w:hint="eastAsia" w:ascii="仿宋_GB2312" w:hAnsi="Times New Roman Regular" w:eastAsia="仿宋_GB2312" w:cs="Times New Roman Regular"/>
          <w:sz w:val="32"/>
          <w:szCs w:val="32"/>
        </w:rPr>
        <w:t>。</w:t>
      </w:r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drawing>
          <wp:inline distT="0" distB="0" distL="114300" distR="114300">
            <wp:extent cx="5642610" cy="2372995"/>
            <wp:effectExtent l="0" t="0" r="21590" b="14605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261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  <w:bookmarkStart w:id="1" w:name="_Hlk216874275"/>
      <w:r>
        <w:rPr>
          <w:rFonts w:hint="eastAsia" w:ascii="仿宋_GB2312" w:hAnsi="Times New Roman Regular" w:eastAsia="仿宋_GB2312" w:cs="Times New Roman Regular"/>
          <w:sz w:val="32"/>
          <w:szCs w:val="32"/>
        </w:rPr>
        <w:t>在“学习中心”页面，“学习项目”下查看本次培训项目“</w:t>
      </w: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2025年度国家能源集团评标专家培训”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。</w:t>
      </w:r>
    </w:p>
    <w:p>
      <w:pPr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点击进入本次学习项目进行学习。</w:t>
      </w:r>
      <w:bookmarkEnd w:id="1"/>
    </w:p>
    <w:p>
      <w:pPr>
        <w:pStyle w:val="6"/>
        <w:spacing w:after="0" w:line="560" w:lineRule="exact"/>
        <w:ind w:left="0" w:leftChars="0" w:firstLine="640"/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  <w:r>
        <w:rPr>
          <w:rFonts w:ascii="仿宋_GB2312" w:hAnsi="Times New Roman Regular" w:eastAsia="仿宋_GB2312" w:cs="Times New Roman Regular"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64770</wp:posOffset>
            </wp:positionV>
            <wp:extent cx="5645150" cy="3383280"/>
            <wp:effectExtent l="0" t="0" r="0" b="7620"/>
            <wp:wrapNone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385" cy="3383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hint="eastAsia"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1732915</wp:posOffset>
            </wp:positionH>
            <wp:positionV relativeFrom="paragraph">
              <wp:posOffset>1982470</wp:posOffset>
            </wp:positionV>
            <wp:extent cx="1179195" cy="1377950"/>
            <wp:effectExtent l="0" t="0" r="1905" b="0"/>
            <wp:wrapNone/>
            <wp:docPr id="96764157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641571" name="图片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948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ascii="仿宋_GB2312" w:hAnsi="Times New Roman Regular" w:eastAsia="仿宋_GB2312" w:cs="Times New Roman Regular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386080</wp:posOffset>
            </wp:positionV>
            <wp:extent cx="5621655" cy="3244850"/>
            <wp:effectExtent l="0" t="0" r="0" b="0"/>
            <wp:wrapNone/>
            <wp:docPr id="1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1817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ind w:firstLine="640" w:firstLineChars="200"/>
        <w:rPr>
          <w:rFonts w:ascii="仿宋_GB2312" w:hAnsi="Times New Roman Regular" w:eastAsia="仿宋_GB2312" w:cs="Times New Roman Regular"/>
          <w:sz w:val="32"/>
          <w:szCs w:val="32"/>
        </w:rPr>
      </w:pPr>
    </w:p>
    <w:p>
      <w:pPr>
        <w:pStyle w:val="6"/>
        <w:spacing w:after="0" w:line="560" w:lineRule="exact"/>
        <w:ind w:left="0" w:leftChars="0" w:firstLine="640"/>
        <w:rPr>
          <w:rFonts w:ascii="仿宋_GB2312" w:hAnsi="Times New Roman Regular" w:eastAsia="仿宋_GB2312" w:cs="Times New Roman Regular"/>
          <w:b/>
          <w:bCs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ICE客户端，集团统建应用中查找</w:t>
      </w: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“融智学习”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模块，点击进入“</w:t>
      </w: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学习中心”→“我的任务”→“学习项目”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，进入“</w:t>
      </w: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2025年度国家能源集团评标专家培训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”</w:t>
      </w: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，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开始学习</w:t>
      </w: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。</w:t>
      </w:r>
    </w:p>
    <w:tbl>
      <w:tblPr>
        <w:tblStyle w:val="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8"/>
        <w:gridCol w:w="47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78" w:type="dxa"/>
            <w:tcBorders>
              <w:tl2br w:val="nil"/>
              <w:tr2bl w:val="nil"/>
            </w:tcBorders>
          </w:tcPr>
          <w:p>
            <w:pPr>
              <w:rPr>
                <w:rFonts w:ascii="仿宋_GB2312" w:hAnsi="Times New Roman Regular" w:eastAsia="仿宋_GB2312" w:cs="Times New Roman Regular"/>
                <w:sz w:val="32"/>
                <w:szCs w:val="32"/>
              </w:rPr>
            </w:pPr>
          </w:p>
          <w:p>
            <w:pPr>
              <w:rPr>
                <w:rFonts w:ascii="仿宋_GB2312" w:hAnsi="Times New Roman Regular" w:eastAsia="仿宋_GB2312" w:cs="Times New Roman Regular"/>
                <w:sz w:val="32"/>
                <w:szCs w:val="32"/>
              </w:rPr>
            </w:pPr>
          </w:p>
          <w:p>
            <w:pPr>
              <w:rPr>
                <w:rFonts w:ascii="仿宋_GB2312" w:hAnsi="Times New Roman Regular" w:eastAsia="仿宋_GB2312" w:cs="Times New Roman Regular"/>
                <w:sz w:val="32"/>
                <w:szCs w:val="32"/>
              </w:rPr>
            </w:pPr>
          </w:p>
          <w:p>
            <w:pPr>
              <w:rPr>
                <w:rFonts w:ascii="仿宋_GB2312" w:hAnsi="Times New Roman Regular" w:eastAsia="仿宋_GB2312" w:cs="Times New Roman Regular"/>
                <w:sz w:val="32"/>
                <w:szCs w:val="32"/>
              </w:rPr>
            </w:pPr>
          </w:p>
          <w:p>
            <w:pPr>
              <w:rPr>
                <w:rFonts w:ascii="仿宋_GB2312" w:hAnsi="Times New Roman Regular" w:eastAsia="仿宋_GB2312" w:cs="Times New Roman Regular"/>
                <w:sz w:val="32"/>
                <w:szCs w:val="32"/>
              </w:rPr>
            </w:pPr>
          </w:p>
          <w:p>
            <w:pPr>
              <w:rPr>
                <w:rFonts w:ascii="仿宋_GB2312" w:hAnsi="Times New Roman Regular" w:eastAsia="仿宋_GB2312" w:cs="Times New Roman Regular"/>
                <w:sz w:val="32"/>
                <w:szCs w:val="32"/>
              </w:rPr>
            </w:pPr>
          </w:p>
        </w:tc>
        <w:tc>
          <w:tcPr>
            <w:tcW w:w="4739" w:type="dxa"/>
            <w:tcBorders>
              <w:tl2br w:val="nil"/>
              <w:tr2bl w:val="nil"/>
            </w:tcBorders>
          </w:tcPr>
          <w:p>
            <w:pPr>
              <w:rPr>
                <w:rFonts w:ascii="仿宋_GB2312" w:hAnsi="Times New Roman Regular" w:eastAsia="仿宋_GB2312" w:cs="Times New Roman Regular"/>
                <w:sz w:val="32"/>
                <w:szCs w:val="32"/>
              </w:rPr>
            </w:pPr>
            <w:r>
              <w:rPr>
                <w:rFonts w:ascii="仿宋_GB2312" w:hAnsi="Times New Roman Regular" w:eastAsia="仿宋_GB2312" w:cs="Times New Roman Regular"/>
                <w:b/>
                <w:bCs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1162685</wp:posOffset>
                  </wp:positionH>
                  <wp:positionV relativeFrom="paragraph">
                    <wp:posOffset>236220</wp:posOffset>
                  </wp:positionV>
                  <wp:extent cx="2048510" cy="4432300"/>
                  <wp:effectExtent l="0" t="0" r="8890" b="6350"/>
                  <wp:wrapNone/>
                  <wp:docPr id="24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645" cy="4449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仿宋_GB2312" w:hAnsi="Times New Roman Regular" w:eastAsia="仿宋_GB2312" w:cs="Times New Roman Regular"/>
                <w:b/>
                <w:bCs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-841375</wp:posOffset>
                  </wp:positionH>
                  <wp:positionV relativeFrom="paragraph">
                    <wp:posOffset>236220</wp:posOffset>
                  </wp:positionV>
                  <wp:extent cx="1939925" cy="4432300"/>
                  <wp:effectExtent l="0" t="0" r="3175" b="6350"/>
                  <wp:wrapNone/>
                  <wp:docPr id="23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415" cy="4435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5" w:hRule="atLeast"/>
        </w:trPr>
        <w:tc>
          <w:tcPr>
            <w:tcW w:w="9117" w:type="dxa"/>
            <w:gridSpan w:val="2"/>
            <w:tcBorders>
              <w:tl2br w:val="nil"/>
              <w:tr2bl w:val="nil"/>
            </w:tcBorders>
          </w:tcPr>
          <w:p>
            <w:pPr>
              <w:rPr>
                <w:rFonts w:ascii="仿宋_GB2312" w:hAnsi="Times New Roman Regular" w:eastAsia="仿宋_GB2312" w:cs="Times New Roman Regular"/>
                <w:sz w:val="32"/>
                <w:szCs w:val="32"/>
              </w:rPr>
            </w:pPr>
            <w:r>
              <w:rPr>
                <w:rFonts w:hint="eastAsia" w:ascii="仿宋_GB2312" w:hAnsi="Times New Roman Regular" w:eastAsia="仿宋_GB2312" w:cs="Times New Roman Regular"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-114935</wp:posOffset>
                  </wp:positionH>
                  <wp:positionV relativeFrom="paragraph">
                    <wp:posOffset>-2141220</wp:posOffset>
                  </wp:positionV>
                  <wp:extent cx="1986280" cy="4495165"/>
                  <wp:effectExtent l="0" t="0" r="0" b="1270"/>
                  <wp:wrapNone/>
                  <wp:docPr id="8" name="图片 8" descr="371d4215dda25d5070c55efe2681f1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371d4215dda25d5070c55efe2681f1f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101" cy="449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numPr>
          <w:ilvl w:val="0"/>
          <w:numId w:val="1"/>
        </w:numPr>
        <w:spacing w:line="560" w:lineRule="exact"/>
        <w:ind w:left="0" w:firstLine="640" w:firstLineChars="200"/>
        <w:outlineLvl w:val="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培训须知</w:t>
      </w:r>
    </w:p>
    <w:p>
      <w:pPr>
        <w:pStyle w:val="6"/>
        <w:numPr>
          <w:ilvl w:val="0"/>
          <w:numId w:val="2"/>
        </w:numPr>
        <w:spacing w:after="0" w:line="560" w:lineRule="exact"/>
        <w:ind w:left="0" w:leftChars="0" w:firstLine="643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培训时间：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2025年12月</w:t>
      </w:r>
      <w:r>
        <w:rPr>
          <w:rFonts w:hint="eastAsia" w:ascii="仿宋_GB2312" w:hAnsi="Times New Roman Regular" w:eastAsia="仿宋_GB2312" w:cs="Times New Roman Regular"/>
          <w:sz w:val="32"/>
          <w:szCs w:val="32"/>
          <w:lang w:val="en-US" w:eastAsia="zh-CN"/>
        </w:rPr>
        <w:t>22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日至2026年1月</w:t>
      </w:r>
      <w:r>
        <w:rPr>
          <w:rFonts w:hint="eastAsia" w:ascii="仿宋_GB2312" w:hAnsi="Times New Roman Regular" w:eastAsia="仿宋_GB2312" w:cs="Times New Roman Regular"/>
          <w:sz w:val="32"/>
          <w:szCs w:val="32"/>
          <w:lang w:val="en-US" w:eastAsia="zh-CN"/>
        </w:rPr>
        <w:t>22</w:t>
      </w:r>
      <w:r>
        <w:rPr>
          <w:rFonts w:hint="eastAsia" w:ascii="仿宋_GB2312" w:hAnsi="Times New Roman Regular" w:eastAsia="仿宋_GB2312" w:cs="Times New Roman Regular"/>
          <w:sz w:val="32"/>
          <w:szCs w:val="32"/>
        </w:rPr>
        <w:t>日</w:t>
      </w:r>
    </w:p>
    <w:p>
      <w:pPr>
        <w:pStyle w:val="6"/>
        <w:numPr>
          <w:ilvl w:val="0"/>
          <w:numId w:val="2"/>
        </w:numPr>
        <w:spacing w:after="0" w:line="560" w:lineRule="exact"/>
        <w:ind w:left="0" w:leftChars="0" w:firstLine="643"/>
        <w:rPr>
          <w:rFonts w:ascii="仿宋_GB2312" w:hAnsi="Times New Roman Regular" w:eastAsia="仿宋_GB2312" w:cs="Times New Roman Regular"/>
          <w:b/>
          <w:bCs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培训班次和课程</w:t>
      </w:r>
    </w:p>
    <w:p>
      <w:pPr>
        <w:pStyle w:val="6"/>
        <w:spacing w:after="0" w:line="560" w:lineRule="exact"/>
        <w:ind w:left="640" w:leftChars="0" w:firstLine="321" w:firstLineChars="100"/>
        <w:rPr>
          <w:rFonts w:ascii="仿宋_GB2312" w:hAnsi="Times New Roman Regular" w:eastAsia="仿宋_GB2312" w:cs="Times New Roman Regular"/>
          <w:b/>
          <w:bCs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必修课程专题：所有学员均需要参加必修课程学习并考试合格。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1.专家的能力要求和法律责任（有考试）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2.专家应知应会的法律法规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3.专家和评标专家库的相关管理办法（有考试）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4.评标参与方评价管理实施细则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5.招标文件范本管理体系和招标文件阅读要点（有考试）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6.专家评标工作实务（有考试）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7.专家廉洁教育-筑牢招标公正防线（有考试）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8.专家信息维护及劳务费增值税发票开票操作培训（有考试）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 xml:space="preserve">9.专家评审系统操作培训 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10.智能远程异地分布式评标系统操作培训</w:t>
      </w:r>
    </w:p>
    <w:p>
      <w:pPr>
        <w:pStyle w:val="6"/>
        <w:spacing w:after="0" w:line="560" w:lineRule="exact"/>
        <w:ind w:left="0" w:leftChars="0" w:firstLine="643"/>
        <w:rPr>
          <w:rFonts w:ascii="仿宋_GB2312" w:hAnsi="Times New Roman Regular" w:eastAsia="仿宋_GB2312" w:cs="Times New Roman Regular"/>
          <w:b/>
          <w:bCs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b/>
          <w:bCs/>
          <w:sz w:val="32"/>
          <w:szCs w:val="32"/>
        </w:rPr>
        <w:t>选修课程专题。学员根据自身工作实际需求，选择专题课程进行学习。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1.煤矿设备评标要点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2.煤炭行业物资评标要点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3.煤炭行业工程项目评标要点</w:t>
      </w:r>
    </w:p>
    <w:p>
      <w:pPr>
        <w:pStyle w:val="6"/>
        <w:spacing w:line="560" w:lineRule="exact"/>
        <w:ind w:firstLine="640"/>
        <w:rPr>
          <w:rFonts w:ascii="仿宋_GB2312" w:hAnsi="Times New Roman Regular" w:eastAsia="仿宋_GB2312" w:cs="Times New Roman Regular"/>
          <w:sz w:val="32"/>
          <w:szCs w:val="3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4.火电设备评标要点。</w:t>
      </w:r>
    </w:p>
    <w:p>
      <w:pPr>
        <w:pStyle w:val="6"/>
        <w:spacing w:line="560" w:lineRule="exact"/>
        <w:ind w:left="0" w:leftChars="0" w:firstLine="640"/>
        <w:rPr>
          <w:rFonts w:ascii="仿宋_GB2312" w:eastAsia="仿宋_GB2312"/>
        </w:rPr>
      </w:pPr>
      <w:r>
        <w:rPr>
          <w:rFonts w:hint="eastAsia" w:ascii="仿宋_GB2312" w:hAnsi="Times New Roman Regular" w:eastAsia="仿宋_GB2312" w:cs="Times New Roman Regular"/>
          <w:sz w:val="32"/>
          <w:szCs w:val="32"/>
        </w:rPr>
        <w:t>说明：必修课专题和选修课专题均添加到培训项目中，所有必修任务需完成并考试合格，系统自动颁发结业证书。</w:t>
      </w:r>
      <w:bookmarkStart w:id="2" w:name="_GoBack"/>
      <w:bookmarkEnd w:id="2"/>
    </w:p>
    <w:sectPr>
      <w:footerReference r:id="rId3" w:type="default"/>
      <w:pgSz w:w="11906" w:h="16838"/>
      <w:pgMar w:top="2098" w:right="1474" w:bottom="1560" w:left="153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1" w:usb3="00000000" w:csb0="400001BF" w:csb1="DFF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vt69YsAgAAVwQAAA4AAABkcnMvZTJvRG9jLnhtbK1UzY7TMBC+I/EO&#10;lu80aYFVVT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IbSjRTqPjpx/fT&#10;z4fTr28EZxCotX6GuHuLyNC9Mx2Ch3OPw8i7q5yKXzAi8EPe40Ve0QXC46XpZDrN4eLwDRvgZ4/X&#10;rfPhvTCKRKOgDvVLsrLDxoc+dAiJ2bRZN1KmGkpN2oJevX6b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K+3r1i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DF3380"/>
    <w:multiLevelType w:val="singleLevel"/>
    <w:tmpl w:val="FDDF3380"/>
    <w:lvl w:ilvl="0" w:tentative="0">
      <w:start w:val="3"/>
      <w:numFmt w:val="chineseCounting"/>
      <w:suff w:val="nothing"/>
      <w:lvlText w:val="%1、"/>
      <w:lvlJc w:val="left"/>
      <w:pPr>
        <w:ind w:left="-10"/>
      </w:pPr>
      <w:rPr>
        <w:rFonts w:hint="eastAsia"/>
      </w:rPr>
    </w:lvl>
  </w:abstractNum>
  <w:abstractNum w:abstractNumId="1">
    <w:nsid w:val="FFEEC708"/>
    <w:multiLevelType w:val="singleLevel"/>
    <w:tmpl w:val="FFEEC708"/>
    <w:lvl w:ilvl="0" w:tentative="0">
      <w:start w:val="1"/>
      <w:numFmt w:val="chineseCounting"/>
      <w:suff w:val="nothing"/>
      <w:lvlText w:val="（%1）"/>
      <w:lvlJc w:val="left"/>
      <w:rPr>
        <w:rFonts w:hint="eastAsia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F144B2"/>
    <w:rsid w:val="00012CD7"/>
    <w:rsid w:val="00025779"/>
    <w:rsid w:val="00034598"/>
    <w:rsid w:val="00036744"/>
    <w:rsid w:val="00055AF9"/>
    <w:rsid w:val="00060BBC"/>
    <w:rsid w:val="00065643"/>
    <w:rsid w:val="00067C7D"/>
    <w:rsid w:val="00075B6E"/>
    <w:rsid w:val="00125E98"/>
    <w:rsid w:val="0014133D"/>
    <w:rsid w:val="00164B06"/>
    <w:rsid w:val="00165A79"/>
    <w:rsid w:val="00177C61"/>
    <w:rsid w:val="001B07AE"/>
    <w:rsid w:val="001B65C4"/>
    <w:rsid w:val="00223130"/>
    <w:rsid w:val="002A422F"/>
    <w:rsid w:val="002D2728"/>
    <w:rsid w:val="002F535B"/>
    <w:rsid w:val="003C2AE5"/>
    <w:rsid w:val="003C7814"/>
    <w:rsid w:val="00407433"/>
    <w:rsid w:val="00412F85"/>
    <w:rsid w:val="0042085B"/>
    <w:rsid w:val="00432202"/>
    <w:rsid w:val="00446E44"/>
    <w:rsid w:val="00447311"/>
    <w:rsid w:val="00447828"/>
    <w:rsid w:val="004D3A3C"/>
    <w:rsid w:val="00510A17"/>
    <w:rsid w:val="00532447"/>
    <w:rsid w:val="00596885"/>
    <w:rsid w:val="005E018A"/>
    <w:rsid w:val="00642876"/>
    <w:rsid w:val="00674C7F"/>
    <w:rsid w:val="00682DEA"/>
    <w:rsid w:val="006B177D"/>
    <w:rsid w:val="007345DB"/>
    <w:rsid w:val="00757415"/>
    <w:rsid w:val="00783B86"/>
    <w:rsid w:val="00813F3B"/>
    <w:rsid w:val="00831AFD"/>
    <w:rsid w:val="0083367D"/>
    <w:rsid w:val="00860663"/>
    <w:rsid w:val="008A2A96"/>
    <w:rsid w:val="008D03DE"/>
    <w:rsid w:val="009513D5"/>
    <w:rsid w:val="00990F88"/>
    <w:rsid w:val="009E07BD"/>
    <w:rsid w:val="00A37B31"/>
    <w:rsid w:val="00A413D4"/>
    <w:rsid w:val="00AB1956"/>
    <w:rsid w:val="00AE2636"/>
    <w:rsid w:val="00B267F8"/>
    <w:rsid w:val="00B36E06"/>
    <w:rsid w:val="00B75D2B"/>
    <w:rsid w:val="00B907BE"/>
    <w:rsid w:val="00BC14B0"/>
    <w:rsid w:val="00BD5E85"/>
    <w:rsid w:val="00C21013"/>
    <w:rsid w:val="00C2706D"/>
    <w:rsid w:val="00C3205F"/>
    <w:rsid w:val="00CC519F"/>
    <w:rsid w:val="00CC5725"/>
    <w:rsid w:val="00CD461B"/>
    <w:rsid w:val="00DB6CF6"/>
    <w:rsid w:val="00E81CA5"/>
    <w:rsid w:val="00EB36D0"/>
    <w:rsid w:val="00EB6A27"/>
    <w:rsid w:val="00EF12A3"/>
    <w:rsid w:val="00F13B10"/>
    <w:rsid w:val="00F24E87"/>
    <w:rsid w:val="00F8524C"/>
    <w:rsid w:val="00FF6FF2"/>
    <w:rsid w:val="1BF144B2"/>
    <w:rsid w:val="2A144016"/>
    <w:rsid w:val="3BA00460"/>
    <w:rsid w:val="442974CE"/>
    <w:rsid w:val="525C54AC"/>
    <w:rsid w:val="571B6F1A"/>
    <w:rsid w:val="5DDF7E9F"/>
    <w:rsid w:val="5ECC15B1"/>
    <w:rsid w:val="65C33580"/>
    <w:rsid w:val="68D01814"/>
    <w:rsid w:val="6EFD5A90"/>
    <w:rsid w:val="774B1C55"/>
    <w:rsid w:val="78A413FA"/>
    <w:rsid w:val="7AA2343E"/>
    <w:rsid w:val="7BFF46D1"/>
    <w:rsid w:val="DEFF9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uiPriority w:val="0"/>
    <w:pPr>
      <w:ind w:left="1400" w:leftChars="14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Body Text First Indent 2"/>
    <w:basedOn w:val="3"/>
    <w:unhideWhenUsed/>
    <w:qFormat/>
    <w:uiPriority w:val="99"/>
    <w:pPr>
      <w:ind w:firstLine="420" w:firstLineChars="200"/>
    </w:pPr>
    <w:rPr>
      <w:rFonts w:ascii="Calibri" w:hAnsi="Calibri" w:eastAsia="宋体" w:cs="Times New Roman"/>
      <w:szCs w:val="21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524</Words>
  <Characters>599</Characters>
  <Lines>49</Lines>
  <Paragraphs>48</Paragraphs>
  <TotalTime>350</TotalTime>
  <ScaleCrop>false</ScaleCrop>
  <LinksUpToDate>false</LinksUpToDate>
  <CharactersWithSpaces>1075</CharactersWithSpaces>
  <Application>WPS Office_11.8.0.16970_F1E327BC-269C-435d-A152-05C5408002CA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2025-09-03T21:55:00Z</dcterms:created>
  <dc:creator>李程</dc:creator>
  <cp:lastModifiedBy>T440P</cp:lastModifiedBy>
  <cp:lastPrinted>2025-11-20T09:20:00Z</cp:lastPrinted>
  <dcterms:modified xsi:type="dcterms:W3CDTF">2026-02-06T02:25:25Z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2052-11.8.0.16970</vt:lpwstr>
  </property>
  <property fmtid="{D5CDD505-2E9C-101B-9397-08002B2CF9AE}" pid="3" name="ICV">
    <vt:lpwstr>BC97357156DE45B297377E324AF3147A</vt:lpwstr>
  </property>
</Properties>
</file>