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8"/>
          <w:szCs w:val="48"/>
        </w:rPr>
      </w:pPr>
      <w:r>
        <w:rPr>
          <w:rFonts w:hint="eastAsia"/>
          <w:b/>
          <w:sz w:val="48"/>
          <w:szCs w:val="48"/>
        </w:rPr>
        <w:t>设备购置技术标书审批表</w:t>
      </w:r>
    </w:p>
    <w:p>
      <w:pPr>
        <w:ind w:right="150"/>
        <w:jc w:val="right"/>
        <w:rPr>
          <w:color w:val="000000"/>
          <w:sz w:val="30"/>
          <w:szCs w:val="30"/>
        </w:rPr>
      </w:pPr>
      <w:r>
        <w:rPr>
          <w:rFonts w:hint="eastAsia"/>
          <w:color w:val="000000"/>
          <w:sz w:val="30"/>
          <w:szCs w:val="30"/>
        </w:rPr>
        <w:t>201</w:t>
      </w:r>
      <w:r>
        <w:rPr>
          <w:rFonts w:hint="eastAsia"/>
          <w:color w:val="000000"/>
          <w:sz w:val="30"/>
          <w:szCs w:val="30"/>
          <w:lang w:val="en-US" w:eastAsia="zh-CN"/>
        </w:rPr>
        <w:t>6</w:t>
      </w:r>
      <w:r>
        <w:rPr>
          <w:rFonts w:hint="eastAsia"/>
          <w:color w:val="000000"/>
          <w:sz w:val="30"/>
          <w:szCs w:val="30"/>
        </w:rPr>
        <w:t>年</w:t>
      </w:r>
      <w:r>
        <w:rPr>
          <w:rFonts w:hint="eastAsia"/>
          <w:color w:val="000000"/>
          <w:sz w:val="30"/>
          <w:szCs w:val="30"/>
          <w:lang w:val="en-US" w:eastAsia="zh-CN"/>
        </w:rPr>
        <w:t>10</w:t>
      </w:r>
      <w:r>
        <w:rPr>
          <w:rFonts w:hint="eastAsia"/>
          <w:color w:val="000000"/>
          <w:sz w:val="30"/>
          <w:szCs w:val="30"/>
        </w:rPr>
        <w:t>月</w:t>
      </w:r>
      <w:r>
        <w:rPr>
          <w:rFonts w:hint="eastAsia"/>
          <w:color w:val="000000"/>
          <w:sz w:val="30"/>
          <w:szCs w:val="30"/>
          <w:lang w:val="en-US" w:eastAsia="zh-CN"/>
        </w:rPr>
        <w:t>26</w:t>
      </w:r>
      <w:r>
        <w:rPr>
          <w:rFonts w:hint="eastAsia"/>
          <w:color w:val="000000"/>
          <w:sz w:val="30"/>
          <w:szCs w:val="30"/>
        </w:rPr>
        <w:t>日</w:t>
      </w:r>
    </w:p>
    <w:tbl>
      <w:tblPr>
        <w:tblStyle w:val="4"/>
        <w:tblW w:w="9288"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4"/>
        <w:gridCol w:w="1069"/>
        <w:gridCol w:w="3008"/>
        <w:gridCol w:w="1990"/>
        <w:gridCol w:w="2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1" w:hRule="atLeast"/>
        </w:trPr>
        <w:tc>
          <w:tcPr>
            <w:tcW w:w="2243" w:type="dxa"/>
            <w:gridSpan w:val="2"/>
            <w:vAlign w:val="center"/>
          </w:tcPr>
          <w:p>
            <w:pPr>
              <w:jc w:val="center"/>
              <w:rPr>
                <w:rFonts w:ascii="仿宋_GB2312" w:eastAsia="仿宋_GB2312"/>
                <w:sz w:val="32"/>
                <w:szCs w:val="32"/>
              </w:rPr>
            </w:pPr>
            <w:r>
              <w:rPr>
                <w:rFonts w:hint="eastAsia" w:ascii="仿宋_GB2312" w:eastAsia="仿宋_GB2312"/>
                <w:sz w:val="32"/>
                <w:szCs w:val="32"/>
              </w:rPr>
              <w:t>设备名称</w:t>
            </w:r>
          </w:p>
        </w:tc>
        <w:tc>
          <w:tcPr>
            <w:tcW w:w="3008" w:type="dxa"/>
            <w:vAlign w:val="center"/>
          </w:tcPr>
          <w:p>
            <w:pPr>
              <w:rPr>
                <w:rFonts w:hint="eastAsia" w:ascii="仿宋_GB2312" w:eastAsia="仿宋_GB2312"/>
                <w:sz w:val="32"/>
                <w:szCs w:val="32"/>
                <w:lang w:eastAsia="zh-CN"/>
              </w:rPr>
            </w:pPr>
            <w:r>
              <w:rPr>
                <w:rFonts w:hint="eastAsia" w:hAnsi="宋体" w:eastAsia="仿宋_GB2312"/>
                <w:bCs/>
                <w:color w:val="000000"/>
                <w:sz w:val="32"/>
                <w:szCs w:val="32"/>
                <w:lang w:val="en-US" w:eastAsia="zh-CN"/>
              </w:rPr>
              <w:t>肺功能仪</w:t>
            </w:r>
          </w:p>
        </w:tc>
        <w:tc>
          <w:tcPr>
            <w:tcW w:w="1990" w:type="dxa"/>
            <w:vAlign w:val="center"/>
          </w:tcPr>
          <w:p>
            <w:pPr>
              <w:ind w:right="480"/>
              <w:rPr>
                <w:rFonts w:ascii="仿宋_GB2312" w:eastAsia="仿宋_GB2312"/>
                <w:sz w:val="32"/>
                <w:szCs w:val="32"/>
              </w:rPr>
            </w:pPr>
            <w:r>
              <w:rPr>
                <w:rFonts w:hint="eastAsia" w:ascii="仿宋_GB2312" w:eastAsia="仿宋_GB2312"/>
                <w:sz w:val="32"/>
                <w:szCs w:val="32"/>
              </w:rPr>
              <w:t>购置数量</w:t>
            </w:r>
          </w:p>
        </w:tc>
        <w:tc>
          <w:tcPr>
            <w:tcW w:w="2047" w:type="dxa"/>
            <w:vAlign w:val="center"/>
          </w:tcPr>
          <w:p>
            <w:pPr>
              <w:ind w:firstLine="480" w:firstLineChars="150"/>
              <w:rPr>
                <w:rFonts w:ascii="仿宋_GB2312" w:eastAsia="仿宋_GB2312"/>
                <w:sz w:val="32"/>
                <w:szCs w:val="32"/>
              </w:rPr>
            </w:pPr>
            <w:r>
              <w:rPr>
                <w:rFonts w:hint="eastAsia" w:ascii="仿宋_GB2312" w:eastAsia="仿宋_GB2312"/>
                <w:sz w:val="32"/>
                <w:szCs w:val="32"/>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2" w:hRule="atLeast"/>
        </w:trPr>
        <w:tc>
          <w:tcPr>
            <w:tcW w:w="2243" w:type="dxa"/>
            <w:gridSpan w:val="2"/>
            <w:vAlign w:val="center"/>
          </w:tcPr>
          <w:p>
            <w:pPr>
              <w:jc w:val="center"/>
              <w:rPr>
                <w:rFonts w:ascii="仿宋_GB2312" w:eastAsia="仿宋_GB2312"/>
                <w:sz w:val="32"/>
                <w:szCs w:val="32"/>
              </w:rPr>
            </w:pPr>
            <w:r>
              <w:rPr>
                <w:rFonts w:hint="eastAsia" w:ascii="仿宋_GB2312" w:eastAsia="仿宋_GB2312"/>
                <w:sz w:val="32"/>
                <w:szCs w:val="32"/>
              </w:rPr>
              <w:t>计划来源</w:t>
            </w:r>
          </w:p>
        </w:tc>
        <w:tc>
          <w:tcPr>
            <w:tcW w:w="7045" w:type="dxa"/>
            <w:gridSpan w:val="3"/>
            <w:vAlign w:val="center"/>
          </w:tcPr>
          <w:p>
            <w:pP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82" w:hRule="atLeast"/>
        </w:trPr>
        <w:tc>
          <w:tcPr>
            <w:tcW w:w="2243" w:type="dxa"/>
            <w:gridSpan w:val="2"/>
            <w:vAlign w:val="center"/>
          </w:tcPr>
          <w:p>
            <w:pPr>
              <w:jc w:val="center"/>
              <w:rPr>
                <w:rFonts w:ascii="仿宋_GB2312" w:eastAsia="仿宋_GB2312"/>
                <w:sz w:val="32"/>
                <w:szCs w:val="32"/>
              </w:rPr>
            </w:pPr>
            <w:r>
              <w:rPr>
                <w:rFonts w:hint="eastAsia" w:ascii="仿宋_GB2312" w:eastAsia="仿宋_GB2312"/>
                <w:sz w:val="32"/>
                <w:szCs w:val="32"/>
              </w:rPr>
              <w:t>主要技术参数</w:t>
            </w:r>
          </w:p>
        </w:tc>
        <w:tc>
          <w:tcPr>
            <w:tcW w:w="7045" w:type="dxa"/>
            <w:gridSpan w:val="3"/>
            <w:vAlign w:val="center"/>
          </w:tcPr>
          <w:p>
            <w:pPr>
              <w:numPr>
                <w:ilvl w:val="0"/>
                <w:numId w:val="1"/>
              </w:numPr>
              <w:jc w:val="left"/>
              <w:rPr>
                <w:rFonts w:hint="eastAsia" w:ascii="微软雅黑" w:hAnsi="微软雅黑" w:eastAsia="微软雅黑" w:cs="FuturaLtBT"/>
                <w:color w:val="231F20"/>
                <w:kern w:val="0"/>
                <w:sz w:val="18"/>
                <w:szCs w:val="18"/>
              </w:rPr>
            </w:pPr>
            <w:r>
              <w:rPr>
                <w:rFonts w:hint="eastAsia" w:ascii="微软雅黑" w:hAnsi="微软雅黑" w:eastAsia="微软雅黑" w:cs="FuturaLtBT"/>
                <w:color w:val="231F20"/>
                <w:kern w:val="0"/>
                <w:sz w:val="18"/>
                <w:szCs w:val="18"/>
              </w:rPr>
              <w:t>原装进口</w:t>
            </w:r>
            <w:r>
              <w:rPr>
                <w:rFonts w:hint="eastAsia" w:ascii="微软雅黑" w:hAnsi="微软雅黑" w:eastAsia="微软雅黑" w:cs="FuturaLtBT"/>
                <w:color w:val="231F20"/>
                <w:kern w:val="0"/>
                <w:sz w:val="18"/>
                <w:szCs w:val="18"/>
                <w:lang w:eastAsia="zh-CN"/>
              </w:rPr>
              <w:t>。</w:t>
            </w:r>
          </w:p>
          <w:p>
            <w:pPr>
              <w:numPr>
                <w:ilvl w:val="0"/>
                <w:numId w:val="1"/>
              </w:numPr>
              <w:jc w:val="left"/>
              <w:rPr>
                <w:rFonts w:hint="eastAsia" w:ascii="微软雅黑" w:hAnsi="微软雅黑" w:eastAsia="微软雅黑" w:cs="FuturaLtBT"/>
                <w:color w:val="231F20"/>
                <w:kern w:val="0"/>
                <w:sz w:val="18"/>
                <w:szCs w:val="18"/>
                <w:lang w:val="en-US" w:eastAsia="zh-CN"/>
              </w:rPr>
            </w:pPr>
            <w:r>
              <w:rPr>
                <w:rFonts w:hint="eastAsia" w:ascii="微软雅黑" w:hAnsi="微软雅黑" w:eastAsia="微软雅黑" w:cs="FuturaLtBT"/>
                <w:color w:val="000000"/>
                <w:kern w:val="0"/>
                <w:sz w:val="18"/>
                <w:szCs w:val="18"/>
              </w:rPr>
              <w:t>内呼吸法弥散：</w:t>
            </w:r>
            <w:r>
              <w:rPr>
                <w:rFonts w:hint="eastAsia" w:ascii="微软雅黑" w:hAnsi="微软雅黑" w:eastAsia="微软雅黑"/>
                <w:sz w:val="18"/>
                <w:szCs w:val="18"/>
              </w:rPr>
              <w:t>无须病人屏气，适合于呼吸困难、不能坚持屏气的病人</w:t>
            </w:r>
            <w:r>
              <w:rPr>
                <w:rFonts w:hint="eastAsia" w:ascii="微软雅黑" w:hAnsi="微软雅黑" w:eastAsia="微软雅黑"/>
                <w:sz w:val="18"/>
                <w:szCs w:val="18"/>
                <w:lang w:eastAsia="zh-CN"/>
              </w:rPr>
              <w:t>。</w:t>
            </w:r>
          </w:p>
          <w:p>
            <w:pPr>
              <w:numPr>
                <w:ilvl w:val="0"/>
                <w:numId w:val="1"/>
              </w:numPr>
              <w:jc w:val="left"/>
              <w:rPr>
                <w:rFonts w:hint="eastAsia" w:ascii="微软雅黑" w:hAnsi="微软雅黑" w:eastAsia="微软雅黑" w:cs="FuturaLtBT"/>
                <w:color w:val="231F20"/>
                <w:kern w:val="0"/>
                <w:sz w:val="18"/>
                <w:szCs w:val="18"/>
                <w:lang w:val="en-US" w:eastAsia="zh-CN"/>
              </w:rPr>
            </w:pPr>
            <w:r>
              <w:rPr>
                <w:rFonts w:hint="eastAsia" w:ascii="微软雅黑" w:hAnsi="微软雅黑" w:eastAsia="微软雅黑"/>
                <w:sz w:val="18"/>
                <w:szCs w:val="18"/>
                <w:lang w:val="en-US" w:eastAsia="zh-CN"/>
              </w:rPr>
              <w:t>连续</w:t>
            </w:r>
            <w:r>
              <w:rPr>
                <w:rFonts w:hint="eastAsia" w:ascii="微软雅黑" w:hAnsi="微软雅黑" w:eastAsia="微软雅黑"/>
                <w:sz w:val="18"/>
                <w:szCs w:val="18"/>
              </w:rPr>
              <w:t>脉冲振荡法气道阻力IOS模块:测试过程中无需病人紧密配合，适合老人、儿童</w:t>
            </w:r>
            <w:r>
              <w:rPr>
                <w:rFonts w:hint="eastAsia" w:ascii="微软雅黑" w:hAnsi="微软雅黑" w:eastAsia="微软雅黑"/>
                <w:sz w:val="18"/>
                <w:szCs w:val="18"/>
                <w:lang w:eastAsia="zh-CN"/>
              </w:rPr>
              <w:t>。</w:t>
            </w:r>
            <w:r>
              <w:rPr>
                <w:rFonts w:hint="eastAsia" w:ascii="微软雅黑" w:hAnsi="微软雅黑" w:eastAsia="微软雅黑" w:cs="宋体"/>
                <w:kern w:val="0"/>
                <w:sz w:val="18"/>
                <w:szCs w:val="18"/>
              </w:rPr>
              <w:t>主要测试项目</w:t>
            </w:r>
            <w:r>
              <w:rPr>
                <w:rFonts w:hint="eastAsia" w:ascii="微软雅黑" w:hAnsi="微软雅黑" w:eastAsia="微软雅黑" w:cs="宋体"/>
                <w:kern w:val="0"/>
                <w:sz w:val="18"/>
                <w:szCs w:val="18"/>
                <w:lang w:eastAsia="zh-CN"/>
              </w:rPr>
              <w:t>：</w:t>
            </w:r>
            <w:r>
              <w:rPr>
                <w:rFonts w:hint="eastAsia" w:ascii="微软雅黑" w:hAnsi="微软雅黑" w:eastAsia="微软雅黑"/>
                <w:sz w:val="18"/>
                <w:szCs w:val="18"/>
              </w:rPr>
              <w:t>呼吸阻抗</w:t>
            </w:r>
            <w:r>
              <w:rPr>
                <w:rFonts w:hint="eastAsia" w:ascii="微软雅黑" w:hAnsi="微软雅黑" w:eastAsia="微软雅黑"/>
                <w:sz w:val="18"/>
                <w:szCs w:val="18"/>
                <w:lang w:eastAsia="zh-CN"/>
              </w:rPr>
              <w:t>、</w:t>
            </w:r>
            <w:r>
              <w:rPr>
                <w:rFonts w:hint="eastAsia" w:ascii="微软雅黑" w:hAnsi="微软雅黑" w:eastAsia="微软雅黑"/>
                <w:sz w:val="18"/>
                <w:szCs w:val="18"/>
              </w:rPr>
              <w:t>中心气道阻力和总气道阻力</w:t>
            </w:r>
            <w:r>
              <w:rPr>
                <w:rFonts w:hint="eastAsia" w:ascii="微软雅黑" w:hAnsi="微软雅黑" w:eastAsia="微软雅黑"/>
                <w:sz w:val="18"/>
                <w:szCs w:val="18"/>
                <w:lang w:eastAsia="zh-CN"/>
              </w:rPr>
              <w:t>、</w:t>
            </w:r>
            <w:r>
              <w:rPr>
                <w:rFonts w:hint="eastAsia" w:ascii="微软雅黑" w:hAnsi="微软雅黑" w:eastAsia="微软雅黑"/>
                <w:sz w:val="18"/>
                <w:szCs w:val="18"/>
              </w:rPr>
              <w:t>周边弹性阻力</w:t>
            </w:r>
            <w:r>
              <w:rPr>
                <w:rFonts w:hint="eastAsia" w:ascii="微软雅黑" w:hAnsi="微软雅黑" w:eastAsia="微软雅黑"/>
                <w:sz w:val="18"/>
                <w:szCs w:val="18"/>
                <w:lang w:eastAsia="zh-CN"/>
              </w:rPr>
              <w:t>。</w:t>
            </w:r>
          </w:p>
          <w:p>
            <w:pPr>
              <w:numPr>
                <w:ilvl w:val="0"/>
                <w:numId w:val="1"/>
              </w:numPr>
              <w:jc w:val="left"/>
              <w:rPr>
                <w:rFonts w:hint="eastAsia" w:ascii="微软雅黑" w:hAnsi="微软雅黑" w:eastAsia="微软雅黑" w:cs="FuturaLtBT"/>
                <w:color w:val="231F20"/>
                <w:kern w:val="0"/>
                <w:sz w:val="18"/>
                <w:szCs w:val="18"/>
                <w:lang w:val="en-US" w:eastAsia="zh-CN"/>
              </w:rPr>
            </w:pPr>
            <w:r>
              <w:rPr>
                <w:rFonts w:hint="eastAsia" w:ascii="微软雅黑" w:hAnsi="微软雅黑" w:eastAsia="微软雅黑" w:cs="FuturaLtBT"/>
                <w:kern w:val="0"/>
                <w:sz w:val="18"/>
                <w:szCs w:val="18"/>
              </w:rPr>
              <w:t>体积描记箱：完全透明，无恐惧感，配有可上下调节的硬木转椅（避免软椅的气垫对测量造成的伪差）</w:t>
            </w:r>
            <w:r>
              <w:rPr>
                <w:rFonts w:hint="eastAsia" w:ascii="微软雅黑" w:hAnsi="微软雅黑" w:eastAsia="微软雅黑" w:cs="FuturaLtBT"/>
                <w:kern w:val="0"/>
                <w:sz w:val="18"/>
                <w:szCs w:val="18"/>
                <w:lang w:eastAsia="zh-CN"/>
              </w:rPr>
              <w:t>，</w:t>
            </w:r>
            <w:r>
              <w:rPr>
                <w:rFonts w:hint="eastAsia" w:ascii="微软雅黑" w:hAnsi="微软雅黑" w:eastAsia="微软雅黑" w:cs="FuturaLtBT"/>
                <w:kern w:val="0"/>
                <w:sz w:val="18"/>
                <w:szCs w:val="18"/>
              </w:rPr>
              <w:t>测试项目</w:t>
            </w:r>
            <w:r>
              <w:rPr>
                <w:rFonts w:hint="eastAsia" w:ascii="微软雅黑" w:hAnsi="微软雅黑" w:eastAsia="微软雅黑" w:cs="FuturaLtBT"/>
                <w:kern w:val="0"/>
                <w:sz w:val="18"/>
                <w:szCs w:val="18"/>
                <w:lang w:eastAsia="zh-CN"/>
              </w:rPr>
              <w:t>：</w:t>
            </w:r>
            <w:r>
              <w:rPr>
                <w:rFonts w:hint="eastAsia" w:ascii="微软雅黑" w:hAnsi="微软雅黑" w:eastAsia="微软雅黑"/>
                <w:iCs/>
                <w:sz w:val="18"/>
                <w:szCs w:val="18"/>
              </w:rPr>
              <w:t>体描法气道阻力测定</w:t>
            </w:r>
            <w:r>
              <w:rPr>
                <w:rFonts w:hint="eastAsia" w:ascii="微软雅黑" w:hAnsi="微软雅黑" w:eastAsia="微软雅黑"/>
                <w:iCs/>
                <w:sz w:val="18"/>
                <w:szCs w:val="18"/>
                <w:lang w:eastAsia="zh-CN"/>
              </w:rPr>
              <w:t>、</w:t>
            </w:r>
            <w:r>
              <w:rPr>
                <w:rFonts w:hint="eastAsia" w:ascii="微软雅黑" w:hAnsi="微软雅黑" w:eastAsia="微软雅黑"/>
                <w:iCs/>
                <w:sz w:val="18"/>
                <w:szCs w:val="18"/>
              </w:rPr>
              <w:t>胸腔气量测定</w:t>
            </w:r>
            <w:r>
              <w:rPr>
                <w:rFonts w:hint="eastAsia" w:ascii="微软雅黑" w:hAnsi="微软雅黑" w:eastAsia="微软雅黑"/>
                <w:iCs/>
                <w:sz w:val="18"/>
                <w:szCs w:val="18"/>
                <w:lang w:eastAsia="zh-CN"/>
              </w:rPr>
              <w:t>。</w:t>
            </w:r>
          </w:p>
          <w:p>
            <w:pPr>
              <w:numPr>
                <w:ilvl w:val="0"/>
                <w:numId w:val="1"/>
              </w:numPr>
              <w:jc w:val="left"/>
              <w:rPr>
                <w:rFonts w:hint="eastAsia" w:ascii="微软雅黑" w:hAnsi="微软雅黑" w:eastAsia="微软雅黑" w:cs="FuturaLtBT"/>
                <w:kern w:val="0"/>
                <w:sz w:val="18"/>
                <w:szCs w:val="18"/>
                <w:lang w:val="en-US" w:eastAsia="zh-CN"/>
              </w:rPr>
            </w:pPr>
            <w:r>
              <w:rPr>
                <w:rFonts w:hint="eastAsia" w:ascii="微软雅黑" w:hAnsi="微软雅黑" w:eastAsia="微软雅黑"/>
                <w:sz w:val="18"/>
                <w:szCs w:val="18"/>
              </w:rPr>
              <w:t>流速传感器：热线式流速传感器</w:t>
            </w:r>
            <w:r>
              <w:rPr>
                <w:rFonts w:hint="eastAsia" w:ascii="微软雅黑" w:hAnsi="微软雅黑" w:eastAsia="微软雅黑"/>
                <w:sz w:val="18"/>
                <w:szCs w:val="18"/>
                <w:lang w:eastAsia="zh-CN"/>
              </w:rPr>
              <w:t>，</w:t>
            </w:r>
            <w:r>
              <w:rPr>
                <w:rFonts w:hint="eastAsia" w:ascii="微软雅黑" w:hAnsi="微软雅黑" w:eastAsia="微软雅黑"/>
                <w:sz w:val="18"/>
                <w:szCs w:val="18"/>
              </w:rPr>
              <w:t>测定范围</w:t>
            </w:r>
            <w:r>
              <w:rPr>
                <w:rFonts w:hint="eastAsia" w:ascii="微软雅黑" w:hAnsi="微软雅黑" w:eastAsia="微软雅黑"/>
                <w:sz w:val="18"/>
                <w:szCs w:val="18"/>
                <w:lang w:eastAsia="zh-CN"/>
              </w:rPr>
              <w:t>：</w:t>
            </w:r>
            <w:r>
              <w:rPr>
                <w:rFonts w:ascii="微软雅黑" w:hAnsi="微软雅黑" w:eastAsia="微软雅黑"/>
                <w:sz w:val="18"/>
                <w:szCs w:val="18"/>
              </w:rPr>
              <w:t xml:space="preserve">0 - </w:t>
            </w:r>
            <w:r>
              <w:rPr>
                <w:rFonts w:hint="eastAsia" w:ascii="微软雅黑" w:hAnsi="微软雅黑" w:eastAsia="微软雅黑"/>
                <w:sz w:val="18"/>
                <w:szCs w:val="18"/>
              </w:rPr>
              <w:t>16</w:t>
            </w:r>
            <w:r>
              <w:rPr>
                <w:rFonts w:ascii="微软雅黑" w:hAnsi="微软雅黑" w:eastAsia="微软雅黑"/>
                <w:sz w:val="18"/>
                <w:szCs w:val="18"/>
              </w:rPr>
              <w:t xml:space="preserve"> L/s</w:t>
            </w:r>
            <w:r>
              <w:rPr>
                <w:rFonts w:hint="eastAsia" w:ascii="微软雅黑" w:hAnsi="微软雅黑" w:eastAsia="微软雅黑"/>
                <w:sz w:val="18"/>
                <w:szCs w:val="18"/>
                <w:lang w:eastAsia="zh-CN"/>
              </w:rPr>
              <w:t>，</w:t>
            </w:r>
            <w:r>
              <w:rPr>
                <w:rFonts w:hint="eastAsia" w:ascii="微软雅黑" w:hAnsi="微软雅黑" w:eastAsia="微软雅黑"/>
                <w:color w:val="000000"/>
                <w:sz w:val="18"/>
                <w:szCs w:val="18"/>
              </w:rPr>
              <w:t>分辨率:0.003升/秒</w:t>
            </w:r>
            <w:r>
              <w:rPr>
                <w:rFonts w:hint="eastAsia" w:ascii="微软雅黑" w:hAnsi="微软雅黑" w:eastAsia="微软雅黑"/>
                <w:color w:val="000000"/>
                <w:sz w:val="18"/>
                <w:szCs w:val="18"/>
                <w:lang w:eastAsia="zh-CN"/>
              </w:rPr>
              <w:t>，</w:t>
            </w:r>
            <w:r>
              <w:rPr>
                <w:rFonts w:hint="eastAsia" w:ascii="微软雅黑" w:hAnsi="微软雅黑" w:eastAsia="微软雅黑"/>
                <w:color w:val="000000"/>
                <w:sz w:val="18"/>
                <w:szCs w:val="18"/>
              </w:rPr>
              <w:t>流</w:t>
            </w:r>
            <w:r>
              <w:rPr>
                <w:rFonts w:hint="eastAsia" w:ascii="微软雅黑" w:hAnsi="微软雅黑" w:eastAsia="微软雅黑" w:cs="FuturaLtBT"/>
                <w:kern w:val="0"/>
                <w:sz w:val="18"/>
                <w:szCs w:val="18"/>
              </w:rPr>
              <w:t>量精度：±3%或0.25升/秒</w:t>
            </w:r>
            <w:r>
              <w:rPr>
                <w:rFonts w:hint="eastAsia" w:ascii="微软雅黑" w:hAnsi="微软雅黑" w:eastAsia="微软雅黑" w:cs="FuturaLtBT"/>
                <w:kern w:val="0"/>
                <w:sz w:val="18"/>
                <w:szCs w:val="18"/>
                <w:lang w:eastAsia="zh-CN"/>
              </w:rPr>
              <w:t>，</w:t>
            </w:r>
            <w:r>
              <w:rPr>
                <w:rFonts w:hint="eastAsia" w:ascii="微软雅黑" w:hAnsi="微软雅黑" w:eastAsia="微软雅黑" w:cs="FuturaLtBT"/>
                <w:kern w:val="0"/>
                <w:sz w:val="18"/>
                <w:szCs w:val="18"/>
              </w:rPr>
              <w:t>容量精度：±3%或0.05</w:t>
            </w:r>
            <w:r>
              <w:rPr>
                <w:rFonts w:hint="eastAsia" w:ascii="微软雅黑" w:hAnsi="微软雅黑" w:eastAsia="微软雅黑" w:cs="FuturaLtBT"/>
                <w:kern w:val="0"/>
                <w:sz w:val="18"/>
                <w:szCs w:val="18"/>
                <w:lang w:val="en-US" w:eastAsia="zh-CN"/>
              </w:rPr>
              <w:t>升，</w:t>
            </w:r>
            <w:r>
              <w:rPr>
                <w:rFonts w:hint="eastAsia" w:ascii="微软雅黑" w:hAnsi="微软雅黑" w:eastAsia="微软雅黑" w:cs="FuturaLtBT"/>
                <w:kern w:val="0"/>
                <w:sz w:val="18"/>
                <w:szCs w:val="18"/>
              </w:rPr>
              <w:t>阻力：＜1.5厘米水柱/升/秒</w:t>
            </w:r>
            <w:r>
              <w:rPr>
                <w:rFonts w:hint="eastAsia" w:ascii="微软雅黑" w:hAnsi="微软雅黑" w:eastAsia="微软雅黑" w:cs="FuturaLtBT"/>
                <w:kern w:val="0"/>
                <w:sz w:val="18"/>
                <w:szCs w:val="18"/>
                <w:lang w:eastAsia="zh-CN"/>
              </w:rPr>
              <w:t>。</w:t>
            </w:r>
          </w:p>
          <w:p>
            <w:pPr>
              <w:numPr>
                <w:ilvl w:val="0"/>
                <w:numId w:val="1"/>
              </w:numPr>
              <w:jc w:val="left"/>
              <w:rPr>
                <w:rFonts w:hint="eastAsia" w:ascii="微软雅黑" w:hAnsi="微软雅黑" w:eastAsia="微软雅黑" w:cs="FuturaLtBT"/>
                <w:kern w:val="0"/>
                <w:sz w:val="18"/>
                <w:szCs w:val="18"/>
                <w:lang w:val="en-US" w:eastAsia="zh-CN"/>
              </w:rPr>
            </w:pPr>
            <w:r>
              <w:rPr>
                <w:rFonts w:hint="eastAsia" w:ascii="微软雅黑" w:hAnsi="微软雅黑" w:eastAsia="微软雅黑" w:cs="FuturaLtBT"/>
                <w:kern w:val="0"/>
                <w:sz w:val="18"/>
                <w:szCs w:val="18"/>
              </w:rPr>
              <w:t>多气体分析器：CO、CH4和C2H2</w:t>
            </w:r>
            <w:r>
              <w:rPr>
                <w:rFonts w:hint="eastAsia" w:ascii="微软雅黑" w:hAnsi="微软雅黑" w:eastAsia="微软雅黑" w:cs="FuturaLtBT"/>
                <w:kern w:val="0"/>
                <w:sz w:val="18"/>
                <w:szCs w:val="18"/>
                <w:lang w:eastAsia="zh-CN"/>
              </w:rPr>
              <w:t>，</w:t>
            </w:r>
            <w:r>
              <w:rPr>
                <w:rFonts w:hint="eastAsia" w:ascii="微软雅黑" w:hAnsi="微软雅黑" w:eastAsia="微软雅黑" w:cs="FuturaLtBT"/>
                <w:kern w:val="0"/>
                <w:sz w:val="18"/>
                <w:szCs w:val="18"/>
              </w:rPr>
              <w:t>类  型：非色散红外，热电偶</w:t>
            </w:r>
            <w:r>
              <w:rPr>
                <w:rFonts w:hint="eastAsia" w:ascii="微软雅黑" w:hAnsi="微软雅黑" w:eastAsia="微软雅黑" w:cs="FuturaLtBT"/>
                <w:kern w:val="0"/>
                <w:sz w:val="18"/>
                <w:szCs w:val="18"/>
                <w:lang w:eastAsia="zh-CN"/>
              </w:rPr>
              <w:t>，</w:t>
            </w:r>
            <w:r>
              <w:rPr>
                <w:rFonts w:hint="eastAsia" w:ascii="微软雅黑" w:hAnsi="微软雅黑" w:eastAsia="微软雅黑" w:cs="FuturaLtBT"/>
                <w:kern w:val="0"/>
                <w:sz w:val="18"/>
                <w:szCs w:val="18"/>
              </w:rPr>
              <w:t>范  围：0-0.33%,  精  度：±0.003%,分辨率：0.0005%</w:t>
            </w:r>
            <w:r>
              <w:rPr>
                <w:rFonts w:hint="eastAsia" w:ascii="微软雅黑" w:hAnsi="微软雅黑" w:eastAsia="微软雅黑" w:cs="FuturaLtBT"/>
                <w:kern w:val="0"/>
                <w:sz w:val="18"/>
                <w:szCs w:val="18"/>
                <w:lang w:eastAsia="zh-CN"/>
              </w:rPr>
              <w:t>。</w:t>
            </w:r>
          </w:p>
          <w:p>
            <w:pPr>
              <w:numPr>
                <w:ilvl w:val="0"/>
                <w:numId w:val="1"/>
              </w:numPr>
              <w:jc w:val="left"/>
              <w:rPr>
                <w:rFonts w:hint="eastAsia" w:ascii="微软雅黑" w:hAnsi="微软雅黑" w:eastAsia="微软雅黑" w:cs="FuturaLtBT"/>
                <w:kern w:val="0"/>
                <w:sz w:val="18"/>
                <w:szCs w:val="18"/>
                <w:lang w:val="en-US" w:eastAsia="zh-CN"/>
              </w:rPr>
            </w:pPr>
            <w:r>
              <w:rPr>
                <w:rFonts w:hint="eastAsia" w:ascii="微软雅黑" w:hAnsi="微软雅黑" w:eastAsia="微软雅黑" w:cs="FuturaLtBT"/>
                <w:kern w:val="0"/>
                <w:sz w:val="18"/>
                <w:szCs w:val="18"/>
              </w:rPr>
              <w:t>雾化气体最大流量≥7L/min</w:t>
            </w:r>
            <w:r>
              <w:rPr>
                <w:rFonts w:hint="eastAsia" w:ascii="微软雅黑" w:hAnsi="微软雅黑" w:eastAsia="微软雅黑" w:cs="FuturaLtBT"/>
                <w:kern w:val="0"/>
                <w:sz w:val="18"/>
                <w:szCs w:val="18"/>
                <w:lang w:eastAsia="zh-CN"/>
              </w:rPr>
              <w:t>。</w:t>
            </w:r>
          </w:p>
          <w:p>
            <w:pPr>
              <w:numPr>
                <w:ilvl w:val="0"/>
                <w:numId w:val="1"/>
              </w:numPr>
              <w:jc w:val="left"/>
              <w:rPr>
                <w:rFonts w:hint="eastAsia" w:ascii="微软雅黑" w:hAnsi="微软雅黑" w:eastAsia="微软雅黑" w:cs="FuturaLtBT"/>
                <w:kern w:val="0"/>
                <w:sz w:val="18"/>
                <w:szCs w:val="18"/>
                <w:lang w:val="en-US" w:eastAsia="zh-CN"/>
              </w:rPr>
            </w:pPr>
            <w:r>
              <w:rPr>
                <w:rFonts w:hint="eastAsia" w:ascii="微软雅黑" w:hAnsi="微软雅黑" w:eastAsia="微软雅黑" w:cs="FuturaLtBT"/>
                <w:kern w:val="0"/>
                <w:sz w:val="18"/>
                <w:szCs w:val="18"/>
              </w:rPr>
              <w:t>雾化量： 240mg/min</w:t>
            </w:r>
            <w:r>
              <w:rPr>
                <w:rFonts w:hint="eastAsia" w:ascii="微软雅黑" w:hAnsi="微软雅黑" w:eastAsia="微软雅黑" w:cs="FuturaLtBT"/>
                <w:kern w:val="0"/>
                <w:sz w:val="18"/>
                <w:szCs w:val="18"/>
                <w:lang w:eastAsia="zh-CN"/>
              </w:rPr>
              <w:t>。</w:t>
            </w:r>
          </w:p>
          <w:p>
            <w:pPr>
              <w:numPr>
                <w:ilvl w:val="0"/>
                <w:numId w:val="1"/>
              </w:numPr>
              <w:jc w:val="left"/>
              <w:rPr>
                <w:rFonts w:hint="eastAsia" w:ascii="微软雅黑" w:hAnsi="微软雅黑" w:eastAsia="微软雅黑" w:cs="FuturaLtBT"/>
                <w:kern w:val="0"/>
                <w:sz w:val="18"/>
                <w:szCs w:val="18"/>
                <w:lang w:val="en-US" w:eastAsia="zh-CN"/>
              </w:rPr>
            </w:pPr>
            <w:r>
              <w:rPr>
                <w:rFonts w:hint="eastAsia" w:ascii="微软雅黑" w:hAnsi="微软雅黑" w:eastAsia="微软雅黑" w:cs="FuturaLtBT"/>
                <w:kern w:val="0"/>
                <w:sz w:val="18"/>
                <w:szCs w:val="18"/>
              </w:rPr>
              <w:t>市场占有率高，与投标产品同品牌的高级弥散型肺功能仪，在陕西省至少要有10家，便于实行医疗报告互认，学术交流。</w:t>
            </w:r>
          </w:p>
          <w:p>
            <w:pPr>
              <w:numPr>
                <w:ilvl w:val="0"/>
                <w:numId w:val="0"/>
              </w:numPr>
              <w:jc w:val="left"/>
              <w:rPr>
                <w:rFonts w:hint="eastAsia" w:ascii="微软雅黑" w:hAnsi="微软雅黑" w:eastAsia="微软雅黑" w:cs="FuturaLtBT"/>
                <w:color w:val="231F20"/>
                <w:kern w:val="0"/>
                <w:sz w:val="24"/>
                <w:lang w:val="en-US" w:eastAsia="zh-CN"/>
              </w:rPr>
            </w:pPr>
            <w:r>
              <w:rPr>
                <w:rFonts w:hint="eastAsia" w:ascii="微软雅黑" w:hAnsi="微软雅黑" w:eastAsia="微软雅黑" w:cs="FuturaLtBT"/>
                <w:kern w:val="0"/>
                <w:sz w:val="18"/>
                <w:szCs w:val="18"/>
                <w:lang w:val="en-US" w:eastAsia="zh-CN"/>
              </w:rPr>
              <w:t>10、</w:t>
            </w:r>
            <w:r>
              <w:rPr>
                <w:rFonts w:hint="eastAsia" w:ascii="微软雅黑" w:hAnsi="微软雅黑" w:eastAsia="微软雅黑" w:cs="FuturaLtBT"/>
                <w:kern w:val="0"/>
                <w:sz w:val="18"/>
                <w:szCs w:val="18"/>
              </w:rPr>
              <w:t>在陕西省有售后服务机构及工程师，同时厂家在国内也要有经工商行政注册备案的驻华分支机构及其售后服务团队，以实现日后在售后服务工作中的双重保障，避免产品在华代理变动引起的售后服务纠纷</w:t>
            </w:r>
            <w:r>
              <w:rPr>
                <w:rFonts w:hint="eastAsia" w:ascii="微软雅黑" w:hAnsi="微软雅黑" w:eastAsia="微软雅黑" w:cs="FuturaLtBT"/>
                <w:kern w:val="0"/>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1" w:hRule="atLeast"/>
        </w:trPr>
        <w:tc>
          <w:tcPr>
            <w:tcW w:w="2243" w:type="dxa"/>
            <w:gridSpan w:val="2"/>
            <w:vAlign w:val="center"/>
          </w:tcPr>
          <w:p>
            <w:pPr>
              <w:jc w:val="center"/>
              <w:rPr>
                <w:rFonts w:ascii="仿宋_GB2312" w:eastAsia="仿宋_GB2312"/>
                <w:sz w:val="32"/>
                <w:szCs w:val="32"/>
              </w:rPr>
            </w:pPr>
            <w:r>
              <w:rPr>
                <w:rFonts w:hint="eastAsia" w:ascii="仿宋_GB2312" w:eastAsia="仿宋_GB2312"/>
                <w:sz w:val="32"/>
                <w:szCs w:val="32"/>
              </w:rPr>
              <w:t>项目提报单位</w:t>
            </w:r>
          </w:p>
        </w:tc>
        <w:tc>
          <w:tcPr>
            <w:tcW w:w="7045" w:type="dxa"/>
            <w:gridSpan w:val="3"/>
            <w:vAlign w:val="center"/>
          </w:tcPr>
          <w:p>
            <w:pPr>
              <w:ind w:firstLine="160" w:firstLineChars="50"/>
              <w:rPr>
                <w:rFonts w:ascii="仿宋_GB2312" w:eastAsia="仿宋_GB2312"/>
                <w:sz w:val="24"/>
              </w:rPr>
            </w:pPr>
            <w:r>
              <w:rPr>
                <w:rFonts w:hint="eastAsia" w:ascii="仿宋_GB2312" w:eastAsia="仿宋_GB2312"/>
                <w:sz w:val="32"/>
                <w:szCs w:val="32"/>
              </w:rPr>
              <w:t>神东总医院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05" w:hRule="atLeast"/>
        </w:trPr>
        <w:tc>
          <w:tcPr>
            <w:tcW w:w="1174" w:type="dxa"/>
            <w:vMerge w:val="restart"/>
            <w:vAlign w:val="center"/>
          </w:tcPr>
          <w:p>
            <w:pPr>
              <w:jc w:val="center"/>
              <w:rPr>
                <w:rFonts w:ascii="仿宋_GB2312" w:eastAsia="仿宋_GB2312"/>
                <w:sz w:val="32"/>
                <w:szCs w:val="32"/>
              </w:rPr>
            </w:pPr>
            <w:r>
              <w:rPr>
                <w:rFonts w:hint="eastAsia" w:ascii="仿宋_GB2312" w:eastAsia="仿宋_GB2312"/>
                <w:sz w:val="32"/>
                <w:szCs w:val="32"/>
              </w:rPr>
              <w:t>设备管理中心</w:t>
            </w:r>
          </w:p>
        </w:tc>
        <w:tc>
          <w:tcPr>
            <w:tcW w:w="1069" w:type="dxa"/>
            <w:vAlign w:val="center"/>
          </w:tcPr>
          <w:p>
            <w:pPr>
              <w:jc w:val="center"/>
              <w:rPr>
                <w:rFonts w:ascii="仿宋_GB2312" w:eastAsia="仿宋_GB2312"/>
                <w:sz w:val="32"/>
                <w:szCs w:val="32"/>
              </w:rPr>
            </w:pPr>
            <w:r>
              <w:rPr>
                <w:rFonts w:hint="eastAsia" w:ascii="仿宋_GB2312" w:eastAsia="仿宋_GB2312"/>
                <w:sz w:val="32"/>
                <w:szCs w:val="32"/>
              </w:rPr>
              <w:t>技术部</w:t>
            </w:r>
          </w:p>
        </w:tc>
        <w:tc>
          <w:tcPr>
            <w:tcW w:w="7045" w:type="dxa"/>
            <w:gridSpan w:val="3"/>
            <w:vAlign w:val="center"/>
          </w:tcPr>
          <w:p>
            <w:pPr>
              <w:jc w:val="center"/>
              <w:rPr>
                <w:rFonts w:ascii="仿宋_GB2312" w:eastAsia="仿宋_GB2312"/>
                <w:sz w:val="32"/>
                <w:szCs w:val="32"/>
              </w:rPr>
            </w:pPr>
          </w:p>
          <w:p>
            <w:pPr>
              <w:jc w:val="center"/>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07" w:hRule="atLeast"/>
        </w:trPr>
        <w:tc>
          <w:tcPr>
            <w:tcW w:w="1174" w:type="dxa"/>
            <w:vMerge w:val="continue"/>
            <w:vAlign w:val="center"/>
          </w:tcPr>
          <w:p/>
        </w:tc>
        <w:tc>
          <w:tcPr>
            <w:tcW w:w="1069" w:type="dxa"/>
            <w:vAlign w:val="center"/>
          </w:tcPr>
          <w:p>
            <w:pPr>
              <w:jc w:val="center"/>
              <w:rPr>
                <w:rFonts w:ascii="仿宋_GB2312" w:eastAsia="仿宋_GB2312"/>
                <w:sz w:val="32"/>
                <w:szCs w:val="32"/>
              </w:rPr>
            </w:pPr>
            <w:r>
              <w:rPr>
                <w:rFonts w:hint="eastAsia" w:ascii="仿宋_GB2312" w:eastAsia="仿宋_GB2312"/>
                <w:sz w:val="32"/>
                <w:szCs w:val="32"/>
              </w:rPr>
              <w:t>分管领导</w:t>
            </w:r>
          </w:p>
        </w:tc>
        <w:tc>
          <w:tcPr>
            <w:tcW w:w="7045" w:type="dxa"/>
            <w:gridSpan w:val="3"/>
            <w:vAlign w:val="center"/>
          </w:tcPr>
          <w:p>
            <w:pPr>
              <w:jc w:val="center"/>
              <w:rPr>
                <w:rFonts w:ascii="仿宋_GB2312" w:eastAsia="仿宋_GB2312"/>
                <w:sz w:val="32"/>
                <w:szCs w:val="32"/>
              </w:rPr>
            </w:pPr>
          </w:p>
        </w:tc>
      </w:tr>
    </w:tbl>
    <w:p>
      <w:pPr>
        <w:spacing w:before="312" w:beforeLines="100" w:line="500" w:lineRule="exact"/>
        <w:rPr>
          <w:rFonts w:hint="eastAsia" w:ascii="宋体" w:hAnsi="宋体"/>
          <w:b/>
          <w:bCs/>
          <w:color w:val="000000"/>
          <w:sz w:val="24"/>
          <w:szCs w:val="24"/>
        </w:rPr>
      </w:pPr>
    </w:p>
    <w:p>
      <w:pPr>
        <w:spacing w:before="312" w:beforeLines="100" w:line="500" w:lineRule="exact"/>
        <w:ind w:left="2520" w:firstLine="1205" w:firstLineChars="500"/>
        <w:rPr>
          <w:rFonts w:hint="eastAsia" w:ascii="黑体" w:eastAsia="黑体"/>
          <w:b/>
          <w:sz w:val="24"/>
          <w:szCs w:val="24"/>
          <w:lang w:eastAsia="zh-CN"/>
        </w:rPr>
      </w:pPr>
      <w:r>
        <w:rPr>
          <w:rFonts w:hint="eastAsia" w:ascii="宋体" w:hAnsi="宋体" w:eastAsia="黑体"/>
          <w:b/>
          <w:bCs/>
          <w:color w:val="000000"/>
          <w:sz w:val="24"/>
          <w:szCs w:val="24"/>
          <w:lang w:val="en-US" w:eastAsia="zh-CN"/>
        </w:rPr>
        <w:t>肺功能仪</w:t>
      </w:r>
    </w:p>
    <w:p>
      <w:pPr>
        <w:numPr>
          <w:ilvl w:val="4"/>
          <w:numId w:val="2"/>
        </w:numPr>
        <w:spacing w:before="312" w:beforeLines="100" w:line="500" w:lineRule="exact"/>
        <w:rPr>
          <w:rFonts w:ascii="宋体"/>
          <w:b/>
          <w:sz w:val="28"/>
          <w:szCs w:val="28"/>
        </w:rPr>
      </w:pPr>
      <w:r>
        <w:rPr>
          <w:rFonts w:hint="eastAsia" w:ascii="黑体" w:eastAsia="黑体"/>
          <w:b/>
          <w:sz w:val="28"/>
          <w:szCs w:val="28"/>
        </w:rPr>
        <w:t xml:space="preserve">  货物需求一览表</w:t>
      </w:r>
    </w:p>
    <w:tbl>
      <w:tblPr>
        <w:tblStyle w:val="4"/>
        <w:tblW w:w="9269"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7"/>
        <w:gridCol w:w="1985"/>
        <w:gridCol w:w="1701"/>
        <w:gridCol w:w="850"/>
        <w:gridCol w:w="751"/>
        <w:gridCol w:w="1545"/>
        <w:gridCol w:w="16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b/>
                <w:bCs/>
                <w:sz w:val="24"/>
                <w:szCs w:val="24"/>
              </w:rPr>
            </w:pPr>
            <w:r>
              <w:rPr>
                <w:rFonts w:hint="eastAsia" w:ascii="宋体" w:hAnsi="宋体"/>
                <w:b/>
                <w:bCs/>
                <w:sz w:val="24"/>
                <w:szCs w:val="24"/>
              </w:rPr>
              <w:t>序号</w:t>
            </w:r>
          </w:p>
        </w:tc>
        <w:tc>
          <w:tcPr>
            <w:tcW w:w="1985" w:type="dxa"/>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sz w:val="24"/>
                <w:szCs w:val="24"/>
              </w:rPr>
            </w:pPr>
            <w:r>
              <w:rPr>
                <w:rFonts w:hint="eastAsia" w:ascii="宋体" w:hAnsi="宋体"/>
                <w:b/>
                <w:bCs/>
                <w:sz w:val="24"/>
                <w:szCs w:val="24"/>
              </w:rPr>
              <w:t>名称</w:t>
            </w:r>
          </w:p>
        </w:tc>
        <w:tc>
          <w:tcPr>
            <w:tcW w:w="1701" w:type="dxa"/>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sz w:val="24"/>
                <w:szCs w:val="24"/>
              </w:rPr>
            </w:pPr>
            <w:r>
              <w:rPr>
                <w:rFonts w:hint="eastAsia" w:ascii="宋体" w:hAnsi="宋体"/>
                <w:b/>
                <w:bCs/>
                <w:sz w:val="24"/>
                <w:szCs w:val="24"/>
              </w:rPr>
              <w:t>规格型号</w:t>
            </w:r>
          </w:p>
        </w:tc>
        <w:tc>
          <w:tcPr>
            <w:tcW w:w="850" w:type="dxa"/>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sz w:val="24"/>
                <w:szCs w:val="24"/>
              </w:rPr>
            </w:pPr>
            <w:r>
              <w:rPr>
                <w:rFonts w:hint="eastAsia" w:ascii="宋体" w:hAnsi="宋体"/>
                <w:b/>
                <w:bCs/>
                <w:sz w:val="24"/>
                <w:szCs w:val="24"/>
              </w:rPr>
              <w:t>单位</w:t>
            </w:r>
          </w:p>
        </w:tc>
        <w:tc>
          <w:tcPr>
            <w:tcW w:w="751" w:type="dxa"/>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sz w:val="24"/>
                <w:szCs w:val="24"/>
              </w:rPr>
            </w:pPr>
            <w:r>
              <w:rPr>
                <w:rFonts w:hint="eastAsia" w:ascii="宋体" w:hAnsi="宋体"/>
                <w:b/>
                <w:bCs/>
                <w:sz w:val="24"/>
                <w:szCs w:val="24"/>
              </w:rPr>
              <w:t>数量</w:t>
            </w:r>
          </w:p>
        </w:tc>
        <w:tc>
          <w:tcPr>
            <w:tcW w:w="1545" w:type="dxa"/>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sz w:val="24"/>
                <w:szCs w:val="24"/>
              </w:rPr>
            </w:pPr>
            <w:r>
              <w:rPr>
                <w:rFonts w:hint="eastAsia" w:ascii="宋体" w:hAnsi="宋体"/>
                <w:b/>
                <w:bCs/>
                <w:sz w:val="24"/>
                <w:szCs w:val="24"/>
              </w:rPr>
              <w:t>交货时间</w:t>
            </w:r>
          </w:p>
        </w:tc>
        <w:tc>
          <w:tcPr>
            <w:tcW w:w="16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b/>
                <w:bCs/>
                <w:sz w:val="24"/>
                <w:szCs w:val="24"/>
              </w:rPr>
            </w:pPr>
            <w:r>
              <w:rPr>
                <w:rFonts w:hint="eastAsia" w:ascii="宋体" w:hAnsi="宋体"/>
                <w:b/>
                <w:bCs/>
                <w:sz w:val="24"/>
                <w:szCs w:val="24"/>
              </w:rPr>
              <w:t>使用单位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jc w:val="center"/>
        </w:trPr>
        <w:tc>
          <w:tcPr>
            <w:tcW w:w="817" w:type="dxa"/>
            <w:tcBorders>
              <w:top w:val="nil"/>
              <w:left w:val="single" w:color="auto" w:sz="4" w:space="0"/>
              <w:bottom w:val="single" w:color="auto" w:sz="4" w:space="0"/>
              <w:right w:val="single" w:color="auto" w:sz="4" w:space="0"/>
            </w:tcBorders>
            <w:vAlign w:val="center"/>
          </w:tcPr>
          <w:p>
            <w:pPr>
              <w:pStyle w:val="5"/>
              <w:widowControl/>
              <w:numPr>
                <w:ilvl w:val="0"/>
                <w:numId w:val="3"/>
              </w:numPr>
              <w:adjustRightInd w:val="0"/>
              <w:spacing w:line="360" w:lineRule="auto"/>
              <w:ind w:firstLineChars="0"/>
              <w:rPr>
                <w:rFonts w:ascii="宋体" w:hAnsi="宋体"/>
                <w:color w:val="000000"/>
                <w:sz w:val="24"/>
                <w:szCs w:val="24"/>
              </w:rPr>
            </w:pPr>
          </w:p>
        </w:tc>
        <w:tc>
          <w:tcPr>
            <w:tcW w:w="1985" w:type="dxa"/>
            <w:tcBorders>
              <w:top w:val="nil"/>
              <w:left w:val="nil"/>
              <w:bottom w:val="single" w:color="auto" w:sz="4" w:space="0"/>
              <w:right w:val="single" w:color="auto" w:sz="4" w:space="0"/>
            </w:tcBorders>
            <w:vAlign w:val="center"/>
          </w:tcPr>
          <w:p>
            <w:pPr>
              <w:widowControl/>
              <w:adjustRightInd w:val="0"/>
              <w:spacing w:line="360" w:lineRule="auto"/>
              <w:ind w:firstLine="34" w:firstLineChars="14"/>
              <w:rPr>
                <w:rFonts w:hint="eastAsia" w:ascii="宋体" w:hAnsi="宋体" w:eastAsia="宋体"/>
                <w:b/>
                <w:bCs/>
                <w:color w:val="000000"/>
                <w:sz w:val="24"/>
                <w:szCs w:val="24"/>
                <w:lang w:eastAsia="zh-CN"/>
              </w:rPr>
            </w:pPr>
            <w:r>
              <w:rPr>
                <w:rFonts w:hint="eastAsia" w:ascii="宋体" w:hAnsi="宋体"/>
                <w:b/>
                <w:bCs/>
                <w:color w:val="000000"/>
                <w:sz w:val="24"/>
                <w:szCs w:val="24"/>
                <w:lang w:val="en-US" w:eastAsia="zh-CN"/>
              </w:rPr>
              <w:t>肺功能仪</w:t>
            </w:r>
          </w:p>
        </w:tc>
        <w:tc>
          <w:tcPr>
            <w:tcW w:w="1701" w:type="dxa"/>
            <w:tcBorders>
              <w:top w:val="nil"/>
              <w:left w:val="nil"/>
              <w:bottom w:val="single" w:color="auto" w:sz="4" w:space="0"/>
              <w:right w:val="single" w:color="auto" w:sz="4" w:space="0"/>
            </w:tcBorders>
            <w:vAlign w:val="center"/>
          </w:tcPr>
          <w:p>
            <w:pPr>
              <w:widowControl/>
              <w:adjustRightInd w:val="0"/>
              <w:spacing w:line="360" w:lineRule="auto"/>
              <w:ind w:firstLine="31" w:firstLineChars="13"/>
              <w:rPr>
                <w:rFonts w:ascii="宋体" w:hAnsi="宋体"/>
                <w:color w:val="000000"/>
                <w:sz w:val="24"/>
                <w:szCs w:val="24"/>
              </w:rPr>
            </w:pPr>
          </w:p>
        </w:tc>
        <w:tc>
          <w:tcPr>
            <w:tcW w:w="850" w:type="dxa"/>
            <w:tcBorders>
              <w:top w:val="nil"/>
              <w:left w:val="nil"/>
              <w:bottom w:val="single" w:color="auto" w:sz="4" w:space="0"/>
              <w:right w:val="single" w:color="auto" w:sz="4" w:space="0"/>
            </w:tcBorders>
            <w:vAlign w:val="center"/>
          </w:tcPr>
          <w:p>
            <w:pPr>
              <w:widowControl/>
              <w:adjustRightInd w:val="0"/>
              <w:spacing w:line="360" w:lineRule="auto"/>
              <w:ind w:firstLine="31" w:firstLineChars="13"/>
              <w:rPr>
                <w:rFonts w:ascii="宋体" w:hAnsi="宋体"/>
                <w:color w:val="000000"/>
                <w:sz w:val="24"/>
                <w:szCs w:val="24"/>
              </w:rPr>
            </w:pPr>
            <w:r>
              <w:rPr>
                <w:rFonts w:hint="eastAsia" w:ascii="宋体" w:hAnsi="宋体"/>
                <w:color w:val="000000"/>
                <w:sz w:val="24"/>
                <w:szCs w:val="24"/>
              </w:rPr>
              <w:t>台</w:t>
            </w:r>
          </w:p>
        </w:tc>
        <w:tc>
          <w:tcPr>
            <w:tcW w:w="751" w:type="dxa"/>
            <w:tcBorders>
              <w:top w:val="nil"/>
              <w:left w:val="nil"/>
              <w:bottom w:val="single" w:color="auto" w:sz="4" w:space="0"/>
              <w:right w:val="single" w:color="auto" w:sz="4" w:space="0"/>
            </w:tcBorders>
            <w:vAlign w:val="center"/>
          </w:tcPr>
          <w:p>
            <w:pPr>
              <w:widowControl/>
              <w:adjustRightInd w:val="0"/>
              <w:spacing w:line="360" w:lineRule="auto"/>
              <w:ind w:firstLine="34" w:firstLineChars="14"/>
              <w:rPr>
                <w:rFonts w:ascii="宋体" w:hAnsi="宋体"/>
                <w:color w:val="000000"/>
                <w:sz w:val="24"/>
                <w:szCs w:val="24"/>
              </w:rPr>
            </w:pPr>
            <w:r>
              <w:rPr>
                <w:rFonts w:hint="eastAsia" w:ascii="宋体" w:hAnsi="宋体"/>
                <w:color w:val="000000"/>
                <w:sz w:val="24"/>
                <w:szCs w:val="24"/>
              </w:rPr>
              <w:t>1</w:t>
            </w:r>
          </w:p>
        </w:tc>
        <w:tc>
          <w:tcPr>
            <w:tcW w:w="1545" w:type="dxa"/>
            <w:tcBorders>
              <w:top w:val="nil"/>
              <w:left w:val="nil"/>
              <w:bottom w:val="single" w:color="auto" w:sz="4" w:space="0"/>
              <w:right w:val="single" w:color="auto" w:sz="4" w:space="0"/>
            </w:tcBorders>
            <w:vAlign w:val="center"/>
          </w:tcPr>
          <w:p>
            <w:pPr>
              <w:widowControl/>
              <w:adjustRightInd w:val="0"/>
              <w:spacing w:line="360" w:lineRule="auto"/>
              <w:jc w:val="left"/>
              <w:rPr>
                <w:rFonts w:ascii="宋体" w:hAnsi="宋体"/>
                <w:color w:val="000000"/>
                <w:sz w:val="24"/>
                <w:szCs w:val="24"/>
              </w:rPr>
            </w:pPr>
          </w:p>
        </w:tc>
        <w:tc>
          <w:tcPr>
            <w:tcW w:w="1620" w:type="dxa"/>
            <w:tcBorders>
              <w:top w:val="nil"/>
              <w:left w:val="single" w:color="auto" w:sz="4" w:space="0"/>
              <w:bottom w:val="single" w:color="auto" w:sz="4" w:space="0"/>
              <w:right w:val="single" w:color="auto" w:sz="4" w:space="0"/>
            </w:tcBorders>
            <w:vAlign w:val="center"/>
          </w:tcPr>
          <w:p>
            <w:pPr>
              <w:widowControl/>
              <w:adjustRightInd w:val="0"/>
              <w:spacing w:line="360" w:lineRule="auto"/>
              <w:jc w:val="left"/>
              <w:rPr>
                <w:rFonts w:ascii="宋体" w:hAnsi="宋体"/>
                <w:color w:val="000000"/>
                <w:sz w:val="24"/>
                <w:szCs w:val="24"/>
              </w:rPr>
            </w:pPr>
            <w:r>
              <w:rPr>
                <w:rFonts w:hint="eastAsia" w:ascii="宋体" w:hAnsi="宋体"/>
                <w:color w:val="000000"/>
                <w:sz w:val="24"/>
                <w:szCs w:val="24"/>
              </w:rPr>
              <w:t>神东总医院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pStyle w:val="5"/>
              <w:widowControl/>
              <w:numPr>
                <w:ilvl w:val="0"/>
                <w:numId w:val="3"/>
              </w:numPr>
              <w:adjustRightInd w:val="0"/>
              <w:spacing w:line="360" w:lineRule="auto"/>
              <w:ind w:firstLineChars="0"/>
              <w:rPr>
                <w:rFonts w:ascii="宋体" w:hAnsi="宋体"/>
                <w:color w:val="000000"/>
                <w:sz w:val="24"/>
                <w:szCs w:val="24"/>
              </w:rPr>
            </w:pPr>
          </w:p>
        </w:tc>
        <w:tc>
          <w:tcPr>
            <w:tcW w:w="1985" w:type="dxa"/>
            <w:tcBorders>
              <w:top w:val="single" w:color="auto" w:sz="4" w:space="0"/>
              <w:left w:val="nil"/>
              <w:bottom w:val="single" w:color="auto" w:sz="4" w:space="0"/>
              <w:right w:val="single" w:color="auto" w:sz="4" w:space="0"/>
            </w:tcBorders>
            <w:vAlign w:val="center"/>
          </w:tcPr>
          <w:p>
            <w:pPr>
              <w:widowControl/>
              <w:adjustRightInd w:val="0"/>
              <w:spacing w:line="360" w:lineRule="auto"/>
              <w:ind w:firstLine="34" w:firstLineChars="14"/>
              <w:rPr>
                <w:rFonts w:ascii="宋体" w:hAnsi="宋体"/>
                <w:color w:val="000000"/>
                <w:sz w:val="24"/>
                <w:szCs w:val="24"/>
              </w:rPr>
            </w:pPr>
          </w:p>
        </w:tc>
        <w:tc>
          <w:tcPr>
            <w:tcW w:w="1701" w:type="dxa"/>
            <w:tcBorders>
              <w:top w:val="single" w:color="auto" w:sz="4" w:space="0"/>
              <w:left w:val="nil"/>
              <w:bottom w:val="single" w:color="auto" w:sz="4" w:space="0"/>
              <w:right w:val="single" w:color="auto" w:sz="4" w:space="0"/>
            </w:tcBorders>
            <w:vAlign w:val="center"/>
          </w:tcPr>
          <w:p>
            <w:pPr>
              <w:widowControl/>
              <w:adjustRightInd w:val="0"/>
              <w:spacing w:line="360" w:lineRule="auto"/>
              <w:ind w:firstLine="31" w:firstLineChars="13"/>
              <w:rPr>
                <w:rFonts w:ascii="宋体" w:hAnsi="宋体"/>
                <w:color w:val="000000"/>
                <w:sz w:val="24"/>
                <w:szCs w:val="24"/>
              </w:rPr>
            </w:pPr>
          </w:p>
        </w:tc>
        <w:tc>
          <w:tcPr>
            <w:tcW w:w="850" w:type="dxa"/>
            <w:tcBorders>
              <w:top w:val="single" w:color="auto" w:sz="4" w:space="0"/>
              <w:left w:val="nil"/>
              <w:bottom w:val="single" w:color="auto" w:sz="4" w:space="0"/>
              <w:right w:val="single" w:color="auto" w:sz="4" w:space="0"/>
            </w:tcBorders>
            <w:vAlign w:val="center"/>
          </w:tcPr>
          <w:p>
            <w:pPr>
              <w:widowControl/>
              <w:adjustRightInd w:val="0"/>
              <w:spacing w:line="360" w:lineRule="auto"/>
              <w:ind w:firstLine="31" w:firstLineChars="13"/>
              <w:rPr>
                <w:rFonts w:ascii="宋体" w:hAnsi="宋体"/>
                <w:color w:val="000000"/>
                <w:sz w:val="24"/>
                <w:szCs w:val="24"/>
              </w:rPr>
            </w:pPr>
          </w:p>
        </w:tc>
        <w:tc>
          <w:tcPr>
            <w:tcW w:w="751" w:type="dxa"/>
            <w:tcBorders>
              <w:top w:val="single" w:color="auto" w:sz="4" w:space="0"/>
              <w:left w:val="nil"/>
              <w:bottom w:val="single" w:color="auto" w:sz="4" w:space="0"/>
              <w:right w:val="single" w:color="auto" w:sz="4" w:space="0"/>
            </w:tcBorders>
            <w:vAlign w:val="center"/>
          </w:tcPr>
          <w:p>
            <w:pPr>
              <w:widowControl/>
              <w:adjustRightInd w:val="0"/>
              <w:spacing w:line="360" w:lineRule="auto"/>
              <w:ind w:firstLine="34" w:firstLineChars="14"/>
              <w:rPr>
                <w:rFonts w:ascii="宋体" w:hAnsi="宋体"/>
                <w:color w:val="000000"/>
                <w:sz w:val="24"/>
                <w:szCs w:val="24"/>
              </w:rPr>
            </w:pPr>
          </w:p>
        </w:tc>
        <w:tc>
          <w:tcPr>
            <w:tcW w:w="1545" w:type="dxa"/>
            <w:tcBorders>
              <w:top w:val="single" w:color="auto" w:sz="4" w:space="0"/>
              <w:left w:val="nil"/>
              <w:bottom w:val="single" w:color="auto" w:sz="4" w:space="0"/>
              <w:right w:val="single" w:color="auto" w:sz="4" w:space="0"/>
            </w:tcBorders>
            <w:vAlign w:val="center"/>
          </w:tcPr>
          <w:p>
            <w:pPr>
              <w:widowControl/>
              <w:adjustRightInd w:val="0"/>
              <w:spacing w:line="360" w:lineRule="auto"/>
              <w:ind w:firstLine="240" w:firstLineChars="100"/>
              <w:rPr>
                <w:rFonts w:ascii="宋体" w:hAnsi="宋体"/>
                <w:color w:val="000000"/>
                <w:sz w:val="24"/>
                <w:szCs w:val="24"/>
              </w:rPr>
            </w:pPr>
          </w:p>
        </w:tc>
        <w:tc>
          <w:tcPr>
            <w:tcW w:w="1620" w:type="dxa"/>
            <w:tcBorders>
              <w:top w:val="single" w:color="auto" w:sz="4" w:space="0"/>
              <w:left w:val="single" w:color="auto" w:sz="4" w:space="0"/>
              <w:bottom w:val="single" w:color="auto" w:sz="4" w:space="0"/>
              <w:right w:val="single" w:color="auto" w:sz="4" w:space="0"/>
            </w:tcBorders>
            <w:vAlign w:val="center"/>
          </w:tcPr>
          <w:p>
            <w:pPr>
              <w:widowControl/>
              <w:adjustRightInd w:val="0"/>
              <w:spacing w:line="360" w:lineRule="auto"/>
              <w:ind w:firstLine="240" w:firstLineChars="100"/>
              <w:rPr>
                <w:rFonts w:ascii="宋体" w:hAnsi="宋体"/>
                <w:color w:val="000000"/>
                <w:sz w:val="24"/>
                <w:szCs w:val="24"/>
              </w:rPr>
            </w:pPr>
          </w:p>
        </w:tc>
      </w:tr>
    </w:tbl>
    <w:p>
      <w:pPr>
        <w:adjustRightInd w:val="0"/>
        <w:snapToGrid w:val="0"/>
        <w:spacing w:line="500" w:lineRule="exact"/>
        <w:jc w:val="center"/>
        <w:rPr>
          <w:rFonts w:ascii="宋体" w:hAnsi="宋体" w:eastAsia="新宋体"/>
          <w:sz w:val="24"/>
        </w:rPr>
      </w:pPr>
    </w:p>
    <w:p>
      <w:pPr>
        <w:adjustRightInd w:val="0"/>
        <w:snapToGrid w:val="0"/>
        <w:outlineLvl w:val="1"/>
        <w:rPr>
          <w:rFonts w:ascii="宋体" w:hAnsi="宋体"/>
          <w:b/>
          <w:szCs w:val="21"/>
          <w:highlight w:val="yellow"/>
        </w:rPr>
      </w:pPr>
    </w:p>
    <w:p>
      <w:pPr>
        <w:adjustRightInd w:val="0"/>
        <w:snapToGrid w:val="0"/>
        <w:outlineLvl w:val="1"/>
        <w:rPr>
          <w:rFonts w:ascii="宋体" w:hAnsi="宋体"/>
          <w:b/>
          <w:szCs w:val="21"/>
          <w:highlight w:val="yellow"/>
        </w:rPr>
      </w:pPr>
    </w:p>
    <w:p>
      <w:pPr>
        <w:adjustRightInd w:val="0"/>
        <w:snapToGrid w:val="0"/>
        <w:spacing w:line="500" w:lineRule="exact"/>
        <w:jc w:val="center"/>
        <w:rPr>
          <w:rFonts w:ascii="黑体" w:eastAsia="黑体"/>
          <w:b/>
          <w:sz w:val="28"/>
          <w:szCs w:val="28"/>
        </w:rPr>
      </w:pPr>
      <w:r>
        <w:rPr>
          <w:rFonts w:hint="eastAsia" w:ascii="黑体" w:eastAsia="黑体"/>
          <w:b/>
          <w:sz w:val="28"/>
          <w:szCs w:val="28"/>
        </w:rPr>
        <w:t>第二节</w:t>
      </w:r>
      <w:r>
        <w:rPr>
          <w:rFonts w:hint="eastAsia" w:ascii="黑体" w:eastAsia="黑体"/>
          <w:sz w:val="28"/>
          <w:szCs w:val="28"/>
        </w:rPr>
        <w:t xml:space="preserve"> </w:t>
      </w:r>
      <w:r>
        <w:rPr>
          <w:rFonts w:hint="eastAsia" w:ascii="黑体" w:eastAsia="黑体"/>
          <w:b/>
          <w:sz w:val="28"/>
          <w:szCs w:val="28"/>
        </w:rPr>
        <w:t>工作环境</w:t>
      </w:r>
    </w:p>
    <w:p>
      <w:pPr>
        <w:spacing w:after="120" w:line="360" w:lineRule="auto"/>
        <w:rPr>
          <w:rFonts w:ascii="宋体"/>
          <w:sz w:val="24"/>
        </w:rPr>
      </w:pPr>
      <w:r>
        <w:rPr>
          <w:rFonts w:hint="eastAsia" w:ascii="宋体"/>
          <w:sz w:val="24"/>
        </w:rPr>
        <w:t>1、 设备工作环境：</w:t>
      </w:r>
    </w:p>
    <w:p>
      <w:pPr>
        <w:spacing w:after="120" w:line="360" w:lineRule="auto"/>
        <w:rPr>
          <w:rFonts w:ascii="宋体"/>
          <w:sz w:val="24"/>
        </w:rPr>
      </w:pPr>
      <w:r>
        <w:rPr>
          <w:rFonts w:hint="eastAsia" w:ascii="宋体"/>
          <w:sz w:val="24"/>
        </w:rPr>
        <w:t>1.1 周围环境温度：温度：</w:t>
      </w:r>
      <w:r>
        <w:rPr>
          <w:rFonts w:hint="eastAsia" w:ascii="宋体"/>
          <w:sz w:val="24"/>
          <w:lang w:val="en-US" w:eastAsia="zh-CN"/>
        </w:rPr>
        <w:t>5</w:t>
      </w:r>
      <w:r>
        <w:rPr>
          <w:rFonts w:ascii="宋体"/>
          <w:sz w:val="24"/>
        </w:rPr>
        <w:t xml:space="preserve">° </w:t>
      </w:r>
      <w:r>
        <w:rPr>
          <w:rFonts w:hint="eastAsia" w:ascii="宋体"/>
          <w:sz w:val="24"/>
        </w:rPr>
        <w:t>至</w:t>
      </w:r>
      <w:r>
        <w:rPr>
          <w:rFonts w:hint="eastAsia" w:ascii="宋体"/>
          <w:sz w:val="24"/>
          <w:lang w:val="en-US" w:eastAsia="zh-CN"/>
        </w:rPr>
        <w:t>40</w:t>
      </w:r>
      <w:r>
        <w:rPr>
          <w:rFonts w:ascii="宋体"/>
          <w:sz w:val="24"/>
        </w:rPr>
        <w:t>°C</w:t>
      </w:r>
    </w:p>
    <w:p>
      <w:pPr>
        <w:spacing w:after="120" w:line="360" w:lineRule="auto"/>
        <w:rPr>
          <w:rFonts w:ascii="宋体"/>
          <w:sz w:val="24"/>
        </w:rPr>
      </w:pPr>
      <w:r>
        <w:rPr>
          <w:rFonts w:hint="eastAsia" w:ascii="宋体"/>
          <w:sz w:val="24"/>
        </w:rPr>
        <w:t>1.2 周围空气相对湿度：</w:t>
      </w:r>
      <w:r>
        <w:rPr>
          <w:rFonts w:ascii="宋体"/>
          <w:sz w:val="24"/>
        </w:rPr>
        <w:t>1</w:t>
      </w:r>
      <w:r>
        <w:rPr>
          <w:rFonts w:hint="eastAsia" w:ascii="宋体"/>
          <w:sz w:val="24"/>
          <w:lang w:val="en-US" w:eastAsia="zh-CN"/>
        </w:rPr>
        <w:t>5</w:t>
      </w:r>
      <w:r>
        <w:rPr>
          <w:rFonts w:ascii="宋体"/>
          <w:sz w:val="24"/>
        </w:rPr>
        <w:t xml:space="preserve"> </w:t>
      </w:r>
      <w:r>
        <w:rPr>
          <w:rFonts w:hint="eastAsia" w:ascii="宋体"/>
          <w:sz w:val="24"/>
        </w:rPr>
        <w:t>至</w:t>
      </w:r>
      <w:r>
        <w:rPr>
          <w:rFonts w:ascii="宋体"/>
          <w:sz w:val="24"/>
        </w:rPr>
        <w:t xml:space="preserve"> 9</w:t>
      </w:r>
      <w:r>
        <w:rPr>
          <w:rFonts w:hint="eastAsia" w:ascii="宋体"/>
          <w:sz w:val="24"/>
          <w:lang w:val="en-US" w:eastAsia="zh-CN"/>
        </w:rPr>
        <w:t>5</w:t>
      </w:r>
      <w:r>
        <w:rPr>
          <w:rFonts w:ascii="宋体"/>
          <w:sz w:val="24"/>
        </w:rPr>
        <w:t>%</w:t>
      </w:r>
      <w:r>
        <w:rPr>
          <w:rFonts w:hint="eastAsia" w:ascii="宋体"/>
          <w:sz w:val="24"/>
        </w:rPr>
        <w:t>。</w:t>
      </w:r>
    </w:p>
    <w:p>
      <w:pPr>
        <w:pStyle w:val="2"/>
        <w:adjustRightInd w:val="0"/>
        <w:spacing w:line="360" w:lineRule="auto"/>
        <w:ind w:left="31" w:leftChars="15"/>
        <w:rPr>
          <w:rFonts w:ascii="宋体"/>
          <w:sz w:val="24"/>
        </w:rPr>
      </w:pPr>
      <w:r>
        <w:rPr>
          <w:rFonts w:hint="eastAsia" w:ascii="宋体"/>
          <w:sz w:val="24"/>
        </w:rPr>
        <w:t>1.3 大气压：</w:t>
      </w:r>
      <w:r>
        <w:rPr>
          <w:rFonts w:ascii="宋体"/>
          <w:sz w:val="24"/>
        </w:rPr>
        <w:t>660-1060mbar</w:t>
      </w:r>
    </w:p>
    <w:p>
      <w:pPr>
        <w:pStyle w:val="5"/>
        <w:numPr>
          <w:ilvl w:val="1"/>
          <w:numId w:val="4"/>
        </w:numPr>
        <w:spacing w:after="120" w:line="360" w:lineRule="auto"/>
        <w:ind w:firstLineChars="0"/>
        <w:rPr>
          <w:rFonts w:ascii="宋体"/>
          <w:sz w:val="24"/>
        </w:rPr>
      </w:pPr>
      <w:r>
        <w:rPr>
          <w:rFonts w:hint="eastAsia" w:ascii="宋体"/>
          <w:sz w:val="24"/>
        </w:rPr>
        <w:t xml:space="preserve"> 供给电源：</w:t>
      </w:r>
      <w:r>
        <w:rPr>
          <w:rFonts w:ascii="宋体" w:hAnsi="Times New Roman"/>
          <w:sz w:val="24"/>
        </w:rPr>
        <w:t>220VAC</w:t>
      </w:r>
      <w:r>
        <w:rPr>
          <w:rFonts w:hint="eastAsia" w:ascii="宋体" w:hAnsi="Times New Roman"/>
          <w:sz w:val="24"/>
        </w:rPr>
        <w:t>，</w:t>
      </w:r>
      <w:r>
        <w:rPr>
          <w:rFonts w:ascii="宋体" w:hAnsi="Times New Roman"/>
          <w:sz w:val="24"/>
        </w:rPr>
        <w:t>50-60Hz</w:t>
      </w:r>
      <w:r>
        <w:rPr>
          <w:rFonts w:hint="eastAsia" w:ascii="宋体"/>
          <w:sz w:val="24"/>
        </w:rPr>
        <w:t xml:space="preserve"> </w:t>
      </w:r>
    </w:p>
    <w:p>
      <w:pPr>
        <w:spacing w:after="120" w:line="360" w:lineRule="auto"/>
        <w:rPr>
          <w:rFonts w:ascii="宋体"/>
          <w:sz w:val="24"/>
        </w:rPr>
      </w:pPr>
      <w:r>
        <w:rPr>
          <w:rFonts w:hint="eastAsia" w:ascii="宋体"/>
          <w:sz w:val="24"/>
        </w:rPr>
        <w:t>1.5使用地点：室内使用</w:t>
      </w:r>
    </w:p>
    <w:p>
      <w:pPr>
        <w:adjustRightInd w:val="0"/>
        <w:snapToGrid w:val="0"/>
        <w:outlineLvl w:val="1"/>
        <w:rPr>
          <w:rFonts w:ascii="宋体" w:hAnsi="宋体"/>
          <w:b/>
          <w:szCs w:val="21"/>
          <w:highlight w:val="yellow"/>
        </w:rPr>
      </w:pPr>
    </w:p>
    <w:p>
      <w:pPr>
        <w:adjustRightInd w:val="0"/>
        <w:snapToGrid w:val="0"/>
        <w:outlineLvl w:val="1"/>
        <w:rPr>
          <w:rFonts w:ascii="宋体" w:hAnsi="宋体"/>
          <w:b/>
          <w:szCs w:val="21"/>
          <w:highlight w:val="yellow"/>
        </w:rPr>
      </w:pPr>
    </w:p>
    <w:p>
      <w:pPr>
        <w:adjustRightInd w:val="0"/>
        <w:snapToGrid w:val="0"/>
        <w:outlineLvl w:val="1"/>
        <w:rPr>
          <w:rFonts w:ascii="宋体" w:hAnsi="宋体"/>
          <w:b/>
          <w:szCs w:val="21"/>
          <w:highlight w:val="yellow"/>
        </w:rPr>
      </w:pPr>
    </w:p>
    <w:p>
      <w:pPr>
        <w:numPr>
          <w:ilvl w:val="0"/>
          <w:numId w:val="5"/>
        </w:numPr>
        <w:ind w:left="2977"/>
        <w:jc w:val="left"/>
        <w:rPr>
          <w:rFonts w:hint="eastAsia" w:ascii="黑体" w:hAnsi="宋体" w:eastAsia="黑体"/>
          <w:b/>
          <w:sz w:val="28"/>
          <w:szCs w:val="28"/>
        </w:rPr>
      </w:pPr>
      <w:r>
        <w:rPr>
          <w:rFonts w:hint="eastAsia" w:ascii="黑体" w:hAnsi="宋体" w:eastAsia="黑体"/>
          <w:b/>
          <w:sz w:val="28"/>
          <w:szCs w:val="28"/>
        </w:rPr>
        <w:t xml:space="preserve">  技术要求</w:t>
      </w:r>
    </w:p>
    <w:p>
      <w:pPr>
        <w:numPr>
          <w:ilvl w:val="0"/>
          <w:numId w:val="0"/>
        </w:numPr>
        <w:jc w:val="left"/>
        <w:rPr>
          <w:rFonts w:hint="eastAsia" w:ascii="黑体" w:hAnsi="宋体" w:eastAsia="黑体"/>
          <w:b/>
          <w:sz w:val="28"/>
          <w:szCs w:val="28"/>
        </w:rPr>
      </w:pPr>
    </w:p>
    <w:p>
      <w:pPr>
        <w:spacing w:after="120" w:line="360" w:lineRule="auto"/>
        <w:rPr>
          <w:rFonts w:hint="eastAsia" w:ascii="宋体"/>
          <w:sz w:val="24"/>
        </w:rPr>
      </w:pPr>
      <w:r>
        <w:rPr>
          <w:rFonts w:hint="eastAsia" w:ascii="宋体"/>
          <w:sz w:val="24"/>
          <w:lang w:val="en-US" w:eastAsia="zh-CN"/>
        </w:rPr>
        <w:t>*</w:t>
      </w:r>
      <w:r>
        <w:rPr>
          <w:rFonts w:hint="eastAsia" w:ascii="宋体"/>
          <w:sz w:val="24"/>
        </w:rPr>
        <w:t>1、系统概述：原装进口</w:t>
      </w:r>
      <w:r>
        <w:rPr>
          <w:rFonts w:hint="eastAsia" w:ascii="宋体"/>
          <w:sz w:val="24"/>
        </w:rPr>
        <w:tab/>
      </w:r>
    </w:p>
    <w:p>
      <w:pPr>
        <w:spacing w:after="120" w:line="360" w:lineRule="auto"/>
        <w:rPr>
          <w:rFonts w:hint="eastAsia" w:ascii="宋体"/>
          <w:sz w:val="24"/>
        </w:rPr>
      </w:pPr>
      <w:r>
        <w:rPr>
          <w:rFonts w:hint="eastAsia" w:ascii="宋体"/>
          <w:sz w:val="24"/>
        </w:rPr>
        <w:t>2、测试功能：</w:t>
      </w:r>
      <w:r>
        <w:rPr>
          <w:rFonts w:hint="eastAsia" w:ascii="宋体"/>
          <w:sz w:val="24"/>
        </w:rPr>
        <w:tab/>
      </w:r>
    </w:p>
    <w:p>
      <w:pPr>
        <w:spacing w:after="120" w:line="360" w:lineRule="auto"/>
        <w:ind w:left="600" w:hanging="600" w:hangingChars="250"/>
        <w:rPr>
          <w:rFonts w:hint="eastAsia" w:ascii="宋体"/>
          <w:sz w:val="24"/>
        </w:rPr>
      </w:pPr>
      <w:r>
        <w:rPr>
          <w:rFonts w:hint="eastAsia" w:ascii="宋体"/>
          <w:sz w:val="24"/>
        </w:rPr>
        <w:t>2.1 通气功能：慢通气的测试；用力通气的测试；每分最大通气量的测试</w:t>
      </w:r>
      <w:r>
        <w:rPr>
          <w:rFonts w:hint="eastAsia" w:ascii="宋体"/>
          <w:sz w:val="24"/>
          <w:lang w:eastAsia="zh-CN"/>
        </w:rPr>
        <w:t>。</w:t>
      </w:r>
      <w:r>
        <w:rPr>
          <w:rFonts w:hint="eastAsia" w:ascii="宋体"/>
          <w:sz w:val="24"/>
        </w:rPr>
        <w:tab/>
      </w:r>
    </w:p>
    <w:p>
      <w:pPr>
        <w:spacing w:after="120" w:line="360" w:lineRule="auto"/>
        <w:rPr>
          <w:rFonts w:hint="eastAsia" w:ascii="宋体"/>
          <w:sz w:val="24"/>
        </w:rPr>
      </w:pPr>
      <w:r>
        <w:rPr>
          <w:rFonts w:hint="eastAsia" w:ascii="宋体"/>
          <w:sz w:val="24"/>
        </w:rPr>
        <w:t>2.2 一口气法弥散、残气的测试。</w:t>
      </w:r>
      <w:r>
        <w:rPr>
          <w:rFonts w:hint="eastAsia" w:ascii="宋体"/>
          <w:sz w:val="24"/>
        </w:rPr>
        <w:tab/>
      </w:r>
    </w:p>
    <w:p>
      <w:pPr>
        <w:spacing w:after="120" w:line="360" w:lineRule="auto"/>
        <w:rPr>
          <w:rFonts w:hint="eastAsia" w:ascii="宋体"/>
          <w:sz w:val="24"/>
        </w:rPr>
      </w:pPr>
      <w:r>
        <w:rPr>
          <w:rFonts w:hint="eastAsia" w:ascii="宋体"/>
          <w:sz w:val="24"/>
        </w:rPr>
        <w:t>2.3 内呼吸法弥散的测试</w:t>
      </w:r>
      <w:r>
        <w:rPr>
          <w:rFonts w:hint="eastAsia" w:ascii="宋体"/>
          <w:sz w:val="24"/>
        </w:rPr>
        <w:tab/>
      </w:r>
    </w:p>
    <w:p>
      <w:pPr>
        <w:spacing w:after="120" w:line="360" w:lineRule="auto"/>
        <w:rPr>
          <w:rFonts w:hint="eastAsia" w:ascii="宋体"/>
          <w:sz w:val="24"/>
        </w:rPr>
      </w:pPr>
      <w:r>
        <w:rPr>
          <w:rFonts w:hint="eastAsia" w:ascii="宋体"/>
          <w:sz w:val="24"/>
        </w:rPr>
        <w:t>2.4 连续脉冲振荡法气道阻力（IOS）的测试。</w:t>
      </w:r>
      <w:r>
        <w:rPr>
          <w:rFonts w:hint="eastAsia" w:ascii="宋体"/>
          <w:sz w:val="24"/>
        </w:rPr>
        <w:tab/>
      </w:r>
    </w:p>
    <w:p>
      <w:pPr>
        <w:spacing w:after="120" w:line="360" w:lineRule="auto"/>
        <w:rPr>
          <w:rFonts w:hint="eastAsia" w:ascii="宋体"/>
          <w:sz w:val="24"/>
        </w:rPr>
      </w:pPr>
      <w:r>
        <w:rPr>
          <w:rFonts w:hint="eastAsia" w:ascii="宋体"/>
          <w:sz w:val="24"/>
        </w:rPr>
        <w:t>2.5 体积描记箱的测试，包括：气道阻力和肺容量测试。</w:t>
      </w:r>
    </w:p>
    <w:p>
      <w:pPr>
        <w:spacing w:after="120" w:line="360" w:lineRule="auto"/>
        <w:rPr>
          <w:rFonts w:hint="eastAsia" w:ascii="宋体"/>
          <w:sz w:val="24"/>
        </w:rPr>
      </w:pPr>
      <w:r>
        <w:rPr>
          <w:rFonts w:hint="eastAsia" w:ascii="宋体"/>
          <w:sz w:val="24"/>
        </w:rPr>
        <w:t>2.6 一体化电脑控制激发试验定量雾化器（APSPro）。</w:t>
      </w:r>
    </w:p>
    <w:p>
      <w:pPr>
        <w:spacing w:after="120" w:line="360" w:lineRule="auto"/>
        <w:rPr>
          <w:rFonts w:hint="eastAsia" w:ascii="宋体"/>
          <w:sz w:val="24"/>
        </w:rPr>
      </w:pPr>
      <w:r>
        <w:rPr>
          <w:rFonts w:hint="eastAsia" w:ascii="宋体"/>
          <w:sz w:val="24"/>
        </w:rPr>
        <w:t>3、测试功能要求</w:t>
      </w:r>
      <w:r>
        <w:rPr>
          <w:rFonts w:hint="eastAsia" w:ascii="宋体"/>
          <w:sz w:val="24"/>
        </w:rPr>
        <w:tab/>
      </w:r>
    </w:p>
    <w:p>
      <w:pPr>
        <w:spacing w:after="120" w:line="360" w:lineRule="auto"/>
        <w:rPr>
          <w:rFonts w:hint="eastAsia" w:ascii="宋体"/>
          <w:sz w:val="24"/>
        </w:rPr>
      </w:pPr>
      <w:r>
        <w:rPr>
          <w:rFonts w:hint="eastAsia" w:ascii="宋体"/>
          <w:sz w:val="24"/>
        </w:rPr>
        <w:t>3.1 慢通气：只需一次吹气测试即可得到VCmax、VT、ERV、BF和MV等参数值。</w:t>
      </w:r>
    </w:p>
    <w:p>
      <w:pPr>
        <w:spacing w:after="120" w:line="360" w:lineRule="auto"/>
        <w:rPr>
          <w:rFonts w:hint="eastAsia" w:ascii="宋体"/>
          <w:sz w:val="24"/>
        </w:rPr>
      </w:pPr>
      <w:r>
        <w:rPr>
          <w:rFonts w:hint="eastAsia" w:ascii="宋体"/>
          <w:sz w:val="24"/>
        </w:rPr>
        <w:t>3.2 用力通气：只需一次吹气测试可得到流速容量环曲线和数据，有动画辅助测试程序。</w:t>
      </w:r>
    </w:p>
    <w:p>
      <w:pPr>
        <w:spacing w:after="120" w:line="360" w:lineRule="auto"/>
        <w:rPr>
          <w:rFonts w:hint="eastAsia" w:ascii="宋体"/>
          <w:sz w:val="24"/>
        </w:rPr>
      </w:pPr>
      <w:r>
        <w:rPr>
          <w:rFonts w:hint="eastAsia" w:ascii="宋体"/>
          <w:sz w:val="24"/>
        </w:rPr>
        <w:t>3.3 一口气法弥散测试:对配合不好的病人提供训练程序（不需要测试气体），节约成本。</w:t>
      </w:r>
    </w:p>
    <w:p>
      <w:pPr>
        <w:spacing w:after="120" w:line="360" w:lineRule="auto"/>
        <w:rPr>
          <w:rFonts w:hint="eastAsia" w:ascii="宋体"/>
          <w:sz w:val="24"/>
        </w:rPr>
      </w:pPr>
      <w:r>
        <w:rPr>
          <w:rFonts w:hint="eastAsia" w:ascii="宋体"/>
          <w:sz w:val="24"/>
          <w:lang w:val="en-US" w:eastAsia="zh-CN"/>
        </w:rPr>
        <w:t>*</w:t>
      </w:r>
      <w:r>
        <w:rPr>
          <w:rFonts w:hint="eastAsia" w:ascii="宋体"/>
          <w:sz w:val="24"/>
        </w:rPr>
        <w:t>3.4 内呼吸法弥散：无须病人屏气，适合于呼吸困难、不能坚持屏气的病人。</w:t>
      </w:r>
    </w:p>
    <w:p>
      <w:pPr>
        <w:spacing w:after="120" w:line="360" w:lineRule="auto"/>
        <w:rPr>
          <w:rFonts w:hint="eastAsia" w:ascii="宋体"/>
          <w:sz w:val="24"/>
        </w:rPr>
      </w:pPr>
      <w:r>
        <w:rPr>
          <w:rFonts w:hint="eastAsia" w:ascii="宋体"/>
          <w:sz w:val="24"/>
          <w:lang w:val="en-US" w:eastAsia="zh-CN"/>
        </w:rPr>
        <w:t>*</w:t>
      </w:r>
      <w:r>
        <w:rPr>
          <w:rFonts w:hint="eastAsia" w:ascii="宋体"/>
          <w:sz w:val="24"/>
        </w:rPr>
        <w:t>3.5 连续脉冲振荡法气道阻力IOS模块:测试过程中无需病人紧密配合，适合老人、儿童。</w:t>
      </w:r>
    </w:p>
    <w:p>
      <w:pPr>
        <w:spacing w:after="120" w:line="360" w:lineRule="auto"/>
        <w:rPr>
          <w:rFonts w:hint="eastAsia" w:ascii="宋体"/>
          <w:sz w:val="24"/>
        </w:rPr>
      </w:pPr>
      <w:r>
        <w:rPr>
          <w:rFonts w:hint="eastAsia" w:ascii="宋体"/>
          <w:sz w:val="24"/>
        </w:rPr>
        <w:t>主要测试项目：</w:t>
      </w:r>
    </w:p>
    <w:p>
      <w:pPr>
        <w:spacing w:after="120" w:line="360" w:lineRule="auto"/>
        <w:rPr>
          <w:rFonts w:hint="eastAsia" w:ascii="宋体"/>
          <w:sz w:val="24"/>
        </w:rPr>
      </w:pPr>
      <w:r>
        <w:rPr>
          <w:rFonts w:hint="eastAsia" w:ascii="宋体"/>
          <w:sz w:val="24"/>
        </w:rPr>
        <w:t>1）呼吸阻抗</w:t>
      </w:r>
    </w:p>
    <w:p>
      <w:pPr>
        <w:spacing w:after="120" w:line="360" w:lineRule="auto"/>
        <w:rPr>
          <w:rFonts w:hint="eastAsia" w:ascii="宋体"/>
          <w:sz w:val="24"/>
        </w:rPr>
      </w:pPr>
      <w:r>
        <w:rPr>
          <w:rFonts w:hint="eastAsia" w:ascii="宋体"/>
          <w:sz w:val="24"/>
        </w:rPr>
        <w:t>2）中心气道阻力和总气道阻力</w:t>
      </w:r>
    </w:p>
    <w:p>
      <w:pPr>
        <w:spacing w:after="120" w:line="360" w:lineRule="auto"/>
        <w:rPr>
          <w:rFonts w:hint="eastAsia" w:ascii="宋体"/>
          <w:sz w:val="24"/>
        </w:rPr>
      </w:pPr>
      <w:r>
        <w:rPr>
          <w:rFonts w:hint="eastAsia" w:ascii="宋体"/>
          <w:sz w:val="24"/>
        </w:rPr>
        <w:t>3）周边弹性阻力</w:t>
      </w:r>
    </w:p>
    <w:p>
      <w:pPr>
        <w:spacing w:after="120" w:line="360" w:lineRule="auto"/>
        <w:rPr>
          <w:rFonts w:hint="eastAsia" w:ascii="宋体"/>
          <w:sz w:val="24"/>
          <w:lang w:val="en-US" w:eastAsia="zh-CN"/>
        </w:rPr>
      </w:pPr>
      <w:r>
        <w:rPr>
          <w:rFonts w:hint="eastAsia" w:ascii="宋体"/>
          <w:sz w:val="24"/>
          <w:lang w:val="en-US" w:eastAsia="zh-CN"/>
        </w:rPr>
        <w:t>*</w:t>
      </w:r>
      <w:r>
        <w:rPr>
          <w:rFonts w:hint="eastAsia" w:ascii="宋体"/>
          <w:sz w:val="24"/>
        </w:rPr>
        <w:t>3.6 体积描记箱：完全透明，无恐惧感，配有可上下调节的硬木转椅（避免软椅的气垫对测量造成的伪差），测试项目</w:t>
      </w:r>
      <w:r>
        <w:rPr>
          <w:rFonts w:hint="eastAsia" w:ascii="宋体"/>
          <w:sz w:val="24"/>
          <w:lang w:val="en-US" w:eastAsia="zh-CN"/>
        </w:rPr>
        <w:t>:</w:t>
      </w:r>
    </w:p>
    <w:p>
      <w:pPr>
        <w:spacing w:after="120" w:line="360" w:lineRule="auto"/>
        <w:rPr>
          <w:rFonts w:hint="eastAsia" w:ascii="宋体"/>
          <w:sz w:val="24"/>
        </w:rPr>
      </w:pPr>
      <w:r>
        <w:rPr>
          <w:rFonts w:hint="eastAsia" w:ascii="宋体"/>
          <w:sz w:val="24"/>
        </w:rPr>
        <w:t>1）体描法气道阻力测定</w:t>
      </w:r>
    </w:p>
    <w:p>
      <w:pPr>
        <w:spacing w:after="120" w:line="360" w:lineRule="auto"/>
        <w:rPr>
          <w:rFonts w:hint="eastAsia" w:ascii="宋体"/>
          <w:sz w:val="24"/>
        </w:rPr>
      </w:pPr>
      <w:r>
        <w:rPr>
          <w:rFonts w:hint="eastAsia" w:ascii="宋体"/>
          <w:sz w:val="24"/>
        </w:rPr>
        <w:t>2）胸腔气量测定</w:t>
      </w:r>
    </w:p>
    <w:p>
      <w:pPr>
        <w:spacing w:after="120" w:line="360" w:lineRule="auto"/>
        <w:rPr>
          <w:rFonts w:hint="eastAsia" w:ascii="宋体"/>
          <w:sz w:val="24"/>
        </w:rPr>
      </w:pPr>
      <w:r>
        <w:rPr>
          <w:rFonts w:hint="eastAsia" w:ascii="宋体"/>
          <w:sz w:val="24"/>
        </w:rPr>
        <w:t>3.7 具有良好的质量控制程序,配备3升定标器。气体分析器自动进行零点和增益校正。</w:t>
      </w:r>
    </w:p>
    <w:p>
      <w:pPr>
        <w:spacing w:after="120" w:line="360" w:lineRule="auto"/>
        <w:rPr>
          <w:rFonts w:hint="eastAsia" w:ascii="宋体"/>
          <w:sz w:val="24"/>
        </w:rPr>
      </w:pPr>
      <w:r>
        <w:rPr>
          <w:rFonts w:hint="eastAsia" w:ascii="宋体"/>
          <w:sz w:val="24"/>
        </w:rPr>
        <w:t>3.8 Windows操作系统，系统可自行编辑报告格式，报告模板上可选择所需的参数。</w:t>
      </w:r>
    </w:p>
    <w:p>
      <w:pPr>
        <w:spacing w:after="120" w:line="360" w:lineRule="auto"/>
        <w:rPr>
          <w:rFonts w:hint="eastAsia" w:ascii="宋体"/>
          <w:sz w:val="24"/>
        </w:rPr>
      </w:pPr>
      <w:r>
        <w:rPr>
          <w:rFonts w:hint="eastAsia" w:ascii="宋体"/>
          <w:sz w:val="24"/>
        </w:rPr>
        <w:t>3.9 肺功能测试系统具备多种预计值。</w:t>
      </w:r>
    </w:p>
    <w:p>
      <w:pPr>
        <w:spacing w:after="120" w:line="360" w:lineRule="auto"/>
        <w:rPr>
          <w:rFonts w:hint="eastAsia" w:ascii="宋体"/>
          <w:sz w:val="24"/>
        </w:rPr>
      </w:pPr>
      <w:r>
        <w:rPr>
          <w:rFonts w:hint="eastAsia" w:ascii="宋体"/>
          <w:sz w:val="24"/>
        </w:rPr>
        <w:t>3.10 外置环境参数传感器:自动测量大气压、环境温度，并对测量结果进行校正。</w:t>
      </w:r>
    </w:p>
    <w:p>
      <w:pPr>
        <w:spacing w:after="120" w:line="360" w:lineRule="auto"/>
        <w:rPr>
          <w:rFonts w:hint="eastAsia" w:ascii="宋体"/>
          <w:sz w:val="24"/>
        </w:rPr>
      </w:pPr>
      <w:r>
        <w:rPr>
          <w:rFonts w:hint="eastAsia" w:ascii="宋体"/>
          <w:sz w:val="24"/>
        </w:rPr>
        <w:t>3.11 具有支气管舒张试验软件。</w:t>
      </w:r>
    </w:p>
    <w:p>
      <w:pPr>
        <w:spacing w:after="120" w:line="360" w:lineRule="auto"/>
        <w:rPr>
          <w:rFonts w:hint="eastAsia" w:ascii="宋体"/>
          <w:sz w:val="24"/>
        </w:rPr>
      </w:pPr>
      <w:r>
        <w:rPr>
          <w:rFonts w:hint="eastAsia" w:ascii="宋体"/>
          <w:sz w:val="24"/>
        </w:rPr>
        <w:t>4、技术参数要求</w:t>
      </w:r>
    </w:p>
    <w:p>
      <w:pPr>
        <w:spacing w:after="120" w:line="360" w:lineRule="auto"/>
        <w:rPr>
          <w:rFonts w:hint="eastAsia" w:ascii="宋体"/>
          <w:sz w:val="24"/>
        </w:rPr>
      </w:pPr>
      <w:r>
        <w:rPr>
          <w:rFonts w:hint="eastAsia" w:ascii="宋体"/>
          <w:sz w:val="24"/>
          <w:lang w:val="en-US" w:eastAsia="zh-CN"/>
        </w:rPr>
        <w:t>*</w:t>
      </w:r>
      <w:r>
        <w:rPr>
          <w:rFonts w:hint="eastAsia" w:ascii="宋体"/>
          <w:sz w:val="24"/>
        </w:rPr>
        <w:t>4.1 流速传感器：热线式流速传感器。</w:t>
      </w:r>
    </w:p>
    <w:p>
      <w:pPr>
        <w:spacing w:after="120" w:line="360" w:lineRule="auto"/>
        <w:rPr>
          <w:rFonts w:hint="eastAsia" w:ascii="宋体"/>
          <w:sz w:val="24"/>
        </w:rPr>
      </w:pPr>
      <w:r>
        <w:rPr>
          <w:rFonts w:hint="eastAsia" w:ascii="宋体"/>
          <w:sz w:val="24"/>
        </w:rPr>
        <w:t>测定范围： 0 - 16 L/s</w:t>
      </w:r>
    </w:p>
    <w:p>
      <w:pPr>
        <w:spacing w:after="120" w:line="360" w:lineRule="auto"/>
        <w:rPr>
          <w:rFonts w:hint="eastAsia" w:ascii="宋体"/>
          <w:sz w:val="24"/>
        </w:rPr>
      </w:pPr>
      <w:r>
        <w:rPr>
          <w:rFonts w:hint="eastAsia" w:ascii="宋体"/>
          <w:sz w:val="24"/>
        </w:rPr>
        <w:t>分辨率:0.003升/秒</w:t>
      </w:r>
    </w:p>
    <w:p>
      <w:pPr>
        <w:spacing w:after="120" w:line="360" w:lineRule="auto"/>
        <w:rPr>
          <w:rFonts w:hint="eastAsia" w:ascii="宋体"/>
          <w:sz w:val="24"/>
        </w:rPr>
      </w:pPr>
      <w:r>
        <w:rPr>
          <w:rFonts w:hint="eastAsia" w:ascii="宋体"/>
          <w:sz w:val="24"/>
        </w:rPr>
        <w:t>流量精度：±3%或0.25升/秒</w:t>
      </w:r>
    </w:p>
    <w:p>
      <w:pPr>
        <w:spacing w:after="120" w:line="360" w:lineRule="auto"/>
        <w:rPr>
          <w:rFonts w:hint="eastAsia" w:ascii="宋体"/>
          <w:sz w:val="24"/>
        </w:rPr>
      </w:pPr>
      <w:r>
        <w:rPr>
          <w:rFonts w:hint="eastAsia" w:ascii="宋体"/>
          <w:sz w:val="24"/>
        </w:rPr>
        <w:t>容量精度：±3%或0.05升</w:t>
      </w:r>
    </w:p>
    <w:p>
      <w:pPr>
        <w:spacing w:after="120" w:line="360" w:lineRule="auto"/>
        <w:rPr>
          <w:rFonts w:hint="eastAsia" w:ascii="宋体"/>
          <w:sz w:val="24"/>
        </w:rPr>
      </w:pPr>
      <w:r>
        <w:rPr>
          <w:rFonts w:hint="eastAsia" w:ascii="宋体"/>
          <w:sz w:val="24"/>
        </w:rPr>
        <w:t>阻力：＜1.5厘米水柱/升/秒</w:t>
      </w:r>
    </w:p>
    <w:p>
      <w:pPr>
        <w:spacing w:after="120" w:line="360" w:lineRule="auto"/>
        <w:rPr>
          <w:rFonts w:hint="eastAsia" w:ascii="宋体"/>
          <w:sz w:val="24"/>
        </w:rPr>
      </w:pPr>
      <w:r>
        <w:rPr>
          <w:rFonts w:hint="eastAsia" w:ascii="宋体"/>
          <w:sz w:val="24"/>
        </w:rPr>
        <w:t>4.2 体积描记箱</w:t>
      </w:r>
    </w:p>
    <w:p>
      <w:pPr>
        <w:spacing w:after="120" w:line="360" w:lineRule="auto"/>
        <w:rPr>
          <w:rFonts w:hint="eastAsia" w:ascii="宋体"/>
          <w:sz w:val="24"/>
        </w:rPr>
      </w:pPr>
      <w:r>
        <w:rPr>
          <w:rFonts w:hint="eastAsia" w:ascii="宋体"/>
          <w:sz w:val="24"/>
        </w:rPr>
        <w:t>压力测定范围: ±1kPa ,</w:t>
      </w:r>
    </w:p>
    <w:p>
      <w:pPr>
        <w:spacing w:after="120" w:line="360" w:lineRule="auto"/>
        <w:rPr>
          <w:rFonts w:hint="eastAsia" w:ascii="宋体"/>
          <w:sz w:val="24"/>
        </w:rPr>
      </w:pPr>
      <w:r>
        <w:rPr>
          <w:rFonts w:hint="eastAsia" w:ascii="宋体"/>
          <w:sz w:val="24"/>
        </w:rPr>
        <w:t>精    度: ±2 %</w:t>
      </w:r>
    </w:p>
    <w:p>
      <w:pPr>
        <w:spacing w:after="120" w:line="360" w:lineRule="auto"/>
        <w:rPr>
          <w:rFonts w:hint="eastAsia" w:ascii="宋体"/>
          <w:sz w:val="24"/>
        </w:rPr>
      </w:pPr>
      <w:r>
        <w:rPr>
          <w:rFonts w:hint="eastAsia" w:ascii="宋体"/>
          <w:sz w:val="24"/>
          <w:lang w:val="en-US" w:eastAsia="zh-CN"/>
        </w:rPr>
        <w:t>*</w:t>
      </w:r>
      <w:r>
        <w:rPr>
          <w:rFonts w:hint="eastAsia" w:ascii="宋体"/>
          <w:sz w:val="24"/>
        </w:rPr>
        <w:t>4.3 多气体分析器：CO、CH4和C2H2</w:t>
      </w:r>
    </w:p>
    <w:p>
      <w:pPr>
        <w:spacing w:after="120" w:line="360" w:lineRule="auto"/>
        <w:rPr>
          <w:rFonts w:hint="eastAsia" w:ascii="宋体"/>
          <w:sz w:val="24"/>
        </w:rPr>
      </w:pPr>
      <w:r>
        <w:rPr>
          <w:rFonts w:hint="eastAsia" w:ascii="宋体"/>
          <w:sz w:val="24"/>
        </w:rPr>
        <w:t xml:space="preserve">    </w:t>
      </w:r>
      <w:r>
        <w:rPr>
          <w:rFonts w:hint="eastAsia" w:ascii="宋体"/>
          <w:sz w:val="24"/>
          <w:lang w:val="en-US" w:eastAsia="zh-CN"/>
        </w:rPr>
        <w:t xml:space="preserve"> </w:t>
      </w:r>
      <w:r>
        <w:rPr>
          <w:rFonts w:hint="eastAsia" w:ascii="宋体"/>
          <w:sz w:val="24"/>
        </w:rPr>
        <w:t>类  型：非色散红外，热电偶</w:t>
      </w:r>
    </w:p>
    <w:p>
      <w:pPr>
        <w:spacing w:after="120" w:line="360" w:lineRule="auto"/>
        <w:rPr>
          <w:rFonts w:hint="eastAsia" w:ascii="宋体"/>
          <w:sz w:val="24"/>
        </w:rPr>
      </w:pPr>
      <w:r>
        <w:rPr>
          <w:rFonts w:hint="eastAsia" w:ascii="宋体"/>
          <w:sz w:val="24"/>
          <w:lang w:val="en-US" w:eastAsia="zh-CN"/>
        </w:rPr>
        <w:t xml:space="preserve">     </w:t>
      </w:r>
      <w:r>
        <w:rPr>
          <w:rFonts w:hint="eastAsia" w:ascii="宋体"/>
          <w:sz w:val="24"/>
        </w:rPr>
        <w:t>范  围：0-0.33%,  精  度：±0.003%,分辨率：0.0005%</w:t>
      </w:r>
    </w:p>
    <w:p>
      <w:pPr>
        <w:spacing w:after="120" w:line="360" w:lineRule="auto"/>
        <w:rPr>
          <w:rFonts w:hint="eastAsia" w:ascii="宋体"/>
          <w:sz w:val="24"/>
        </w:rPr>
      </w:pPr>
      <w:r>
        <w:rPr>
          <w:rFonts w:hint="eastAsia" w:ascii="宋体"/>
          <w:sz w:val="24"/>
        </w:rPr>
        <w:t>4.4 激发试验喷药分析系统。</w:t>
      </w:r>
    </w:p>
    <w:p>
      <w:pPr>
        <w:spacing w:after="120" w:line="360" w:lineRule="auto"/>
        <w:rPr>
          <w:rFonts w:hint="eastAsia" w:ascii="宋体"/>
          <w:sz w:val="24"/>
          <w:lang w:val="en-US" w:eastAsia="zh-CN"/>
        </w:rPr>
      </w:pPr>
      <w:r>
        <w:rPr>
          <w:rFonts w:hint="eastAsia" w:ascii="宋体"/>
          <w:sz w:val="24"/>
          <w:lang w:val="en-US" w:eastAsia="zh-CN"/>
        </w:rPr>
        <w:t>*4.4.1</w:t>
      </w:r>
      <w:r>
        <w:rPr>
          <w:rFonts w:hint="eastAsia" w:ascii="宋体"/>
          <w:sz w:val="24"/>
        </w:rPr>
        <w:t>雾化气体最大流量≥7L/min</w:t>
      </w:r>
    </w:p>
    <w:p>
      <w:pPr>
        <w:spacing w:after="120" w:line="360" w:lineRule="auto"/>
        <w:rPr>
          <w:rFonts w:hint="eastAsia" w:ascii="宋体"/>
          <w:sz w:val="24"/>
          <w:lang w:val="en-US" w:eastAsia="zh-CN"/>
        </w:rPr>
      </w:pPr>
      <w:r>
        <w:rPr>
          <w:rFonts w:hint="eastAsia" w:ascii="宋体"/>
          <w:sz w:val="24"/>
          <w:lang w:val="en-US" w:eastAsia="zh-CN"/>
        </w:rPr>
        <w:t xml:space="preserve">*4.4.2 </w:t>
      </w:r>
      <w:r>
        <w:rPr>
          <w:rFonts w:hint="eastAsia" w:ascii="宋体"/>
          <w:sz w:val="24"/>
        </w:rPr>
        <w:t>雾化量： 240mg/min</w:t>
      </w:r>
    </w:p>
    <w:p>
      <w:pPr>
        <w:spacing w:after="120" w:line="360" w:lineRule="auto"/>
        <w:ind w:left="1560" w:hanging="1560" w:hangingChars="650"/>
        <w:rPr>
          <w:rFonts w:hint="eastAsia" w:ascii="宋体"/>
          <w:sz w:val="24"/>
        </w:rPr>
      </w:pPr>
      <w:r>
        <w:rPr>
          <w:rFonts w:hint="eastAsia" w:ascii="宋体"/>
          <w:sz w:val="24"/>
          <w:lang w:val="en-US" w:eastAsia="zh-CN"/>
        </w:rPr>
        <w:t>4.</w:t>
      </w:r>
      <w:r>
        <w:rPr>
          <w:rFonts w:hint="eastAsia" w:ascii="宋体"/>
          <w:sz w:val="24"/>
        </w:rPr>
        <w:t>5温度传感器：范  围</w:t>
      </w:r>
      <w:bookmarkStart w:id="2" w:name="_GoBack"/>
      <w:r>
        <w:rPr>
          <w:rFonts w:hint="eastAsia" w:ascii="宋体"/>
          <w:sz w:val="24"/>
        </w:rPr>
        <w:t>：0－40℃</w:t>
      </w:r>
      <w:bookmarkEnd w:id="2"/>
      <w:r>
        <w:rPr>
          <w:rFonts w:hint="eastAsia" w:ascii="宋体"/>
          <w:sz w:val="24"/>
        </w:rPr>
        <w:t>，精  度：±1℃</w:t>
      </w:r>
      <w:r>
        <w:rPr>
          <w:rFonts w:hint="eastAsia" w:ascii="宋体"/>
          <w:sz w:val="24"/>
          <w:lang w:eastAsia="zh-CN"/>
        </w:rPr>
        <w:t>。</w:t>
      </w:r>
    </w:p>
    <w:p>
      <w:pPr>
        <w:rPr>
          <w:rFonts w:hint="eastAsia" w:ascii="宋体"/>
          <w:sz w:val="24"/>
        </w:rPr>
      </w:pPr>
      <w:r>
        <w:rPr>
          <w:rFonts w:hint="eastAsia" w:ascii="宋体"/>
          <w:sz w:val="24"/>
          <w:lang w:val="en-US" w:eastAsia="zh-CN"/>
        </w:rPr>
        <w:t>4.</w:t>
      </w:r>
      <w:r>
        <w:rPr>
          <w:rFonts w:hint="eastAsia" w:ascii="宋体"/>
          <w:sz w:val="24"/>
        </w:rPr>
        <w:t>6大气压传感器</w:t>
      </w:r>
      <w:r>
        <w:rPr>
          <w:rFonts w:hint="eastAsia" w:ascii="宋体"/>
          <w:sz w:val="24"/>
          <w:lang w:eastAsia="zh-CN"/>
        </w:rPr>
        <w:t>：</w:t>
      </w:r>
      <w:r>
        <w:rPr>
          <w:rFonts w:hint="eastAsia" w:ascii="宋体"/>
          <w:sz w:val="24"/>
        </w:rPr>
        <w:t>范围：300至800毫米汞柱，±3毫米汞柱</w:t>
      </w:r>
      <w:r>
        <w:rPr>
          <w:rFonts w:hint="eastAsia" w:ascii="微软雅黑" w:hAnsi="微软雅黑" w:eastAsia="微软雅黑" w:cs="FuturaLtBT"/>
          <w:color w:val="000000"/>
          <w:kern w:val="0"/>
          <w:sz w:val="24"/>
          <w:lang w:eastAsia="zh-CN"/>
        </w:rPr>
        <w:t>。</w:t>
      </w:r>
    </w:p>
    <w:p>
      <w:pPr>
        <w:spacing w:after="120" w:line="360" w:lineRule="auto"/>
        <w:ind w:left="480" w:hanging="480" w:hangingChars="200"/>
        <w:rPr>
          <w:rFonts w:hint="eastAsia" w:ascii="宋体"/>
          <w:sz w:val="24"/>
        </w:rPr>
      </w:pPr>
      <w:r>
        <w:rPr>
          <w:rFonts w:hint="eastAsia" w:ascii="宋体"/>
          <w:sz w:val="24"/>
          <w:lang w:val="en-US" w:eastAsia="zh-CN"/>
        </w:rPr>
        <w:t>4.</w:t>
      </w:r>
      <w:r>
        <w:rPr>
          <w:rFonts w:hint="eastAsia" w:ascii="宋体"/>
          <w:sz w:val="24"/>
        </w:rPr>
        <w:t>7系统工作要求</w:t>
      </w:r>
      <w:r>
        <w:rPr>
          <w:rFonts w:hint="eastAsia" w:ascii="宋体"/>
          <w:sz w:val="24"/>
          <w:lang w:eastAsia="zh-CN"/>
        </w:rPr>
        <w:t>：</w:t>
      </w:r>
      <w:r>
        <w:rPr>
          <w:rFonts w:hint="eastAsia" w:ascii="宋体"/>
          <w:sz w:val="24"/>
        </w:rPr>
        <w:t>温度：5-40摄氏度</w:t>
      </w:r>
      <w:r>
        <w:rPr>
          <w:rFonts w:hint="eastAsia" w:ascii="宋体"/>
          <w:sz w:val="24"/>
          <w:lang w:eastAsia="zh-CN"/>
        </w:rPr>
        <w:t>，</w:t>
      </w:r>
      <w:r>
        <w:rPr>
          <w:rFonts w:hint="eastAsia" w:ascii="宋体"/>
          <w:sz w:val="24"/>
        </w:rPr>
        <w:t>湿度：15-95%</w:t>
      </w:r>
    </w:p>
    <w:p>
      <w:pPr>
        <w:spacing w:after="120" w:line="360" w:lineRule="auto"/>
        <w:ind w:left="1560" w:hanging="1560" w:hangingChars="650"/>
        <w:rPr>
          <w:rFonts w:hint="eastAsia" w:ascii="宋体"/>
          <w:sz w:val="24"/>
          <w:lang w:eastAsia="zh-CN"/>
        </w:rPr>
      </w:pPr>
      <w:r>
        <w:rPr>
          <w:rFonts w:hint="eastAsia" w:ascii="宋体"/>
          <w:sz w:val="24"/>
          <w:lang w:val="en-US" w:eastAsia="zh-CN"/>
        </w:rPr>
        <w:t>4.8</w:t>
      </w:r>
      <w:r>
        <w:rPr>
          <w:rFonts w:hint="eastAsia" w:ascii="宋体"/>
          <w:sz w:val="24"/>
        </w:rPr>
        <w:t>脉冲发生器</w:t>
      </w:r>
      <w:r>
        <w:rPr>
          <w:rFonts w:hint="eastAsia" w:ascii="宋体"/>
          <w:sz w:val="24"/>
          <w:lang w:eastAsia="zh-CN"/>
        </w:rPr>
        <w:t>：</w:t>
      </w:r>
      <w:r>
        <w:rPr>
          <w:rFonts w:hint="eastAsia" w:ascii="宋体"/>
          <w:sz w:val="24"/>
        </w:rPr>
        <w:t>固定在支撑臂上，用于产生大量脉冲信号</w:t>
      </w:r>
      <w:r>
        <w:rPr>
          <w:rFonts w:hint="eastAsia" w:ascii="宋体"/>
          <w:sz w:val="24"/>
          <w:lang w:eastAsia="zh-CN"/>
        </w:rPr>
        <w:t>。</w:t>
      </w:r>
    </w:p>
    <w:p>
      <w:pPr>
        <w:spacing w:after="120" w:line="360" w:lineRule="auto"/>
        <w:rPr>
          <w:rFonts w:hint="eastAsia" w:ascii="宋体"/>
          <w:sz w:val="24"/>
          <w:lang w:eastAsia="zh-CN"/>
        </w:rPr>
      </w:pPr>
      <w:r>
        <w:rPr>
          <w:rFonts w:hint="eastAsia" w:ascii="宋体"/>
          <w:sz w:val="24"/>
          <w:lang w:val="en-US" w:eastAsia="zh-CN"/>
        </w:rPr>
        <w:t xml:space="preserve">               </w:t>
      </w:r>
      <w:r>
        <w:rPr>
          <w:rFonts w:hint="eastAsia" w:ascii="宋体"/>
          <w:sz w:val="24"/>
        </w:rPr>
        <w:t>完整的数字电路包括信</w:t>
      </w:r>
      <w:r>
        <w:rPr>
          <w:rFonts w:hint="eastAsia" w:ascii="宋体"/>
          <w:sz w:val="24"/>
          <w:lang w:val="en-US" w:eastAsia="zh-CN"/>
        </w:rPr>
        <w:t xml:space="preserve"> </w:t>
      </w:r>
      <w:r>
        <w:rPr>
          <w:rFonts w:hint="eastAsia" w:ascii="宋体"/>
          <w:sz w:val="24"/>
        </w:rPr>
        <w:t>号的产生和收集</w:t>
      </w:r>
      <w:r>
        <w:rPr>
          <w:rFonts w:hint="eastAsia" w:ascii="宋体"/>
          <w:sz w:val="24"/>
          <w:lang w:eastAsia="zh-CN"/>
        </w:rPr>
        <w:t>。</w:t>
      </w:r>
    </w:p>
    <w:p>
      <w:pPr>
        <w:spacing w:after="120" w:line="360" w:lineRule="auto"/>
        <w:rPr>
          <w:rFonts w:hint="eastAsia" w:ascii="宋体"/>
          <w:sz w:val="24"/>
          <w:lang w:eastAsia="zh-CN"/>
        </w:rPr>
      </w:pPr>
      <w:r>
        <w:rPr>
          <w:rFonts w:hint="eastAsia" w:ascii="宋体"/>
          <w:sz w:val="24"/>
          <w:lang w:val="en-US" w:eastAsia="zh-CN"/>
        </w:rPr>
        <w:t>4.9</w:t>
      </w:r>
      <w:r>
        <w:rPr>
          <w:rFonts w:hint="eastAsia" w:ascii="宋体"/>
          <w:sz w:val="24"/>
        </w:rPr>
        <w:t>可移动车架，前后门由防尘柜门，键盘托架可360度旋转，带可移动悬臂</w:t>
      </w:r>
      <w:r>
        <w:rPr>
          <w:rFonts w:hint="eastAsia" w:ascii="宋体"/>
          <w:sz w:val="24"/>
          <w:lang w:eastAsia="zh-CN"/>
        </w:rPr>
        <w:t>。</w:t>
      </w:r>
    </w:p>
    <w:p>
      <w:pPr>
        <w:spacing w:after="120" w:line="360" w:lineRule="auto"/>
        <w:rPr>
          <w:rFonts w:hint="eastAsia" w:ascii="宋体"/>
          <w:sz w:val="24"/>
        </w:rPr>
      </w:pPr>
      <w:r>
        <w:rPr>
          <w:rFonts w:hint="eastAsia" w:ascii="宋体"/>
          <w:sz w:val="24"/>
          <w:lang w:val="en-US" w:eastAsia="zh-CN"/>
        </w:rPr>
        <w:t>5、</w:t>
      </w:r>
      <w:r>
        <w:rPr>
          <w:rFonts w:hint="eastAsia" w:ascii="宋体"/>
          <w:sz w:val="24"/>
        </w:rPr>
        <w:t>其他要求</w:t>
      </w:r>
    </w:p>
    <w:p>
      <w:pPr>
        <w:spacing w:after="120" w:line="360" w:lineRule="auto"/>
        <w:rPr>
          <w:rFonts w:hint="eastAsia" w:ascii="宋体"/>
          <w:sz w:val="24"/>
          <w:lang w:eastAsia="zh-CN"/>
        </w:rPr>
      </w:pPr>
      <w:r>
        <w:rPr>
          <w:rFonts w:hint="eastAsia" w:ascii="宋体"/>
          <w:sz w:val="24"/>
          <w:lang w:val="en-US" w:eastAsia="zh-CN"/>
        </w:rPr>
        <w:t>*5.1</w:t>
      </w:r>
      <w:r>
        <w:rPr>
          <w:rFonts w:hint="eastAsia" w:ascii="宋体"/>
          <w:sz w:val="24"/>
        </w:rPr>
        <w:t>市场占有率高，与投标产品同品牌的高级弥散型肺功能仪，在陕西省至少要有10家，便于实行医疗报告互认，学术交流</w:t>
      </w:r>
      <w:r>
        <w:rPr>
          <w:rFonts w:hint="eastAsia" w:ascii="宋体"/>
          <w:sz w:val="24"/>
          <w:lang w:eastAsia="zh-CN"/>
        </w:rPr>
        <w:t>。</w:t>
      </w:r>
    </w:p>
    <w:p>
      <w:pPr>
        <w:spacing w:after="120" w:line="360" w:lineRule="auto"/>
        <w:rPr>
          <w:rFonts w:hint="eastAsia" w:ascii="宋体"/>
          <w:sz w:val="24"/>
          <w:lang w:eastAsia="zh-CN"/>
        </w:rPr>
      </w:pPr>
      <w:r>
        <w:rPr>
          <w:rFonts w:hint="eastAsia" w:ascii="宋体"/>
          <w:sz w:val="24"/>
          <w:lang w:val="en-US" w:eastAsia="zh-CN"/>
        </w:rPr>
        <w:t>*5.2</w:t>
      </w:r>
      <w:r>
        <w:rPr>
          <w:rFonts w:hint="eastAsia" w:ascii="宋体"/>
          <w:sz w:val="24"/>
        </w:rPr>
        <w:t>在陕西省有售后服务机构及工程师，同时厂家在国内也要有经工商行政注册备案的驻华分支机构及其售后服务团队，以实现日后在售后服务工作中的双重保障，避免产品在华代理变动引起的售后服务纠纷</w:t>
      </w:r>
      <w:r>
        <w:rPr>
          <w:rFonts w:hint="eastAsia" w:ascii="宋体"/>
          <w:sz w:val="24"/>
          <w:lang w:eastAsia="zh-CN"/>
        </w:rPr>
        <w:t>。</w:t>
      </w:r>
    </w:p>
    <w:p>
      <w:pPr>
        <w:spacing w:after="120" w:line="360" w:lineRule="auto"/>
        <w:ind w:left="480" w:hanging="480" w:hangingChars="200"/>
        <w:rPr>
          <w:rFonts w:hint="eastAsia" w:ascii="宋体"/>
          <w:sz w:val="24"/>
          <w:lang w:val="en-US" w:eastAsia="zh-CN"/>
        </w:rPr>
      </w:pPr>
      <w:r>
        <w:rPr>
          <w:rFonts w:hint="eastAsia" w:ascii="宋体"/>
          <w:sz w:val="24"/>
          <w:lang w:val="en-US" w:eastAsia="zh-CN"/>
        </w:rPr>
        <w:t>5.3配一台肺功能仪精密净化稳压电源（5-10KV）</w:t>
      </w:r>
    </w:p>
    <w:p>
      <w:pPr>
        <w:spacing w:after="120" w:line="360" w:lineRule="auto"/>
        <w:ind w:left="480" w:hanging="480" w:hangingChars="200"/>
        <w:rPr>
          <w:rFonts w:hint="eastAsia" w:ascii="宋体"/>
          <w:sz w:val="24"/>
          <w:lang w:val="en-US" w:eastAsia="zh-CN"/>
        </w:rPr>
      </w:pPr>
      <w:r>
        <w:rPr>
          <w:rFonts w:hint="eastAsia" w:ascii="宋体"/>
          <w:sz w:val="24"/>
          <w:lang w:val="en-US" w:eastAsia="zh-CN"/>
        </w:rPr>
        <w:t>5.4试用耗材配置：一次性口嘴、鼻夹、呼吸过滤器各30套,专用混合气体供应一套。</w:t>
      </w:r>
    </w:p>
    <w:p>
      <w:pPr>
        <w:jc w:val="left"/>
        <w:rPr>
          <w:rFonts w:ascii="宋体" w:hAnsi="宋体"/>
          <w:color w:val="000000"/>
          <w:kern w:val="0"/>
          <w:sz w:val="24"/>
          <w:szCs w:val="24"/>
        </w:rPr>
      </w:pPr>
    </w:p>
    <w:p>
      <w:pPr>
        <w:jc w:val="left"/>
        <w:rPr>
          <w:rFonts w:ascii="宋体" w:hAnsi="宋体"/>
          <w:color w:val="000000"/>
          <w:kern w:val="0"/>
          <w:sz w:val="24"/>
          <w:szCs w:val="24"/>
        </w:rPr>
      </w:pPr>
    </w:p>
    <w:p>
      <w:pPr>
        <w:widowControl/>
        <w:tabs>
          <w:tab w:val="left" w:pos="1365"/>
        </w:tabs>
        <w:adjustRightInd w:val="0"/>
        <w:spacing w:after="120" w:line="480" w:lineRule="auto"/>
        <w:ind w:left="840" w:firstLine="1687" w:firstLineChars="600"/>
        <w:rPr>
          <w:rFonts w:ascii="宋体" w:hAnsi="宋体"/>
          <w:color w:val="000000"/>
          <w:sz w:val="24"/>
          <w:szCs w:val="24"/>
        </w:rPr>
      </w:pPr>
      <w:r>
        <w:rPr>
          <w:rFonts w:hint="eastAsia" w:ascii="黑体" w:hAnsi="宋体" w:eastAsia="黑体"/>
          <w:b/>
          <w:sz w:val="28"/>
          <w:szCs w:val="28"/>
        </w:rPr>
        <w:t>第四节  验收及服务要求</w:t>
      </w:r>
    </w:p>
    <w:p>
      <w:pPr>
        <w:widowControl/>
        <w:numPr>
          <w:ilvl w:val="0"/>
          <w:numId w:val="6"/>
        </w:numPr>
        <w:tabs>
          <w:tab w:val="left" w:pos="1365"/>
        </w:tabs>
        <w:adjustRightInd w:val="0"/>
        <w:spacing w:after="120" w:line="480" w:lineRule="auto"/>
        <w:rPr>
          <w:rFonts w:ascii="宋体" w:hAnsi="宋体"/>
          <w:color w:val="000000"/>
          <w:sz w:val="24"/>
          <w:szCs w:val="24"/>
        </w:rPr>
      </w:pPr>
      <w:r>
        <w:rPr>
          <w:rFonts w:hint="eastAsia" w:ascii="宋体" w:hAnsi="宋体"/>
          <w:color w:val="000000"/>
          <w:sz w:val="24"/>
          <w:szCs w:val="24"/>
        </w:rPr>
        <w:t>所有货物在开箱检验时必须完好，无破损，配置与装箱单相符；设备数量和型号配置必须与投标文件一致。中标人投标时所投的设备如在实际供货时已经废型（不列入该厂家当时的产品系统），在经采购人确认后，必须原价提供相当或更高配置的设备，否则按中标人违约处理。</w:t>
      </w:r>
    </w:p>
    <w:p>
      <w:pPr>
        <w:widowControl/>
        <w:numPr>
          <w:ilvl w:val="0"/>
          <w:numId w:val="6"/>
        </w:numPr>
        <w:tabs>
          <w:tab w:val="left" w:pos="1365"/>
          <w:tab w:val="left" w:pos="8222"/>
        </w:tabs>
        <w:autoSpaceDE w:val="0"/>
        <w:autoSpaceDN w:val="0"/>
        <w:adjustRightInd w:val="0"/>
        <w:spacing w:after="120" w:line="480" w:lineRule="auto"/>
        <w:ind w:right="-53"/>
        <w:textAlignment w:val="bottom"/>
        <w:rPr>
          <w:rFonts w:ascii="宋体" w:hAnsi="宋体"/>
          <w:color w:val="000000"/>
          <w:sz w:val="24"/>
          <w:szCs w:val="24"/>
        </w:rPr>
      </w:pPr>
      <w:r>
        <w:rPr>
          <w:rFonts w:hint="eastAsia" w:ascii="宋体" w:hAnsi="宋体"/>
          <w:color w:val="000000"/>
          <w:sz w:val="24"/>
          <w:szCs w:val="24"/>
        </w:rPr>
        <w:t>交货时候提供设备外观清洁，标记编号以及盘面显示等字体清晰，明确能够准确无误地表示设备的型号、规格、制造商，与投标文件相符。</w:t>
      </w:r>
    </w:p>
    <w:p>
      <w:pPr>
        <w:widowControl/>
        <w:numPr>
          <w:ilvl w:val="0"/>
          <w:numId w:val="6"/>
        </w:numPr>
        <w:tabs>
          <w:tab w:val="left" w:pos="1365"/>
          <w:tab w:val="left" w:pos="8222"/>
        </w:tabs>
        <w:autoSpaceDE w:val="0"/>
        <w:autoSpaceDN w:val="0"/>
        <w:adjustRightInd w:val="0"/>
        <w:spacing w:after="120" w:line="480" w:lineRule="auto"/>
        <w:ind w:right="-53"/>
        <w:textAlignment w:val="bottom"/>
        <w:rPr>
          <w:rFonts w:ascii="宋体" w:hAnsi="宋体"/>
          <w:color w:val="000000"/>
          <w:sz w:val="24"/>
          <w:szCs w:val="24"/>
        </w:rPr>
      </w:pPr>
      <w:r>
        <w:rPr>
          <w:rFonts w:hint="eastAsia" w:ascii="宋体" w:hAnsi="宋体"/>
          <w:color w:val="000000"/>
          <w:sz w:val="24"/>
          <w:szCs w:val="24"/>
        </w:rPr>
        <w:t>对于影响设备正常工作的必要组成部分，无论在本招标文件中指出与否，投标人都应提供并在投标文件中明确列出。如涉及到《医疗器械产品注册证书》（注册证须含附件：医疗器械产品生产制造认可表或医疗器械产品注册登记表）、3C 强制认证等国家或者有关部门或行业强制要求的认证、许可等，不论本招标文件中指出与否，投标人都必须提供，并在投标文件中明确列出。</w:t>
      </w:r>
    </w:p>
    <w:p>
      <w:pPr>
        <w:widowControl/>
        <w:numPr>
          <w:ilvl w:val="0"/>
          <w:numId w:val="6"/>
        </w:numPr>
        <w:tabs>
          <w:tab w:val="left" w:pos="1365"/>
        </w:tabs>
        <w:autoSpaceDE w:val="0"/>
        <w:autoSpaceDN w:val="0"/>
        <w:adjustRightInd w:val="0"/>
        <w:spacing w:after="120" w:line="480" w:lineRule="auto"/>
        <w:ind w:right="-51"/>
        <w:textAlignment w:val="bottom"/>
        <w:rPr>
          <w:rFonts w:ascii="宋体" w:hAnsi="宋体"/>
          <w:color w:val="000000"/>
          <w:sz w:val="24"/>
          <w:szCs w:val="24"/>
        </w:rPr>
      </w:pPr>
      <w:r>
        <w:rPr>
          <w:rFonts w:hint="eastAsia" w:ascii="宋体" w:hAnsi="宋体"/>
          <w:color w:val="000000"/>
          <w:sz w:val="24"/>
          <w:szCs w:val="24"/>
        </w:rPr>
        <w:t>本项目要求中若出现的工艺、材料、设备或参照的品牌参数仅为方便描述而没有限制性，投标人可以在其提供的文件资料中选用替代标准，但这些替代标准必须优于或相当于本用户需求书的标准。</w:t>
      </w:r>
    </w:p>
    <w:p>
      <w:pPr>
        <w:widowControl/>
        <w:numPr>
          <w:ilvl w:val="0"/>
          <w:numId w:val="6"/>
        </w:numPr>
        <w:tabs>
          <w:tab w:val="left" w:pos="1365"/>
        </w:tabs>
        <w:autoSpaceDE w:val="0"/>
        <w:autoSpaceDN w:val="0"/>
        <w:adjustRightInd w:val="0"/>
        <w:spacing w:after="120" w:line="480" w:lineRule="auto"/>
        <w:ind w:right="-51"/>
        <w:textAlignment w:val="bottom"/>
        <w:rPr>
          <w:rFonts w:ascii="宋体" w:hAnsi="宋体"/>
          <w:color w:val="000000"/>
          <w:sz w:val="24"/>
          <w:szCs w:val="24"/>
        </w:rPr>
      </w:pPr>
      <w:r>
        <w:rPr>
          <w:rFonts w:hint="eastAsia" w:ascii="宋体" w:hAnsi="宋体"/>
          <w:color w:val="000000"/>
          <w:sz w:val="24"/>
          <w:szCs w:val="24"/>
        </w:rPr>
        <w:t>投标人在投标时必须提供所投标的所有设备配置清单。</w:t>
      </w:r>
    </w:p>
    <w:p>
      <w:pPr>
        <w:widowControl/>
        <w:numPr>
          <w:ilvl w:val="0"/>
          <w:numId w:val="6"/>
        </w:numPr>
        <w:tabs>
          <w:tab w:val="left" w:pos="1365"/>
        </w:tabs>
        <w:autoSpaceDE w:val="0"/>
        <w:autoSpaceDN w:val="0"/>
        <w:adjustRightInd w:val="0"/>
        <w:spacing w:after="120" w:line="480" w:lineRule="auto"/>
        <w:ind w:right="-51"/>
        <w:textAlignment w:val="bottom"/>
        <w:rPr>
          <w:rFonts w:ascii="宋体" w:hAnsi="宋体"/>
          <w:color w:val="000000"/>
          <w:sz w:val="24"/>
          <w:szCs w:val="24"/>
        </w:rPr>
      </w:pPr>
      <w:r>
        <w:rPr>
          <w:rFonts w:hint="eastAsia" w:ascii="宋体" w:hAnsi="宋体"/>
          <w:color w:val="000000"/>
          <w:sz w:val="24"/>
          <w:szCs w:val="24"/>
        </w:rPr>
        <w:t>设备保修期限三年免费维修，且需提供书面证明文件详细说明。</w:t>
      </w:r>
    </w:p>
    <w:p>
      <w:pPr>
        <w:widowControl/>
        <w:numPr>
          <w:ilvl w:val="0"/>
          <w:numId w:val="6"/>
        </w:numPr>
        <w:tabs>
          <w:tab w:val="left" w:pos="1365"/>
        </w:tabs>
        <w:autoSpaceDE w:val="0"/>
        <w:autoSpaceDN w:val="0"/>
        <w:adjustRightInd w:val="0"/>
        <w:spacing w:after="120" w:line="480" w:lineRule="auto"/>
        <w:ind w:right="-51"/>
        <w:textAlignment w:val="bottom"/>
        <w:rPr>
          <w:rFonts w:ascii="宋体" w:hAnsi="宋体"/>
          <w:color w:val="000000"/>
          <w:sz w:val="24"/>
          <w:szCs w:val="24"/>
        </w:rPr>
      </w:pPr>
      <w:r>
        <w:rPr>
          <w:rFonts w:hint="eastAsia" w:ascii="宋体" w:hAnsi="宋体"/>
          <w:color w:val="000000"/>
          <w:sz w:val="24"/>
          <w:szCs w:val="24"/>
        </w:rPr>
        <w:t>维修保养需在接到客户服务热线报修电话后，由专职负责项目工程师在两小时内做出反应。</w:t>
      </w:r>
    </w:p>
    <w:p>
      <w:pPr>
        <w:widowControl/>
        <w:numPr>
          <w:ilvl w:val="0"/>
          <w:numId w:val="6"/>
        </w:numPr>
        <w:tabs>
          <w:tab w:val="left" w:pos="1365"/>
        </w:tabs>
        <w:autoSpaceDE w:val="0"/>
        <w:autoSpaceDN w:val="0"/>
        <w:adjustRightInd w:val="0"/>
        <w:spacing w:after="120" w:line="480" w:lineRule="auto"/>
        <w:ind w:right="-51"/>
        <w:textAlignment w:val="bottom"/>
        <w:rPr>
          <w:rFonts w:ascii="宋体" w:hAnsi="宋体"/>
          <w:color w:val="000000"/>
          <w:sz w:val="24"/>
          <w:szCs w:val="24"/>
        </w:rPr>
      </w:pPr>
      <w:r>
        <w:rPr>
          <w:rFonts w:hint="eastAsia" w:ascii="宋体" w:hAnsi="宋体"/>
          <w:color w:val="000000"/>
          <w:sz w:val="24"/>
          <w:szCs w:val="24"/>
        </w:rPr>
        <w:t>提供专职办事处机构和维修工程师，提供地址、电话。专业设备使用技巧，及维护保养相关技术培训。</w:t>
      </w:r>
    </w:p>
    <w:p>
      <w:pPr>
        <w:widowControl/>
        <w:numPr>
          <w:ilvl w:val="0"/>
          <w:numId w:val="6"/>
        </w:numPr>
        <w:tabs>
          <w:tab w:val="left" w:pos="1365"/>
        </w:tabs>
        <w:autoSpaceDE w:val="0"/>
        <w:autoSpaceDN w:val="0"/>
        <w:adjustRightInd w:val="0"/>
        <w:spacing w:after="120" w:line="480" w:lineRule="auto"/>
        <w:ind w:right="-51"/>
        <w:textAlignment w:val="bottom"/>
        <w:rPr>
          <w:rFonts w:ascii="宋体" w:hAnsi="宋体"/>
          <w:color w:val="000000"/>
          <w:sz w:val="24"/>
          <w:szCs w:val="24"/>
        </w:rPr>
      </w:pPr>
      <w:r>
        <w:rPr>
          <w:rFonts w:hint="eastAsia" w:ascii="宋体" w:hAnsi="宋体"/>
          <w:color w:val="000000"/>
          <w:sz w:val="24"/>
          <w:szCs w:val="24"/>
        </w:rPr>
        <w:t>投标报价包括：设备费、材料费、安装调试费、运费、增值税（统一为17%的设备购置税）、人员培训费等。</w:t>
      </w:r>
    </w:p>
    <w:p>
      <w:pPr>
        <w:widowControl/>
        <w:tabs>
          <w:tab w:val="left" w:pos="1365"/>
        </w:tabs>
        <w:autoSpaceDE w:val="0"/>
        <w:autoSpaceDN w:val="0"/>
        <w:adjustRightInd w:val="0"/>
        <w:spacing w:after="120" w:line="480" w:lineRule="auto"/>
        <w:ind w:left="480" w:right="-51" w:hanging="480" w:hangingChars="200"/>
        <w:textAlignment w:val="bottom"/>
        <w:rPr>
          <w:rFonts w:hint="eastAsia" w:ascii="宋体" w:hAnsi="宋体"/>
          <w:color w:val="000000"/>
          <w:sz w:val="24"/>
          <w:szCs w:val="24"/>
        </w:rPr>
      </w:pPr>
      <w:bookmarkStart w:id="0" w:name="_Toc170827147"/>
      <w:bookmarkStart w:id="1" w:name="_Toc170827788"/>
      <w:r>
        <w:rPr>
          <w:rFonts w:hint="eastAsia" w:ascii="宋体" w:hAnsi="宋体"/>
          <w:color w:val="000000"/>
          <w:sz w:val="24"/>
          <w:szCs w:val="24"/>
        </w:rPr>
        <w:t>*10.供货方必须提供技术文件及技术图纸。</w:t>
      </w:r>
      <w:bookmarkEnd w:id="0"/>
      <w:bookmarkEnd w:id="1"/>
      <w:r>
        <w:rPr>
          <w:rFonts w:hint="eastAsia" w:ascii="宋体" w:hAnsi="宋体"/>
          <w:color w:val="000000"/>
          <w:sz w:val="24"/>
          <w:szCs w:val="24"/>
        </w:rPr>
        <w:t>负责提供设备说明书各4套。设备提供商负责提供设备专用维修工具2套。</w:t>
      </w:r>
    </w:p>
    <w:p>
      <w:pPr>
        <w:widowControl/>
        <w:tabs>
          <w:tab w:val="left" w:pos="1365"/>
        </w:tabs>
        <w:autoSpaceDE w:val="0"/>
        <w:autoSpaceDN w:val="0"/>
        <w:adjustRightInd w:val="0"/>
        <w:spacing w:after="120" w:line="480" w:lineRule="auto"/>
        <w:ind w:right="-51"/>
        <w:textAlignment w:val="bottom"/>
        <w:rPr>
          <w:rFonts w:hint="eastAsia" w:ascii="宋体" w:hAnsi="宋体"/>
          <w:color w:val="000000"/>
          <w:sz w:val="24"/>
          <w:szCs w:val="24"/>
        </w:rPr>
      </w:pPr>
      <w:r>
        <w:rPr>
          <w:rFonts w:hint="eastAsia" w:ascii="宋体" w:hAnsi="宋体"/>
          <w:color w:val="000000"/>
          <w:sz w:val="24"/>
          <w:szCs w:val="24"/>
        </w:rPr>
        <w:t>*11.投标商应提供由制造厂印制的原始的技术数据表。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auto"/>
    <w:pitch w:val="default"/>
    <w:sig w:usb0="00007A87" w:usb1="80000000" w:usb2="00000008" w:usb3="00000000" w:csb0="400001FF" w:csb1="FFFF0000"/>
  </w:font>
  <w:font w:name="宋体w僝昀.">
    <w:altName w:val="宋体"/>
    <w:panose1 w:val="00000000000000000000"/>
    <w:charset w:val="86"/>
    <w:family w:val="auto"/>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仿宋">
    <w:altName w:val="宋体"/>
    <w:panose1 w:val="02010609060101010101"/>
    <w:charset w:val="86"/>
    <w:family w:val="auto"/>
    <w:pitch w:val="default"/>
    <w:sig w:usb0="00000000" w:usb1="00000000" w:usb2="00000016"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FuturaLtBT">
    <w:altName w:val="Arial"/>
    <w:panose1 w:val="00000000000000000000"/>
    <w:charset w:val="00"/>
    <w:family w:val="swiss"/>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multilevel"/>
    <w:tmpl w:val="00000008"/>
    <w:lvl w:ilvl="0" w:tentative="0">
      <w:start w:val="1"/>
      <w:numFmt w:val="decimal"/>
      <w:lvlText w:val="%1."/>
      <w:lvlJc w:val="left"/>
      <w:pPr>
        <w:tabs>
          <w:tab w:val="left" w:pos="840"/>
        </w:tabs>
        <w:ind w:left="1180" w:hanging="340"/>
      </w:pPr>
      <w:rPr>
        <w:rFonts w:hint="eastAsia"/>
      </w:rPr>
    </w:lvl>
    <w:lvl w:ilvl="1" w:tentative="0">
      <w:start w:val="1"/>
      <w:numFmt w:val="decimal"/>
      <w:lvlText w:val="%2)"/>
      <w:lvlJc w:val="left"/>
      <w:pPr>
        <w:tabs>
          <w:tab w:val="left" w:pos="1680"/>
        </w:tabs>
        <w:ind w:left="1680" w:hanging="420"/>
      </w:pPr>
      <w:rPr>
        <w:rFonts w:hint="eastAsia"/>
      </w:rPr>
    </w:lvl>
    <w:lvl w:ilvl="2" w:tentative="0">
      <w:start w:val="1"/>
      <w:numFmt w:val="decimal"/>
      <w:lvlText w:val="%3）"/>
      <w:lvlJc w:val="left"/>
      <w:pPr>
        <w:tabs>
          <w:tab w:val="left" w:pos="2520"/>
        </w:tabs>
        <w:ind w:left="2520" w:hanging="840"/>
      </w:pPr>
      <w:rPr>
        <w:rFonts w:hint="default"/>
      </w:rPr>
    </w:lvl>
    <w:lvl w:ilvl="3" w:tentative="0">
      <w:start w:val="1"/>
      <w:numFmt w:val="decimal"/>
      <w:lvlText w:val="%4."/>
      <w:lvlJc w:val="left"/>
      <w:pPr>
        <w:tabs>
          <w:tab w:val="left" w:pos="2580"/>
        </w:tabs>
        <w:ind w:left="2580" w:hanging="420"/>
      </w:pPr>
    </w:lvl>
    <w:lvl w:ilvl="4" w:tentative="0">
      <w:start w:val="1"/>
      <w:numFmt w:val="japaneseCounting"/>
      <w:lvlText w:val="第%5节"/>
      <w:lvlJc w:val="left"/>
      <w:pPr>
        <w:tabs>
          <w:tab w:val="left" w:pos="3937"/>
        </w:tabs>
        <w:ind w:left="3937" w:hanging="960"/>
      </w:pPr>
      <w:rPr>
        <w:rFonts w:hint="eastAsia" w:ascii="黑体" w:eastAsia="黑体"/>
        <w:sz w:val="28"/>
        <w:szCs w:val="28"/>
      </w:r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abstractNum w:abstractNumId="1">
    <w:nsid w:val="0EF34187"/>
    <w:multiLevelType w:val="multilevel"/>
    <w:tmpl w:val="0EF34187"/>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236"/>
        </w:tabs>
        <w:ind w:left="1236"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FBA7980"/>
    <w:multiLevelType w:val="multilevel"/>
    <w:tmpl w:val="0FBA798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2754AB6"/>
    <w:multiLevelType w:val="multilevel"/>
    <w:tmpl w:val="12754AB6"/>
    <w:lvl w:ilvl="0" w:tentative="0">
      <w:start w:val="1"/>
      <w:numFmt w:val="decimal"/>
      <w:lvlText w:val="%1"/>
      <w:lvlJc w:val="left"/>
      <w:pPr>
        <w:ind w:left="360" w:hanging="360"/>
      </w:pPr>
      <w:rPr>
        <w:rFonts w:hint="default"/>
      </w:rPr>
    </w:lvl>
    <w:lvl w:ilvl="1" w:tentative="0">
      <w:start w:val="4"/>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4">
    <w:nsid w:val="58114928"/>
    <w:multiLevelType w:val="singleLevel"/>
    <w:tmpl w:val="58114928"/>
    <w:lvl w:ilvl="0" w:tentative="0">
      <w:start w:val="1"/>
      <w:numFmt w:val="decimal"/>
      <w:suff w:val="nothing"/>
      <w:lvlText w:val="%1、"/>
      <w:lvlJc w:val="left"/>
    </w:lvl>
  </w:abstractNum>
  <w:abstractNum w:abstractNumId="5">
    <w:nsid w:val="58114D1A"/>
    <w:multiLevelType w:val="singleLevel"/>
    <w:tmpl w:val="58114D1A"/>
    <w:lvl w:ilvl="0" w:tentative="0">
      <w:start w:val="3"/>
      <w:numFmt w:val="chineseCounting"/>
      <w:suff w:val="space"/>
      <w:lvlText w:val="第%1节"/>
      <w:lvlJc w:val="left"/>
    </w:lvl>
  </w:abstractNum>
  <w:num w:numId="1">
    <w:abstractNumId w:val="4"/>
  </w:num>
  <w:num w:numId="2">
    <w:abstractNumId w:val="0"/>
  </w:num>
  <w:num w:numId="3">
    <w:abstractNumId w:val="2"/>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787D36"/>
    <w:rsid w:val="0C787D36"/>
    <w:rsid w:val="49E20AB0"/>
    <w:rsid w:val="519920EE"/>
    <w:rsid w:val="6656767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customStyle="1" w:styleId="5">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2016-10-27T00:52:00Z</dcterms:created>
  <dc:creator>Administrator</dc:creator>
  <cp:lastModifiedBy>Administrator</cp:lastModifiedBy>
  <dcterms:modified xsi:type="dcterms:W3CDTF">2016-10-28T01:37:19Z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