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360" w:lineRule="auto"/>
        <w:jc w:val="center"/>
        <w:rPr>
          <w:rFonts w:hint="eastAsia" w:ascii="黑体" w:hAnsi="黑体" w:eastAsia="黑体"/>
          <w:sz w:val="32"/>
          <w:szCs w:val="32"/>
        </w:rPr>
      </w:pPr>
      <w:bookmarkStart w:id="0" w:name="_Toc357086823"/>
      <w:r>
        <w:rPr>
          <w:rFonts w:hint="eastAsia" w:ascii="黑体" w:hAnsi="黑体" w:eastAsia="黑体"/>
          <w:sz w:val="32"/>
          <w:szCs w:val="32"/>
        </w:rPr>
        <w:t>设备技术要求</w:t>
      </w:r>
      <w:bookmarkEnd w:id="0"/>
    </w:p>
    <w:p>
      <w:pPr>
        <w:spacing w:line="400" w:lineRule="exact"/>
        <w:rPr>
          <w:rFonts w:asciiTheme="minorEastAsia" w:hAnsiTheme="minorEastAsia" w:eastAsiaTheme="minorEastAsia"/>
          <w:sz w:val="22"/>
          <w:szCs w:val="22"/>
        </w:rPr>
      </w:pPr>
    </w:p>
    <w:p>
      <w:pPr>
        <w:tabs>
          <w:tab w:val="left" w:pos="2340"/>
        </w:tabs>
        <w:spacing w:line="480" w:lineRule="auto"/>
        <w:ind w:left="630" w:leftChars="300" w:firstLine="240" w:firstLineChars="100"/>
        <w:jc w:val="left"/>
        <w:rPr>
          <w:rFonts w:hint="eastAsia"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hint="eastAsia"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hint="eastAsia"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hint="eastAsia"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hint="eastAsia"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hint="eastAsia"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hint="eastAsia" w:ascii="宋体"/>
          <w:sz w:val="24"/>
        </w:rPr>
      </w:pPr>
      <w:r>
        <w:rPr>
          <w:rFonts w:hint="eastAsia" w:ascii="宋体"/>
          <w:sz w:val="24"/>
        </w:rPr>
        <w:t>第七节  技术资料和图纸</w:t>
      </w:r>
    </w:p>
    <w:p>
      <w:pPr>
        <w:topLinePunct/>
        <w:adjustRightInd w:val="0"/>
        <w:snapToGrid w:val="0"/>
        <w:spacing w:line="360" w:lineRule="auto"/>
        <w:jc w:val="center"/>
        <w:rPr>
          <w:rFonts w:asciiTheme="minorEastAsia" w:hAnsiTheme="minorEastAsia" w:eastAsiaTheme="minorEastAsia"/>
          <w:sz w:val="22"/>
          <w:szCs w:val="22"/>
        </w:rPr>
      </w:pPr>
    </w:p>
    <w:p>
      <w:pPr>
        <w:topLinePunct/>
        <w:adjustRightInd w:val="0"/>
        <w:snapToGrid w:val="0"/>
        <w:spacing w:line="360" w:lineRule="auto"/>
        <w:jc w:val="center"/>
        <w:rPr>
          <w:rFonts w:asciiTheme="minorEastAsia" w:hAnsiTheme="minorEastAsia" w:eastAsiaTheme="minorEastAsia"/>
          <w:sz w:val="22"/>
          <w:szCs w:val="22"/>
        </w:rPr>
      </w:pPr>
    </w:p>
    <w:p>
      <w:pPr>
        <w:topLinePunct/>
        <w:adjustRightInd w:val="0"/>
        <w:snapToGrid w:val="0"/>
        <w:spacing w:line="360" w:lineRule="auto"/>
        <w:jc w:val="center"/>
        <w:rPr>
          <w:rFonts w:asciiTheme="minorEastAsia" w:hAnsiTheme="minorEastAsia" w:eastAsiaTheme="minorEastAsia"/>
          <w:sz w:val="22"/>
          <w:szCs w:val="22"/>
        </w:rPr>
      </w:pPr>
    </w:p>
    <w:p>
      <w:pPr>
        <w:topLinePunct/>
        <w:adjustRightInd w:val="0"/>
        <w:snapToGrid w:val="0"/>
        <w:spacing w:line="360" w:lineRule="auto"/>
        <w:jc w:val="center"/>
        <w:rPr>
          <w:rFonts w:asciiTheme="minorEastAsia" w:hAnsiTheme="minorEastAsia" w:eastAsiaTheme="minorEastAsia"/>
          <w:sz w:val="22"/>
          <w:szCs w:val="22"/>
        </w:rPr>
      </w:pPr>
    </w:p>
    <w:p>
      <w:pPr>
        <w:adjustRightInd w:val="0"/>
        <w:snapToGrid w:val="0"/>
        <w:spacing w:line="360" w:lineRule="auto"/>
        <w:rPr>
          <w:rFonts w:asciiTheme="minorEastAsia" w:hAnsiTheme="minorEastAsia" w:eastAsiaTheme="minorEastAsia"/>
          <w:sz w:val="22"/>
          <w:szCs w:val="22"/>
        </w:rPr>
      </w:pPr>
    </w:p>
    <w:p>
      <w:pPr>
        <w:adjustRightInd w:val="0"/>
        <w:snapToGrid w:val="0"/>
        <w:spacing w:line="360" w:lineRule="auto"/>
        <w:jc w:val="center"/>
        <w:rPr>
          <w:rFonts w:asciiTheme="minorEastAsia" w:hAnsiTheme="minorEastAsia" w:eastAsiaTheme="minorEastAsia"/>
          <w:sz w:val="22"/>
          <w:szCs w:val="22"/>
        </w:rPr>
      </w:pPr>
    </w:p>
    <w:p>
      <w:pPr>
        <w:spacing w:line="360" w:lineRule="auto"/>
        <w:jc w:val="center"/>
        <w:rPr>
          <w:rFonts w:asciiTheme="minorEastAsia" w:hAnsiTheme="minorEastAsia" w:eastAsiaTheme="minorEastAsia"/>
          <w:b/>
          <w:bCs/>
          <w:sz w:val="22"/>
          <w:szCs w:val="22"/>
        </w:rPr>
      </w:pPr>
      <w:r>
        <w:rPr>
          <w:rFonts w:hint="eastAsia" w:asciiTheme="minorEastAsia" w:hAnsiTheme="minorEastAsia" w:eastAsiaTheme="minorEastAsia"/>
          <w:sz w:val="22"/>
          <w:szCs w:val="22"/>
        </w:rPr>
        <w:br w:type="page"/>
      </w:r>
    </w:p>
    <w:p>
      <w:pPr>
        <w:pStyle w:val="15"/>
        <w:jc w:val="center"/>
        <w:rPr>
          <w:rFonts w:hint="eastAsia" w:ascii="宋体" w:hAnsi="宋体" w:eastAsia="宋体"/>
          <w:b/>
          <w:bCs/>
          <w:szCs w:val="28"/>
        </w:rPr>
      </w:pPr>
      <w:bookmarkStart w:id="1" w:name="_Toc355772882"/>
      <w:bookmarkStart w:id="2" w:name="_Toc357086824"/>
      <w:r>
        <w:rPr>
          <w:rFonts w:hint="eastAsia" w:ascii="宋体" w:hAnsi="宋体" w:eastAsia="宋体"/>
          <w:b/>
          <w:bCs/>
          <w:szCs w:val="28"/>
        </w:rPr>
        <w:t>第一节  供货范围、技术规格、参数与要求</w:t>
      </w:r>
      <w:bookmarkEnd w:id="1"/>
      <w:bookmarkEnd w:id="2"/>
    </w:p>
    <w:p>
      <w:pPr>
        <w:adjustRightInd w:val="0"/>
        <w:snapToGrid w:val="0"/>
        <w:spacing w:before="312" w:beforeLines="100" w:after="312" w:afterLines="100" w:line="360" w:lineRule="auto"/>
        <w:ind w:left="2246" w:leftChars="-5" w:hanging="2256" w:hangingChars="1070"/>
        <w:jc w:val="left"/>
        <w:rPr>
          <w:rFonts w:hint="eastAsia"/>
          <w:b/>
        </w:rPr>
      </w:pPr>
      <w:r>
        <w:rPr>
          <w:rFonts w:hint="eastAsia"/>
          <w:b/>
        </w:rPr>
        <w:t>一、货物需求一览表</w:t>
      </w:r>
    </w:p>
    <w:tbl>
      <w:tblPr>
        <w:tblStyle w:val="11"/>
        <w:tblW w:w="91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09"/>
        <w:gridCol w:w="1570"/>
        <w:gridCol w:w="1559"/>
        <w:gridCol w:w="546"/>
        <w:gridCol w:w="720"/>
        <w:gridCol w:w="1569"/>
        <w:gridCol w:w="1560"/>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序号</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名称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规格型号</w:t>
            </w: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数量</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交货时间</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交货地点</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电动葫芦</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BCD 10T-50M</w:t>
            </w: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台</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2</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补连塔选煤厂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每套主要包括</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2</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备品备件</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批/台</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补连塔选煤厂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3</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专用工具</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套/台</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补连塔选煤厂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4</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技术资料</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6</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补连塔选煤厂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70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5</w:t>
            </w:r>
          </w:p>
        </w:tc>
        <w:tc>
          <w:tcPr>
            <w:tcW w:w="157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安装、检验取证及注册登记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c>
          <w:tcPr>
            <w:tcW w:w="546"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套/台</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lang w:eastAsia="zh-CN"/>
              </w:rPr>
            </w:pPr>
            <w:r>
              <w:rPr>
                <w:rFonts w:hint="eastAsia" w:ascii="宋体" w:hAnsi="宋体"/>
                <w:szCs w:val="21"/>
                <w:lang w:val="en-US" w:eastAsia="zh-CN"/>
              </w:rPr>
              <w:t>2</w:t>
            </w:r>
          </w:p>
        </w:tc>
        <w:tc>
          <w:tcPr>
            <w:tcW w:w="1569"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自合同签订之日起1个月内交货</w:t>
            </w:r>
          </w:p>
        </w:tc>
        <w:tc>
          <w:tcPr>
            <w:tcW w:w="1560"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r>
              <w:rPr>
                <w:rFonts w:hint="eastAsia" w:ascii="宋体" w:hAnsi="宋体"/>
                <w:szCs w:val="21"/>
              </w:rPr>
              <w:t>补连塔选煤厂</w:t>
            </w:r>
          </w:p>
        </w:tc>
        <w:tc>
          <w:tcPr>
            <w:tcW w:w="945" w:type="dxa"/>
            <w:tcBorders>
              <w:top w:val="single" w:color="auto" w:sz="4" w:space="0"/>
              <w:left w:val="single" w:color="auto" w:sz="4" w:space="0"/>
              <w:bottom w:val="single" w:color="auto" w:sz="4" w:space="0"/>
              <w:right w:val="single" w:color="auto" w:sz="4" w:space="0"/>
            </w:tcBorders>
            <w:vAlign w:val="center"/>
          </w:tcPr>
          <w:p>
            <w:pPr>
              <w:tabs>
                <w:tab w:val="left" w:pos="6840"/>
              </w:tabs>
              <w:adjustRightInd w:val="0"/>
              <w:snapToGrid w:val="0"/>
              <w:jc w:val="center"/>
              <w:rPr>
                <w:rFonts w:hint="eastAsia" w:ascii="宋体" w:hAnsi="宋体"/>
                <w:szCs w:val="21"/>
              </w:rPr>
            </w:pPr>
          </w:p>
        </w:tc>
      </w:tr>
    </w:tbl>
    <w:p>
      <w:pPr>
        <w:spacing w:line="360" w:lineRule="auto"/>
        <w:ind w:firstLine="482" w:firstLineChars="200"/>
        <w:jc w:val="center"/>
        <w:rPr>
          <w:rFonts w:hint="eastAsia" w:ascii="宋体" w:hAnsi="宋体"/>
          <w:b/>
          <w:bCs/>
          <w:sz w:val="24"/>
        </w:rPr>
      </w:pPr>
      <w:r>
        <w:rPr>
          <w:rFonts w:hint="eastAsia" w:ascii="宋体" w:hAnsi="宋体"/>
          <w:b/>
          <w:bCs/>
          <w:sz w:val="24"/>
        </w:rPr>
        <w:t>分项报价表</w:t>
      </w:r>
    </w:p>
    <w:tbl>
      <w:tblPr>
        <w:tblStyle w:val="11"/>
        <w:tblpPr w:leftFromText="180" w:rightFromText="180" w:vertAnchor="text" w:horzAnchor="margin" w:tblpXSpec="center" w:tblpY="15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268"/>
        <w:gridCol w:w="993"/>
        <w:gridCol w:w="897"/>
        <w:gridCol w:w="1365"/>
        <w:gridCol w:w="2100"/>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序号</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名　称</w:t>
            </w:r>
          </w:p>
        </w:tc>
        <w:tc>
          <w:tcPr>
            <w:tcW w:w="993"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单位</w:t>
            </w:r>
          </w:p>
        </w:tc>
        <w:tc>
          <w:tcPr>
            <w:tcW w:w="897"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数量</w:t>
            </w:r>
          </w:p>
        </w:tc>
        <w:tc>
          <w:tcPr>
            <w:tcW w:w="136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单价</w:t>
            </w:r>
          </w:p>
          <w:p>
            <w:pPr>
              <w:tabs>
                <w:tab w:val="left" w:pos="6840"/>
              </w:tabs>
              <w:adjustRightInd w:val="0"/>
              <w:snapToGrid w:val="0"/>
              <w:jc w:val="center"/>
              <w:rPr>
                <w:rFonts w:hint="eastAsia" w:ascii="宋体" w:hAnsi="宋体"/>
                <w:szCs w:val="21"/>
              </w:rPr>
            </w:pPr>
            <w:r>
              <w:rPr>
                <w:rFonts w:hint="eastAsia" w:ascii="宋体" w:hAnsi="宋体"/>
                <w:szCs w:val="21"/>
              </w:rPr>
              <w:t>（万元）</w:t>
            </w:r>
          </w:p>
        </w:tc>
        <w:tc>
          <w:tcPr>
            <w:tcW w:w="2100"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总计</w:t>
            </w:r>
          </w:p>
          <w:p>
            <w:pPr>
              <w:tabs>
                <w:tab w:val="left" w:pos="6840"/>
              </w:tabs>
              <w:adjustRightInd w:val="0"/>
              <w:snapToGrid w:val="0"/>
              <w:jc w:val="center"/>
              <w:rPr>
                <w:rFonts w:hint="eastAsia" w:ascii="宋体" w:hAnsi="宋体"/>
                <w:szCs w:val="21"/>
              </w:rPr>
            </w:pPr>
            <w:r>
              <w:rPr>
                <w:rFonts w:hint="eastAsia" w:ascii="宋体" w:hAnsi="宋体"/>
                <w:szCs w:val="21"/>
              </w:rPr>
              <w:t>（万元）</w:t>
            </w:r>
          </w:p>
        </w:tc>
        <w:tc>
          <w:tcPr>
            <w:tcW w:w="1166" w:type="dxa"/>
          </w:tcPr>
          <w:p>
            <w:pPr>
              <w:tabs>
                <w:tab w:val="left" w:pos="6840"/>
              </w:tabs>
              <w:adjustRightInd w:val="0"/>
              <w:snapToGrid w:val="0"/>
              <w:jc w:val="center"/>
              <w:rPr>
                <w:rFonts w:hint="eastAsia"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电动葫芦</w:t>
            </w:r>
          </w:p>
        </w:tc>
        <w:tc>
          <w:tcPr>
            <w:tcW w:w="993"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台</w:t>
            </w:r>
          </w:p>
        </w:tc>
        <w:tc>
          <w:tcPr>
            <w:tcW w:w="897"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2</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每套包括</w:t>
            </w:r>
          </w:p>
        </w:tc>
        <w:tc>
          <w:tcPr>
            <w:tcW w:w="993" w:type="dxa"/>
            <w:vAlign w:val="center"/>
          </w:tcPr>
          <w:p>
            <w:pPr>
              <w:tabs>
                <w:tab w:val="left" w:pos="6840"/>
              </w:tabs>
              <w:adjustRightInd w:val="0"/>
              <w:snapToGrid w:val="0"/>
              <w:jc w:val="center"/>
              <w:rPr>
                <w:rFonts w:hint="eastAsia" w:ascii="宋体" w:hAnsi="宋体"/>
                <w:szCs w:val="21"/>
              </w:rPr>
            </w:pPr>
          </w:p>
        </w:tc>
        <w:tc>
          <w:tcPr>
            <w:tcW w:w="897" w:type="dxa"/>
            <w:vAlign w:val="center"/>
          </w:tcPr>
          <w:p>
            <w:pPr>
              <w:tabs>
                <w:tab w:val="left" w:pos="6840"/>
              </w:tabs>
              <w:adjustRightInd w:val="0"/>
              <w:snapToGrid w:val="0"/>
              <w:jc w:val="center"/>
              <w:rPr>
                <w:rFonts w:hint="eastAsia" w:ascii="宋体" w:hAnsi="宋体"/>
                <w:szCs w:val="21"/>
              </w:rPr>
            </w:pP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电气控制箱</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1.2</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控制按钮</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1.3</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控制电缆</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1.4</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电动葫芦行走机构</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台</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2</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1.5</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起升电动机</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台</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1.6</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卷筒</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件</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1.7</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卷筒外罩</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件</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1.8</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减速机</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1.9</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断火限位器</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件</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1.10</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钢丝绳</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根</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1.11</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吊钩</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件</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1.12</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起重限制器</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1.13</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遥控装置</w:t>
            </w:r>
          </w:p>
        </w:tc>
        <w:tc>
          <w:tcPr>
            <w:tcW w:w="993" w:type="dxa"/>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1.14</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 xml:space="preserve">     导绳器</w:t>
            </w:r>
          </w:p>
        </w:tc>
        <w:tc>
          <w:tcPr>
            <w:tcW w:w="993"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套</w:t>
            </w:r>
          </w:p>
        </w:tc>
        <w:tc>
          <w:tcPr>
            <w:tcW w:w="897"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1.15</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配套线缆及安装附件</w:t>
            </w:r>
          </w:p>
        </w:tc>
        <w:tc>
          <w:tcPr>
            <w:tcW w:w="993"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套/台</w:t>
            </w:r>
          </w:p>
        </w:tc>
        <w:tc>
          <w:tcPr>
            <w:tcW w:w="897"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2</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备品备件</w:t>
            </w:r>
          </w:p>
        </w:tc>
        <w:tc>
          <w:tcPr>
            <w:tcW w:w="993"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套/台</w:t>
            </w:r>
          </w:p>
        </w:tc>
        <w:tc>
          <w:tcPr>
            <w:tcW w:w="897"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1</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3</w:t>
            </w: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安装、检验取证及注册登记</w:t>
            </w:r>
          </w:p>
        </w:tc>
        <w:tc>
          <w:tcPr>
            <w:tcW w:w="993"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套/台</w:t>
            </w:r>
          </w:p>
        </w:tc>
        <w:tc>
          <w:tcPr>
            <w:tcW w:w="897"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2</w:t>
            </w: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675" w:type="dxa"/>
            <w:vAlign w:val="center"/>
          </w:tcPr>
          <w:p>
            <w:pPr>
              <w:tabs>
                <w:tab w:val="left" w:pos="6840"/>
              </w:tabs>
              <w:adjustRightInd w:val="0"/>
              <w:snapToGrid w:val="0"/>
              <w:jc w:val="center"/>
              <w:rPr>
                <w:rFonts w:hint="eastAsia" w:ascii="宋体" w:hAnsi="宋体"/>
                <w:szCs w:val="21"/>
              </w:rPr>
            </w:pPr>
          </w:p>
        </w:tc>
        <w:tc>
          <w:tcPr>
            <w:tcW w:w="2268" w:type="dxa"/>
            <w:vAlign w:val="center"/>
          </w:tcPr>
          <w:p>
            <w:pPr>
              <w:tabs>
                <w:tab w:val="left" w:pos="6840"/>
              </w:tabs>
              <w:adjustRightInd w:val="0"/>
              <w:snapToGrid w:val="0"/>
              <w:jc w:val="center"/>
              <w:rPr>
                <w:rFonts w:hint="eastAsia" w:ascii="宋体" w:hAnsi="宋体"/>
                <w:szCs w:val="21"/>
              </w:rPr>
            </w:pPr>
            <w:r>
              <w:rPr>
                <w:rFonts w:hint="eastAsia" w:ascii="宋体" w:hAnsi="宋体"/>
                <w:szCs w:val="21"/>
              </w:rPr>
              <w:t>合计</w:t>
            </w:r>
          </w:p>
        </w:tc>
        <w:tc>
          <w:tcPr>
            <w:tcW w:w="993" w:type="dxa"/>
            <w:vAlign w:val="center"/>
          </w:tcPr>
          <w:p>
            <w:pPr>
              <w:tabs>
                <w:tab w:val="left" w:pos="6840"/>
              </w:tabs>
              <w:adjustRightInd w:val="0"/>
              <w:snapToGrid w:val="0"/>
              <w:jc w:val="center"/>
              <w:rPr>
                <w:rFonts w:hint="eastAsia" w:ascii="宋体" w:hAnsi="宋体"/>
                <w:szCs w:val="21"/>
              </w:rPr>
            </w:pPr>
          </w:p>
        </w:tc>
        <w:tc>
          <w:tcPr>
            <w:tcW w:w="897" w:type="dxa"/>
            <w:vAlign w:val="center"/>
          </w:tcPr>
          <w:p>
            <w:pPr>
              <w:tabs>
                <w:tab w:val="left" w:pos="6840"/>
              </w:tabs>
              <w:adjustRightInd w:val="0"/>
              <w:snapToGrid w:val="0"/>
              <w:jc w:val="center"/>
              <w:rPr>
                <w:rFonts w:hint="eastAsia" w:ascii="宋体" w:hAnsi="宋体"/>
                <w:szCs w:val="21"/>
              </w:rPr>
            </w:pPr>
          </w:p>
        </w:tc>
        <w:tc>
          <w:tcPr>
            <w:tcW w:w="1365" w:type="dxa"/>
            <w:vAlign w:val="center"/>
          </w:tcPr>
          <w:p>
            <w:pPr>
              <w:tabs>
                <w:tab w:val="left" w:pos="6840"/>
              </w:tabs>
              <w:adjustRightInd w:val="0"/>
              <w:snapToGrid w:val="0"/>
              <w:jc w:val="center"/>
              <w:rPr>
                <w:rFonts w:hint="eastAsia" w:ascii="宋体" w:hAnsi="宋体"/>
                <w:szCs w:val="21"/>
              </w:rPr>
            </w:pPr>
          </w:p>
        </w:tc>
        <w:tc>
          <w:tcPr>
            <w:tcW w:w="2100" w:type="dxa"/>
            <w:vAlign w:val="center"/>
          </w:tcPr>
          <w:p>
            <w:pPr>
              <w:tabs>
                <w:tab w:val="left" w:pos="6840"/>
              </w:tabs>
              <w:adjustRightInd w:val="0"/>
              <w:snapToGrid w:val="0"/>
              <w:jc w:val="center"/>
              <w:rPr>
                <w:rFonts w:hint="eastAsia" w:ascii="宋体" w:hAnsi="宋体"/>
                <w:szCs w:val="21"/>
              </w:rPr>
            </w:pPr>
          </w:p>
        </w:tc>
        <w:tc>
          <w:tcPr>
            <w:tcW w:w="1166" w:type="dxa"/>
          </w:tcPr>
          <w:p>
            <w:pPr>
              <w:tabs>
                <w:tab w:val="left" w:pos="6840"/>
              </w:tabs>
              <w:adjustRightInd w:val="0"/>
              <w:snapToGrid w:val="0"/>
              <w:jc w:val="center"/>
              <w:rPr>
                <w:rFonts w:hint="eastAsia" w:ascii="宋体" w:hAnsi="宋体"/>
                <w:szCs w:val="21"/>
              </w:rPr>
            </w:pPr>
          </w:p>
        </w:tc>
      </w:tr>
    </w:tbl>
    <w:p>
      <w:pPr>
        <w:tabs>
          <w:tab w:val="left" w:pos="6840"/>
        </w:tabs>
        <w:adjustRightInd w:val="0"/>
        <w:spacing w:line="348" w:lineRule="auto"/>
        <w:ind w:firstLine="289" w:firstLineChars="137"/>
        <w:rPr>
          <w:rFonts w:hint="eastAsia" w:ascii="宋体" w:hAnsi="宋体"/>
          <w:b/>
          <w:bCs/>
          <w:szCs w:val="21"/>
        </w:rPr>
      </w:pPr>
      <w:r>
        <w:rPr>
          <w:rFonts w:hint="eastAsia" w:ascii="宋体" w:hAnsi="宋体"/>
          <w:b/>
          <w:bCs/>
          <w:szCs w:val="21"/>
        </w:rPr>
        <w:t>二、工作环境</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最高温度：+40℃。</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最低温度：-30℃。</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年平均气温：+15℃。</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环境相对湿度：95％。</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地震烈度：7级。</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海拔高度： ≤1400m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用途：补连塔选煤厂236胶带机机头和507胶带机机头吊装用。</w:t>
      </w:r>
    </w:p>
    <w:p>
      <w:pPr>
        <w:widowControl/>
        <w:adjustRightInd w:val="0"/>
        <w:snapToGrid w:val="0"/>
        <w:spacing w:line="360" w:lineRule="exact"/>
        <w:rPr>
          <w:rFonts w:asciiTheme="minorEastAsia" w:hAnsiTheme="minorEastAsia" w:eastAsiaTheme="minorEastAsia"/>
          <w:b/>
          <w:sz w:val="22"/>
          <w:szCs w:val="22"/>
        </w:rPr>
      </w:pPr>
      <w:r>
        <w:rPr>
          <w:rFonts w:hint="eastAsia" w:asciiTheme="minorEastAsia" w:hAnsiTheme="minorEastAsia" w:eastAsiaTheme="minorEastAsia"/>
          <w:b/>
          <w:sz w:val="22"/>
          <w:szCs w:val="22"/>
        </w:rPr>
        <w:t>三、技术参数及要求</w:t>
      </w:r>
    </w:p>
    <w:p>
      <w:pPr>
        <w:widowControl/>
        <w:adjustRightInd w:val="0"/>
        <w:snapToGrid w:val="0"/>
        <w:spacing w:line="360" w:lineRule="exact"/>
        <w:ind w:left="730" w:leftChars="135" w:hanging="447" w:hangingChars="212"/>
        <w:rPr>
          <w:rFonts w:asciiTheme="minorEastAsia" w:hAnsiTheme="minorEastAsia" w:eastAsiaTheme="minorEastAsia"/>
          <w:b/>
          <w:szCs w:val="21"/>
        </w:rPr>
      </w:pPr>
      <w:r>
        <w:rPr>
          <w:rFonts w:hint="eastAsia" w:asciiTheme="minorEastAsia" w:hAnsiTheme="minorEastAsia" w:eastAsiaTheme="minorEastAsia"/>
          <w:b/>
          <w:szCs w:val="21"/>
        </w:rPr>
        <w:t>1. 技术参数</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1.1参考型号：BCD 10T-50M。</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1.2额定起升吨位：10T。</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1.3起升高度：50M。</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1.4 电动葫芦供电电压：660V。</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1.5工作级别：A3。</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1.6操作方式：地操+按钮式遥控器两种操作方式具有互锁功能。</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1.7工作速度</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1.7.1起升速度：7 m/min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1.7.2电动葫芦运行速度：20m/min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1.8起升电动机：</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1.8.1参考型号:BZD141-4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△1.8.2功率:≥18.5KW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1.8.3电压:660V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△1.8.4转速:1400r/min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1.8.5防爆等级：Exd I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1.8.6外壳防护等级：不低于IP55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1.8.7绝缘等级：不低于F级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1.9电动葫芦行走装置电动机：</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1.9.1参考型号: BZDY121-4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△1.9.2功率:≥4KW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1.9.3电压:660V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△1.9.4转速:1380r/min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1.9.5防爆等级：Exd I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1.9.6外壳防护等级：不低于IP55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1.9.7绝缘等级：不低于F级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△1.10配套减速机：要求供货商根据上述条件配套对应减速机（包括起升和行走机构）。</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1.11制动要求：制动器电机自带，制动轮的跳动度、椭圆率和锥度不应超过0.0005D。</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1.12吊钩材质要求：DG20Mn 。</w:t>
      </w:r>
    </w:p>
    <w:p>
      <w:pPr>
        <w:adjustRightInd w:val="0"/>
        <w:snapToGrid w:val="0"/>
        <w:spacing w:line="360" w:lineRule="auto"/>
        <w:ind w:left="708" w:leftChars="137" w:hanging="420" w:hangingChars="200"/>
        <w:rPr>
          <w:rFonts w:hint="eastAsia" w:ascii="宋体" w:hAnsi="宋体"/>
          <w:szCs w:val="21"/>
          <w:lang w:eastAsia="zh-CN"/>
        </w:rPr>
      </w:pPr>
      <w:r>
        <w:rPr>
          <w:rFonts w:hint="eastAsia" w:ascii="宋体" w:hAnsi="宋体"/>
          <w:szCs w:val="21"/>
        </w:rPr>
        <w:t xml:space="preserve">* 1.13钢丝绳要求：不小于6*37+1直径15mm </w:t>
      </w:r>
      <w:r>
        <w:rPr>
          <w:rFonts w:hint="eastAsia" w:ascii="宋体" w:hAnsi="宋体"/>
          <w:szCs w:val="21"/>
          <w:lang w:eastAsia="zh-CN"/>
        </w:rPr>
        <w:t>，</w:t>
      </w:r>
      <w:r>
        <w:rPr>
          <w:rFonts w:hint="eastAsia" w:ascii="宋体" w:hAnsi="宋体"/>
          <w:szCs w:val="21"/>
        </w:rPr>
        <w:t>要有很高的强度与韧性,采用含碳量为0.5%~0.8%的优质碳素钢制作,而且含硫、磷量不应大于0.035%.</w:t>
      </w:r>
      <w:r>
        <w:rPr>
          <w:rFonts w:hint="eastAsia" w:ascii="宋体" w:hAnsi="宋体"/>
          <w:szCs w:val="21"/>
          <w:lang w:eastAsia="zh-CN"/>
        </w:rPr>
        <w:t>钢</w:t>
      </w:r>
      <w:r>
        <w:rPr>
          <w:rFonts w:hint="eastAsia" w:ascii="宋体" w:hAnsi="宋体"/>
          <w:szCs w:val="21"/>
        </w:rPr>
        <w:t>应选用&lt;</w:t>
      </w:r>
      <w:r>
        <w:rPr>
          <w:rFonts w:hint="eastAsia" w:ascii="宋体" w:hAnsi="宋体"/>
          <w:szCs w:val="21"/>
          <w:lang w:eastAsia="zh-CN"/>
        </w:rPr>
        <w:t>国家标准</w:t>
      </w:r>
      <w:r>
        <w:rPr>
          <w:rFonts w:hint="eastAsia" w:ascii="宋体" w:hAnsi="宋体"/>
          <w:szCs w:val="21"/>
        </w:rPr>
        <w:t>优质碳素结构钢技术条件&gt;中的50,60和65号钢</w:t>
      </w:r>
      <w:r>
        <w:rPr>
          <w:rFonts w:hint="eastAsia" w:ascii="宋体" w:hAnsi="宋体"/>
          <w:szCs w:val="21"/>
          <w:lang w:eastAsia="zh-CN"/>
        </w:rPr>
        <w:t>。</w:t>
      </w:r>
    </w:p>
    <w:p>
      <w:pPr>
        <w:adjustRightInd w:val="0"/>
        <w:snapToGrid w:val="0"/>
        <w:spacing w:line="360" w:lineRule="auto"/>
        <w:ind w:left="708" w:leftChars="137" w:hanging="420" w:hangingChars="200"/>
        <w:rPr>
          <w:rFonts w:hint="eastAsia" w:ascii="宋体" w:hAnsi="宋体"/>
          <w:szCs w:val="21"/>
          <w:lang w:eastAsia="zh-CN"/>
        </w:rPr>
      </w:pPr>
      <w:r>
        <w:rPr>
          <w:rFonts w:hint="eastAsia" w:ascii="宋体" w:hAnsi="宋体"/>
          <w:szCs w:val="21"/>
        </w:rPr>
        <w:t>* 1.14捻股</w:t>
      </w:r>
      <w:r>
        <w:rPr>
          <w:rFonts w:hint="eastAsia" w:ascii="宋体" w:hAnsi="宋体"/>
          <w:szCs w:val="21"/>
          <w:lang w:eastAsia="zh-CN"/>
        </w:rPr>
        <w:t>要求：采用</w:t>
      </w:r>
      <w:r>
        <w:rPr>
          <w:rFonts w:hint="eastAsia" w:ascii="宋体" w:hAnsi="宋体"/>
          <w:szCs w:val="21"/>
        </w:rPr>
        <w:t>钢丝绳直径 0.1～6.0mm 圆断面的碳素钢丝</w:t>
      </w:r>
      <w:r>
        <w:rPr>
          <w:rFonts w:hint="eastAsia" w:ascii="宋体" w:hAnsi="宋体"/>
          <w:szCs w:val="21"/>
          <w:lang w:eastAsia="zh-CN"/>
        </w:rPr>
        <w:t>，</w:t>
      </w:r>
      <w:r>
        <w:rPr>
          <w:rFonts w:hint="eastAsia" w:ascii="宋体" w:hAnsi="宋体"/>
          <w:szCs w:val="21"/>
        </w:rPr>
        <w:t>捻制密封钢丝绳时，采用 Z形</w:t>
      </w:r>
      <w:r>
        <w:rPr>
          <w:rFonts w:hint="eastAsia" w:ascii="宋体" w:hAnsi="宋体"/>
          <w:szCs w:val="21"/>
          <w:lang w:eastAsia="zh-CN"/>
        </w:rPr>
        <w:t>或</w:t>
      </w:r>
      <w:r>
        <w:rPr>
          <w:rFonts w:hint="eastAsia" w:ascii="宋体" w:hAnsi="宋体"/>
          <w:szCs w:val="21"/>
        </w:rPr>
        <w:t>其他异型钢丝</w:t>
      </w:r>
      <w:r>
        <w:rPr>
          <w:rFonts w:hint="eastAsia" w:ascii="宋体" w:hAnsi="宋体"/>
          <w:szCs w:val="21"/>
          <w:lang w:eastAsia="zh-CN"/>
        </w:rPr>
        <w:t>；</w:t>
      </w:r>
      <w:r>
        <w:rPr>
          <w:rFonts w:hint="eastAsia" w:ascii="宋体" w:hAnsi="宋体"/>
          <w:szCs w:val="21"/>
        </w:rPr>
        <w:t>钢丝绳的用途</w:t>
      </w:r>
      <w:r>
        <w:rPr>
          <w:rFonts w:hint="eastAsia" w:ascii="宋体" w:hAnsi="宋体"/>
          <w:szCs w:val="21"/>
          <w:lang w:eastAsia="zh-CN"/>
        </w:rPr>
        <w:t>为</w:t>
      </w:r>
      <w:r>
        <w:rPr>
          <w:rFonts w:hint="eastAsia" w:ascii="宋体" w:hAnsi="宋体"/>
          <w:szCs w:val="21"/>
        </w:rPr>
        <w:t>有悬吊桥梁用绳捻股</w:t>
      </w:r>
      <w:r>
        <w:rPr>
          <w:rFonts w:hint="eastAsia" w:ascii="宋体" w:hAnsi="宋体"/>
          <w:szCs w:val="21"/>
          <w:lang w:eastAsia="zh-CN"/>
        </w:rPr>
        <w:t>，</w:t>
      </w:r>
      <w:r>
        <w:rPr>
          <w:rFonts w:hint="eastAsia" w:ascii="宋体" w:hAnsi="宋体"/>
          <w:szCs w:val="21"/>
        </w:rPr>
        <w:t>为确保钢丝绳使用的安全性和可靠性,要求钢丝绳有足够的强度,良好的挠性、捻制的密实性、抗压性、耐磨性、耐腐蚀性和抗疲劳强度</w:t>
      </w:r>
      <w:r>
        <w:rPr>
          <w:rFonts w:hint="eastAsia" w:ascii="宋体" w:hAnsi="宋体"/>
          <w:szCs w:val="21"/>
          <w:lang w:eastAsia="zh-CN"/>
        </w:rPr>
        <w:t>；</w:t>
      </w:r>
      <w:r>
        <w:rPr>
          <w:rFonts w:hint="eastAsia" w:ascii="宋体" w:hAnsi="宋体"/>
          <w:szCs w:val="21"/>
        </w:rPr>
        <w:t>钢丝绳的截面结构有面接触圆股</w:t>
      </w:r>
      <w:r>
        <w:rPr>
          <w:rFonts w:hint="eastAsia" w:ascii="宋体" w:hAnsi="宋体"/>
          <w:szCs w:val="21"/>
          <w:lang w:eastAsia="zh-CN"/>
        </w:rPr>
        <w:t>，</w:t>
      </w:r>
      <w:bookmarkStart w:id="3" w:name="OLE_LINK2"/>
      <w:r>
        <w:rPr>
          <w:rFonts w:hint="eastAsia" w:ascii="宋体" w:hAnsi="宋体"/>
          <w:szCs w:val="21"/>
        </w:rPr>
        <w:t>面</w:t>
      </w:r>
      <w:bookmarkEnd w:id="3"/>
      <w:r>
        <w:rPr>
          <w:rFonts w:hint="eastAsia" w:ascii="宋体" w:hAnsi="宋体"/>
          <w:szCs w:val="21"/>
        </w:rPr>
        <w:t>接触圆股钢丝绳是靠捻股的牵引力将线接触绳股</w:t>
      </w:r>
      <w:bookmarkStart w:id="4" w:name="OLE_LINK1"/>
      <w:r>
        <w:rPr>
          <w:rFonts w:hint="eastAsia" w:ascii="宋体" w:hAnsi="宋体"/>
          <w:szCs w:val="21"/>
          <w:lang w:eastAsia="zh-CN"/>
        </w:rPr>
        <w:t>；</w:t>
      </w:r>
      <w:r>
        <w:rPr>
          <w:rFonts w:hint="eastAsia" w:ascii="宋体" w:hAnsi="宋体"/>
          <w:szCs w:val="21"/>
        </w:rPr>
        <w:t>钢丝绳都必须涂油</w:t>
      </w:r>
      <w:r>
        <w:rPr>
          <w:rFonts w:hint="eastAsia" w:ascii="宋体" w:hAnsi="宋体"/>
          <w:szCs w:val="21"/>
          <w:lang w:eastAsia="zh-CN"/>
        </w:rPr>
        <w:t>，</w:t>
      </w:r>
      <w:r>
        <w:rPr>
          <w:rFonts w:hint="eastAsia" w:ascii="宋体" w:hAnsi="宋体"/>
          <w:szCs w:val="21"/>
        </w:rPr>
        <w:t>纤维芯浸油，要求油脂能够保护纤维芯不腐烂、不锈蚀钢丝,滋润</w:t>
      </w:r>
      <w:bookmarkStart w:id="11" w:name="_GoBack"/>
      <w:bookmarkEnd w:id="11"/>
      <w:r>
        <w:rPr>
          <w:rFonts w:hint="eastAsia" w:ascii="宋体" w:hAnsi="宋体"/>
          <w:szCs w:val="21"/>
        </w:rPr>
        <w:t>纤维,并从内部润滑钢丝绳</w:t>
      </w:r>
      <w:r>
        <w:rPr>
          <w:rFonts w:hint="eastAsia" w:ascii="宋体" w:hAnsi="宋体"/>
          <w:szCs w:val="21"/>
          <w:lang w:eastAsia="zh-CN"/>
        </w:rPr>
        <w:t>，</w:t>
      </w:r>
      <w:r>
        <w:rPr>
          <w:rFonts w:hint="eastAsia" w:ascii="宋体" w:hAnsi="宋体"/>
          <w:szCs w:val="21"/>
        </w:rPr>
        <w:t>表面涂油使绳股中所有钢丝表面都均匀地涂上一层防锈润滑油脂，其中对摩擦提升和水大的</w:t>
      </w:r>
      <w:r>
        <w:rPr>
          <w:rFonts w:hint="eastAsia" w:ascii="宋体" w:hAnsi="宋体"/>
          <w:szCs w:val="21"/>
          <w:lang w:eastAsia="zh-CN"/>
        </w:rPr>
        <w:t>现场</w:t>
      </w:r>
      <w:r>
        <w:rPr>
          <w:rFonts w:hint="eastAsia" w:ascii="宋体" w:hAnsi="宋体"/>
          <w:szCs w:val="21"/>
        </w:rPr>
        <w:t>用绳，要涂增磨和抗水性强的黑油油脂</w:t>
      </w:r>
      <w:r>
        <w:rPr>
          <w:rFonts w:hint="eastAsia" w:ascii="宋体" w:hAnsi="宋体"/>
          <w:szCs w:val="21"/>
          <w:lang w:eastAsia="zh-CN"/>
        </w:rPr>
        <w:t>。</w:t>
      </w:r>
      <w:r>
        <w:rPr>
          <w:rFonts w:hint="eastAsia" w:ascii="宋体" w:hAnsi="宋体"/>
          <w:szCs w:val="21"/>
        </w:rPr>
        <w:t>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1.1</w:t>
      </w:r>
      <w:bookmarkEnd w:id="4"/>
      <w:r>
        <w:rPr>
          <w:rFonts w:hint="eastAsia" w:ascii="宋体" w:hAnsi="宋体"/>
          <w:szCs w:val="21"/>
          <w:lang w:val="en-US" w:eastAsia="zh-CN"/>
        </w:rPr>
        <w:t>5</w:t>
      </w:r>
      <w:r>
        <w:rPr>
          <w:rFonts w:hint="eastAsia" w:ascii="宋体" w:hAnsi="宋体"/>
          <w:szCs w:val="21"/>
        </w:rPr>
        <w:t>起重限制器、断火限位：要求动作灵敏。</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1.1</w:t>
      </w:r>
      <w:r>
        <w:rPr>
          <w:rFonts w:hint="eastAsia" w:ascii="宋体" w:hAnsi="宋体"/>
          <w:szCs w:val="21"/>
          <w:lang w:val="en-US" w:eastAsia="zh-CN"/>
        </w:rPr>
        <w:t>6</w:t>
      </w:r>
      <w:r>
        <w:rPr>
          <w:rFonts w:hint="eastAsia" w:ascii="宋体" w:hAnsi="宋体"/>
          <w:szCs w:val="21"/>
        </w:rPr>
        <w:t>电气控制箱防爆等级：Exd I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△1.1</w:t>
      </w:r>
      <w:r>
        <w:rPr>
          <w:rFonts w:hint="eastAsia" w:ascii="宋体" w:hAnsi="宋体"/>
          <w:szCs w:val="21"/>
          <w:lang w:val="en-US" w:eastAsia="zh-CN"/>
        </w:rPr>
        <w:t>7</w:t>
      </w:r>
      <w:r>
        <w:rPr>
          <w:rFonts w:hint="eastAsia" w:ascii="宋体" w:hAnsi="宋体"/>
          <w:szCs w:val="21"/>
        </w:rPr>
        <w:t>颜色：整机为桔黄色 。</w:t>
      </w:r>
    </w:p>
    <w:p>
      <w:pPr>
        <w:widowControl/>
        <w:numPr>
          <w:ilvl w:val="0"/>
          <w:numId w:val="1"/>
        </w:numPr>
        <w:adjustRightInd w:val="0"/>
        <w:snapToGrid w:val="0"/>
        <w:spacing w:line="360" w:lineRule="exact"/>
        <w:rPr>
          <w:rFonts w:hint="eastAsia" w:asciiTheme="minorEastAsia" w:hAnsiTheme="minorEastAsia" w:eastAsiaTheme="minorEastAsia"/>
          <w:b/>
          <w:sz w:val="22"/>
          <w:szCs w:val="22"/>
        </w:rPr>
      </w:pPr>
      <w:r>
        <w:rPr>
          <w:rFonts w:hint="eastAsia" w:asciiTheme="minorEastAsia" w:hAnsiTheme="minorEastAsia" w:eastAsiaTheme="minorEastAsia"/>
          <w:b/>
          <w:sz w:val="22"/>
          <w:szCs w:val="22"/>
        </w:rPr>
        <w:t>技术要求</w:t>
      </w:r>
    </w:p>
    <w:p>
      <w:pPr>
        <w:widowControl/>
        <w:numPr>
          <w:ilvl w:val="0"/>
          <w:numId w:val="0"/>
        </w:numPr>
        <w:adjustRightInd w:val="0"/>
        <w:snapToGrid w:val="0"/>
        <w:spacing w:line="360" w:lineRule="exact"/>
        <w:rPr>
          <w:rFonts w:hint="eastAsia" w:asciiTheme="minorEastAsia" w:hAnsiTheme="minorEastAsia" w:eastAsiaTheme="minorEastAsia"/>
          <w:b/>
          <w:sz w:val="22"/>
          <w:szCs w:val="22"/>
        </w:rPr>
      </w:pP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1</w:t>
      </w:r>
      <w:r>
        <w:rPr>
          <w:rFonts w:hint="eastAsia" w:ascii="宋体" w:hAnsi="宋体"/>
          <w:szCs w:val="21"/>
        </w:rPr>
        <w:t>各机构的轴承要求：符合国标要求。</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2</w:t>
      </w:r>
      <w:r>
        <w:rPr>
          <w:rFonts w:hint="eastAsia" w:ascii="宋体" w:hAnsi="宋体"/>
          <w:szCs w:val="21"/>
        </w:rPr>
        <w:t>主要零部件材料应符合起重机相关标准的要求。</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3</w:t>
      </w:r>
      <w:r>
        <w:rPr>
          <w:rFonts w:hint="eastAsia" w:ascii="宋体" w:hAnsi="宋体"/>
          <w:szCs w:val="21"/>
        </w:rPr>
        <w:t>吊钩要求：锻制。</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4</w:t>
      </w:r>
      <w:r>
        <w:rPr>
          <w:rFonts w:hint="eastAsia" w:ascii="宋体" w:hAnsi="宋体"/>
          <w:szCs w:val="21"/>
        </w:rPr>
        <w:t>动滑轮、定滑轮要求：轧制</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5</w:t>
      </w:r>
      <w:r>
        <w:rPr>
          <w:rFonts w:hint="eastAsia" w:ascii="宋体" w:hAnsi="宋体"/>
          <w:szCs w:val="21"/>
        </w:rPr>
        <w:t>卷筒组要求：钢板卷制</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6</w:t>
      </w:r>
      <w:r>
        <w:rPr>
          <w:rFonts w:hint="eastAsia" w:ascii="宋体" w:hAnsi="宋体"/>
          <w:szCs w:val="21"/>
        </w:rPr>
        <w:t>电气设备应具有中国国家电气安全标准所规定的各种保护，应装有齐全、可靠的电气和机械防护装置，应有急停开关、短路保护、失压保护等保护措施，</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7</w:t>
      </w:r>
      <w:r>
        <w:rPr>
          <w:rFonts w:hint="eastAsia" w:ascii="宋体" w:hAnsi="宋体"/>
          <w:szCs w:val="21"/>
        </w:rPr>
        <w:t>电动葫芦配电控制要求：具有总断路器、总接触器及其过流继电器等并具有保护功能，控制电压36V，配电控制箱材质要求为不锈钢。</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8</w:t>
      </w:r>
      <w:r>
        <w:rPr>
          <w:rFonts w:hint="eastAsia" w:ascii="宋体" w:hAnsi="宋体"/>
          <w:szCs w:val="21"/>
        </w:rPr>
        <w:t>电控设备配管配线要求：全封闭，符合JB4315-86，每台电动葫芦必须配套相应线缆及安装附件,总计约需200米，实际长度需现场核实。</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9</w:t>
      </w:r>
      <w:r>
        <w:rPr>
          <w:rFonts w:hint="eastAsia" w:ascii="宋体" w:hAnsi="宋体"/>
          <w:szCs w:val="21"/>
        </w:rPr>
        <w:t>电气控制系统的所有控制柜和元器件选用要求按照国家标准。</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2.1</w:t>
      </w:r>
      <w:r>
        <w:rPr>
          <w:rFonts w:hint="eastAsia" w:ascii="宋体" w:hAnsi="宋体"/>
          <w:szCs w:val="21"/>
          <w:lang w:val="en-US" w:eastAsia="zh-CN"/>
        </w:rPr>
        <w:t>0</w:t>
      </w:r>
      <w:r>
        <w:rPr>
          <w:rFonts w:hint="eastAsia" w:ascii="宋体" w:hAnsi="宋体"/>
          <w:szCs w:val="21"/>
        </w:rPr>
        <w:t xml:space="preserve">电气保护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0</w:t>
      </w:r>
      <w:r>
        <w:rPr>
          <w:rFonts w:hint="eastAsia" w:ascii="宋体" w:hAnsi="宋体"/>
          <w:szCs w:val="21"/>
        </w:rPr>
        <w:t>.1 短路及过载保护要求：控制回路设置熔断器或小容量自动空气开关作为短路保护。</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0</w:t>
      </w:r>
      <w:r>
        <w:rPr>
          <w:rFonts w:hint="eastAsia" w:ascii="宋体" w:hAnsi="宋体"/>
          <w:szCs w:val="21"/>
        </w:rPr>
        <w:t>.2 失压保护要求：通过带有瞬时动作的失压脱扣器的空气开关实现总电源的失压保护。</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0</w:t>
      </w:r>
      <w:r>
        <w:rPr>
          <w:rFonts w:hint="eastAsia" w:ascii="宋体" w:hAnsi="宋体"/>
          <w:szCs w:val="21"/>
        </w:rPr>
        <w:t>.3 紧急断电保护要求：控制回路中设有紧急开关，当遇有事故状态时，可随时切断控制回路电源，进而使主回路断电。</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0</w:t>
      </w:r>
      <w:r>
        <w:rPr>
          <w:rFonts w:hint="eastAsia" w:ascii="宋体" w:hAnsi="宋体"/>
          <w:szCs w:val="21"/>
        </w:rPr>
        <w:t>.4 起升限位保护要求：起升机构设有螺旋式上升限位开关，可保证吊钩到极限位置时，能够自动切断上升回路电源符合JB/T1306-2008标准要求。</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0</w:t>
      </w:r>
      <w:r>
        <w:rPr>
          <w:rFonts w:hint="eastAsia" w:ascii="宋体" w:hAnsi="宋体"/>
          <w:szCs w:val="21"/>
        </w:rPr>
        <w:t>.5 行程限位保护要求：起重机的大、小车运行机构，在两端设有行程限位开关，作为行程限位保护，要求灵敏可靠。</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0</w:t>
      </w:r>
      <w:r>
        <w:rPr>
          <w:rFonts w:hint="eastAsia" w:ascii="宋体" w:hAnsi="宋体"/>
          <w:szCs w:val="21"/>
        </w:rPr>
        <w:t>.6 超载保护要求：安装起重量限制器，当载荷超过规定的设置值时能自动切断起升动力电源。</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11</w:t>
      </w:r>
      <w:r>
        <w:rPr>
          <w:rFonts w:hint="eastAsia" w:ascii="宋体" w:hAnsi="宋体"/>
          <w:szCs w:val="21"/>
        </w:rPr>
        <w:t>操纵方式要求：大车小车及起吊控制方式采用手动控制、无线遥控两种控制方式,两种方式互锁。</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12</w:t>
      </w:r>
      <w:r>
        <w:rPr>
          <w:rFonts w:hint="eastAsia" w:ascii="宋体" w:hAnsi="宋体"/>
          <w:szCs w:val="21"/>
        </w:rPr>
        <w:t>接地要求：电动葫芦上所有电气设备正常不带电的金属外壳、金属线管、电缆金属护层、安全变压器低压侧一端均应可靠接地。</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△2.</w:t>
      </w:r>
      <w:r>
        <w:rPr>
          <w:rFonts w:hint="eastAsia" w:ascii="宋体" w:hAnsi="宋体"/>
          <w:szCs w:val="21"/>
          <w:lang w:val="en-US" w:eastAsia="zh-CN"/>
        </w:rPr>
        <w:t>13</w:t>
      </w:r>
      <w:r>
        <w:rPr>
          <w:rFonts w:hint="eastAsia" w:ascii="宋体" w:hAnsi="宋体"/>
          <w:szCs w:val="21"/>
        </w:rPr>
        <w:t>电动机冷却方式： 风冷。</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14</w:t>
      </w:r>
      <w:r>
        <w:rPr>
          <w:rFonts w:hint="eastAsia" w:ascii="宋体" w:hAnsi="宋体"/>
          <w:szCs w:val="21"/>
        </w:rPr>
        <w:t>整机防腐、涂漆要求：所有部件均经喷砂喷漆防腐处理，所有配合面为防水密封处理，适应现场恶劣环境。</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w:t>
      </w:r>
      <w:r>
        <w:rPr>
          <w:rFonts w:hint="eastAsia" w:ascii="宋体" w:hAnsi="宋体"/>
          <w:szCs w:val="21"/>
          <w:lang w:val="en-US" w:eastAsia="zh-CN"/>
        </w:rPr>
        <w:t>15</w:t>
      </w:r>
      <w:r>
        <w:rPr>
          <w:rFonts w:hint="eastAsia" w:ascii="宋体" w:hAnsi="宋体"/>
          <w:szCs w:val="21"/>
        </w:rPr>
        <w:t>设备到货应随机提供出厂验收报告。</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6</w:t>
      </w:r>
      <w:r>
        <w:rPr>
          <w:rFonts w:hint="eastAsia" w:ascii="宋体" w:hAnsi="宋体"/>
          <w:szCs w:val="21"/>
        </w:rPr>
        <w:t>中标厂商供货前必须到现场核实，行走机构需满足现有尺寸要求，设备到货安装、调试工作由中标厂商负责。</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7</w:t>
      </w:r>
      <w:r>
        <w:rPr>
          <w:rFonts w:hint="eastAsia" w:ascii="宋体" w:hAnsi="宋体"/>
          <w:szCs w:val="21"/>
        </w:rPr>
        <w:t>质保期:投入使用后一年或到货后验收合格后18个月，以先到为准。</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△2.1</w:t>
      </w:r>
      <w:r>
        <w:rPr>
          <w:rFonts w:hint="eastAsia" w:ascii="宋体" w:hAnsi="宋体"/>
          <w:szCs w:val="21"/>
          <w:lang w:val="en-US" w:eastAsia="zh-CN"/>
        </w:rPr>
        <w:t>8</w:t>
      </w:r>
      <w:r>
        <w:rPr>
          <w:rFonts w:hint="eastAsia" w:ascii="宋体" w:hAnsi="宋体"/>
          <w:szCs w:val="21"/>
        </w:rPr>
        <w:t>使用寿命：≥30年。</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2.1</w:t>
      </w:r>
      <w:r>
        <w:rPr>
          <w:rFonts w:hint="eastAsia" w:ascii="宋体" w:hAnsi="宋体"/>
          <w:szCs w:val="21"/>
          <w:lang w:val="en-US" w:eastAsia="zh-CN"/>
        </w:rPr>
        <w:t>9</w:t>
      </w:r>
      <w:r>
        <w:rPr>
          <w:rFonts w:hint="eastAsia" w:ascii="宋体" w:hAnsi="宋体"/>
          <w:szCs w:val="21"/>
        </w:rPr>
        <w:t>其它未明确参数与技术性能必须符合行业标准。</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rPr>
          <w:rFonts w:asciiTheme="minorEastAsia" w:hAnsiTheme="minorEastAsia" w:eastAsiaTheme="minorEastAsia"/>
          <w:b/>
          <w:sz w:val="22"/>
          <w:szCs w:val="22"/>
        </w:rPr>
      </w:pPr>
      <w:r>
        <w:rPr>
          <w:rFonts w:hint="eastAsia" w:asciiTheme="minorEastAsia" w:hAnsiTheme="minorEastAsia" w:eastAsiaTheme="minorEastAsia"/>
          <w:b/>
          <w:sz w:val="22"/>
          <w:szCs w:val="22"/>
        </w:rPr>
        <w:t>3. 招标人提出的特别技术要求</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3.1必须对标书的技术条款分项逐条解释并满足工作环境要求。</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xml:space="preserve">* 3.2未说明事项必须符合国家相关标准。 </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3.3由中标厂商负责当地政府技术监督部门对起重机设备的检验，并取得检验合格证和使用许可证。</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3.4需中标单位到现场精确测绘单梁起重机跨度、提升高度等数据，能满足现场安装要求。</w:t>
      </w:r>
    </w:p>
    <w:p>
      <w:pPr>
        <w:adjustRightInd w:val="0"/>
        <w:snapToGrid w:val="0"/>
        <w:spacing w:line="360" w:lineRule="auto"/>
        <w:ind w:left="708" w:leftChars="137" w:hanging="420" w:hangingChars="200"/>
        <w:rPr>
          <w:rFonts w:hint="eastAsia" w:ascii="宋体" w:hAnsi="宋体"/>
          <w:szCs w:val="21"/>
        </w:rPr>
      </w:pPr>
      <w:r>
        <w:rPr>
          <w:rFonts w:hint="eastAsia" w:ascii="宋体" w:hAnsi="宋体"/>
          <w:szCs w:val="21"/>
        </w:rPr>
        <w:t>* 3.5电动葫芦由中标厂家安装在业主提供的工字钢轨道上。</w:t>
      </w:r>
    </w:p>
    <w:p>
      <w:pPr>
        <w:spacing w:after="120" w:line="500" w:lineRule="exact"/>
        <w:rPr>
          <w:rFonts w:asciiTheme="minorEastAsia" w:hAnsiTheme="minorEastAsia" w:eastAsiaTheme="minorEastAsia"/>
          <w:b/>
          <w:sz w:val="22"/>
          <w:szCs w:val="22"/>
        </w:rPr>
      </w:pPr>
      <w:r>
        <w:rPr>
          <w:rFonts w:hint="eastAsia" w:asciiTheme="minorEastAsia" w:hAnsiTheme="minorEastAsia" w:eastAsiaTheme="minorEastAsia"/>
          <w:b/>
          <w:sz w:val="22"/>
          <w:szCs w:val="22"/>
        </w:rPr>
        <w:t>4.标准</w:t>
      </w:r>
    </w:p>
    <w:p>
      <w:pPr>
        <w:pStyle w:val="16"/>
        <w:tabs>
          <w:tab w:val="left" w:pos="1290"/>
          <w:tab w:val="left" w:pos="1680"/>
        </w:tabs>
        <w:adjustRightInd w:val="0"/>
        <w:snapToGrid w:val="0"/>
        <w:spacing w:before="156" w:beforeLines="50" w:after="0" w:line="360" w:lineRule="auto"/>
        <w:ind w:left="283" w:hanging="283" w:hangingChars="13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4.1所供应的货物将按下列标准（推荐）进行设计和制造</w:t>
      </w:r>
    </w:p>
    <w:p>
      <w:pPr>
        <w:adjustRightInd w:val="0"/>
        <w:snapToGrid w:val="0"/>
        <w:spacing w:before="156" w:beforeLines="50" w:line="360" w:lineRule="auto"/>
        <w:ind w:left="424"/>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电器:     IEC标准/EN标准</w:t>
      </w:r>
    </w:p>
    <w:p>
      <w:pPr>
        <w:adjustRightInd w:val="0"/>
        <w:snapToGrid w:val="0"/>
        <w:spacing w:before="156" w:beforeLines="50" w:line="360" w:lineRule="auto"/>
        <w:ind w:left="424"/>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机械:     ISO标准GB/T3811-2008，符合JB/T1306-2008标准要求</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GB3811-2008</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GB6067-85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起重机械安全规程；</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GB5905-86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起重机械试验规范和程序；</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GB/T 14406-2011通用门式起重机</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JB/T3695-94      电动葫芦桥式起重机；</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ZB J80 013.2    钢丝绳电动葫芦技术条件；</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JB/ZQ8001-89    通用桥式起重机产品质量分等；</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GB/T14407-93</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通用桥式和门式起重机司机室技术条件；</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GB/T 10183-88</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桥式和门式起重机制造及轨道安装公差；</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GB5972－86      起重机械用钢丝绳检验和报废实用规范；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GB/T10051-88    起重机吊钩；</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GBT12467-90</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焊接质量保证一般原则；</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GB985-80</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气焊、手工电弧焊及气体保护焊焊缝坡口的基本形式与尺寸；</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GB986-80</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埋弧焊焊缝坡口的基本形式与尺寸；</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JB/JQ4000.3-86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焊接通用技术条件；</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GB3323-87</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钢熔化焊对接接头射线照相和质量分级；</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GB9286-88</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色漆和清漆漆膜的划格试验；</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GB8923-88</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涂装前钢材表面锈蚀等级和除锈等级；</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GB50150-91</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电气装置安装工程  电气设备交接试验标准；</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GB50169-92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电气装置安装工程接地装置施工及验收规范；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GB50168-92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电气装置安装工程电缆线路施工及验收规范；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GB50054-95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低压配电设计规范；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GB50052-95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供配电系统设计规范；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GB50055-93</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通用用电设备配电设计规范；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GB50254-259-96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电气装置安装工程施工及验收规范；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JB4315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起重机电控设备标准；</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GB4064-83</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电气设备安全设计导则；</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GB4942.1-85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电机外壳防护分级；</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GB6995.1-86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电线电缆识别标志第1部分：一般规定；</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GB4208-84</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外壳防护等级的分类；</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GB12602-90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起重机械超载保护装置安全技术规范。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GB3811-2005       起重机设计规范；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GB6067-85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起重机械安全规程；</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GB5905-86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起重机械试验规范和程序；</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GB/T14407-93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通用桥式和门式起重机司机室技术条件；</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GB/T 10183-88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桥式和门式起重机制造及轨道安装公差；</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GBT12467-90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焊接质量保证一般原则；</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GB985-80         气焊、手工电弧焊及气体保护焊焊缝坡口的基本形式与尺寸；</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GB986-80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埋弧焊焊缝坡口的基本形式与尺寸；</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JB/JQ4000.3-86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焊接通用技术条件；</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GB3323-87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钢熔化焊对接接头射线照相和质量分级；</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GB9286-88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色漆和清漆漆膜的划格试验；</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GB8923-88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涂装前钢材表面锈蚀等级和除锈等级；</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IEC (International Electrotechnical Committee)国际电工技术委员会的有关标准；</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ISO (International Standards Organization)国际标准化组织的有关标准；</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GB50150-91电气装置安装工程电气设备交接试验标准；</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GB50169-92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电气装置安装工程接地装置施工及验收规范；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GB50168-92       电气装置安装工程电缆线路施工及验收规范；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GB50054-95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低压配电设计规范；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GB50052-95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供配电系统设计规范；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GB50055-93通用用电设备配电设计规范；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GB50254-259-96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电气装置安装工程施工及验收规范；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JB4315         </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起重机电控设备标准；</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GB4064-83</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电气设备安全设计导则；</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GB4942.1-85</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电机外壳防护分级；</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GB6995.1-86</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电线电缆识别标志第1部分：一般规定；</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GB4208-84</w:t>
      </w:r>
      <w:r>
        <w:rPr>
          <w:rFonts w:hint="eastAsia" w:ascii="宋体" w:hAnsi="宋体" w:eastAsia="宋体" w:cs="Times New Roman"/>
          <w:kern w:val="2"/>
          <w:sz w:val="21"/>
          <w:szCs w:val="21"/>
          <w:lang w:val="en-US" w:eastAsia="zh-CN" w:bidi="ar-SA"/>
        </w:rPr>
        <w:tab/>
      </w:r>
      <w:r>
        <w:rPr>
          <w:rFonts w:hint="eastAsia" w:ascii="宋体" w:hAnsi="宋体" w:eastAsia="宋体" w:cs="Times New Roman"/>
          <w:kern w:val="2"/>
          <w:sz w:val="21"/>
          <w:szCs w:val="21"/>
          <w:lang w:val="en-US" w:eastAsia="zh-CN" w:bidi="ar-SA"/>
        </w:rPr>
        <w:t>外壳防护等级的分类；</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GB12602-90 起重机械超载保护装置安全技术规范；</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JB/T10816-2007 起重机用底座式硬齿面减速器；</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JB/T10817-2007 起重机用三支点硬齿面减速器。</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GB3836.1、GB3836.2、GB3836.3《爆炸性气体环境用电气设备》的有关规定</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若货物原产国的国家标准或目前使用的企业标准高于上述标准，同样适用。</w:t>
      </w:r>
    </w:p>
    <w:p>
      <w:pPr>
        <w:pStyle w:val="16"/>
        <w:tabs>
          <w:tab w:val="left" w:pos="142"/>
          <w:tab w:val="left" w:pos="1290"/>
          <w:tab w:val="left" w:pos="1680"/>
        </w:tabs>
        <w:adjustRightInd w:val="0"/>
        <w:snapToGrid w:val="0"/>
        <w:spacing w:before="156" w:beforeLines="50" w:line="360" w:lineRule="auto"/>
        <w:ind w:left="283" w:hanging="283" w:hangingChars="13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4.2 设备的设计与制造要求采用国际公制单位，个别部件采用英制单位应列出清单。</w:t>
      </w:r>
    </w:p>
    <w:p>
      <w:pPr>
        <w:pStyle w:val="16"/>
        <w:tabs>
          <w:tab w:val="left" w:pos="142"/>
          <w:tab w:val="left" w:pos="1290"/>
          <w:tab w:val="left" w:pos="1680"/>
        </w:tabs>
        <w:adjustRightInd w:val="0"/>
        <w:snapToGrid w:val="0"/>
        <w:spacing w:before="156" w:beforeLines="50" w:line="360" w:lineRule="auto"/>
        <w:ind w:left="283" w:hanging="283" w:hangingChars="135"/>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4.3防爆电气设备应按中国国家防爆标准或其它中国防爆检验部门认可的标准制造。</w:t>
      </w:r>
    </w:p>
    <w:p>
      <w:pPr>
        <w:spacing w:line="360" w:lineRule="auto"/>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4.4上述标准均应为投标截止日时的最新有效版。</w:t>
      </w:r>
    </w:p>
    <w:p>
      <w:pPr>
        <w:adjustRightInd w:val="0"/>
        <w:snapToGrid w:val="0"/>
        <w:spacing w:line="360" w:lineRule="auto"/>
        <w:rPr>
          <w:rFonts w:asciiTheme="minorEastAsia" w:hAnsiTheme="minorEastAsia" w:eastAsiaTheme="minorEastAsia"/>
          <w:b/>
          <w:sz w:val="22"/>
          <w:szCs w:val="22"/>
        </w:rPr>
      </w:pPr>
      <w:r>
        <w:rPr>
          <w:rFonts w:hint="eastAsia" w:asciiTheme="minorEastAsia" w:hAnsiTheme="minorEastAsia" w:eastAsiaTheme="minorEastAsia"/>
          <w:b/>
          <w:sz w:val="22"/>
          <w:szCs w:val="22"/>
        </w:rPr>
        <w:t>5. 需投标人提供的设备技术参数</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 起重机</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5.1.1起重机型号：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5.1.2起重量：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5.1.3起升高度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5.1.4跨度：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5.1.5工作级别：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5.1.6操作方式：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5.1.7起升速度</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5.1.7.1主提升 ：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5.1.7.3大车运行：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5.1.7.4小车运行：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5.1.8起重机功率：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5.1.8车轮受力面积要求：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5.1.10起重机高度：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5.1.11钢轨型号：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5.1.12钢轨敷设长度：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5.1.13电源：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5.1.14大车供电方式：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5.1.15小车供电方式：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5.1.16大车减速机：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5.1.17制动要求：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5.1.18吊钩材质要求：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5.1.19钢梁结构要求: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5.1.20钢材要求：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5.1.21钢梁表面防腐要求：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5.1.22起升限位：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5.1.23绝缘等级：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5.1.24防护等级：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5.1.25电源频率：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 xml:space="preserve">5.1.26噪音：             </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5.2 附属设备</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5.2.1 安全滑触线及安装附件。</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5.2.2配电、电控、监测保护装置及仪表等全套设备。</w:t>
      </w:r>
    </w:p>
    <w:p>
      <w:pPr>
        <w:pStyle w:val="16"/>
        <w:tabs>
          <w:tab w:val="left" w:pos="142"/>
        </w:tabs>
        <w:adjustRightInd w:val="0"/>
        <w:snapToGrid w:val="0"/>
        <w:spacing w:before="156" w:beforeLines="50" w:line="360" w:lineRule="auto"/>
        <w:ind w:left="424" w:leftChars="202"/>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5.2.3专用扳手等附件。</w:t>
      </w:r>
    </w:p>
    <w:p>
      <w:pPr>
        <w:widowControl/>
        <w:adjustRightInd w:val="0"/>
        <w:snapToGrid w:val="0"/>
        <w:spacing w:line="360" w:lineRule="auto"/>
        <w:ind w:left="728" w:leftChars="135" w:hanging="445" w:hangingChars="212"/>
        <w:rPr>
          <w:rFonts w:asciiTheme="minorEastAsia" w:hAnsiTheme="minorEastAsia" w:eastAsiaTheme="minorEastAsia"/>
          <w:spacing w:val="-5"/>
          <w:kern w:val="0"/>
          <w:sz w:val="22"/>
          <w:szCs w:val="22"/>
        </w:rPr>
      </w:pPr>
      <w:r>
        <w:rPr>
          <w:rFonts w:hint="eastAsia" w:asciiTheme="minorEastAsia" w:hAnsiTheme="minorEastAsia" w:eastAsiaTheme="minorEastAsia"/>
          <w:spacing w:val="-5"/>
          <w:kern w:val="0"/>
          <w:sz w:val="22"/>
          <w:szCs w:val="22"/>
        </w:rPr>
        <w:t xml:space="preserve">5.3投标人需特殊说明的其它问题。 </w:t>
      </w:r>
    </w:p>
    <w:p>
      <w:pPr>
        <w:autoSpaceDE w:val="0"/>
        <w:autoSpaceDN w:val="0"/>
        <w:adjustRightInd w:val="0"/>
        <w:snapToGrid w:val="0"/>
        <w:spacing w:line="360" w:lineRule="auto"/>
        <w:ind w:left="1152" w:leftChars="338" w:hanging="442" w:hangingChars="201"/>
        <w:jc w:val="left"/>
        <w:rPr>
          <w:rFonts w:asciiTheme="minorEastAsia" w:hAnsiTheme="minorEastAsia" w:eastAsiaTheme="minorEastAsia"/>
          <w:sz w:val="22"/>
          <w:szCs w:val="22"/>
        </w:rPr>
      </w:pPr>
    </w:p>
    <w:p>
      <w:pPr>
        <w:adjustRightInd w:val="0"/>
        <w:snapToGrid w:val="0"/>
        <w:spacing w:line="360" w:lineRule="auto"/>
        <w:jc w:val="center"/>
        <w:rPr>
          <w:rFonts w:asciiTheme="minorEastAsia" w:hAnsiTheme="minorEastAsia" w:eastAsiaTheme="minorEastAsia"/>
          <w:b/>
          <w:sz w:val="22"/>
          <w:szCs w:val="22"/>
        </w:rPr>
      </w:pPr>
    </w:p>
    <w:p>
      <w:pPr>
        <w:adjustRightInd w:val="0"/>
        <w:snapToGrid w:val="0"/>
        <w:spacing w:line="360" w:lineRule="auto"/>
        <w:jc w:val="center"/>
        <w:rPr>
          <w:rFonts w:asciiTheme="minorEastAsia" w:hAnsiTheme="minorEastAsia" w:eastAsiaTheme="minorEastAsia"/>
          <w:b/>
          <w:sz w:val="22"/>
          <w:szCs w:val="22"/>
        </w:rPr>
      </w:pPr>
      <w:r>
        <w:rPr>
          <w:rFonts w:hint="eastAsia" w:asciiTheme="minorEastAsia" w:hAnsiTheme="minorEastAsia" w:eastAsiaTheme="minorEastAsia"/>
          <w:b/>
          <w:sz w:val="22"/>
          <w:szCs w:val="22"/>
        </w:rPr>
        <w:br w:type="page"/>
      </w:r>
    </w:p>
    <w:p>
      <w:pPr>
        <w:pStyle w:val="15"/>
        <w:jc w:val="center"/>
      </w:pPr>
      <w:bookmarkStart w:id="5" w:name="_Toc357084754"/>
      <w:r>
        <w:rPr>
          <w:rFonts w:hint="eastAsia"/>
        </w:rPr>
        <w:t>第二节 备件和工具</w:t>
      </w:r>
      <w:bookmarkEnd w:id="5"/>
    </w:p>
    <w:p>
      <w:pPr>
        <w:spacing w:line="400" w:lineRule="exact"/>
        <w:jc w:val="center"/>
        <w:outlineLvl w:val="1"/>
        <w:rPr>
          <w:rFonts w:ascii="宋体"/>
          <w:b/>
          <w:bCs/>
          <w:sz w:val="30"/>
          <w:szCs w:val="30"/>
        </w:rPr>
      </w:pPr>
    </w:p>
    <w:p>
      <w:pPr>
        <w:adjustRightInd w:val="0"/>
        <w:snapToGrid w:val="0"/>
        <w:spacing w:before="156" w:beforeLines="50" w:line="360" w:lineRule="auto"/>
        <w:ind w:left="315" w:hanging="315" w:hangingChars="150"/>
        <w:rPr>
          <w:rFonts w:ascii="宋体"/>
          <w:szCs w:val="21"/>
        </w:rPr>
      </w:pPr>
      <w:r>
        <w:rPr>
          <w:rFonts w:hint="eastAsia" w:ascii="宋体"/>
          <w:szCs w:val="21"/>
        </w:rPr>
        <w:t>1. 所有为设备的组装、空载试验、带载试验、试运行、质保期内的备件、消耗品，包括专用工具、仪器、仪表等，在设备交货时提供。推迟的交货期将按照设备推迟交货计算。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szCs w:val="21"/>
        </w:rPr>
      </w:pPr>
      <w:r>
        <w:rPr>
          <w:rFonts w:hint="eastAsia" w:ascii="宋体"/>
          <w:szCs w:val="21"/>
        </w:rPr>
        <w:t>2. 中标人将提供完整备件手册、备件件号、数量、规格型号、价格表的CD盘，随同设备发货。</w:t>
      </w:r>
    </w:p>
    <w:p>
      <w:pPr>
        <w:adjustRightInd w:val="0"/>
        <w:snapToGrid w:val="0"/>
        <w:spacing w:before="156" w:beforeLines="50" w:line="360" w:lineRule="auto"/>
        <w:ind w:left="315" w:hanging="315" w:hangingChars="150"/>
        <w:rPr>
          <w:rFonts w:ascii="宋体"/>
          <w:szCs w:val="21"/>
        </w:rPr>
      </w:pPr>
      <w:r>
        <w:rPr>
          <w:rFonts w:hint="eastAsia" w:asci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szCs w:val="21"/>
        </w:rPr>
      </w:pPr>
      <w:r>
        <w:rPr>
          <w:rFonts w:hint="eastAsia" w:asci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szCs w:val="21"/>
        </w:rPr>
      </w:pPr>
      <w:r>
        <w:rPr>
          <w:rFonts w:hint="eastAsia" w:asci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szCs w:val="21"/>
        </w:rPr>
      </w:pPr>
      <w:r>
        <w:rPr>
          <w:rFonts w:hint="eastAsia" w:ascii="宋体"/>
          <w:szCs w:val="21"/>
        </w:rPr>
        <w:t xml:space="preserve">6. </w:t>
      </w:r>
      <w:r>
        <w:rPr>
          <w:rFonts w:hint="eastAsia" w:cs="Calibri"/>
        </w:rPr>
        <w:t>如因为中标人提供质保期内备件</w:t>
      </w:r>
      <w:r>
        <w:rPr>
          <w:rFonts w:hint="eastAsia" w:ascii="宋体"/>
          <w:szCs w:val="21"/>
        </w:rPr>
        <w:t>（不超过主机价格的5%）明细不准确，导致招标人误采购或按明细提供数量不足以满足生产需求，中标人应免费提供相应的备件。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szCs w:val="21"/>
        </w:rPr>
      </w:pPr>
      <w:r>
        <w:rPr>
          <w:rFonts w:hint="eastAsia" w:asci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szCs w:val="21"/>
        </w:rPr>
      </w:pPr>
      <w:r>
        <w:rPr>
          <w:rFonts w:hint="eastAsia" w:ascii="宋体"/>
          <w:szCs w:val="21"/>
        </w:rPr>
        <w:t>8. 中标人备件价格在设备开始使用的3年内必须维持稳定。</w:t>
      </w:r>
    </w:p>
    <w:p>
      <w:pPr>
        <w:adjustRightInd w:val="0"/>
        <w:snapToGrid w:val="0"/>
        <w:spacing w:before="156" w:beforeLines="50" w:line="360" w:lineRule="auto"/>
        <w:ind w:left="315" w:hanging="315" w:hangingChars="150"/>
        <w:rPr>
          <w:rFonts w:ascii="宋体"/>
          <w:szCs w:val="21"/>
        </w:rPr>
      </w:pPr>
      <w:r>
        <w:rPr>
          <w:rFonts w:hint="eastAsia" w:asci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szCs w:val="21"/>
        </w:rPr>
      </w:pPr>
      <w:r>
        <w:rPr>
          <w:rFonts w:hint="eastAsia" w:asci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szCs w:val="21"/>
        </w:rPr>
      </w:pPr>
      <w:r>
        <w:rPr>
          <w:rFonts w:hint="eastAsia" w:ascii="宋体"/>
          <w:szCs w:val="21"/>
        </w:rPr>
        <w:t>11. 5年后在备件停止生产后，如果招标人要求，中标人应免费向招标人提供备件的蓝图、图纸和规格。</w:t>
      </w:r>
    </w:p>
    <w:p>
      <w:pPr>
        <w:pStyle w:val="4"/>
        <w:snapToGrid w:val="0"/>
        <w:spacing w:before="156" w:beforeLines="50"/>
        <w:rPr>
          <w:rFonts w:ascii="宋体"/>
          <w:szCs w:val="21"/>
        </w:rPr>
      </w:pPr>
    </w:p>
    <w:p>
      <w:pPr>
        <w:spacing w:line="360" w:lineRule="auto"/>
        <w:jc w:val="center"/>
        <w:rPr>
          <w:rFonts w:ascii="宋体"/>
          <w:b/>
          <w:sz w:val="30"/>
          <w:szCs w:val="30"/>
        </w:rPr>
      </w:pPr>
      <w:r>
        <w:rPr>
          <w:rFonts w:hint="eastAsia" w:ascii="宋体"/>
          <w:sz w:val="36"/>
        </w:rPr>
        <w:br w:type="page"/>
      </w:r>
    </w:p>
    <w:p>
      <w:pPr>
        <w:pStyle w:val="15"/>
        <w:jc w:val="center"/>
      </w:pPr>
      <w:bookmarkStart w:id="6" w:name="_Toc357084755"/>
      <w:r>
        <w:rPr>
          <w:rFonts w:hint="eastAsia"/>
        </w:rPr>
        <w:t>第三节 设备出厂前检验</w:t>
      </w:r>
      <w:bookmarkEnd w:id="6"/>
    </w:p>
    <w:p>
      <w:pPr>
        <w:spacing w:line="400" w:lineRule="exact"/>
        <w:jc w:val="center"/>
        <w:outlineLvl w:val="1"/>
        <w:rPr>
          <w:rFonts w:ascii="宋体"/>
          <w:b/>
          <w:bCs/>
          <w:sz w:val="30"/>
          <w:szCs w:val="30"/>
        </w:rPr>
      </w:pPr>
    </w:p>
    <w:p>
      <w:pPr>
        <w:adjustRightInd w:val="0"/>
        <w:snapToGrid w:val="0"/>
        <w:spacing w:before="156" w:beforeLines="50" w:line="360" w:lineRule="auto"/>
        <w:ind w:left="315" w:hanging="315" w:hangingChars="150"/>
        <w:rPr>
          <w:rFonts w:ascii="宋体"/>
          <w:szCs w:val="21"/>
        </w:rPr>
      </w:pPr>
      <w:r>
        <w:rPr>
          <w:rFonts w:hint="eastAsia" w:ascii="宋体"/>
          <w:szCs w:val="21"/>
        </w:rPr>
        <w:t>1. 为了对合同设备及其相关设备生产期间的质量检验，招标人有权派6人小组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szCs w:val="21"/>
        </w:rPr>
      </w:pPr>
      <w:r>
        <w:rPr>
          <w:rFonts w:hint="eastAsia" w:asci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rPr>
          <w:rFonts w:ascii="宋体"/>
          <w:szCs w:val="21"/>
        </w:rPr>
      </w:pPr>
      <w:r>
        <w:rPr>
          <w:rFonts w:hint="eastAsia" w:asci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szCs w:val="21"/>
        </w:rPr>
      </w:pPr>
      <w:r>
        <w:rPr>
          <w:rFonts w:hint="eastAsia" w:ascii="宋体"/>
          <w:szCs w:val="21"/>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szCs w:val="21"/>
        </w:rPr>
      </w:pPr>
      <w:r>
        <w:rPr>
          <w:rFonts w:hint="eastAsia" w:ascii="宋体"/>
          <w:szCs w:val="21"/>
        </w:rPr>
        <w:t>5. 在设备到达招标人现场后组装试运转中如出现问题，原因是中标人没有在出厂前进行设备整体联合试运转，因此推迟的时间将按照推迟交货期来计算。</w:t>
      </w:r>
    </w:p>
    <w:p>
      <w:pPr>
        <w:pStyle w:val="4"/>
        <w:snapToGrid w:val="0"/>
        <w:rPr>
          <w:rFonts w:ascii="宋体"/>
          <w:szCs w:val="21"/>
        </w:rPr>
      </w:pPr>
    </w:p>
    <w:p>
      <w:pPr>
        <w:pStyle w:val="15"/>
        <w:jc w:val="center"/>
        <w:rPr>
          <w:rFonts w:ascii="宋体"/>
          <w:sz w:val="32"/>
          <w:szCs w:val="32"/>
        </w:rPr>
      </w:pPr>
      <w:r>
        <w:rPr>
          <w:rFonts w:hint="eastAsia" w:ascii="宋体"/>
          <w:szCs w:val="21"/>
        </w:rPr>
        <w:br w:type="page"/>
      </w:r>
      <w:bookmarkStart w:id="7" w:name="_Toc357084756"/>
      <w:r>
        <w:rPr>
          <w:rFonts w:hint="eastAsia"/>
        </w:rPr>
        <w:t>第四节 技术服务</w:t>
      </w:r>
      <w:bookmarkEnd w:id="7"/>
    </w:p>
    <w:p>
      <w:pPr>
        <w:spacing w:line="400" w:lineRule="exact"/>
        <w:jc w:val="center"/>
        <w:outlineLvl w:val="1"/>
        <w:rPr>
          <w:rFonts w:ascii="宋体"/>
          <w:sz w:val="32"/>
          <w:szCs w:val="32"/>
        </w:rPr>
      </w:pPr>
    </w:p>
    <w:p>
      <w:pPr>
        <w:adjustRightInd w:val="0"/>
        <w:snapToGrid w:val="0"/>
        <w:spacing w:before="156" w:beforeLines="50" w:line="360" w:lineRule="auto"/>
        <w:ind w:left="315" w:hanging="315" w:hangingChars="150"/>
        <w:rPr>
          <w:rFonts w:ascii="宋体"/>
          <w:szCs w:val="21"/>
        </w:rPr>
      </w:pPr>
      <w:r>
        <w:rPr>
          <w:rFonts w:hint="eastAsia" w:asci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szCs w:val="21"/>
        </w:rPr>
      </w:pPr>
      <w:r>
        <w:rPr>
          <w:rFonts w:hint="eastAsia" w:ascii="宋体"/>
          <w:szCs w:val="21"/>
        </w:rPr>
        <w:t>——给招标人安装人员提供完整的技术指导。</w:t>
      </w:r>
    </w:p>
    <w:p>
      <w:pPr>
        <w:adjustRightInd w:val="0"/>
        <w:snapToGrid w:val="0"/>
        <w:spacing w:before="156" w:beforeLines="50" w:line="360" w:lineRule="auto"/>
        <w:ind w:firstLine="525"/>
        <w:rPr>
          <w:rFonts w:ascii="宋体"/>
          <w:szCs w:val="21"/>
        </w:rPr>
      </w:pPr>
      <w:r>
        <w:rPr>
          <w:rFonts w:hint="eastAsia" w:ascii="宋体"/>
          <w:szCs w:val="21"/>
        </w:rPr>
        <w:t>——指导招标人人员进行合同设备的试运转，运行测试和性能测试。</w:t>
      </w:r>
    </w:p>
    <w:p>
      <w:pPr>
        <w:adjustRightInd w:val="0"/>
        <w:snapToGrid w:val="0"/>
        <w:spacing w:before="156" w:beforeLines="50" w:line="360" w:lineRule="auto"/>
        <w:ind w:firstLine="525"/>
        <w:rPr>
          <w:rFonts w:ascii="宋体"/>
          <w:szCs w:val="21"/>
        </w:rPr>
      </w:pPr>
      <w:r>
        <w:rPr>
          <w:rFonts w:hint="eastAsia" w:ascii="宋体"/>
          <w:szCs w:val="21"/>
        </w:rPr>
        <w:t>——矿区现场培训招标人人员。</w:t>
      </w:r>
    </w:p>
    <w:p>
      <w:pPr>
        <w:adjustRightInd w:val="0"/>
        <w:snapToGrid w:val="0"/>
        <w:spacing w:before="156" w:beforeLines="50" w:line="360" w:lineRule="auto"/>
        <w:ind w:firstLine="525"/>
        <w:rPr>
          <w:rFonts w:ascii="宋体"/>
          <w:szCs w:val="21"/>
        </w:rPr>
      </w:pPr>
      <w:r>
        <w:rPr>
          <w:rFonts w:hint="eastAsia" w:ascii="宋体"/>
          <w:szCs w:val="21"/>
        </w:rPr>
        <w:t>——设备投入使用后提供现场运行技术支持。</w:t>
      </w:r>
    </w:p>
    <w:p>
      <w:pPr>
        <w:adjustRightInd w:val="0"/>
        <w:snapToGrid w:val="0"/>
        <w:spacing w:before="156" w:beforeLines="50" w:line="360" w:lineRule="auto"/>
        <w:ind w:firstLine="525"/>
        <w:rPr>
          <w:rFonts w:ascii="宋体"/>
          <w:szCs w:val="21"/>
        </w:rPr>
      </w:pPr>
      <w:r>
        <w:rPr>
          <w:rFonts w:hint="eastAsia" w:ascii="宋体"/>
          <w:szCs w:val="21"/>
        </w:rPr>
        <w:t>——质保期内技术服务。</w:t>
      </w:r>
    </w:p>
    <w:p>
      <w:pPr>
        <w:adjustRightInd w:val="0"/>
        <w:snapToGrid w:val="0"/>
        <w:spacing w:before="156" w:beforeLines="50" w:line="360" w:lineRule="auto"/>
        <w:ind w:left="315" w:hanging="315" w:hangingChars="150"/>
        <w:rPr>
          <w:rFonts w:ascii="宋体"/>
          <w:szCs w:val="21"/>
        </w:rPr>
      </w:pPr>
      <w:r>
        <w:rPr>
          <w:rFonts w:hint="eastAsia" w:asci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szCs w:val="21"/>
        </w:rPr>
      </w:pPr>
      <w:r>
        <w:rPr>
          <w:rFonts w:hint="eastAsia" w:asci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szCs w:val="21"/>
        </w:rPr>
      </w:pPr>
      <w:r>
        <w:rPr>
          <w:rFonts w:hint="eastAsia" w:asci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szCs w:val="21"/>
        </w:rPr>
      </w:pPr>
      <w:r>
        <w:rPr>
          <w:rFonts w:hint="eastAsia" w:asci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szCs w:val="21"/>
        </w:rPr>
      </w:pPr>
      <w:r>
        <w:rPr>
          <w:rFonts w:hint="eastAsia" w:ascii="宋体"/>
          <w:szCs w:val="21"/>
        </w:rPr>
        <w:t>6. 中标人应提供用于招标人自行培训人员需要使用的相关培训软件（动画形式）、教学模型（透明可视）。</w:t>
      </w:r>
    </w:p>
    <w:p>
      <w:pPr>
        <w:adjustRightInd w:val="0"/>
        <w:snapToGrid w:val="0"/>
        <w:spacing w:before="156" w:beforeLines="50" w:line="360" w:lineRule="auto"/>
        <w:ind w:left="315" w:hanging="315" w:hangingChars="150"/>
        <w:rPr>
          <w:rFonts w:ascii="宋体"/>
          <w:szCs w:val="21"/>
        </w:rPr>
      </w:pPr>
      <w:r>
        <w:rPr>
          <w:rFonts w:hint="eastAsia" w:asci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szCs w:val="21"/>
        </w:rPr>
      </w:pPr>
      <w:r>
        <w:rPr>
          <w:rFonts w:hint="eastAsia" w:asci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5"/>
        <w:jc w:val="center"/>
        <w:rPr>
          <w:rFonts w:ascii="宋体"/>
          <w:sz w:val="32"/>
          <w:szCs w:val="32"/>
        </w:rPr>
      </w:pPr>
      <w:r>
        <w:rPr>
          <w:rFonts w:hint="eastAsia" w:ascii="宋体"/>
          <w:szCs w:val="21"/>
        </w:rPr>
        <w:br w:type="page"/>
      </w:r>
      <w:bookmarkStart w:id="8" w:name="_Toc357084757"/>
      <w:r>
        <w:rPr>
          <w:rFonts w:hint="eastAsia"/>
        </w:rPr>
        <w:t>第五节 安装、检验、调试、试运行及验收</w:t>
      </w:r>
      <w:bookmarkEnd w:id="8"/>
    </w:p>
    <w:p>
      <w:pPr>
        <w:spacing w:line="400" w:lineRule="exact"/>
        <w:jc w:val="center"/>
        <w:outlineLvl w:val="1"/>
        <w:rPr>
          <w:rFonts w:ascii="宋体"/>
          <w:sz w:val="32"/>
          <w:szCs w:val="32"/>
        </w:rPr>
      </w:pPr>
    </w:p>
    <w:p>
      <w:pPr>
        <w:adjustRightInd w:val="0"/>
        <w:snapToGrid w:val="0"/>
        <w:spacing w:before="156" w:beforeLines="50" w:line="360" w:lineRule="auto"/>
        <w:rPr>
          <w:rFonts w:ascii="宋体"/>
          <w:szCs w:val="21"/>
        </w:rPr>
      </w:pPr>
      <w:r>
        <w:rPr>
          <w:rFonts w:hint="eastAsia" w:ascii="宋体"/>
          <w:szCs w:val="21"/>
        </w:rPr>
        <w:t>1. 在该附录中：</w:t>
      </w:r>
    </w:p>
    <w:p>
      <w:pPr>
        <w:tabs>
          <w:tab w:val="left" w:pos="1418"/>
        </w:tabs>
        <w:adjustRightInd w:val="0"/>
        <w:snapToGrid w:val="0"/>
        <w:spacing w:before="156" w:beforeLines="50" w:line="360" w:lineRule="auto"/>
        <w:ind w:left="1417" w:leftChars="405" w:hanging="567"/>
        <w:rPr>
          <w:rFonts w:ascii="宋体"/>
          <w:szCs w:val="21"/>
        </w:rPr>
      </w:pPr>
      <w:r>
        <w:rPr>
          <w:rFonts w:hint="eastAsia" w:ascii="宋体"/>
          <w:szCs w:val="21"/>
        </w:rPr>
        <w:t>安装：意为招标人安装人员在中标人的服务工程人员的监督与指导下，将整套设备或一个系统安装起来。</w:t>
      </w:r>
    </w:p>
    <w:p>
      <w:pPr>
        <w:tabs>
          <w:tab w:val="left" w:pos="1418"/>
        </w:tabs>
        <w:adjustRightInd w:val="0"/>
        <w:snapToGrid w:val="0"/>
        <w:spacing w:before="156" w:beforeLines="50" w:line="360" w:lineRule="auto"/>
        <w:ind w:left="1417" w:leftChars="405" w:hanging="567"/>
        <w:rPr>
          <w:rFonts w:ascii="宋体"/>
          <w:szCs w:val="21"/>
        </w:rPr>
      </w:pPr>
      <w:r>
        <w:rPr>
          <w:rFonts w:hint="eastAsia" w:ascii="宋体"/>
          <w:szCs w:val="21"/>
        </w:rPr>
        <w:t>试运转：即为在空载条件下测试该设备。</w:t>
      </w:r>
    </w:p>
    <w:p>
      <w:pPr>
        <w:tabs>
          <w:tab w:val="left" w:pos="1418"/>
        </w:tabs>
        <w:adjustRightInd w:val="0"/>
        <w:snapToGrid w:val="0"/>
        <w:spacing w:before="156" w:beforeLines="50" w:line="360" w:lineRule="auto"/>
        <w:ind w:left="1417" w:leftChars="405" w:hanging="567"/>
        <w:rPr>
          <w:rFonts w:ascii="宋体"/>
          <w:szCs w:val="21"/>
        </w:rPr>
      </w:pPr>
      <w:r>
        <w:rPr>
          <w:rFonts w:hint="eastAsia" w:ascii="宋体"/>
          <w:szCs w:val="21"/>
        </w:rPr>
        <w:t xml:space="preserve">性能调试：即在它们的额定负载下测试设备，检查其是否能达到合同规定的所有技术性能。 </w:t>
      </w:r>
    </w:p>
    <w:p>
      <w:pPr>
        <w:tabs>
          <w:tab w:val="left" w:pos="1418"/>
        </w:tabs>
        <w:adjustRightInd w:val="0"/>
        <w:snapToGrid w:val="0"/>
        <w:spacing w:before="156" w:beforeLines="50" w:line="360" w:lineRule="auto"/>
        <w:ind w:left="1417" w:leftChars="405" w:hanging="567"/>
        <w:rPr>
          <w:rFonts w:ascii="宋体"/>
          <w:szCs w:val="21"/>
        </w:rPr>
      </w:pPr>
      <w:r>
        <w:rPr>
          <w:rFonts w:hint="eastAsia" w:ascii="宋体"/>
          <w:szCs w:val="21"/>
        </w:rPr>
        <w:t>试运行：即为设备按照合同要求性能投入运转。</w:t>
      </w:r>
    </w:p>
    <w:p>
      <w:pPr>
        <w:tabs>
          <w:tab w:val="left" w:pos="1418"/>
        </w:tabs>
        <w:adjustRightInd w:val="0"/>
        <w:snapToGrid w:val="0"/>
        <w:spacing w:before="156" w:beforeLines="50" w:line="360" w:lineRule="auto"/>
        <w:ind w:left="1417" w:leftChars="405" w:hanging="567"/>
        <w:rPr>
          <w:rFonts w:ascii="宋体"/>
          <w:szCs w:val="21"/>
        </w:rPr>
      </w:pPr>
      <w:r>
        <w:rPr>
          <w:rFonts w:hint="eastAsia" w:ascii="宋体"/>
          <w:szCs w:val="21"/>
        </w:rPr>
        <w:t>验收：即为该设备达到合同规定的试运转、性能调试和试运行技术要求后招标人正式接收。</w:t>
      </w:r>
    </w:p>
    <w:p>
      <w:pPr>
        <w:adjustRightInd w:val="0"/>
        <w:snapToGrid w:val="0"/>
        <w:spacing w:before="156" w:beforeLines="50" w:line="360" w:lineRule="auto"/>
        <w:rPr>
          <w:rFonts w:ascii="宋体"/>
          <w:szCs w:val="21"/>
        </w:rPr>
      </w:pPr>
      <w:r>
        <w:rPr>
          <w:rFonts w:hint="eastAsia" w:ascii="宋体"/>
          <w:szCs w:val="21"/>
        </w:rPr>
        <w:t>2. 设备到货应随机提供出厂验收报告。</w:t>
      </w:r>
    </w:p>
    <w:p>
      <w:pPr>
        <w:adjustRightInd w:val="0"/>
        <w:snapToGrid w:val="0"/>
        <w:spacing w:before="156" w:beforeLines="50" w:line="360" w:lineRule="auto"/>
        <w:ind w:left="315" w:hanging="315" w:hangingChars="150"/>
        <w:rPr>
          <w:rFonts w:ascii="宋体"/>
          <w:szCs w:val="21"/>
        </w:rPr>
      </w:pPr>
      <w:r>
        <w:rPr>
          <w:rFonts w:hint="eastAsia" w:asci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rPr>
          <w:rFonts w:ascii="宋体"/>
          <w:szCs w:val="21"/>
        </w:rPr>
      </w:pPr>
    </w:p>
    <w:p>
      <w:pPr>
        <w:pStyle w:val="15"/>
        <w:jc w:val="center"/>
        <w:rPr>
          <w:rFonts w:ascii="宋体"/>
          <w:sz w:val="32"/>
          <w:szCs w:val="32"/>
        </w:rPr>
      </w:pPr>
      <w:r>
        <w:rPr>
          <w:rFonts w:hint="eastAsia" w:ascii="宋体"/>
          <w:sz w:val="24"/>
        </w:rPr>
        <w:br w:type="page"/>
      </w:r>
      <w:bookmarkStart w:id="9" w:name="_Toc357084758"/>
      <w:r>
        <w:rPr>
          <w:rFonts w:hint="eastAsia"/>
        </w:rPr>
        <w:t>第六节 质量保证</w:t>
      </w:r>
      <w:bookmarkEnd w:id="9"/>
    </w:p>
    <w:p>
      <w:pPr>
        <w:jc w:val="center"/>
        <w:rPr>
          <w:rFonts w:ascii="宋体"/>
          <w:szCs w:val="21"/>
        </w:rPr>
      </w:pPr>
    </w:p>
    <w:p>
      <w:pPr>
        <w:adjustRightInd w:val="0"/>
        <w:snapToGrid w:val="0"/>
        <w:spacing w:before="156" w:beforeLines="50" w:line="360" w:lineRule="auto"/>
        <w:ind w:left="315" w:hanging="315" w:hangingChars="150"/>
        <w:rPr>
          <w:rFonts w:ascii="宋体"/>
          <w:szCs w:val="21"/>
        </w:rPr>
      </w:pPr>
      <w:r>
        <w:rPr>
          <w:rFonts w:hint="eastAsia" w:ascii="宋体"/>
          <w:szCs w:val="21"/>
        </w:rPr>
        <w:t xml:space="preserve">1. </w:t>
      </w:r>
      <w:r>
        <w:rPr>
          <w:rFonts w:hint="eastAsia" w:ascii="宋体" w:hAnsi="宋体"/>
          <w:szCs w:val="21"/>
        </w:rPr>
        <w:t>投入使用后一年或到货验收合格后18个月，以先到为准</w:t>
      </w:r>
      <w:r>
        <w:rPr>
          <w:rFonts w:hint="eastAsia" w:asci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315" w:hanging="315" w:hangingChars="150"/>
        <w:rPr>
          <w:rFonts w:ascii="宋体"/>
          <w:szCs w:val="21"/>
        </w:rPr>
      </w:pPr>
      <w:r>
        <w:rPr>
          <w:rFonts w:hint="eastAsia" w:ascii="宋体"/>
          <w:szCs w:val="21"/>
        </w:rPr>
        <w:t>2. 中标方质保期内的维修服务承诺，无偿更换零配件、部件承诺。</w:t>
      </w:r>
    </w:p>
    <w:p>
      <w:pPr>
        <w:adjustRightInd w:val="0"/>
        <w:snapToGrid w:val="0"/>
        <w:spacing w:before="156" w:beforeLines="50" w:line="360" w:lineRule="auto"/>
        <w:ind w:left="315" w:hanging="315" w:hangingChars="150"/>
        <w:rPr>
          <w:rFonts w:ascii="宋体"/>
          <w:szCs w:val="21"/>
        </w:rPr>
      </w:pPr>
      <w:r>
        <w:rPr>
          <w:rFonts w:hint="eastAsia" w:ascii="宋体"/>
          <w:szCs w:val="21"/>
        </w:rPr>
        <w:t>3. 中标方对设备大修周期、使用寿命及各主要部件的寿命承诺。</w:t>
      </w:r>
    </w:p>
    <w:p>
      <w:pPr>
        <w:pStyle w:val="24"/>
        <w:adjustRightInd w:val="0"/>
        <w:snapToGrid w:val="0"/>
        <w:spacing w:line="360" w:lineRule="auto"/>
        <w:ind w:left="426" w:leftChars="202" w:hanging="2" w:firstLineChars="0"/>
        <w:rPr>
          <w:rFonts w:ascii="宋体"/>
          <w:color w:val="000000"/>
        </w:rPr>
      </w:pPr>
    </w:p>
    <w:p>
      <w:pPr>
        <w:rPr>
          <w:rFonts w:ascii="宋体"/>
          <w:szCs w:val="21"/>
        </w:rPr>
      </w:pPr>
    </w:p>
    <w:p>
      <w:pPr>
        <w:pStyle w:val="15"/>
        <w:jc w:val="center"/>
        <w:rPr>
          <w:rFonts w:ascii="宋体"/>
          <w:b/>
          <w:bCs/>
          <w:sz w:val="30"/>
          <w:szCs w:val="30"/>
        </w:rPr>
      </w:pPr>
      <w:r>
        <w:rPr>
          <w:rFonts w:hint="eastAsia" w:ascii="宋体"/>
          <w:szCs w:val="21"/>
        </w:rPr>
        <w:br w:type="page"/>
      </w:r>
      <w:bookmarkStart w:id="10" w:name="_Toc357084759"/>
      <w:r>
        <w:rPr>
          <w:rFonts w:hint="eastAsia"/>
        </w:rPr>
        <w:t>第七节 技术资料和图纸</w:t>
      </w:r>
      <w:bookmarkEnd w:id="10"/>
    </w:p>
    <w:p>
      <w:pPr>
        <w:spacing w:line="400" w:lineRule="exact"/>
        <w:jc w:val="center"/>
        <w:outlineLvl w:val="1"/>
        <w:rPr>
          <w:rFonts w:ascii="宋体"/>
          <w:sz w:val="32"/>
          <w:szCs w:val="32"/>
        </w:rPr>
      </w:pPr>
    </w:p>
    <w:p>
      <w:pPr>
        <w:adjustRightInd w:val="0"/>
        <w:snapToGrid w:val="0"/>
        <w:spacing w:before="156" w:beforeLines="50" w:line="360" w:lineRule="auto"/>
        <w:ind w:left="315" w:hanging="315" w:hangingChars="150"/>
        <w:rPr>
          <w:rFonts w:ascii="宋体"/>
          <w:szCs w:val="21"/>
        </w:rPr>
      </w:pPr>
      <w:r>
        <w:rPr>
          <w:rFonts w:hint="eastAsia" w:asci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315" w:hanging="315" w:hangingChars="150"/>
        <w:rPr>
          <w:rFonts w:ascii="宋体"/>
          <w:szCs w:val="21"/>
        </w:rPr>
      </w:pPr>
      <w:r>
        <w:rPr>
          <w:rFonts w:hint="eastAsia" w:ascii="宋体"/>
          <w:szCs w:val="21"/>
        </w:rPr>
        <w:t>2. 中标人按规定给招标人每台（套）设备提供</w:t>
      </w:r>
      <w:r>
        <w:rPr>
          <w:rFonts w:hint="eastAsia" w:ascii="宋体"/>
          <w:szCs w:val="21"/>
          <w:u w:val="single"/>
        </w:rPr>
        <w:t xml:space="preserve">   </w:t>
      </w:r>
      <w:r>
        <w:rPr>
          <w:rFonts w:hint="eastAsia" w:ascii="宋体"/>
          <w:szCs w:val="21"/>
        </w:rPr>
        <w:t>份技术文件和图纸的副本。其中两份副本包括1份光盘文件将在设备发货前的14天，以特快专递方式寄送给招标人，其他所要求的成套技术文件和图纸将随合同中设备一起</w:t>
      </w:r>
      <w:r>
        <w:rPr>
          <w:rFonts w:ascii="宋体"/>
          <w:szCs w:val="21"/>
        </w:rPr>
        <w:t>发货</w:t>
      </w:r>
      <w:r>
        <w:rPr>
          <w:rFonts w:hint="eastAsia" w:ascii="宋体"/>
          <w:szCs w:val="21"/>
        </w:rPr>
        <w:t>，招标人有权针对培训目的而额外复制所提供的技术文件与图纸。</w:t>
      </w:r>
    </w:p>
    <w:p>
      <w:pPr>
        <w:adjustRightInd w:val="0"/>
        <w:snapToGrid w:val="0"/>
        <w:spacing w:before="156" w:beforeLines="50" w:line="360" w:lineRule="auto"/>
        <w:ind w:left="315" w:hanging="315" w:hangingChars="150"/>
        <w:rPr>
          <w:rFonts w:ascii="宋体"/>
          <w:szCs w:val="21"/>
        </w:rPr>
      </w:pPr>
      <w:r>
        <w:rPr>
          <w:rFonts w:hint="eastAsia" w:ascii="宋体"/>
          <w:szCs w:val="21"/>
        </w:rPr>
        <w:t>3. 如果中标人交付的技术文件和图纸在运输途中发现不完整、丢失或损坏，中标人在接到招标人索要不完整、丢失或损坏部分的技术文件和图纸的通知后的</w:t>
      </w:r>
      <w:r>
        <w:rPr>
          <w:rFonts w:ascii="宋体"/>
          <w:szCs w:val="21"/>
        </w:rPr>
        <w:t>30</w:t>
      </w:r>
      <w:r>
        <w:rPr>
          <w:rFonts w:hint="eastAsia" w:ascii="宋体"/>
          <w:szCs w:val="21"/>
        </w:rPr>
        <w:t>天内</w:t>
      </w:r>
      <w:r>
        <w:rPr>
          <w:rFonts w:ascii="宋体"/>
          <w:szCs w:val="21"/>
        </w:rPr>
        <w:t>,</w:t>
      </w:r>
      <w:r>
        <w:rPr>
          <w:rFonts w:hint="eastAsia" w:ascii="宋体"/>
          <w:szCs w:val="21"/>
        </w:rPr>
        <w:t>应免费向招标人增补丢失或损坏部分的技术文件与图纸。</w:t>
      </w:r>
    </w:p>
    <w:p>
      <w:pPr>
        <w:adjustRightInd w:val="0"/>
        <w:snapToGrid w:val="0"/>
        <w:spacing w:before="156" w:beforeLines="50" w:line="360" w:lineRule="auto"/>
        <w:ind w:left="315" w:hanging="315" w:hangingChars="150"/>
        <w:rPr>
          <w:rFonts w:ascii="宋体"/>
          <w:szCs w:val="21"/>
        </w:rPr>
      </w:pPr>
      <w:r>
        <w:rPr>
          <w:rFonts w:hint="eastAsia" w:ascii="宋体"/>
          <w:szCs w:val="21"/>
        </w:rPr>
        <w:t>4. 中标人有义务对该设备的控制软件、管理软件进行免费升级换代。</w:t>
      </w:r>
    </w:p>
    <w:p>
      <w:pPr>
        <w:adjustRightInd w:val="0"/>
        <w:snapToGrid w:val="0"/>
        <w:spacing w:before="156" w:beforeLines="50" w:line="360" w:lineRule="auto"/>
        <w:ind w:left="315" w:hanging="315" w:hangingChars="150"/>
        <w:rPr>
          <w:rFonts w:ascii="宋体"/>
          <w:szCs w:val="21"/>
        </w:rPr>
      </w:pPr>
      <w:r>
        <w:rPr>
          <w:rFonts w:hint="eastAsia" w:ascii="宋体"/>
          <w:szCs w:val="21"/>
        </w:rPr>
        <w:t>5. 中标人定期对设备进行回访，并对用户提出的问题进行解决。</w:t>
      </w:r>
    </w:p>
    <w:p>
      <w:pPr>
        <w:adjustRightInd w:val="0"/>
        <w:snapToGrid w:val="0"/>
        <w:spacing w:before="156" w:beforeLines="50" w:line="360" w:lineRule="auto"/>
        <w:ind w:left="315" w:hanging="315" w:hangingChars="150"/>
        <w:rPr>
          <w:rFonts w:ascii="宋体"/>
          <w:szCs w:val="21"/>
        </w:rPr>
      </w:pPr>
      <w:r>
        <w:rPr>
          <w:rFonts w:hint="eastAsia" w:ascii="宋体"/>
          <w:szCs w:val="21"/>
        </w:rPr>
        <w:t xml:space="preserve">6. </w:t>
      </w:r>
      <w:r>
        <w:rPr>
          <w:rFonts w:ascii="宋体"/>
          <w:szCs w:val="21"/>
        </w:rPr>
        <w:t>中标人要提供</w:t>
      </w:r>
      <w:r>
        <w:rPr>
          <w:rFonts w:hint="eastAsia" w:ascii="宋体"/>
          <w:szCs w:val="21"/>
        </w:rPr>
        <w:t>下列</w:t>
      </w:r>
      <w:r>
        <w:rPr>
          <w:rFonts w:ascii="宋体"/>
          <w:szCs w:val="21"/>
        </w:rPr>
        <w:t>相关的</w:t>
      </w:r>
      <w:r>
        <w:rPr>
          <w:rFonts w:hint="eastAsia" w:ascii="宋体"/>
          <w:szCs w:val="21"/>
        </w:rPr>
        <w:t>技术资料及图纸</w:t>
      </w:r>
      <w:r>
        <w:rPr>
          <w:rFonts w:ascii="宋体"/>
          <w:szCs w:val="21"/>
        </w:rPr>
        <w:t>：</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总装图</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设备能力的计算和受力图</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制造标准、防爆标准</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检验标准</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电气原理图和技术说明书</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液压系统图</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配套图</w:t>
      </w:r>
    </w:p>
    <w:p>
      <w:pPr>
        <w:adjustRightInd w:val="0"/>
        <w:snapToGrid w:val="0"/>
        <w:spacing w:before="156" w:beforeLines="50" w:line="360" w:lineRule="auto"/>
        <w:ind w:left="989" w:leftChars="336" w:hanging="283" w:hangingChars="135"/>
        <w:rPr>
          <w:rFonts w:ascii="宋体"/>
          <w:szCs w:val="21"/>
        </w:rPr>
      </w:pPr>
      <w:r>
        <w:rPr>
          <w:rFonts w:hint="eastAsia" w:ascii="宋体"/>
          <w:szCs w:val="21"/>
        </w:rPr>
        <w:t>关键参数曲线图</w:t>
      </w:r>
    </w:p>
    <w:p>
      <w:pPr>
        <w:adjustRightInd w:val="0"/>
        <w:snapToGrid w:val="0"/>
        <w:spacing w:before="156" w:beforeLines="50" w:line="360" w:lineRule="auto"/>
        <w:ind w:left="315" w:hanging="315" w:hangingChars="150"/>
        <w:rPr>
          <w:rFonts w:ascii="宋体"/>
          <w:szCs w:val="21"/>
        </w:rPr>
      </w:pPr>
      <w:r>
        <w:rPr>
          <w:rFonts w:hint="eastAsia" w:ascii="宋体"/>
          <w:szCs w:val="21"/>
        </w:rPr>
        <w:t>7. 技术资料与设备同属合同供货范围，如不能按照上述条款交货，将按照推迟合同交货期执行。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64DE6"/>
    <w:multiLevelType w:val="singleLevel"/>
    <w:tmpl w:val="58B64DE6"/>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210FA"/>
    <w:rsid w:val="0000627C"/>
    <w:rsid w:val="00020F51"/>
    <w:rsid w:val="000210FA"/>
    <w:rsid w:val="00050DB2"/>
    <w:rsid w:val="00052E5F"/>
    <w:rsid w:val="000556A1"/>
    <w:rsid w:val="0006366D"/>
    <w:rsid w:val="0006554D"/>
    <w:rsid w:val="00067669"/>
    <w:rsid w:val="000713AA"/>
    <w:rsid w:val="000732FD"/>
    <w:rsid w:val="00093121"/>
    <w:rsid w:val="000A19F0"/>
    <w:rsid w:val="000A28F1"/>
    <w:rsid w:val="000A32D1"/>
    <w:rsid w:val="000B23BF"/>
    <w:rsid w:val="000C0E9C"/>
    <w:rsid w:val="000C40D5"/>
    <w:rsid w:val="000C69AD"/>
    <w:rsid w:val="000D1D0B"/>
    <w:rsid w:val="000E4297"/>
    <w:rsid w:val="000F7C0C"/>
    <w:rsid w:val="00112C81"/>
    <w:rsid w:val="00130BB6"/>
    <w:rsid w:val="0014167D"/>
    <w:rsid w:val="001570E9"/>
    <w:rsid w:val="00165337"/>
    <w:rsid w:val="00176F26"/>
    <w:rsid w:val="00181D8B"/>
    <w:rsid w:val="001871F4"/>
    <w:rsid w:val="00190E3A"/>
    <w:rsid w:val="00194700"/>
    <w:rsid w:val="001A0D64"/>
    <w:rsid w:val="001A7906"/>
    <w:rsid w:val="001B218F"/>
    <w:rsid w:val="001D0638"/>
    <w:rsid w:val="001D0685"/>
    <w:rsid w:val="001D393F"/>
    <w:rsid w:val="001E1EAB"/>
    <w:rsid w:val="001F0F66"/>
    <w:rsid w:val="001F166F"/>
    <w:rsid w:val="001F2406"/>
    <w:rsid w:val="001F75FF"/>
    <w:rsid w:val="00200AF4"/>
    <w:rsid w:val="00201D32"/>
    <w:rsid w:val="002028F7"/>
    <w:rsid w:val="00203630"/>
    <w:rsid w:val="00205B4C"/>
    <w:rsid w:val="00220B10"/>
    <w:rsid w:val="00220D1C"/>
    <w:rsid w:val="00226B02"/>
    <w:rsid w:val="0023283D"/>
    <w:rsid w:val="00232EBC"/>
    <w:rsid w:val="002346B4"/>
    <w:rsid w:val="00244012"/>
    <w:rsid w:val="0026281F"/>
    <w:rsid w:val="00262827"/>
    <w:rsid w:val="0026449E"/>
    <w:rsid w:val="00265C5D"/>
    <w:rsid w:val="00277081"/>
    <w:rsid w:val="00277159"/>
    <w:rsid w:val="00290D98"/>
    <w:rsid w:val="002A11B0"/>
    <w:rsid w:val="002A2064"/>
    <w:rsid w:val="002A5AB5"/>
    <w:rsid w:val="002A7AE4"/>
    <w:rsid w:val="002B68A2"/>
    <w:rsid w:val="002D5A42"/>
    <w:rsid w:val="002E24D4"/>
    <w:rsid w:val="002E26DB"/>
    <w:rsid w:val="002E612F"/>
    <w:rsid w:val="002F10B0"/>
    <w:rsid w:val="002F3097"/>
    <w:rsid w:val="002F32D4"/>
    <w:rsid w:val="002F6FBD"/>
    <w:rsid w:val="002F7C6E"/>
    <w:rsid w:val="00304339"/>
    <w:rsid w:val="00306EE9"/>
    <w:rsid w:val="00312D38"/>
    <w:rsid w:val="00313FE3"/>
    <w:rsid w:val="00316C13"/>
    <w:rsid w:val="00322062"/>
    <w:rsid w:val="00330894"/>
    <w:rsid w:val="0033389C"/>
    <w:rsid w:val="0033718C"/>
    <w:rsid w:val="00337DB3"/>
    <w:rsid w:val="00341F80"/>
    <w:rsid w:val="0035391E"/>
    <w:rsid w:val="0035531D"/>
    <w:rsid w:val="00363B78"/>
    <w:rsid w:val="00366C1F"/>
    <w:rsid w:val="00371E15"/>
    <w:rsid w:val="00375BEA"/>
    <w:rsid w:val="0037707D"/>
    <w:rsid w:val="00380443"/>
    <w:rsid w:val="00380E11"/>
    <w:rsid w:val="003836DE"/>
    <w:rsid w:val="00394865"/>
    <w:rsid w:val="00396D4B"/>
    <w:rsid w:val="003A1985"/>
    <w:rsid w:val="003A3AA0"/>
    <w:rsid w:val="003A5207"/>
    <w:rsid w:val="003C31E3"/>
    <w:rsid w:val="003D4385"/>
    <w:rsid w:val="003D6774"/>
    <w:rsid w:val="003E05B5"/>
    <w:rsid w:val="003E5F06"/>
    <w:rsid w:val="003E7C3A"/>
    <w:rsid w:val="004018C6"/>
    <w:rsid w:val="00405924"/>
    <w:rsid w:val="00415E5B"/>
    <w:rsid w:val="004170CA"/>
    <w:rsid w:val="004214FE"/>
    <w:rsid w:val="00424760"/>
    <w:rsid w:val="0042597E"/>
    <w:rsid w:val="0043235D"/>
    <w:rsid w:val="00433FED"/>
    <w:rsid w:val="00435EBA"/>
    <w:rsid w:val="00441D65"/>
    <w:rsid w:val="00442B50"/>
    <w:rsid w:val="00447D25"/>
    <w:rsid w:val="004506E5"/>
    <w:rsid w:val="0045073A"/>
    <w:rsid w:val="004524B7"/>
    <w:rsid w:val="00453420"/>
    <w:rsid w:val="004550C6"/>
    <w:rsid w:val="004601F9"/>
    <w:rsid w:val="004602E2"/>
    <w:rsid w:val="004616A6"/>
    <w:rsid w:val="004647AC"/>
    <w:rsid w:val="00464F25"/>
    <w:rsid w:val="004676C6"/>
    <w:rsid w:val="00473E0F"/>
    <w:rsid w:val="00477CEF"/>
    <w:rsid w:val="004848AA"/>
    <w:rsid w:val="004870BE"/>
    <w:rsid w:val="004A377D"/>
    <w:rsid w:val="004B1302"/>
    <w:rsid w:val="004B4E39"/>
    <w:rsid w:val="004B6467"/>
    <w:rsid w:val="004C5923"/>
    <w:rsid w:val="004D7C32"/>
    <w:rsid w:val="004E0FC4"/>
    <w:rsid w:val="004F0150"/>
    <w:rsid w:val="004F1E03"/>
    <w:rsid w:val="004F6CA6"/>
    <w:rsid w:val="00507000"/>
    <w:rsid w:val="00510237"/>
    <w:rsid w:val="00511DAD"/>
    <w:rsid w:val="00514554"/>
    <w:rsid w:val="005208C6"/>
    <w:rsid w:val="00523743"/>
    <w:rsid w:val="0053406C"/>
    <w:rsid w:val="005456ED"/>
    <w:rsid w:val="005457AA"/>
    <w:rsid w:val="00546FE3"/>
    <w:rsid w:val="00547B8F"/>
    <w:rsid w:val="00560603"/>
    <w:rsid w:val="005607E2"/>
    <w:rsid w:val="00560CC8"/>
    <w:rsid w:val="005637DF"/>
    <w:rsid w:val="005650DB"/>
    <w:rsid w:val="005670C0"/>
    <w:rsid w:val="00571535"/>
    <w:rsid w:val="005816D6"/>
    <w:rsid w:val="00585C47"/>
    <w:rsid w:val="005862DB"/>
    <w:rsid w:val="00590B95"/>
    <w:rsid w:val="00595140"/>
    <w:rsid w:val="0059521B"/>
    <w:rsid w:val="00596155"/>
    <w:rsid w:val="005A48C3"/>
    <w:rsid w:val="005B62C8"/>
    <w:rsid w:val="005C04BB"/>
    <w:rsid w:val="005C5792"/>
    <w:rsid w:val="005D5758"/>
    <w:rsid w:val="005E0AC5"/>
    <w:rsid w:val="005E2FFA"/>
    <w:rsid w:val="005E392E"/>
    <w:rsid w:val="005E68AE"/>
    <w:rsid w:val="005F6C1B"/>
    <w:rsid w:val="00620C00"/>
    <w:rsid w:val="006325F4"/>
    <w:rsid w:val="00634D3E"/>
    <w:rsid w:val="00636C24"/>
    <w:rsid w:val="0064399D"/>
    <w:rsid w:val="0065510C"/>
    <w:rsid w:val="00662CEE"/>
    <w:rsid w:val="0066376F"/>
    <w:rsid w:val="00676B3A"/>
    <w:rsid w:val="0068708C"/>
    <w:rsid w:val="00690B47"/>
    <w:rsid w:val="006B33C4"/>
    <w:rsid w:val="006C210A"/>
    <w:rsid w:val="006D7562"/>
    <w:rsid w:val="006E606A"/>
    <w:rsid w:val="006E7D36"/>
    <w:rsid w:val="006F3E49"/>
    <w:rsid w:val="00715D13"/>
    <w:rsid w:val="007172F2"/>
    <w:rsid w:val="00720A10"/>
    <w:rsid w:val="00736763"/>
    <w:rsid w:val="007402C9"/>
    <w:rsid w:val="00743347"/>
    <w:rsid w:val="00754633"/>
    <w:rsid w:val="007560DF"/>
    <w:rsid w:val="00762786"/>
    <w:rsid w:val="007674AE"/>
    <w:rsid w:val="00770503"/>
    <w:rsid w:val="00770F34"/>
    <w:rsid w:val="00772DAC"/>
    <w:rsid w:val="00774BE3"/>
    <w:rsid w:val="00776569"/>
    <w:rsid w:val="00783DC3"/>
    <w:rsid w:val="007905CC"/>
    <w:rsid w:val="007975A7"/>
    <w:rsid w:val="007A2237"/>
    <w:rsid w:val="007A3EC7"/>
    <w:rsid w:val="007A4FC1"/>
    <w:rsid w:val="007B2852"/>
    <w:rsid w:val="007B2F9B"/>
    <w:rsid w:val="007B4D64"/>
    <w:rsid w:val="007B5742"/>
    <w:rsid w:val="007C22C4"/>
    <w:rsid w:val="007C30A3"/>
    <w:rsid w:val="007D2A5C"/>
    <w:rsid w:val="007D2B5B"/>
    <w:rsid w:val="007D4C5E"/>
    <w:rsid w:val="007E1CD5"/>
    <w:rsid w:val="007E2A82"/>
    <w:rsid w:val="007E58FD"/>
    <w:rsid w:val="007F58EF"/>
    <w:rsid w:val="00802EE1"/>
    <w:rsid w:val="008070CC"/>
    <w:rsid w:val="00807E4F"/>
    <w:rsid w:val="00810224"/>
    <w:rsid w:val="008109F6"/>
    <w:rsid w:val="00820710"/>
    <w:rsid w:val="008279DB"/>
    <w:rsid w:val="00830056"/>
    <w:rsid w:val="00830AC5"/>
    <w:rsid w:val="00832283"/>
    <w:rsid w:val="008327E3"/>
    <w:rsid w:val="00832D7E"/>
    <w:rsid w:val="0085272B"/>
    <w:rsid w:val="00855B99"/>
    <w:rsid w:val="0085743D"/>
    <w:rsid w:val="0086041D"/>
    <w:rsid w:val="00861326"/>
    <w:rsid w:val="00872376"/>
    <w:rsid w:val="00873676"/>
    <w:rsid w:val="00875948"/>
    <w:rsid w:val="0087765C"/>
    <w:rsid w:val="00877E5D"/>
    <w:rsid w:val="0089007C"/>
    <w:rsid w:val="008968D1"/>
    <w:rsid w:val="00897508"/>
    <w:rsid w:val="00897D6E"/>
    <w:rsid w:val="008A1A4B"/>
    <w:rsid w:val="008C1C07"/>
    <w:rsid w:val="008C403B"/>
    <w:rsid w:val="008C745C"/>
    <w:rsid w:val="008D15E2"/>
    <w:rsid w:val="008D6360"/>
    <w:rsid w:val="008F0828"/>
    <w:rsid w:val="008F1DB5"/>
    <w:rsid w:val="008F2FE9"/>
    <w:rsid w:val="00901664"/>
    <w:rsid w:val="00927385"/>
    <w:rsid w:val="00944844"/>
    <w:rsid w:val="00946B08"/>
    <w:rsid w:val="00952FEC"/>
    <w:rsid w:val="00957DD7"/>
    <w:rsid w:val="0096151E"/>
    <w:rsid w:val="00965537"/>
    <w:rsid w:val="00966D56"/>
    <w:rsid w:val="00970A8A"/>
    <w:rsid w:val="009735D4"/>
    <w:rsid w:val="0097379D"/>
    <w:rsid w:val="00975E8C"/>
    <w:rsid w:val="00981F61"/>
    <w:rsid w:val="00985C0E"/>
    <w:rsid w:val="00990B1E"/>
    <w:rsid w:val="00996DC0"/>
    <w:rsid w:val="009973EA"/>
    <w:rsid w:val="009A0DBE"/>
    <w:rsid w:val="009A46E2"/>
    <w:rsid w:val="009B038B"/>
    <w:rsid w:val="009B2B2E"/>
    <w:rsid w:val="009C382A"/>
    <w:rsid w:val="009D0EB3"/>
    <w:rsid w:val="009D56AD"/>
    <w:rsid w:val="009E6031"/>
    <w:rsid w:val="009F4746"/>
    <w:rsid w:val="009F4C54"/>
    <w:rsid w:val="009F7AAC"/>
    <w:rsid w:val="00A02EA1"/>
    <w:rsid w:val="00A11C0E"/>
    <w:rsid w:val="00A12236"/>
    <w:rsid w:val="00A20CB1"/>
    <w:rsid w:val="00A215FA"/>
    <w:rsid w:val="00A371C0"/>
    <w:rsid w:val="00A434D0"/>
    <w:rsid w:val="00A46088"/>
    <w:rsid w:val="00A461B6"/>
    <w:rsid w:val="00A47848"/>
    <w:rsid w:val="00A52842"/>
    <w:rsid w:val="00A62B20"/>
    <w:rsid w:val="00A67838"/>
    <w:rsid w:val="00A67AC7"/>
    <w:rsid w:val="00A76ABB"/>
    <w:rsid w:val="00A83C7D"/>
    <w:rsid w:val="00A846E0"/>
    <w:rsid w:val="00A97891"/>
    <w:rsid w:val="00AA07AB"/>
    <w:rsid w:val="00AA48F2"/>
    <w:rsid w:val="00AA6258"/>
    <w:rsid w:val="00AB0CD5"/>
    <w:rsid w:val="00AB24F6"/>
    <w:rsid w:val="00AB420F"/>
    <w:rsid w:val="00AD0FCA"/>
    <w:rsid w:val="00AD6C8D"/>
    <w:rsid w:val="00AE5C30"/>
    <w:rsid w:val="00AE70E8"/>
    <w:rsid w:val="00AE764B"/>
    <w:rsid w:val="00AF0B17"/>
    <w:rsid w:val="00B02DD3"/>
    <w:rsid w:val="00B04101"/>
    <w:rsid w:val="00B20870"/>
    <w:rsid w:val="00B27F66"/>
    <w:rsid w:val="00B34A3B"/>
    <w:rsid w:val="00B37A39"/>
    <w:rsid w:val="00B40DC7"/>
    <w:rsid w:val="00B41F13"/>
    <w:rsid w:val="00B546F7"/>
    <w:rsid w:val="00B5590F"/>
    <w:rsid w:val="00B56CE7"/>
    <w:rsid w:val="00B611ED"/>
    <w:rsid w:val="00B62CF8"/>
    <w:rsid w:val="00B63445"/>
    <w:rsid w:val="00B75F18"/>
    <w:rsid w:val="00B767E4"/>
    <w:rsid w:val="00B823B8"/>
    <w:rsid w:val="00B83B7D"/>
    <w:rsid w:val="00B83FAB"/>
    <w:rsid w:val="00B844D6"/>
    <w:rsid w:val="00B905F3"/>
    <w:rsid w:val="00B90F53"/>
    <w:rsid w:val="00B9158E"/>
    <w:rsid w:val="00B92D4D"/>
    <w:rsid w:val="00B9708B"/>
    <w:rsid w:val="00BA5BB8"/>
    <w:rsid w:val="00BB2F55"/>
    <w:rsid w:val="00BC2CC5"/>
    <w:rsid w:val="00BC419A"/>
    <w:rsid w:val="00BC4C4B"/>
    <w:rsid w:val="00BC5594"/>
    <w:rsid w:val="00BC5C6B"/>
    <w:rsid w:val="00BD16AE"/>
    <w:rsid w:val="00BD31B4"/>
    <w:rsid w:val="00BE3D56"/>
    <w:rsid w:val="00BF17EE"/>
    <w:rsid w:val="00BF20E9"/>
    <w:rsid w:val="00BF5B77"/>
    <w:rsid w:val="00BF5DBC"/>
    <w:rsid w:val="00C049A8"/>
    <w:rsid w:val="00C05A10"/>
    <w:rsid w:val="00C07ACD"/>
    <w:rsid w:val="00C10211"/>
    <w:rsid w:val="00C15CCB"/>
    <w:rsid w:val="00C178CB"/>
    <w:rsid w:val="00C223BB"/>
    <w:rsid w:val="00C35C14"/>
    <w:rsid w:val="00C42CEF"/>
    <w:rsid w:val="00C50364"/>
    <w:rsid w:val="00C56A4F"/>
    <w:rsid w:val="00C64963"/>
    <w:rsid w:val="00C746FC"/>
    <w:rsid w:val="00C75BF5"/>
    <w:rsid w:val="00C814DC"/>
    <w:rsid w:val="00C970A2"/>
    <w:rsid w:val="00C970D3"/>
    <w:rsid w:val="00CA140F"/>
    <w:rsid w:val="00CB034C"/>
    <w:rsid w:val="00CB0C01"/>
    <w:rsid w:val="00CD4423"/>
    <w:rsid w:val="00CD59A3"/>
    <w:rsid w:val="00CE2D44"/>
    <w:rsid w:val="00D01C8A"/>
    <w:rsid w:val="00D032B9"/>
    <w:rsid w:val="00D04A31"/>
    <w:rsid w:val="00D058EA"/>
    <w:rsid w:val="00D12AC5"/>
    <w:rsid w:val="00D3358C"/>
    <w:rsid w:val="00D3670B"/>
    <w:rsid w:val="00D43F7D"/>
    <w:rsid w:val="00D473E8"/>
    <w:rsid w:val="00D62AAC"/>
    <w:rsid w:val="00D834C4"/>
    <w:rsid w:val="00D843A0"/>
    <w:rsid w:val="00D8629F"/>
    <w:rsid w:val="00D904C1"/>
    <w:rsid w:val="00D93B81"/>
    <w:rsid w:val="00DB0EAB"/>
    <w:rsid w:val="00DB24B3"/>
    <w:rsid w:val="00DC0F5E"/>
    <w:rsid w:val="00DC10AB"/>
    <w:rsid w:val="00DC5CD1"/>
    <w:rsid w:val="00DD3990"/>
    <w:rsid w:val="00DD4CC9"/>
    <w:rsid w:val="00DE05F5"/>
    <w:rsid w:val="00DE4741"/>
    <w:rsid w:val="00DE7300"/>
    <w:rsid w:val="00DE7772"/>
    <w:rsid w:val="00DF4C80"/>
    <w:rsid w:val="00E05115"/>
    <w:rsid w:val="00E0556A"/>
    <w:rsid w:val="00E05E3F"/>
    <w:rsid w:val="00E07311"/>
    <w:rsid w:val="00E2220F"/>
    <w:rsid w:val="00E24BA6"/>
    <w:rsid w:val="00E27B81"/>
    <w:rsid w:val="00E405A4"/>
    <w:rsid w:val="00E43A93"/>
    <w:rsid w:val="00E500F3"/>
    <w:rsid w:val="00E537E2"/>
    <w:rsid w:val="00E56940"/>
    <w:rsid w:val="00E57DC4"/>
    <w:rsid w:val="00E6087A"/>
    <w:rsid w:val="00E616FB"/>
    <w:rsid w:val="00E728B2"/>
    <w:rsid w:val="00E74779"/>
    <w:rsid w:val="00E74F3C"/>
    <w:rsid w:val="00E83318"/>
    <w:rsid w:val="00E83EC9"/>
    <w:rsid w:val="00E83F0C"/>
    <w:rsid w:val="00E8562A"/>
    <w:rsid w:val="00E90339"/>
    <w:rsid w:val="00E92A8C"/>
    <w:rsid w:val="00E94AE4"/>
    <w:rsid w:val="00EA78BE"/>
    <w:rsid w:val="00EA7EB6"/>
    <w:rsid w:val="00ED08AB"/>
    <w:rsid w:val="00ED2324"/>
    <w:rsid w:val="00EE3394"/>
    <w:rsid w:val="00EF42E0"/>
    <w:rsid w:val="00EF45A6"/>
    <w:rsid w:val="00EF5F01"/>
    <w:rsid w:val="00F0664E"/>
    <w:rsid w:val="00F06739"/>
    <w:rsid w:val="00F0776A"/>
    <w:rsid w:val="00F07E87"/>
    <w:rsid w:val="00F12CEA"/>
    <w:rsid w:val="00F14A96"/>
    <w:rsid w:val="00F27C82"/>
    <w:rsid w:val="00F30663"/>
    <w:rsid w:val="00F30D92"/>
    <w:rsid w:val="00F45334"/>
    <w:rsid w:val="00F45AA2"/>
    <w:rsid w:val="00F464F7"/>
    <w:rsid w:val="00F47FB7"/>
    <w:rsid w:val="00F60331"/>
    <w:rsid w:val="00F60791"/>
    <w:rsid w:val="00F759D3"/>
    <w:rsid w:val="00F827ED"/>
    <w:rsid w:val="00F8364E"/>
    <w:rsid w:val="00F85A71"/>
    <w:rsid w:val="00F917CF"/>
    <w:rsid w:val="00F91A3B"/>
    <w:rsid w:val="00FA0D47"/>
    <w:rsid w:val="00FA30FB"/>
    <w:rsid w:val="00FA6947"/>
    <w:rsid w:val="00FB6E9E"/>
    <w:rsid w:val="00FC596E"/>
    <w:rsid w:val="00FD7903"/>
    <w:rsid w:val="00FE1DDA"/>
    <w:rsid w:val="00FF080F"/>
    <w:rsid w:val="00FF71F1"/>
    <w:rsid w:val="02D06FFE"/>
    <w:rsid w:val="1C897766"/>
    <w:rsid w:val="677F2CD2"/>
    <w:rsid w:val="73B5683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2"/>
    <w:qFormat/>
    <w:uiPriority w:val="0"/>
    <w:pPr>
      <w:spacing w:after="120"/>
    </w:pPr>
    <w:rPr>
      <w:rFonts w:asciiTheme="minorHAnsi" w:hAnsiTheme="minorHAnsi" w:eastAsiaTheme="minorEastAsia" w:cstheme="minorBidi"/>
    </w:rPr>
  </w:style>
  <w:style w:type="paragraph" w:styleId="5">
    <w:name w:val="Plain Text"/>
    <w:basedOn w:val="1"/>
    <w:link w:val="17"/>
    <w:qFormat/>
    <w:uiPriority w:val="0"/>
    <w:rPr>
      <w:rFonts w:ascii="宋体" w:hAnsi="Courier New" w:eastAsiaTheme="minorEastAsia" w:cstheme="minorBidi"/>
      <w:szCs w:val="22"/>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3"/>
    <w:qFormat/>
    <w:uiPriority w:val="0"/>
    <w:pPr>
      <w:snapToGrid w:val="0"/>
      <w:jc w:val="left"/>
    </w:pPr>
    <w:rPr>
      <w:rFonts w:ascii="宋体" w:hAnsi="宋体" w:cstheme="minorBidi"/>
      <w:sz w:val="18"/>
      <w:szCs w:val="18"/>
    </w:rPr>
  </w:style>
  <w:style w:type="character" w:styleId="10">
    <w:name w:val="footnote reference"/>
    <w:qFormat/>
    <w:uiPriority w:val="0"/>
    <w:rPr>
      <w:vertAlign w:val="superscript"/>
    </w:rPr>
  </w:style>
  <w:style w:type="character" w:customStyle="1" w:styleId="12">
    <w:name w:val="标题 1 Char"/>
    <w:basedOn w:val="9"/>
    <w:link w:val="2"/>
    <w:qFormat/>
    <w:uiPriority w:val="0"/>
    <w:rPr>
      <w:rFonts w:ascii="Times New Roman" w:hAnsi="Times New Roman" w:eastAsia="宋体" w:cs="Times New Roman"/>
      <w:b/>
      <w:bCs/>
      <w:kern w:val="44"/>
      <w:sz w:val="44"/>
      <w:szCs w:val="44"/>
    </w:rPr>
  </w:style>
  <w:style w:type="character" w:customStyle="1" w:styleId="13">
    <w:name w:val="脚注文本 Char"/>
    <w:link w:val="8"/>
    <w:qFormat/>
    <w:locked/>
    <w:uiPriority w:val="0"/>
    <w:rPr>
      <w:rFonts w:ascii="宋体" w:hAnsi="宋体" w:eastAsia="宋体"/>
      <w:sz w:val="18"/>
      <w:szCs w:val="18"/>
    </w:rPr>
  </w:style>
  <w:style w:type="character" w:customStyle="1" w:styleId="14">
    <w:name w:val="脚注文本 Char1"/>
    <w:basedOn w:val="9"/>
    <w:semiHidden/>
    <w:qFormat/>
    <w:uiPriority w:val="99"/>
    <w:rPr>
      <w:rFonts w:ascii="Times New Roman" w:hAnsi="Times New Roman" w:eastAsia="宋体" w:cs="Times New Roman"/>
      <w:sz w:val="18"/>
      <w:szCs w:val="18"/>
    </w:rPr>
  </w:style>
  <w:style w:type="paragraph" w:customStyle="1" w:styleId="15">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6">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7">
    <w:name w:val="纯文本 Char"/>
    <w:link w:val="5"/>
    <w:qFormat/>
    <w:locked/>
    <w:uiPriority w:val="0"/>
    <w:rPr>
      <w:rFonts w:ascii="宋体" w:hAnsi="Courier New"/>
    </w:rPr>
  </w:style>
  <w:style w:type="character" w:customStyle="1" w:styleId="18">
    <w:name w:val="纯文本 Char1"/>
    <w:basedOn w:val="9"/>
    <w:semiHidden/>
    <w:qFormat/>
    <w:uiPriority w:val="99"/>
    <w:rPr>
      <w:rFonts w:ascii="宋体" w:hAnsi="Courier New" w:eastAsia="宋体" w:cs="Courier New"/>
      <w:szCs w:val="21"/>
    </w:rPr>
  </w:style>
  <w:style w:type="character" w:customStyle="1" w:styleId="19">
    <w:name w:val="标题 2 Char"/>
    <w:basedOn w:val="9"/>
    <w:link w:val="3"/>
    <w:semiHidden/>
    <w:qFormat/>
    <w:uiPriority w:val="9"/>
    <w:rPr>
      <w:rFonts w:asciiTheme="majorHAnsi" w:hAnsiTheme="majorHAnsi" w:eastAsiaTheme="majorEastAsia" w:cstheme="majorBidi"/>
      <w:b/>
      <w:bCs/>
      <w:sz w:val="32"/>
      <w:szCs w:val="32"/>
    </w:rPr>
  </w:style>
  <w:style w:type="character" w:customStyle="1" w:styleId="20">
    <w:name w:val="页眉 Char"/>
    <w:basedOn w:val="9"/>
    <w:link w:val="7"/>
    <w:qFormat/>
    <w:uiPriority w:val="99"/>
    <w:rPr>
      <w:rFonts w:ascii="Times New Roman" w:hAnsi="Times New Roman" w:eastAsia="宋体" w:cs="Times New Roman"/>
      <w:sz w:val="18"/>
      <w:szCs w:val="18"/>
    </w:rPr>
  </w:style>
  <w:style w:type="character" w:customStyle="1" w:styleId="21">
    <w:name w:val="页脚 Char"/>
    <w:basedOn w:val="9"/>
    <w:link w:val="6"/>
    <w:qFormat/>
    <w:uiPriority w:val="99"/>
    <w:rPr>
      <w:rFonts w:ascii="Times New Roman" w:hAnsi="Times New Roman" w:eastAsia="宋体" w:cs="Times New Roman"/>
      <w:sz w:val="18"/>
      <w:szCs w:val="18"/>
    </w:rPr>
  </w:style>
  <w:style w:type="character" w:customStyle="1" w:styleId="22">
    <w:name w:val="正文文本 Char"/>
    <w:link w:val="4"/>
    <w:qFormat/>
    <w:uiPriority w:val="0"/>
    <w:rPr>
      <w:szCs w:val="24"/>
    </w:rPr>
  </w:style>
  <w:style w:type="character" w:customStyle="1" w:styleId="23">
    <w:name w:val="正文文本 Char1"/>
    <w:basedOn w:val="9"/>
    <w:semiHidden/>
    <w:qFormat/>
    <w:uiPriority w:val="99"/>
    <w:rPr>
      <w:rFonts w:ascii="Times New Roman" w:hAnsi="Times New Roman" w:eastAsia="宋体" w:cs="Times New Roman"/>
      <w:szCs w:val="24"/>
    </w:rPr>
  </w:style>
  <w:style w:type="paragraph" w:customStyle="1" w:styleId="24">
    <w:name w:val="List Paragraph"/>
    <w:qFormat/>
    <w:uiPriority w:val="0"/>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1269</Words>
  <Characters>7234</Characters>
  <Lines>60</Lines>
  <Paragraphs>16</Paragraphs>
  <ScaleCrop>false</ScaleCrop>
  <LinksUpToDate>false</LinksUpToDate>
  <CharactersWithSpaces>8487</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2016-11-30T03:09:00Z</dcterms:created>
  <dc:creator>dreamsummit</dc:creator>
  <cp:lastModifiedBy>lenovo</cp:lastModifiedBy>
  <dcterms:modified xsi:type="dcterms:W3CDTF">2017-03-08T07:33:20Z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