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360" w:lineRule="auto"/>
        <w:jc w:val="center"/>
        <w:rPr>
          <w:rFonts w:ascii="黑体" w:hAnsi="黑体" w:eastAsia="黑体"/>
          <w:b/>
          <w:bCs/>
          <w:sz w:val="32"/>
        </w:rPr>
      </w:pPr>
      <w:r>
        <w:rPr>
          <w:rFonts w:hint="eastAsia" w:ascii="黑体" w:hAnsi="黑体" w:eastAsia="黑体"/>
          <w:b/>
          <w:bCs/>
          <w:sz w:val="32"/>
        </w:rPr>
        <w:t>配件技术要求</w:t>
      </w:r>
    </w:p>
    <w:p>
      <w:pPr>
        <w:tabs>
          <w:tab w:val="left" w:pos="2340"/>
        </w:tabs>
        <w:spacing w:line="360" w:lineRule="auto"/>
        <w:jc w:val="center"/>
        <w:rPr>
          <w:rFonts w:ascii="黑体" w:hAnsi="黑体" w:eastAsia="黑体"/>
          <w:b/>
          <w:bCs/>
          <w:sz w:val="32"/>
        </w:rPr>
      </w:pPr>
    </w:p>
    <w:p>
      <w:pPr>
        <w:tabs>
          <w:tab w:val="left" w:pos="2340"/>
        </w:tabs>
        <w:spacing w:line="360" w:lineRule="auto"/>
        <w:ind w:firstLine="840" w:firstLineChars="350"/>
        <w:jc w:val="left"/>
        <w:rPr>
          <w:rFonts w:ascii="宋体"/>
          <w:sz w:val="24"/>
        </w:rPr>
      </w:pPr>
      <w:bookmarkStart w:id="0" w:name="_Toc357082526"/>
      <w:bookmarkStart w:id="1" w:name="_Toc356204538"/>
      <w:r>
        <w:rPr>
          <w:rFonts w:hint="eastAsia" w:ascii="宋体"/>
          <w:sz w:val="24"/>
        </w:rPr>
        <w:t xml:space="preserve">第一节 </w:t>
      </w:r>
      <w:r>
        <w:rPr>
          <w:rFonts w:ascii="宋体"/>
          <w:sz w:val="24"/>
        </w:rPr>
        <w:t xml:space="preserve"> </w:t>
      </w:r>
      <w:r>
        <w:rPr>
          <w:rFonts w:hint="eastAsia" w:ascii="宋体"/>
          <w:sz w:val="24"/>
        </w:rPr>
        <w:t>供货范围、技术规格、参数与要求</w:t>
      </w:r>
    </w:p>
    <w:p>
      <w:pPr>
        <w:tabs>
          <w:tab w:val="left" w:pos="2340"/>
        </w:tabs>
        <w:spacing w:line="360" w:lineRule="auto"/>
        <w:ind w:firstLine="840" w:firstLineChars="350"/>
        <w:jc w:val="left"/>
        <w:rPr>
          <w:rFonts w:ascii="宋体"/>
          <w:sz w:val="24"/>
        </w:rPr>
      </w:pPr>
      <w:r>
        <w:rPr>
          <w:rFonts w:hint="eastAsia" w:ascii="宋体"/>
          <w:sz w:val="24"/>
        </w:rPr>
        <w:t xml:space="preserve">第二节 </w:t>
      </w:r>
      <w:r>
        <w:rPr>
          <w:rFonts w:ascii="宋体"/>
          <w:sz w:val="24"/>
        </w:rPr>
        <w:t xml:space="preserve"> </w:t>
      </w:r>
      <w:r>
        <w:rPr>
          <w:rFonts w:hint="eastAsia" w:ascii="宋体"/>
          <w:sz w:val="24"/>
        </w:rPr>
        <w:t>出厂前检验与交货验收</w:t>
      </w:r>
    </w:p>
    <w:p>
      <w:pPr>
        <w:tabs>
          <w:tab w:val="left" w:pos="2340"/>
        </w:tabs>
        <w:spacing w:line="360" w:lineRule="auto"/>
        <w:ind w:firstLine="840" w:firstLineChars="350"/>
        <w:jc w:val="left"/>
        <w:rPr>
          <w:rFonts w:ascii="宋体"/>
          <w:sz w:val="24"/>
        </w:rPr>
      </w:pPr>
      <w:r>
        <w:rPr>
          <w:rFonts w:hint="eastAsia" w:ascii="宋体"/>
          <w:sz w:val="24"/>
        </w:rPr>
        <w:t xml:space="preserve">第三节 </w:t>
      </w:r>
      <w:r>
        <w:rPr>
          <w:rFonts w:ascii="宋体"/>
          <w:sz w:val="24"/>
        </w:rPr>
        <w:t xml:space="preserve"> </w:t>
      </w:r>
      <w:r>
        <w:rPr>
          <w:rFonts w:hint="eastAsia" w:ascii="宋体"/>
          <w:sz w:val="24"/>
        </w:rPr>
        <w:t>质量保证</w:t>
      </w:r>
    </w:p>
    <w:p>
      <w:pPr>
        <w:tabs>
          <w:tab w:val="left" w:pos="2340"/>
        </w:tabs>
        <w:spacing w:line="360" w:lineRule="auto"/>
        <w:ind w:firstLine="840" w:firstLineChars="350"/>
        <w:jc w:val="left"/>
      </w:pPr>
      <w:r>
        <w:rPr>
          <w:rFonts w:hint="eastAsia" w:ascii="宋体"/>
          <w:sz w:val="24"/>
        </w:rPr>
        <w:t xml:space="preserve">第四节 </w:t>
      </w:r>
      <w:r>
        <w:rPr>
          <w:rFonts w:ascii="宋体"/>
          <w:sz w:val="24"/>
        </w:rPr>
        <w:t xml:space="preserve"> </w:t>
      </w:r>
      <w:r>
        <w:rPr>
          <w:rFonts w:hint="eastAsia" w:ascii="宋体"/>
          <w:sz w:val="24"/>
        </w:rPr>
        <w:t>标准</w:t>
      </w:r>
      <w:r>
        <w:br w:type="page"/>
      </w:r>
    </w:p>
    <w:p>
      <w:pPr>
        <w:tabs>
          <w:tab w:val="left" w:pos="2340"/>
        </w:tabs>
        <w:spacing w:line="36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021"/>
        <w:gridCol w:w="1701"/>
        <w:gridCol w:w="709"/>
        <w:gridCol w:w="708"/>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b/>
              </w:rPr>
            </w:pPr>
            <w:r>
              <w:rPr>
                <w:rFonts w:ascii="宋体" w:hAnsi="宋体"/>
                <w:b/>
              </w:rPr>
              <w:t>序</w:t>
            </w:r>
            <w:r>
              <w:rPr>
                <w:rFonts w:hint="eastAsia" w:ascii="宋体" w:hAnsi="宋体"/>
                <w:b/>
              </w:rPr>
              <w:t>号</w:t>
            </w:r>
          </w:p>
        </w:tc>
        <w:tc>
          <w:tcPr>
            <w:tcW w:w="202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b/>
              </w:rPr>
            </w:pPr>
            <w:r>
              <w:rPr>
                <w:rFonts w:ascii="宋体" w:hAnsi="宋体"/>
                <w:b/>
              </w:rPr>
              <w:t>名称</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b/>
              </w:rPr>
            </w:pPr>
            <w:r>
              <w:rPr>
                <w:rFonts w:ascii="宋体" w:hAnsi="宋体"/>
                <w:b/>
              </w:rPr>
              <w:t>单位</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hint="eastAsia" w:ascii="宋体" w:hAnsi="宋体"/>
                <w:szCs w:val="21"/>
              </w:rPr>
              <w:t>1</w:t>
            </w:r>
          </w:p>
        </w:tc>
        <w:tc>
          <w:tcPr>
            <w:tcW w:w="202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hint="eastAsia"/>
              </w:rPr>
              <w:t>离心联轴器</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hAnsiTheme="minorEastAsia" w:eastAsiaTheme="minorEastAsia"/>
                <w:szCs w:val="21"/>
              </w:rPr>
            </w:pPr>
            <w:r>
              <w:rPr>
                <w:rFonts w:ascii="宋体" w:hAnsi="宋体"/>
                <w:szCs w:val="21"/>
              </w:rPr>
              <w:t>500#LOQ125KW</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hint="eastAsia" w:ascii="宋体" w:hAnsi="宋体"/>
                <w:szCs w:val="21"/>
              </w:rPr>
              <w:t>件</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r>
              <w:rPr>
                <w:rFonts w:hint="eastAsia" w:ascii="宋体" w:hAnsi="宋体"/>
                <w:szCs w:val="21"/>
              </w:rPr>
              <w:t>5</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color w:val="FF0000"/>
                <w:szCs w:val="21"/>
              </w:rPr>
            </w:pPr>
            <w:r>
              <w:rPr>
                <w:rFonts w:hint="eastAsia" w:ascii="宋体" w:hAnsi="宋体"/>
                <w:szCs w:val="21"/>
              </w:rPr>
              <w:t>自合同签订之日起30内交货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color w:val="FF0000"/>
                <w:szCs w:val="21"/>
              </w:rPr>
            </w:pPr>
            <w:r>
              <w:rPr>
                <w:rFonts w:hint="eastAsia" w:ascii="宋体" w:hAnsi="宋体"/>
                <w:szCs w:val="21"/>
              </w:rPr>
              <w:t>物资供应中心</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在有沼气及煤尘爆炸性混合气体的矿井中使用，</w:t>
      </w:r>
      <w:r>
        <w:rPr>
          <w:rFonts w:ascii="宋体" w:hAnsi="宋体"/>
          <w:szCs w:val="21"/>
        </w:rPr>
        <w:t>顶板有淋水，底板有渗水</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line="360" w:lineRule="auto"/>
        <w:rPr>
          <w:rFonts w:ascii="宋体" w:hAnsi="宋体"/>
          <w:szCs w:val="21"/>
        </w:rPr>
      </w:pPr>
      <w:r>
        <w:rPr>
          <w:rFonts w:hint="eastAsia" w:ascii="宋体" w:hAnsi="宋体"/>
          <w:szCs w:val="21"/>
        </w:rPr>
        <w:t>2.使用条件：</w:t>
      </w:r>
      <w:r>
        <w:rPr>
          <w:rFonts w:hint="eastAsia" w:ascii="宋体" w:hAnsi="宋体"/>
          <w:szCs w:val="21"/>
          <w:u w:val="single"/>
        </w:rPr>
        <w:t xml:space="preserve"> DSP1080胶带机电机和减速器的连接</w:t>
      </w:r>
      <w:r>
        <w:rPr>
          <w:rFonts w:hint="eastAsia" w:ascii="宋体" w:hAnsi="宋体"/>
          <w:szCs w:val="21"/>
        </w:rPr>
        <w:t>。</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szCs w:val="21"/>
        </w:rPr>
        <w:t>参数</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*1.1.联轴器类型：</w:t>
      </w:r>
      <w:r>
        <w:rPr>
          <w:rFonts w:hint="eastAsia" w:ascii="宋体" w:hAnsi="宋体"/>
          <w:szCs w:val="21"/>
          <w:u w:val="single"/>
        </w:rPr>
        <w:t>摩擦离心式联轴器</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*1.2.电机端连接尺寸：</w:t>
      </w:r>
      <w:r>
        <w:rPr>
          <w:rFonts w:hint="eastAsia" w:ascii="宋体" w:hAnsi="宋体"/>
          <w:szCs w:val="21"/>
          <w:u w:val="single"/>
        </w:rPr>
        <w:t>轴颈Φ80mm，键槽22mm，轴颈长170mm</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*1.3.减速器端连接尺寸：</w:t>
      </w:r>
      <w:r>
        <w:rPr>
          <w:rFonts w:hint="eastAsia" w:ascii="宋体" w:hAnsi="宋体"/>
          <w:szCs w:val="21"/>
          <w:u w:val="single"/>
        </w:rPr>
        <w:t>渐开线内花键</w:t>
      </w:r>
      <w:r>
        <w:rPr>
          <w:rFonts w:ascii="宋体" w:hAnsi="宋体"/>
          <w:szCs w:val="21"/>
          <w:u w:val="single"/>
        </w:rPr>
        <w:t>16z×3.5m×60P</w:t>
      </w:r>
      <w:r>
        <w:rPr>
          <w:rFonts w:hint="eastAsia" w:ascii="宋体" w:hAnsi="宋体"/>
          <w:szCs w:val="21"/>
          <w:u w:val="single"/>
        </w:rPr>
        <w:t>，定位孔φ65×115mm</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△1.4.过载系数：</w:t>
      </w:r>
      <w:r>
        <w:rPr>
          <w:rFonts w:hint="eastAsia" w:ascii="宋体" w:hAnsi="宋体"/>
          <w:szCs w:val="21"/>
          <w:u w:val="single"/>
        </w:rPr>
        <w:t>1.7～2.2</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△1.5.额定转速：</w:t>
      </w:r>
      <w:r>
        <w:rPr>
          <w:rFonts w:hint="eastAsia" w:ascii="宋体" w:hAnsi="宋体"/>
          <w:szCs w:val="21"/>
          <w:u w:val="single"/>
        </w:rPr>
        <w:t>1480r/min</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1.6.外径：</w:t>
      </w:r>
      <w:r>
        <w:rPr>
          <w:rFonts w:hint="eastAsia" w:ascii="宋体" w:hAnsi="宋体"/>
          <w:szCs w:val="21"/>
          <w:u w:val="single"/>
        </w:rPr>
        <w:t>≤420mm</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△1.7.联轴器总长度：</w:t>
      </w:r>
      <w:r>
        <w:rPr>
          <w:rFonts w:hint="eastAsia" w:ascii="宋体" w:hAnsi="宋体"/>
          <w:szCs w:val="21"/>
          <w:u w:val="single"/>
        </w:rPr>
        <w:t>345mm</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1.8.机芯及离心摩擦块材质：</w:t>
      </w:r>
      <w:r>
        <w:rPr>
          <w:rFonts w:hint="eastAsia" w:ascii="宋体" w:hAnsi="宋体"/>
          <w:szCs w:val="21"/>
          <w:u w:val="single"/>
        </w:rPr>
        <w:t>ZG45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1.9.偶合轮材质：</w:t>
      </w:r>
      <w:r>
        <w:rPr>
          <w:rFonts w:hint="eastAsia" w:ascii="宋体" w:hAnsi="宋体"/>
          <w:szCs w:val="21"/>
          <w:u w:val="single"/>
        </w:rPr>
        <w:t>QT500-7A</w:t>
      </w:r>
      <w:r>
        <w:rPr>
          <w:rFonts w:hint="eastAsia" w:ascii="宋体" w:hAnsi="宋体"/>
          <w:szCs w:val="21"/>
        </w:rPr>
        <w:t>。</w:t>
      </w:r>
    </w:p>
    <w:p>
      <w:pPr>
        <w:adjustRightInd w:val="0"/>
        <w:snapToGrid w:val="0"/>
        <w:spacing w:line="360" w:lineRule="auto"/>
        <w:ind w:left="1"/>
        <w:rPr>
          <w:rFonts w:ascii="宋体" w:hAnsi="宋体"/>
          <w:szCs w:val="21"/>
        </w:rPr>
      </w:pPr>
      <w:r>
        <w:rPr>
          <w:rFonts w:hint="eastAsia" w:ascii="宋体" w:hAnsi="宋体"/>
          <w:szCs w:val="21"/>
        </w:rPr>
        <w:t>2. 技术性能要求</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*2.1.联轴器转速达到1100r/min以上时，摩擦轮和偶合轮能够同步运转传递动力。严重超载时，离心摩擦轮滑行，能够实现电机和减速器的保护。</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2.2.轴孔配合公差符合联轴器过盈连接技术要求。</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△2.3.联轴器材质检验报告、MA标识、合格证、铭牌和标识齐全，字迹清晰。表面的涂装符合设备出厂前完好标准。</w:t>
      </w:r>
    </w:p>
    <w:p>
      <w:pPr>
        <w:adjustRightInd w:val="0"/>
        <w:snapToGrid w:val="0"/>
        <w:spacing w:line="360" w:lineRule="auto"/>
        <w:ind w:left="707" w:leftChars="135" w:hanging="424" w:hangingChars="202"/>
        <w:jc w:val="left"/>
        <w:rPr>
          <w:rFonts w:ascii="宋体" w:hAnsi="宋体"/>
          <w:szCs w:val="21"/>
        </w:rPr>
      </w:pPr>
      <w:r>
        <w:rPr>
          <w:rFonts w:hint="eastAsia" w:ascii="宋体" w:hAnsi="宋体"/>
          <w:szCs w:val="21"/>
        </w:rPr>
        <w:t>2.4.联轴器应有</w:t>
      </w:r>
      <w:r>
        <w:rPr>
          <w:rFonts w:ascii="宋体" w:hAnsi="宋体"/>
          <w:szCs w:val="21"/>
        </w:rPr>
        <w:t>平稳的软启动性能</w:t>
      </w:r>
      <w:r>
        <w:rPr>
          <w:rFonts w:hint="eastAsia" w:ascii="宋体" w:hAnsi="宋体"/>
          <w:szCs w:val="21"/>
        </w:rPr>
        <w:t>和过载保护功能，使用寿命不低于30000小时。</w:t>
      </w:r>
    </w:p>
    <w:p>
      <w:pPr>
        <w:adjustRightInd w:val="0"/>
        <w:snapToGrid w:val="0"/>
        <w:spacing w:line="360" w:lineRule="auto"/>
        <w:ind w:left="707" w:leftChars="135" w:hanging="424" w:hangingChars="202"/>
        <w:jc w:val="left"/>
        <w:rPr>
          <w:rFonts w:ascii="宋体" w:hAnsi="宋体"/>
          <w:szCs w:val="21"/>
        </w:rPr>
      </w:pPr>
      <w:r>
        <w:rPr>
          <w:rFonts w:hint="eastAsia" w:ascii="宋体" w:hAnsi="宋体"/>
          <w:szCs w:val="21"/>
        </w:rPr>
        <w:t>2.5.供货方需到现场进行参数核实并指导安装。</w:t>
      </w:r>
    </w:p>
    <w:p>
      <w:pPr>
        <w:adjustRightInd w:val="0"/>
        <w:snapToGrid w:val="0"/>
        <w:spacing w:line="360" w:lineRule="auto"/>
        <w:ind w:left="1"/>
        <w:jc w:val="left"/>
        <w:rPr>
          <w:rFonts w:ascii="宋体" w:hAnsi="宋体"/>
          <w:szCs w:val="21"/>
        </w:rPr>
      </w:pPr>
      <w:r>
        <w:rPr>
          <w:rFonts w:hint="eastAsia" w:ascii="宋体" w:hAnsi="宋体"/>
          <w:szCs w:val="21"/>
        </w:rPr>
        <w:t>3.安全技术要求</w:t>
      </w:r>
    </w:p>
    <w:p>
      <w:pPr>
        <w:adjustRightInd w:val="0"/>
        <w:snapToGrid w:val="0"/>
        <w:spacing w:line="360" w:lineRule="auto"/>
        <w:ind w:left="1" w:firstLine="296" w:firstLineChars="141"/>
        <w:jc w:val="left"/>
        <w:rPr>
          <w:rFonts w:ascii="宋体" w:hAnsi="宋体"/>
          <w:szCs w:val="21"/>
        </w:rPr>
      </w:pPr>
      <w:r>
        <w:rPr>
          <w:rFonts w:hint="eastAsia" w:ascii="宋体" w:hAnsi="宋体"/>
          <w:szCs w:val="21"/>
        </w:rPr>
        <w:t>*3.1零件生产厂家必须持有国家相关部门颁发的煤矿用产品生产许可证。</w:t>
      </w:r>
    </w:p>
    <w:p>
      <w:pPr>
        <w:adjustRightInd w:val="0"/>
        <w:snapToGrid w:val="0"/>
        <w:spacing w:line="360" w:lineRule="auto"/>
        <w:ind w:left="1" w:firstLine="296" w:firstLineChars="141"/>
        <w:jc w:val="left"/>
        <w:rPr>
          <w:rFonts w:ascii="宋体" w:hAnsi="宋体"/>
          <w:szCs w:val="21"/>
        </w:rPr>
      </w:pPr>
      <w:bookmarkStart w:id="4" w:name="_GoBack"/>
      <w:bookmarkEnd w:id="4"/>
      <w:r>
        <w:rPr>
          <w:rFonts w:hint="eastAsia" w:ascii="宋体" w:hAnsi="宋体"/>
          <w:szCs w:val="21"/>
        </w:rPr>
        <w:t>3.2 旋转件平衡试验合格，紧固件紧固符合要求。</w:t>
      </w:r>
    </w:p>
    <w:p>
      <w:pPr>
        <w:pStyle w:val="19"/>
        <w:tabs>
          <w:tab w:val="left" w:pos="1290"/>
          <w:tab w:val="left" w:pos="1680"/>
        </w:tabs>
        <w:adjustRightInd w:val="0"/>
        <w:snapToGrid w:val="0"/>
        <w:spacing w:before="0" w:after="0" w:line="360" w:lineRule="auto"/>
        <w:rPr>
          <w:sz w:val="21"/>
          <w:szCs w:val="21"/>
        </w:rPr>
      </w:pPr>
      <w:r>
        <w:rPr>
          <w:rFonts w:hint="eastAsia"/>
          <w:sz w:val="21"/>
          <w:szCs w:val="21"/>
        </w:rPr>
        <w:t>4.招标人提出的其它技术要求</w:t>
      </w:r>
    </w:p>
    <w:p>
      <w:pPr>
        <w:pStyle w:val="19"/>
        <w:tabs>
          <w:tab w:val="left" w:pos="1290"/>
          <w:tab w:val="left" w:pos="1680"/>
        </w:tabs>
        <w:adjustRightInd w:val="0"/>
        <w:snapToGrid w:val="0"/>
        <w:spacing w:before="0" w:after="0" w:line="360" w:lineRule="auto"/>
        <w:ind w:firstLine="210" w:firstLineChars="100"/>
        <w:rPr>
          <w:sz w:val="21"/>
          <w:szCs w:val="21"/>
        </w:rPr>
      </w:pPr>
      <w:r>
        <w:rPr>
          <w:rFonts w:hint="eastAsia"/>
          <w:sz w:val="21"/>
          <w:szCs w:val="21"/>
        </w:rPr>
        <w:t>4.1.投标厂家必须对招标文件中的技术条款逐条解释并满足工作环境。</w:t>
      </w:r>
    </w:p>
    <w:p>
      <w:pPr>
        <w:pStyle w:val="19"/>
        <w:tabs>
          <w:tab w:val="left" w:pos="1290"/>
          <w:tab w:val="left" w:pos="1680"/>
        </w:tabs>
        <w:adjustRightInd w:val="0"/>
        <w:snapToGrid w:val="0"/>
        <w:spacing w:before="0" w:after="0"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pPr>
        <w:pStyle w:val="19"/>
        <w:tabs>
          <w:tab w:val="left" w:pos="1290"/>
          <w:tab w:val="left" w:pos="1680"/>
        </w:tabs>
        <w:adjustRightInd w:val="0"/>
        <w:snapToGrid w:val="0"/>
        <w:spacing w:before="0" w:after="0" w:line="360" w:lineRule="auto"/>
        <w:rPr>
          <w:sz w:val="21"/>
          <w:szCs w:val="21"/>
        </w:rPr>
      </w:pPr>
      <w:r>
        <w:rPr>
          <w:rFonts w:hint="eastAsia"/>
          <w:sz w:val="21"/>
          <w:szCs w:val="21"/>
        </w:rPr>
        <w:t xml:space="preserve">  4</w:t>
      </w:r>
      <w:r>
        <w:rPr>
          <w:sz w:val="21"/>
          <w:szCs w:val="21"/>
        </w:rPr>
        <w:t>.3.</w:t>
      </w:r>
      <w:r>
        <w:rPr>
          <w:rFonts w:hint="eastAsia"/>
          <w:sz w:val="21"/>
          <w:szCs w:val="21"/>
        </w:rPr>
        <w:t>上表分项报价合计价格与投标报价设备总价格必须一致。</w:t>
      </w:r>
    </w:p>
    <w:p>
      <w:pPr>
        <w:pStyle w:val="19"/>
        <w:tabs>
          <w:tab w:val="left" w:pos="1290"/>
          <w:tab w:val="left" w:pos="1680"/>
        </w:tabs>
        <w:adjustRightInd w:val="0"/>
        <w:snapToGrid w:val="0"/>
        <w:spacing w:before="0" w:after="0" w:line="360" w:lineRule="auto"/>
        <w:rPr>
          <w:sz w:val="21"/>
          <w:szCs w:val="21"/>
        </w:rPr>
      </w:pPr>
      <w:r>
        <w:rPr>
          <w:rFonts w:hint="eastAsia"/>
          <w:sz w:val="21"/>
          <w:szCs w:val="21"/>
        </w:rPr>
        <w:t xml:space="preserve">  4.</w:t>
      </w:r>
      <w:r>
        <w:rPr>
          <w:sz w:val="21"/>
          <w:szCs w:val="21"/>
        </w:rPr>
        <w:t>4</w:t>
      </w:r>
      <w:r>
        <w:rPr>
          <w:rFonts w:hint="eastAsia"/>
          <w:sz w:val="21"/>
          <w:szCs w:val="21"/>
        </w:rPr>
        <w:t>.中标单位保证所供配件必须与主机尺寸、安装位置一致，并保证正常安装使用，可实现主机设备所有功能。</w:t>
      </w:r>
    </w:p>
    <w:p>
      <w:pPr>
        <w:pStyle w:val="19"/>
        <w:tabs>
          <w:tab w:val="left" w:pos="1290"/>
          <w:tab w:val="left" w:pos="1680"/>
        </w:tabs>
        <w:adjustRightInd w:val="0"/>
        <w:snapToGrid w:val="0"/>
        <w:spacing w:before="0" w:after="0" w:line="360" w:lineRule="auto"/>
        <w:ind w:firstLine="210" w:firstLineChars="100"/>
        <w:rPr>
          <w:rFonts w:hAnsi="宋体" w:cs="宋体"/>
          <w:szCs w:val="21"/>
        </w:rPr>
      </w:pPr>
      <w:r>
        <w:rPr>
          <w:rFonts w:hint="eastAsia"/>
          <w:sz w:val="21"/>
          <w:szCs w:val="21"/>
        </w:rPr>
        <w:t>4.5厂家必须到现场进行测绘，保证与在用设备的通用、互换性，最终加工参数以现场测绘为准，测绘数据需使用方签字确认。</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ascii="宋体"/>
          <w:spacing w:val="-5"/>
          <w:kern w:val="0"/>
          <w:szCs w:val="21"/>
        </w:rPr>
      </w:pPr>
      <w:r>
        <w:rPr>
          <w:rFonts w:hint="eastAsia" w:ascii="宋体"/>
          <w:spacing w:val="-5"/>
          <w:kern w:val="0"/>
          <w:szCs w:val="21"/>
        </w:rPr>
        <w:t>1 .技术参数及性能</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1.1.联轴器类型：</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1.2.功率：</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1.3.电机端连接尺寸：</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1.4.减速器端连接尺寸：</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1.5.过载系数：</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1.6.额定转速：</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1.7.外径：</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1.8. 联轴器总长度：</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1.8.机芯及离心摩擦块材质：</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1.9.偶合轮材质：</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rPr>
          <w:rFonts w:ascii="宋体"/>
          <w:szCs w:val="21"/>
        </w:rPr>
      </w:pPr>
      <w:r>
        <w:rPr>
          <w:rFonts w:hint="eastAsia" w:ascii="宋体"/>
          <w:szCs w:val="21"/>
        </w:rPr>
        <w:t>2.投标人需要特别说明的其他问题</w:t>
      </w:r>
    </w:p>
    <w:p>
      <w:pPr>
        <w:widowControl/>
        <w:spacing w:line="360" w:lineRule="auto"/>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出厂前检验与交货验收</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adjustRightInd w:val="0"/>
        <w:snapToGrid w:val="0"/>
        <w:spacing w:before="156" w:beforeLines="50" w:line="360" w:lineRule="auto"/>
        <w:ind w:left="315" w:leftChars="150" w:firstLine="105" w:firstLineChars="50"/>
        <w:rPr>
          <w:rFonts w:ascii="宋体" w:hAnsi="宋体"/>
          <w:szCs w:val="21"/>
        </w:rPr>
      </w:pPr>
      <w:r>
        <w:rPr>
          <w:rFonts w:ascii="宋体" w:hAnsi="宋体"/>
          <w:szCs w:val="21"/>
        </w:rPr>
        <w:t>6</w:t>
      </w:r>
      <w:r>
        <w:rPr>
          <w:rFonts w:hint="eastAsia" w:ascii="宋体" w:hAnsi="宋体"/>
          <w:szCs w:val="21"/>
        </w:rPr>
        <w:t>. 在该附录中：</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315" w:leftChars="150"/>
        <w:rPr>
          <w:rFonts w:ascii="宋体" w:hAnsi="宋体"/>
          <w:szCs w:val="21"/>
        </w:rPr>
      </w:pPr>
      <w:r>
        <w:rPr>
          <w:rFonts w:ascii="宋体" w:hAnsi="宋体"/>
          <w:szCs w:val="21"/>
        </w:rPr>
        <w:t>7</w:t>
      </w:r>
      <w:r>
        <w:rPr>
          <w:rFonts w:hint="eastAsia" w:ascii="宋体" w:hAnsi="宋体"/>
          <w:szCs w:val="21"/>
        </w:rPr>
        <w:t>. 设备到货应随机提供出厂验收报告。</w:t>
      </w:r>
    </w:p>
    <w:p>
      <w:pPr>
        <w:adjustRightInd w:val="0"/>
        <w:snapToGrid w:val="0"/>
        <w:spacing w:before="156" w:beforeLines="50" w:line="360" w:lineRule="auto"/>
        <w:ind w:left="315" w:leftChars="150"/>
        <w:rPr>
          <w:rFonts w:ascii="宋体" w:hAnsi="宋体"/>
          <w:szCs w:val="21"/>
        </w:rPr>
      </w:pPr>
      <w:r>
        <w:rPr>
          <w:rFonts w:ascii="宋体" w:hAnsi="宋体"/>
          <w:szCs w:val="21"/>
        </w:rPr>
        <w:t>8</w:t>
      </w:r>
      <w:r>
        <w:rPr>
          <w:rFonts w:hint="eastAsia" w:ascii="宋体" w:hAnsi="宋体"/>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r>
        <w:rPr>
          <w:rFonts w:hint="eastAsia" w:ascii="宋体" w:hAnsi="宋体"/>
          <w:szCs w:val="21"/>
        </w:rPr>
        <w:br w:type="page"/>
      </w:r>
    </w:p>
    <w:p>
      <w:pPr>
        <w:pStyle w:val="16"/>
        <w:spacing w:before="156" w:beforeLines="50" w:after="156" w:afterLines="50" w:line="360" w:lineRule="auto"/>
        <w:jc w:val="center"/>
        <w:outlineLvl w:val="9"/>
        <w:rPr>
          <w:rFonts w:ascii="宋体" w:hAnsi="宋体" w:eastAsia="宋体"/>
          <w:b/>
          <w:sz w:val="24"/>
          <w:szCs w:val="24"/>
        </w:rPr>
      </w:pPr>
      <w:bookmarkStart w:id="3" w:name="_Toc357086144"/>
      <w:r>
        <w:rPr>
          <w:rFonts w:hint="eastAsia" w:ascii="黑体" w:hAnsi="黑体" w:cs="Times New Roman"/>
          <w:b/>
          <w:bCs/>
          <w:sz w:val="32"/>
          <w:szCs w:val="24"/>
        </w:rPr>
        <w:t>第三节 质量保证</w:t>
      </w:r>
    </w:p>
    <w:bookmarkEnd w:id="3"/>
    <w:p>
      <w:pPr>
        <w:widowControl/>
        <w:spacing w:line="360" w:lineRule="auto"/>
        <w:ind w:firstLine="420" w:firstLineChars="200"/>
        <w:jc w:val="left"/>
      </w:pPr>
      <w:r>
        <w:rPr>
          <w:rFonts w:hint="eastAsia"/>
        </w:rPr>
        <w:t>1. 质保期应为自使用之日起12个月或到货验收合格后18个月，先到为准。对由于设计或质量问题而引起的设备故障，中标方应进一步对此负责。专用合同条款对质保有特殊规定的从其规定。</w:t>
      </w:r>
    </w:p>
    <w:p>
      <w:pPr>
        <w:widowControl/>
        <w:spacing w:line="360" w:lineRule="auto"/>
        <w:ind w:firstLine="420" w:firstLineChars="200"/>
        <w:jc w:val="left"/>
      </w:pPr>
      <w:r>
        <w:rPr>
          <w:rFonts w:hint="eastAsia"/>
        </w:rPr>
        <w:t>2. 中标方质保期内应免费对产品进行维修服务，无偿更换零件、部件,更换、维修后的部件质保期从产品正常运行之日起重新计算。</w:t>
      </w:r>
    </w:p>
    <w:p>
      <w:pPr>
        <w:widowControl/>
        <w:spacing w:line="360" w:lineRule="auto"/>
        <w:ind w:firstLine="420" w:firstLineChars="200"/>
        <w:jc w:val="left"/>
      </w:pPr>
      <w:r>
        <w:rPr>
          <w:rFonts w:hint="eastAsia"/>
        </w:rPr>
        <w:t xml:space="preserve">3. 中标方对设备大修周期、使用寿命及各主要部件的寿命承诺。 </w:t>
      </w:r>
      <w:r>
        <w:br w:type="page"/>
      </w:r>
    </w:p>
    <w:p>
      <w:pPr>
        <w:pStyle w:val="16"/>
        <w:spacing w:before="156" w:beforeLines="50" w:after="156" w:afterLines="50" w:line="360" w:lineRule="auto"/>
        <w:jc w:val="center"/>
        <w:outlineLvl w:val="9"/>
        <w:rPr>
          <w:rFonts w:ascii="黑体" w:hAnsi="黑体" w:cs="Times New Roman"/>
          <w:b/>
          <w:bCs/>
          <w:sz w:val="32"/>
          <w:szCs w:val="24"/>
        </w:rPr>
      </w:pPr>
      <w:r>
        <w:rPr>
          <w:rFonts w:hint="eastAsia" w:ascii="黑体" w:hAnsi="黑体" w:cs="Times New Roman"/>
          <w:b/>
          <w:bCs/>
          <w:sz w:val="32"/>
          <w:szCs w:val="24"/>
        </w:rPr>
        <w:t>第四节 标准</w:t>
      </w:r>
    </w:p>
    <w:p>
      <w:pPr>
        <w:pStyle w:val="19"/>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w:t>
      </w:r>
      <w:r>
        <w:rPr>
          <w:rFonts w:hint="eastAsia"/>
          <w:sz w:val="21"/>
          <w:szCs w:val="21"/>
        </w:rPr>
        <w:t xml:space="preserve"> </w:t>
      </w:r>
      <w:r>
        <w:rPr>
          <w:sz w:val="21"/>
          <w:szCs w:val="21"/>
        </w:rPr>
        <w:t>所供应的货物将按下列标准（推荐）进行设计和制造</w:t>
      </w:r>
    </w:p>
    <w:p>
      <w:pPr>
        <w:pStyle w:val="19"/>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9"/>
        <w:tabs>
          <w:tab w:val="left" w:pos="550"/>
        </w:tabs>
        <w:adjustRightInd w:val="0"/>
        <w:snapToGrid w:val="0"/>
        <w:spacing w:line="360" w:lineRule="auto"/>
        <w:ind w:firstLine="420" w:firstLineChars="200"/>
        <w:rPr>
          <w:sz w:val="21"/>
          <w:szCs w:val="21"/>
        </w:rPr>
      </w:pPr>
      <w:r>
        <w:rPr>
          <w:sz w:val="21"/>
          <w:szCs w:val="21"/>
        </w:rPr>
        <w:t>机械:     ISO标准</w:t>
      </w:r>
    </w:p>
    <w:p>
      <w:pPr>
        <w:pStyle w:val="19"/>
        <w:tabs>
          <w:tab w:val="left" w:pos="1290"/>
          <w:tab w:val="left" w:pos="1680"/>
        </w:tabs>
        <w:adjustRightInd w:val="0"/>
        <w:snapToGrid w:val="0"/>
        <w:spacing w:line="360" w:lineRule="auto"/>
        <w:rPr>
          <w:sz w:val="21"/>
          <w:szCs w:val="21"/>
        </w:rPr>
      </w:pPr>
      <w:r>
        <w:rPr>
          <w:rFonts w:hint="eastAsia"/>
          <w:sz w:val="21"/>
          <w:szCs w:val="21"/>
        </w:rPr>
        <w:t>4.</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pStyle w:val="19"/>
        <w:tabs>
          <w:tab w:val="left" w:pos="1290"/>
          <w:tab w:val="left" w:pos="1680"/>
        </w:tabs>
        <w:adjustRightInd w:val="0"/>
        <w:snapToGrid w:val="0"/>
        <w:spacing w:line="360" w:lineRule="auto"/>
        <w:rPr>
          <w:sz w:val="21"/>
          <w:szCs w:val="21"/>
        </w:rPr>
      </w:pPr>
      <w:r>
        <w:rPr>
          <w:rFonts w:hint="eastAsia"/>
          <w:sz w:val="21"/>
          <w:szCs w:val="21"/>
        </w:rPr>
        <w:t>4.</w:t>
      </w:r>
      <w:r>
        <w:rPr>
          <w:sz w:val="21"/>
          <w:szCs w:val="21"/>
        </w:rPr>
        <w:t>3.</w:t>
      </w:r>
      <w:r>
        <w:rPr>
          <w:rFonts w:hint="eastAsia"/>
          <w:sz w:val="21"/>
          <w:szCs w:val="21"/>
        </w:rPr>
        <w:t xml:space="preserve"> </w:t>
      </w:r>
      <w:r>
        <w:rPr>
          <w:sz w:val="21"/>
          <w:szCs w:val="21"/>
        </w:rPr>
        <w:t>防爆电气设备应按中国国家防爆标准或其它中国防爆检验部门认可的标准制造。</w:t>
      </w:r>
    </w:p>
    <w:p>
      <w:pPr>
        <w:adjustRightInd w:val="0"/>
        <w:snapToGrid w:val="0"/>
        <w:spacing w:line="360" w:lineRule="auto"/>
        <w:rPr>
          <w:szCs w:val="21"/>
        </w:rPr>
      </w:pPr>
      <w:r>
        <w:rPr>
          <w:rFonts w:hint="eastAsia" w:ascii="宋体" w:hAnsi="宋体"/>
          <w:szCs w:val="21"/>
        </w:rPr>
        <w:t>4.</w:t>
      </w:r>
      <w:r>
        <w:rPr>
          <w:rFonts w:ascii="宋体" w:hAnsi="宋体"/>
          <w:szCs w:val="21"/>
        </w:rPr>
        <w:t>4.</w:t>
      </w:r>
      <w:r>
        <w:rPr>
          <w:rFonts w:hint="eastAsia"/>
          <w:szCs w:val="21"/>
        </w:rPr>
        <w:t xml:space="preserve"> </w:t>
      </w:r>
      <w:r>
        <w:rPr>
          <w:szCs w:val="21"/>
        </w:rPr>
        <w:t>设备应取得中国国家煤矿安全标志证书和</w:t>
      </w:r>
      <w:r>
        <w:rPr>
          <w:rFonts w:hint="eastAsia"/>
          <w:szCs w:val="21"/>
        </w:rPr>
        <w:t>“</w:t>
      </w:r>
      <w:r>
        <w:rPr>
          <w:szCs w:val="21"/>
        </w:rPr>
        <w:t>MA</w:t>
      </w:r>
      <w:r>
        <w:rPr>
          <w:rFonts w:hint="eastAsia"/>
          <w:szCs w:val="21"/>
        </w:rPr>
        <w:t>”</w:t>
      </w:r>
      <w:r>
        <w:rPr>
          <w:szCs w:val="21"/>
        </w:rPr>
        <w:t>标识牌。</w:t>
      </w:r>
    </w:p>
    <w:p>
      <w:pPr>
        <w:pStyle w:val="19"/>
        <w:tabs>
          <w:tab w:val="left" w:pos="1290"/>
          <w:tab w:val="left" w:pos="1680"/>
        </w:tabs>
        <w:adjustRightInd w:val="0"/>
        <w:snapToGrid w:val="0"/>
        <w:spacing w:line="360" w:lineRule="auto"/>
      </w:pPr>
      <w:r>
        <w:rPr>
          <w:rFonts w:hint="eastAsia"/>
          <w:sz w:val="21"/>
          <w:szCs w:val="21"/>
        </w:rPr>
        <w:t>4.5.</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p>
      <w:pPr>
        <w:widowControl/>
        <w:jc w:val="left"/>
        <w:rPr>
          <w:rFonts w:ascii="宋体"/>
          <w:kern w:val="0"/>
          <w:szCs w:val="21"/>
        </w:rPr>
      </w:pPr>
      <w:r>
        <w:pict>
          <v:shape id="_x0000_s1026" o:spid="_x0000_s1026" o:spt="202" type="#_x0000_t202" style="position:absolute;left:0pt;margin-left:382.05pt;margin-top:267.15pt;height:12pt;width:48.95pt;z-index:251659264;mso-width-relative:margin;mso-height-relative:margin;" stroked="f" coordsize="21600,21600">
            <v:path/>
            <v:fill focussize="0,0"/>
            <v:stroke on="f" joinstyle="miter"/>
            <v:imagedata o:title=""/>
            <o:lock v:ext="edit"/>
            <v:textbox>
              <w:txbxContent>
                <w:p/>
              </w:txbxContent>
            </v:textbox>
          </v:shape>
        </w:pic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109C0"/>
    <w:rsid w:val="00015381"/>
    <w:rsid w:val="00034491"/>
    <w:rsid w:val="000349FF"/>
    <w:rsid w:val="00040FAA"/>
    <w:rsid w:val="00046393"/>
    <w:rsid w:val="000544D5"/>
    <w:rsid w:val="00056CCB"/>
    <w:rsid w:val="00057813"/>
    <w:rsid w:val="00057D09"/>
    <w:rsid w:val="00060F52"/>
    <w:rsid w:val="00061688"/>
    <w:rsid w:val="00062A06"/>
    <w:rsid w:val="00065BAE"/>
    <w:rsid w:val="00070DB1"/>
    <w:rsid w:val="00074BAA"/>
    <w:rsid w:val="0008777B"/>
    <w:rsid w:val="000B4A8F"/>
    <w:rsid w:val="000C002E"/>
    <w:rsid w:val="000C3195"/>
    <w:rsid w:val="000C459A"/>
    <w:rsid w:val="000D5212"/>
    <w:rsid w:val="000D5B51"/>
    <w:rsid w:val="000F7B2D"/>
    <w:rsid w:val="00101CD1"/>
    <w:rsid w:val="00105FB2"/>
    <w:rsid w:val="00106C7E"/>
    <w:rsid w:val="00121A1D"/>
    <w:rsid w:val="0013372C"/>
    <w:rsid w:val="00142DC8"/>
    <w:rsid w:val="00152AAB"/>
    <w:rsid w:val="00152DFA"/>
    <w:rsid w:val="00155A24"/>
    <w:rsid w:val="001608A6"/>
    <w:rsid w:val="00160E7C"/>
    <w:rsid w:val="00162CD6"/>
    <w:rsid w:val="00170541"/>
    <w:rsid w:val="0017236C"/>
    <w:rsid w:val="00173B13"/>
    <w:rsid w:val="00175505"/>
    <w:rsid w:val="001803C1"/>
    <w:rsid w:val="001B37E3"/>
    <w:rsid w:val="001B4B2B"/>
    <w:rsid w:val="001C2A35"/>
    <w:rsid w:val="001D1215"/>
    <w:rsid w:val="001D20A3"/>
    <w:rsid w:val="001E7769"/>
    <w:rsid w:val="001F054A"/>
    <w:rsid w:val="001F4947"/>
    <w:rsid w:val="00203865"/>
    <w:rsid w:val="00205A97"/>
    <w:rsid w:val="00207DB2"/>
    <w:rsid w:val="00210744"/>
    <w:rsid w:val="00213B0F"/>
    <w:rsid w:val="00227F8A"/>
    <w:rsid w:val="0023500D"/>
    <w:rsid w:val="00243118"/>
    <w:rsid w:val="0024361C"/>
    <w:rsid w:val="00246721"/>
    <w:rsid w:val="00247066"/>
    <w:rsid w:val="0025191F"/>
    <w:rsid w:val="00254199"/>
    <w:rsid w:val="002633A5"/>
    <w:rsid w:val="0027250A"/>
    <w:rsid w:val="0028045E"/>
    <w:rsid w:val="0028193E"/>
    <w:rsid w:val="00287971"/>
    <w:rsid w:val="002902C1"/>
    <w:rsid w:val="00292D0F"/>
    <w:rsid w:val="002A0807"/>
    <w:rsid w:val="002A3DBD"/>
    <w:rsid w:val="002B6C56"/>
    <w:rsid w:val="002B7AF8"/>
    <w:rsid w:val="002C2A40"/>
    <w:rsid w:val="002C2B1B"/>
    <w:rsid w:val="002D5BFD"/>
    <w:rsid w:val="002D6180"/>
    <w:rsid w:val="002E17F4"/>
    <w:rsid w:val="002E2454"/>
    <w:rsid w:val="002E4385"/>
    <w:rsid w:val="002F1AC4"/>
    <w:rsid w:val="002F5034"/>
    <w:rsid w:val="0030306D"/>
    <w:rsid w:val="00305C1A"/>
    <w:rsid w:val="003120EE"/>
    <w:rsid w:val="0031240C"/>
    <w:rsid w:val="003133E1"/>
    <w:rsid w:val="00315A14"/>
    <w:rsid w:val="0032129F"/>
    <w:rsid w:val="00324547"/>
    <w:rsid w:val="00324AED"/>
    <w:rsid w:val="0032602E"/>
    <w:rsid w:val="003370AA"/>
    <w:rsid w:val="003417A1"/>
    <w:rsid w:val="00343C49"/>
    <w:rsid w:val="00343D04"/>
    <w:rsid w:val="0034676F"/>
    <w:rsid w:val="00347CFF"/>
    <w:rsid w:val="003538D6"/>
    <w:rsid w:val="00355943"/>
    <w:rsid w:val="0035699D"/>
    <w:rsid w:val="0036001B"/>
    <w:rsid w:val="003708D1"/>
    <w:rsid w:val="0037412E"/>
    <w:rsid w:val="00376DAE"/>
    <w:rsid w:val="0038305D"/>
    <w:rsid w:val="00386656"/>
    <w:rsid w:val="00393F19"/>
    <w:rsid w:val="003A296F"/>
    <w:rsid w:val="003A43AD"/>
    <w:rsid w:val="003A5201"/>
    <w:rsid w:val="003A621B"/>
    <w:rsid w:val="003B1499"/>
    <w:rsid w:val="003B3881"/>
    <w:rsid w:val="003B3F9D"/>
    <w:rsid w:val="003B6F2B"/>
    <w:rsid w:val="003D0832"/>
    <w:rsid w:val="003D621C"/>
    <w:rsid w:val="003F38A7"/>
    <w:rsid w:val="004013AD"/>
    <w:rsid w:val="004021E7"/>
    <w:rsid w:val="00405B14"/>
    <w:rsid w:val="004061C4"/>
    <w:rsid w:val="00406B3F"/>
    <w:rsid w:val="004106D1"/>
    <w:rsid w:val="00413602"/>
    <w:rsid w:val="00415933"/>
    <w:rsid w:val="004171CC"/>
    <w:rsid w:val="004219D6"/>
    <w:rsid w:val="00424C95"/>
    <w:rsid w:val="0042727A"/>
    <w:rsid w:val="00433399"/>
    <w:rsid w:val="00433C1B"/>
    <w:rsid w:val="00442752"/>
    <w:rsid w:val="00462545"/>
    <w:rsid w:val="0046284D"/>
    <w:rsid w:val="00463629"/>
    <w:rsid w:val="004727F8"/>
    <w:rsid w:val="00481D87"/>
    <w:rsid w:val="00486DA8"/>
    <w:rsid w:val="004954E0"/>
    <w:rsid w:val="004978AD"/>
    <w:rsid w:val="004A2011"/>
    <w:rsid w:val="004A5487"/>
    <w:rsid w:val="004D4587"/>
    <w:rsid w:val="004D6606"/>
    <w:rsid w:val="004E0346"/>
    <w:rsid w:val="004E5B57"/>
    <w:rsid w:val="004F3F2B"/>
    <w:rsid w:val="004F5D0C"/>
    <w:rsid w:val="004F62A2"/>
    <w:rsid w:val="004F7AB4"/>
    <w:rsid w:val="00501850"/>
    <w:rsid w:val="00502BE3"/>
    <w:rsid w:val="0050670E"/>
    <w:rsid w:val="00513E31"/>
    <w:rsid w:val="005210D7"/>
    <w:rsid w:val="005210E1"/>
    <w:rsid w:val="00522FE4"/>
    <w:rsid w:val="00524A09"/>
    <w:rsid w:val="005357F0"/>
    <w:rsid w:val="0054061D"/>
    <w:rsid w:val="00543472"/>
    <w:rsid w:val="00560ED9"/>
    <w:rsid w:val="00564646"/>
    <w:rsid w:val="00575A1A"/>
    <w:rsid w:val="00575B29"/>
    <w:rsid w:val="00577779"/>
    <w:rsid w:val="0059308D"/>
    <w:rsid w:val="005937DF"/>
    <w:rsid w:val="0059448C"/>
    <w:rsid w:val="00595E43"/>
    <w:rsid w:val="00596F47"/>
    <w:rsid w:val="005A480C"/>
    <w:rsid w:val="005A5216"/>
    <w:rsid w:val="005A693C"/>
    <w:rsid w:val="005A6A5C"/>
    <w:rsid w:val="005B215D"/>
    <w:rsid w:val="005B7C05"/>
    <w:rsid w:val="005C1073"/>
    <w:rsid w:val="005C1B86"/>
    <w:rsid w:val="005C2EC1"/>
    <w:rsid w:val="005D1028"/>
    <w:rsid w:val="005D117A"/>
    <w:rsid w:val="005D6A94"/>
    <w:rsid w:val="005E0791"/>
    <w:rsid w:val="005E1806"/>
    <w:rsid w:val="005E2C8D"/>
    <w:rsid w:val="005F1F39"/>
    <w:rsid w:val="005F6C66"/>
    <w:rsid w:val="00604F0E"/>
    <w:rsid w:val="00607817"/>
    <w:rsid w:val="006118E4"/>
    <w:rsid w:val="0061292B"/>
    <w:rsid w:val="00614FCB"/>
    <w:rsid w:val="00616668"/>
    <w:rsid w:val="00643157"/>
    <w:rsid w:val="00644CBA"/>
    <w:rsid w:val="0064539F"/>
    <w:rsid w:val="006510A5"/>
    <w:rsid w:val="00652874"/>
    <w:rsid w:val="00655142"/>
    <w:rsid w:val="006559EC"/>
    <w:rsid w:val="00674855"/>
    <w:rsid w:val="0068763C"/>
    <w:rsid w:val="00695B06"/>
    <w:rsid w:val="006B137C"/>
    <w:rsid w:val="006B3D97"/>
    <w:rsid w:val="006C2B88"/>
    <w:rsid w:val="006C3017"/>
    <w:rsid w:val="006C3ED5"/>
    <w:rsid w:val="006D0370"/>
    <w:rsid w:val="006D365C"/>
    <w:rsid w:val="006D7121"/>
    <w:rsid w:val="006E389C"/>
    <w:rsid w:val="006E52DC"/>
    <w:rsid w:val="006E5B0B"/>
    <w:rsid w:val="006F7261"/>
    <w:rsid w:val="0072646E"/>
    <w:rsid w:val="0073246F"/>
    <w:rsid w:val="00734DF3"/>
    <w:rsid w:val="007404F7"/>
    <w:rsid w:val="0074278F"/>
    <w:rsid w:val="00761EF8"/>
    <w:rsid w:val="00765FB3"/>
    <w:rsid w:val="007669D6"/>
    <w:rsid w:val="00782F74"/>
    <w:rsid w:val="00786048"/>
    <w:rsid w:val="00786E22"/>
    <w:rsid w:val="00786ECA"/>
    <w:rsid w:val="00790A71"/>
    <w:rsid w:val="00796B6E"/>
    <w:rsid w:val="00797D0D"/>
    <w:rsid w:val="007A37E8"/>
    <w:rsid w:val="007A5778"/>
    <w:rsid w:val="007A7F03"/>
    <w:rsid w:val="007C4F5B"/>
    <w:rsid w:val="007D1C2F"/>
    <w:rsid w:val="007E1218"/>
    <w:rsid w:val="007E32CA"/>
    <w:rsid w:val="007E5ACB"/>
    <w:rsid w:val="007E5BEC"/>
    <w:rsid w:val="00806923"/>
    <w:rsid w:val="0080693E"/>
    <w:rsid w:val="00807102"/>
    <w:rsid w:val="008156D9"/>
    <w:rsid w:val="008206FE"/>
    <w:rsid w:val="00826F56"/>
    <w:rsid w:val="0083250C"/>
    <w:rsid w:val="0083563D"/>
    <w:rsid w:val="00841B03"/>
    <w:rsid w:val="00843418"/>
    <w:rsid w:val="00845825"/>
    <w:rsid w:val="00853966"/>
    <w:rsid w:val="00855944"/>
    <w:rsid w:val="008622C5"/>
    <w:rsid w:val="00866C14"/>
    <w:rsid w:val="008737F0"/>
    <w:rsid w:val="00875319"/>
    <w:rsid w:val="00881676"/>
    <w:rsid w:val="00882500"/>
    <w:rsid w:val="0088601A"/>
    <w:rsid w:val="008868C9"/>
    <w:rsid w:val="00890998"/>
    <w:rsid w:val="00893A64"/>
    <w:rsid w:val="008978E6"/>
    <w:rsid w:val="00897BC6"/>
    <w:rsid w:val="008C2E31"/>
    <w:rsid w:val="008C6A71"/>
    <w:rsid w:val="008D02B6"/>
    <w:rsid w:val="008E4684"/>
    <w:rsid w:val="008E73D3"/>
    <w:rsid w:val="008F0DC2"/>
    <w:rsid w:val="008F6198"/>
    <w:rsid w:val="008F757A"/>
    <w:rsid w:val="008F7C7E"/>
    <w:rsid w:val="00905422"/>
    <w:rsid w:val="009054B3"/>
    <w:rsid w:val="00906D32"/>
    <w:rsid w:val="0092369C"/>
    <w:rsid w:val="00943FA8"/>
    <w:rsid w:val="00947716"/>
    <w:rsid w:val="00947E03"/>
    <w:rsid w:val="0095559F"/>
    <w:rsid w:val="009555FC"/>
    <w:rsid w:val="0096100E"/>
    <w:rsid w:val="00976419"/>
    <w:rsid w:val="00986153"/>
    <w:rsid w:val="00992860"/>
    <w:rsid w:val="00992BDB"/>
    <w:rsid w:val="00993163"/>
    <w:rsid w:val="0099319E"/>
    <w:rsid w:val="009933CD"/>
    <w:rsid w:val="009952BC"/>
    <w:rsid w:val="00996A9F"/>
    <w:rsid w:val="009A1731"/>
    <w:rsid w:val="009A55B8"/>
    <w:rsid w:val="009B4BF3"/>
    <w:rsid w:val="009B7AFD"/>
    <w:rsid w:val="009C560A"/>
    <w:rsid w:val="009D05E6"/>
    <w:rsid w:val="009D16D9"/>
    <w:rsid w:val="009F0088"/>
    <w:rsid w:val="009F0406"/>
    <w:rsid w:val="009F700A"/>
    <w:rsid w:val="00A0156C"/>
    <w:rsid w:val="00A1147B"/>
    <w:rsid w:val="00A116B9"/>
    <w:rsid w:val="00A14213"/>
    <w:rsid w:val="00A2367D"/>
    <w:rsid w:val="00A25B21"/>
    <w:rsid w:val="00A30913"/>
    <w:rsid w:val="00A36918"/>
    <w:rsid w:val="00A5269A"/>
    <w:rsid w:val="00A6162C"/>
    <w:rsid w:val="00A6480A"/>
    <w:rsid w:val="00A678FB"/>
    <w:rsid w:val="00A67AA5"/>
    <w:rsid w:val="00A8273B"/>
    <w:rsid w:val="00A90896"/>
    <w:rsid w:val="00A9110C"/>
    <w:rsid w:val="00AA1072"/>
    <w:rsid w:val="00AA563E"/>
    <w:rsid w:val="00AB7D21"/>
    <w:rsid w:val="00AB7E73"/>
    <w:rsid w:val="00AC3394"/>
    <w:rsid w:val="00AD053A"/>
    <w:rsid w:val="00AD30F6"/>
    <w:rsid w:val="00AD68D8"/>
    <w:rsid w:val="00AE0106"/>
    <w:rsid w:val="00AE2322"/>
    <w:rsid w:val="00AE3F1F"/>
    <w:rsid w:val="00AE66AF"/>
    <w:rsid w:val="00AF260A"/>
    <w:rsid w:val="00B031C1"/>
    <w:rsid w:val="00B03A0D"/>
    <w:rsid w:val="00B045D4"/>
    <w:rsid w:val="00B078AA"/>
    <w:rsid w:val="00B10346"/>
    <w:rsid w:val="00B15920"/>
    <w:rsid w:val="00B1737F"/>
    <w:rsid w:val="00B24159"/>
    <w:rsid w:val="00B246C9"/>
    <w:rsid w:val="00B32769"/>
    <w:rsid w:val="00B335EE"/>
    <w:rsid w:val="00B42553"/>
    <w:rsid w:val="00B45AE6"/>
    <w:rsid w:val="00B479F5"/>
    <w:rsid w:val="00B529D2"/>
    <w:rsid w:val="00B56DF2"/>
    <w:rsid w:val="00B615D0"/>
    <w:rsid w:val="00B66D8D"/>
    <w:rsid w:val="00B6712E"/>
    <w:rsid w:val="00B70511"/>
    <w:rsid w:val="00B73000"/>
    <w:rsid w:val="00B81CAE"/>
    <w:rsid w:val="00B8459D"/>
    <w:rsid w:val="00B93EF8"/>
    <w:rsid w:val="00BB3B5C"/>
    <w:rsid w:val="00BC1A1D"/>
    <w:rsid w:val="00BC7C25"/>
    <w:rsid w:val="00BD126A"/>
    <w:rsid w:val="00BD3068"/>
    <w:rsid w:val="00BE0206"/>
    <w:rsid w:val="00BE55C2"/>
    <w:rsid w:val="00BF0EF7"/>
    <w:rsid w:val="00BF1B41"/>
    <w:rsid w:val="00C005E2"/>
    <w:rsid w:val="00C04844"/>
    <w:rsid w:val="00C22C5C"/>
    <w:rsid w:val="00C3204C"/>
    <w:rsid w:val="00C4031E"/>
    <w:rsid w:val="00C4115D"/>
    <w:rsid w:val="00C47231"/>
    <w:rsid w:val="00C53DAE"/>
    <w:rsid w:val="00C55E01"/>
    <w:rsid w:val="00C56484"/>
    <w:rsid w:val="00C56E68"/>
    <w:rsid w:val="00C56ECD"/>
    <w:rsid w:val="00C61510"/>
    <w:rsid w:val="00C61BEE"/>
    <w:rsid w:val="00C655FD"/>
    <w:rsid w:val="00C7470A"/>
    <w:rsid w:val="00C82F57"/>
    <w:rsid w:val="00C87C9F"/>
    <w:rsid w:val="00C904D9"/>
    <w:rsid w:val="00C945CD"/>
    <w:rsid w:val="00CA1942"/>
    <w:rsid w:val="00CA2AAB"/>
    <w:rsid w:val="00CA6ADA"/>
    <w:rsid w:val="00CA71C7"/>
    <w:rsid w:val="00CB68B2"/>
    <w:rsid w:val="00CC186D"/>
    <w:rsid w:val="00CD15F8"/>
    <w:rsid w:val="00CD5D1D"/>
    <w:rsid w:val="00CE2302"/>
    <w:rsid w:val="00CF3036"/>
    <w:rsid w:val="00D04856"/>
    <w:rsid w:val="00D10234"/>
    <w:rsid w:val="00D142E8"/>
    <w:rsid w:val="00D15AFD"/>
    <w:rsid w:val="00D16745"/>
    <w:rsid w:val="00D33006"/>
    <w:rsid w:val="00D43F0D"/>
    <w:rsid w:val="00D45A07"/>
    <w:rsid w:val="00D463BB"/>
    <w:rsid w:val="00D504FF"/>
    <w:rsid w:val="00D50A55"/>
    <w:rsid w:val="00D53FA2"/>
    <w:rsid w:val="00D56E15"/>
    <w:rsid w:val="00D71F97"/>
    <w:rsid w:val="00D83E52"/>
    <w:rsid w:val="00D90C0F"/>
    <w:rsid w:val="00D93117"/>
    <w:rsid w:val="00D95D3F"/>
    <w:rsid w:val="00D96387"/>
    <w:rsid w:val="00DA4732"/>
    <w:rsid w:val="00DC0DF1"/>
    <w:rsid w:val="00DC42CF"/>
    <w:rsid w:val="00DD144E"/>
    <w:rsid w:val="00DD1B16"/>
    <w:rsid w:val="00DD1D74"/>
    <w:rsid w:val="00DD3E50"/>
    <w:rsid w:val="00DE1B86"/>
    <w:rsid w:val="00DE1BDB"/>
    <w:rsid w:val="00DE243A"/>
    <w:rsid w:val="00DE5A7A"/>
    <w:rsid w:val="00E00421"/>
    <w:rsid w:val="00E046C2"/>
    <w:rsid w:val="00E050EF"/>
    <w:rsid w:val="00E12326"/>
    <w:rsid w:val="00E12EBD"/>
    <w:rsid w:val="00E17E02"/>
    <w:rsid w:val="00E21B84"/>
    <w:rsid w:val="00E234B5"/>
    <w:rsid w:val="00E2422C"/>
    <w:rsid w:val="00E33525"/>
    <w:rsid w:val="00E4526B"/>
    <w:rsid w:val="00E461DF"/>
    <w:rsid w:val="00E462E8"/>
    <w:rsid w:val="00E51707"/>
    <w:rsid w:val="00E62120"/>
    <w:rsid w:val="00E70FE5"/>
    <w:rsid w:val="00E7121B"/>
    <w:rsid w:val="00E73DE8"/>
    <w:rsid w:val="00E74C50"/>
    <w:rsid w:val="00E8366B"/>
    <w:rsid w:val="00EA3C6E"/>
    <w:rsid w:val="00EB0381"/>
    <w:rsid w:val="00EB08C9"/>
    <w:rsid w:val="00EB7AB9"/>
    <w:rsid w:val="00EC01F4"/>
    <w:rsid w:val="00EC35BC"/>
    <w:rsid w:val="00EC5962"/>
    <w:rsid w:val="00EC5E8E"/>
    <w:rsid w:val="00ED0FE5"/>
    <w:rsid w:val="00ED373A"/>
    <w:rsid w:val="00ED39DF"/>
    <w:rsid w:val="00EE23A6"/>
    <w:rsid w:val="00EE66B8"/>
    <w:rsid w:val="00EF6340"/>
    <w:rsid w:val="00F02E92"/>
    <w:rsid w:val="00F1220F"/>
    <w:rsid w:val="00F15AC7"/>
    <w:rsid w:val="00F16511"/>
    <w:rsid w:val="00F24373"/>
    <w:rsid w:val="00F308BA"/>
    <w:rsid w:val="00F3355C"/>
    <w:rsid w:val="00F43474"/>
    <w:rsid w:val="00F470A8"/>
    <w:rsid w:val="00F54464"/>
    <w:rsid w:val="00F54953"/>
    <w:rsid w:val="00F55711"/>
    <w:rsid w:val="00F753B2"/>
    <w:rsid w:val="00F76074"/>
    <w:rsid w:val="00F76586"/>
    <w:rsid w:val="00F87259"/>
    <w:rsid w:val="00F87E51"/>
    <w:rsid w:val="00F918FA"/>
    <w:rsid w:val="00F92D03"/>
    <w:rsid w:val="00FA6B21"/>
    <w:rsid w:val="00FB3542"/>
    <w:rsid w:val="00FB42E1"/>
    <w:rsid w:val="00FC6B4B"/>
    <w:rsid w:val="00FD776B"/>
    <w:rsid w:val="00FE4B79"/>
    <w:rsid w:val="00FE5241"/>
    <w:rsid w:val="00FF6988"/>
    <w:rsid w:val="00FF7356"/>
    <w:rsid w:val="6EE0438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uiPriority w:val="99"/>
    <w:rPr>
      <w:b/>
      <w:bCs/>
    </w:rPr>
  </w:style>
  <w:style w:type="paragraph" w:styleId="5">
    <w:name w:val="annotation text"/>
    <w:basedOn w:val="1"/>
    <w:link w:val="25"/>
    <w:unhideWhenUsed/>
    <w:uiPriority w:val="99"/>
    <w:pPr>
      <w:jc w:val="left"/>
    </w:pPr>
  </w:style>
  <w:style w:type="paragraph" w:styleId="6">
    <w:name w:val="Body Text"/>
    <w:basedOn w:val="1"/>
    <w:link w:val="20"/>
    <w:uiPriority w:val="0"/>
    <w:pPr>
      <w:spacing w:after="120"/>
    </w:pPr>
  </w:style>
  <w:style w:type="paragraph" w:styleId="7">
    <w:name w:val="Balloon Text"/>
    <w:basedOn w:val="1"/>
    <w:link w:val="27"/>
    <w:unhideWhenUsed/>
    <w:uiPriority w:val="99"/>
    <w:rPr>
      <w:sz w:val="18"/>
      <w:szCs w:val="18"/>
    </w:rPr>
  </w:style>
  <w:style w:type="paragraph" w:styleId="8">
    <w:name w:val="footer"/>
    <w:basedOn w:val="1"/>
    <w:link w:val="24"/>
    <w:unhideWhenUsed/>
    <w:uiPriority w:val="99"/>
    <w:pPr>
      <w:tabs>
        <w:tab w:val="center" w:pos="4153"/>
        <w:tab w:val="right" w:pos="8306"/>
      </w:tabs>
      <w:snapToGrid w:val="0"/>
      <w:jc w:val="left"/>
    </w:pPr>
    <w:rPr>
      <w:sz w:val="18"/>
      <w:szCs w:val="18"/>
    </w:rPr>
  </w:style>
  <w:style w:type="paragraph" w:styleId="9">
    <w:name w:val="header"/>
    <w:basedOn w:val="1"/>
    <w:link w:val="23"/>
    <w:unhideWhenUsed/>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uiPriority w:val="99"/>
    <w:rPr>
      <w:sz w:val="21"/>
      <w:szCs w:val="21"/>
    </w:rPr>
  </w:style>
  <w:style w:type="character" w:styleId="13">
    <w:name w:val="footnote reference"/>
    <w:uiPriority w:val="0"/>
    <w:rPr>
      <w:vertAlign w:val="superscript"/>
    </w:rPr>
  </w:style>
  <w:style w:type="character" w:customStyle="1" w:styleId="15">
    <w:name w:val="标题 1 Char"/>
    <w:basedOn w:val="11"/>
    <w:link w:val="2"/>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uiPriority w:val="0"/>
    <w:rPr>
      <w:rFonts w:ascii="Times New Roman" w:hAnsi="Times New Roman" w:eastAsia="宋体" w:cs="Times New Roman"/>
      <w:sz w:val="18"/>
      <w:szCs w:val="18"/>
    </w:rPr>
  </w:style>
  <w:style w:type="character" w:customStyle="1" w:styleId="18">
    <w:name w:val="标题 2 Char"/>
    <w:basedOn w:val="11"/>
    <w:link w:val="3"/>
    <w:semiHidden/>
    <w:uiPriority w:val="9"/>
    <w:rPr>
      <w:rFonts w:asciiTheme="majorHAnsi" w:hAnsiTheme="majorHAnsi" w:eastAsiaTheme="majorEastAsia" w:cstheme="majorBidi"/>
      <w:b/>
      <w:bCs/>
      <w:sz w:val="32"/>
      <w:szCs w:val="32"/>
    </w:rPr>
  </w:style>
  <w:style w:type="paragraph" w:customStyle="1" w:styleId="19">
    <w:name w:val="普通 (Web)"/>
    <w:uiPriority w:val="0"/>
    <w:pPr>
      <w:spacing w:before="100" w:after="100"/>
    </w:pPr>
    <w:rPr>
      <w:rFonts w:ascii="宋体" w:hAnsi="Times New Roman" w:eastAsia="宋体" w:cs="Times New Roman"/>
      <w:kern w:val="0"/>
      <w:sz w:val="24"/>
      <w:szCs w:val="20"/>
      <w:lang w:val="en-US" w:eastAsia="zh-CN" w:bidi="ar-SA"/>
    </w:rPr>
  </w:style>
  <w:style w:type="character" w:customStyle="1" w:styleId="20">
    <w:name w:val="正文文本 Char"/>
    <w:basedOn w:val="11"/>
    <w:link w:val="6"/>
    <w:uiPriority w:val="0"/>
    <w:rPr>
      <w:rFonts w:ascii="Times New Roman" w:hAnsi="Times New Roman" w:eastAsia="宋体" w:cs="Times New Roman"/>
      <w:szCs w:val="24"/>
    </w:rPr>
  </w:style>
  <w:style w:type="paragraph" w:customStyle="1" w:styleId="21">
    <w:name w:val="List Paragraph"/>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3">
    <w:name w:val="页眉 Char"/>
    <w:basedOn w:val="11"/>
    <w:link w:val="9"/>
    <w:uiPriority w:val="99"/>
    <w:rPr>
      <w:rFonts w:ascii="Times New Roman" w:hAnsi="Times New Roman" w:eastAsia="宋体" w:cs="Times New Roman"/>
      <w:sz w:val="18"/>
      <w:szCs w:val="18"/>
    </w:rPr>
  </w:style>
  <w:style w:type="character" w:customStyle="1" w:styleId="24">
    <w:name w:val="页脚 Char"/>
    <w:basedOn w:val="11"/>
    <w:link w:val="8"/>
    <w:uiPriority w:val="99"/>
    <w:rPr>
      <w:rFonts w:ascii="Times New Roman" w:hAnsi="Times New Roman" w:eastAsia="宋体" w:cs="Times New Roman"/>
      <w:sz w:val="18"/>
      <w:szCs w:val="18"/>
    </w:rPr>
  </w:style>
  <w:style w:type="character" w:customStyle="1" w:styleId="25">
    <w:name w:val="批注文字 Char"/>
    <w:basedOn w:val="11"/>
    <w:link w:val="5"/>
    <w:semiHidden/>
    <w:uiPriority w:val="99"/>
    <w:rPr>
      <w:rFonts w:ascii="Times New Roman" w:hAnsi="Times New Roman" w:eastAsia="宋体" w:cs="Times New Roman"/>
      <w:szCs w:val="24"/>
    </w:rPr>
  </w:style>
  <w:style w:type="character" w:customStyle="1" w:styleId="26">
    <w:name w:val="批注主题 Char"/>
    <w:basedOn w:val="25"/>
    <w:link w:val="4"/>
    <w:semiHidden/>
    <w:uiPriority w:val="99"/>
    <w:rPr>
      <w:rFonts w:ascii="Times New Roman" w:hAnsi="Times New Roman" w:eastAsia="宋体" w:cs="Times New Roman"/>
      <w:b/>
      <w:bCs/>
      <w:szCs w:val="24"/>
    </w:rPr>
  </w:style>
  <w:style w:type="character" w:customStyle="1" w:styleId="27">
    <w:name w:val="批注框文本 Char"/>
    <w:basedOn w:val="11"/>
    <w:link w:val="7"/>
    <w:semiHidden/>
    <w:uiPriority w:val="99"/>
    <w:rPr>
      <w:rFonts w:ascii="Times New Roman" w:hAnsi="Times New Roman" w:eastAsia="宋体" w:cs="Times New Roman"/>
      <w:sz w:val="18"/>
      <w:szCs w:val="18"/>
    </w:rPr>
  </w:style>
  <w:style w:type="paragraph" w:customStyle="1" w:styleId="28">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2B1E18-F4A8-418D-BE25-6508F2089CF0}">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425</Words>
  <Characters>2424</Characters>
  <Lines>20</Lines>
  <Paragraphs>5</Paragraphs>
  <TotalTime>0</TotalTime>
  <ScaleCrop>false</ScaleCrop>
  <LinksUpToDate>false</LinksUpToDate>
  <CharactersWithSpaces>2844</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2014-08-17T09:15:00Z</dcterms:created>
  <dc:creator>qzy3472</dc:creator>
  <cp:lastModifiedBy>Administrator</cp:lastModifiedBy>
  <dcterms:modified xsi:type="dcterms:W3CDTF">2017-03-17T08:45:57Z</dcterms:modified>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