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340"/>
        </w:tabs>
        <w:spacing w:line="480" w:lineRule="auto"/>
        <w:jc w:val="center"/>
        <w:rPr>
          <w:rFonts w:ascii="黑体" w:hAnsi="黑体" w:eastAsia="黑体"/>
          <w:b/>
          <w:bCs/>
          <w:sz w:val="32"/>
        </w:rPr>
      </w:pPr>
      <w:r>
        <w:rPr>
          <w:rFonts w:hint="eastAsia" w:ascii="黑体" w:hAnsi="黑体" w:eastAsia="黑体"/>
          <w:b/>
          <w:bCs/>
          <w:sz w:val="32"/>
        </w:rPr>
        <w:t>设备技术要求</w:t>
      </w:r>
    </w:p>
    <w:p>
      <w:pPr>
        <w:tabs>
          <w:tab w:val="left" w:pos="2340"/>
        </w:tabs>
        <w:spacing w:line="480" w:lineRule="auto"/>
        <w:jc w:val="center"/>
        <w:rPr>
          <w:rFonts w:ascii="黑体" w:hAnsi="黑体" w:eastAsia="黑体"/>
          <w:b/>
          <w:bCs/>
          <w:sz w:val="32"/>
        </w:rPr>
      </w:pPr>
    </w:p>
    <w:p>
      <w:pPr>
        <w:tabs>
          <w:tab w:val="left" w:pos="2340"/>
        </w:tabs>
        <w:spacing w:line="480" w:lineRule="auto"/>
        <w:ind w:firstLine="840" w:firstLineChars="350"/>
        <w:jc w:val="left"/>
        <w:rPr>
          <w:rFonts w:ascii="宋体"/>
          <w:sz w:val="24"/>
        </w:rPr>
      </w:pPr>
      <w:r>
        <w:rPr>
          <w:rFonts w:hint="eastAsia" w:ascii="宋体"/>
          <w:sz w:val="24"/>
        </w:rPr>
        <w:t>第一节  供货范围、技术规格、参数与要求</w:t>
      </w:r>
    </w:p>
    <w:p>
      <w:pPr>
        <w:tabs>
          <w:tab w:val="left" w:pos="2340"/>
        </w:tabs>
        <w:spacing w:line="480" w:lineRule="auto"/>
        <w:ind w:left="630" w:leftChars="300" w:firstLine="240" w:firstLineChars="100"/>
        <w:jc w:val="left"/>
        <w:rPr>
          <w:rFonts w:ascii="宋体"/>
          <w:sz w:val="24"/>
        </w:rPr>
      </w:pPr>
      <w:r>
        <w:rPr>
          <w:rFonts w:hint="eastAsia" w:ascii="宋体"/>
          <w:sz w:val="24"/>
        </w:rPr>
        <w:t>第二节  备件和工具</w:t>
      </w:r>
    </w:p>
    <w:p>
      <w:pPr>
        <w:tabs>
          <w:tab w:val="left" w:pos="2340"/>
        </w:tabs>
        <w:spacing w:line="480" w:lineRule="auto"/>
        <w:ind w:left="630" w:leftChars="300" w:firstLine="240" w:firstLineChars="100"/>
        <w:jc w:val="left"/>
        <w:rPr>
          <w:rFonts w:ascii="宋体"/>
          <w:sz w:val="24"/>
        </w:rPr>
      </w:pPr>
      <w:r>
        <w:rPr>
          <w:rFonts w:hint="eastAsia" w:ascii="宋体"/>
          <w:sz w:val="24"/>
        </w:rPr>
        <w:t>第三节  设备出厂前检验</w:t>
      </w:r>
    </w:p>
    <w:p>
      <w:pPr>
        <w:tabs>
          <w:tab w:val="left" w:pos="2340"/>
        </w:tabs>
        <w:spacing w:line="480" w:lineRule="auto"/>
        <w:ind w:left="630" w:leftChars="300" w:firstLine="240" w:firstLineChars="100"/>
        <w:jc w:val="left"/>
        <w:rPr>
          <w:rFonts w:ascii="宋体"/>
          <w:sz w:val="24"/>
        </w:rPr>
      </w:pPr>
      <w:r>
        <w:rPr>
          <w:rFonts w:hint="eastAsia" w:ascii="宋体"/>
          <w:sz w:val="24"/>
        </w:rPr>
        <w:t>第四节  技术服务</w:t>
      </w:r>
    </w:p>
    <w:p>
      <w:pPr>
        <w:tabs>
          <w:tab w:val="left" w:pos="2340"/>
        </w:tabs>
        <w:spacing w:line="480" w:lineRule="auto"/>
        <w:ind w:left="630" w:leftChars="300" w:firstLine="240" w:firstLineChars="100"/>
        <w:jc w:val="left"/>
        <w:rPr>
          <w:rFonts w:ascii="宋体"/>
          <w:sz w:val="24"/>
        </w:rPr>
      </w:pPr>
      <w:r>
        <w:rPr>
          <w:rFonts w:hint="eastAsia" w:ascii="宋体"/>
          <w:sz w:val="24"/>
        </w:rPr>
        <w:t>第五节  安装、检验、调试、试运行及验收</w:t>
      </w:r>
    </w:p>
    <w:p>
      <w:pPr>
        <w:tabs>
          <w:tab w:val="left" w:pos="2340"/>
        </w:tabs>
        <w:spacing w:line="480" w:lineRule="auto"/>
        <w:ind w:left="630" w:leftChars="300" w:firstLine="240" w:firstLineChars="100"/>
        <w:jc w:val="left"/>
        <w:rPr>
          <w:rFonts w:ascii="宋体"/>
          <w:sz w:val="24"/>
        </w:rPr>
      </w:pPr>
      <w:r>
        <w:rPr>
          <w:rFonts w:hint="eastAsia" w:ascii="宋体"/>
          <w:sz w:val="24"/>
        </w:rPr>
        <w:t>第六节  质量保证</w:t>
      </w:r>
    </w:p>
    <w:p>
      <w:pPr>
        <w:tabs>
          <w:tab w:val="left" w:pos="2340"/>
        </w:tabs>
        <w:spacing w:line="480" w:lineRule="auto"/>
        <w:ind w:left="630" w:leftChars="300" w:firstLine="240" w:firstLineChars="100"/>
        <w:jc w:val="left"/>
      </w:pPr>
      <w:r>
        <w:rPr>
          <w:rFonts w:hint="eastAsia" w:ascii="宋体"/>
          <w:sz w:val="24"/>
        </w:rPr>
        <w:t>第七节  技术资料和图纸</w:t>
      </w:r>
      <w:bookmarkStart w:id="0" w:name="_Toc356204538"/>
      <w:bookmarkStart w:id="1" w:name="_Toc357082526"/>
    </w:p>
    <w:p>
      <w:pPr>
        <w:widowControl/>
        <w:jc w:val="left"/>
      </w:pPr>
      <w:r>
        <w:br w:type="page"/>
      </w:r>
    </w:p>
    <w:p>
      <w:pPr>
        <w:tabs>
          <w:tab w:val="left" w:pos="2340"/>
        </w:tabs>
        <w:spacing w:line="480" w:lineRule="auto"/>
        <w:jc w:val="center"/>
        <w:rPr>
          <w:rFonts w:ascii="黑体" w:hAnsi="黑体" w:eastAsia="黑体"/>
          <w:b/>
          <w:bCs/>
          <w:sz w:val="32"/>
        </w:rPr>
      </w:pPr>
      <w:r>
        <w:rPr>
          <w:rFonts w:hint="eastAsia" w:ascii="黑体" w:hAnsi="黑体" w:eastAsia="黑体"/>
          <w:b/>
          <w:bCs/>
          <w:sz w:val="32"/>
        </w:rPr>
        <w:t>第一节 供货范围、技术规格、参数与要求</w:t>
      </w:r>
      <w:bookmarkEnd w:id="0"/>
      <w:bookmarkEnd w:id="1"/>
    </w:p>
    <w:p>
      <w:pPr>
        <w:adjustRightInd w:val="0"/>
        <w:snapToGrid w:val="0"/>
        <w:spacing w:beforeLines="100" w:afterLines="100" w:line="360" w:lineRule="auto"/>
        <w:ind w:left="2246" w:leftChars="-5" w:hanging="2256" w:hangingChars="1070"/>
        <w:rPr>
          <w:b/>
          <w:szCs w:val="21"/>
        </w:rPr>
      </w:pPr>
      <w:r>
        <w:rPr>
          <w:rFonts w:hint="eastAsia"/>
          <w:b/>
          <w:szCs w:val="21"/>
        </w:rPr>
        <w:t>一、货物需求一览表</w:t>
      </w:r>
    </w:p>
    <w:tbl>
      <w:tblPr>
        <w:tblStyle w:val="14"/>
        <w:tblW w:w="97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72"/>
        <w:gridCol w:w="2446"/>
        <w:gridCol w:w="1134"/>
        <w:gridCol w:w="709"/>
        <w:gridCol w:w="850"/>
        <w:gridCol w:w="1701"/>
        <w:gridCol w:w="1276"/>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sz w:val="20"/>
                <w:szCs w:val="20"/>
              </w:rPr>
            </w:pPr>
            <w:r>
              <w:rPr>
                <w:rFonts w:ascii="宋体" w:hAnsi="宋体" w:eastAsia="Times New Roman"/>
                <w:b/>
                <w:sz w:val="20"/>
                <w:szCs w:val="20"/>
              </w:rPr>
              <w:t>序</w:t>
            </w:r>
            <w:r>
              <w:rPr>
                <w:rFonts w:hint="eastAsia" w:ascii="宋体" w:hAnsi="宋体" w:eastAsia="Times New Roman"/>
                <w:b/>
                <w:sz w:val="20"/>
                <w:szCs w:val="20"/>
              </w:rPr>
              <w:t>号</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sz w:val="20"/>
                <w:szCs w:val="20"/>
              </w:rPr>
            </w:pPr>
            <w:r>
              <w:rPr>
                <w:rFonts w:ascii="宋体" w:hAnsi="宋体" w:eastAsia="Times New Roman"/>
                <w:b/>
                <w:sz w:val="20"/>
                <w:szCs w:val="20"/>
              </w:rPr>
              <w:t>名称</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Times New Roman"/>
                <w:b/>
                <w:sz w:val="20"/>
                <w:szCs w:val="20"/>
              </w:rPr>
            </w:pPr>
            <w:r>
              <w:rPr>
                <w:rFonts w:hint="eastAsia" w:ascii="宋体" w:hAnsi="宋体"/>
                <w:b/>
                <w:sz w:val="20"/>
                <w:szCs w:val="20"/>
                <w:lang w:eastAsia="zh-CN"/>
              </w:rPr>
              <w:t>参考</w:t>
            </w:r>
            <w:r>
              <w:rPr>
                <w:rFonts w:hint="eastAsia" w:ascii="宋体" w:hAnsi="宋体" w:eastAsia="Times New Roman"/>
                <w:b/>
                <w:sz w:val="20"/>
                <w:szCs w:val="20"/>
              </w:rPr>
              <w:t>型号</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sz w:val="20"/>
                <w:szCs w:val="20"/>
              </w:rPr>
            </w:pPr>
            <w:r>
              <w:rPr>
                <w:rFonts w:ascii="宋体" w:hAnsi="宋体" w:eastAsia="Times New Roman"/>
                <w:b/>
                <w:sz w:val="20"/>
                <w:szCs w:val="20"/>
              </w:rPr>
              <w:t>单位</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sz w:val="20"/>
                <w:szCs w:val="20"/>
              </w:rPr>
            </w:pPr>
            <w:r>
              <w:rPr>
                <w:rFonts w:ascii="宋体" w:hAnsi="宋体" w:eastAsia="Times New Roman"/>
                <w:b/>
                <w:sz w:val="20"/>
                <w:szCs w:val="20"/>
              </w:rPr>
              <w:t>数量</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Times New Roman"/>
                <w:b/>
                <w:sz w:val="20"/>
                <w:szCs w:val="20"/>
              </w:rPr>
            </w:pPr>
            <w:r>
              <w:rPr>
                <w:rFonts w:hint="eastAsia" w:ascii="宋体" w:hAnsi="宋体" w:eastAsia="Times New Roman"/>
                <w:b/>
                <w:sz w:val="20"/>
                <w:szCs w:val="20"/>
              </w:rPr>
              <w:t>交货时间</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Times New Roman"/>
                <w:b/>
                <w:sz w:val="20"/>
                <w:szCs w:val="20"/>
              </w:rPr>
            </w:pPr>
            <w:r>
              <w:rPr>
                <w:rFonts w:hint="eastAsia" w:ascii="宋体" w:hAnsi="宋体" w:eastAsia="Times New Roman"/>
                <w:b/>
                <w:sz w:val="20"/>
                <w:szCs w:val="20"/>
              </w:rPr>
              <w:t>交货地点</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sz w:val="20"/>
                <w:szCs w:val="20"/>
              </w:rPr>
            </w:pPr>
            <w:r>
              <w:rPr>
                <w:rFonts w:ascii="宋体" w:hAnsi="宋体" w:eastAsia="Times New Roman"/>
                <w:b/>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Times New Roman"/>
                <w:sz w:val="20"/>
                <w:szCs w:val="21"/>
              </w:rPr>
            </w:pPr>
            <w:r>
              <w:rPr>
                <w:rFonts w:ascii="宋体" w:hAnsi="宋体" w:eastAsia="Times New Roman"/>
                <w:sz w:val="20"/>
                <w:szCs w:val="21"/>
              </w:rPr>
              <w:t>1</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Theme="minorEastAsia"/>
                <w:sz w:val="20"/>
                <w:szCs w:val="21"/>
              </w:rPr>
            </w:pPr>
            <w:r>
              <w:rPr>
                <w:rFonts w:hint="eastAsia" w:ascii="宋体" w:hAnsi="宋体" w:eastAsiaTheme="minorEastAsia"/>
                <w:sz w:val="20"/>
                <w:szCs w:val="21"/>
              </w:rPr>
              <w:t>拉马</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Times New Roman"/>
                <w:sz w:val="20"/>
                <w:szCs w:val="21"/>
              </w:rPr>
            </w:pPr>
            <w:r>
              <w:rPr>
                <w:rFonts w:hint="eastAsia" w:ascii="宋体" w:hAnsi="宋体"/>
                <w:szCs w:val="21"/>
              </w:rPr>
              <w:t>1100×500×1100mm</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Times New Roman"/>
                <w:sz w:val="20"/>
                <w:szCs w:val="21"/>
              </w:rPr>
            </w:pPr>
            <w:r>
              <w:rPr>
                <w:rFonts w:ascii="宋体" w:hAnsi="宋体" w:eastAsia="Times New Roman"/>
                <w:sz w:val="20"/>
                <w:szCs w:val="21"/>
              </w:rPr>
              <w:t>套</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Times New Roman"/>
                <w:sz w:val="20"/>
                <w:szCs w:val="21"/>
              </w:rPr>
            </w:pPr>
            <w:r>
              <w:rPr>
                <w:rFonts w:hint="eastAsia" w:ascii="宋体" w:hAnsi="宋体" w:eastAsia="Times New Roman"/>
                <w:sz w:val="20"/>
                <w:szCs w:val="21"/>
              </w:rPr>
              <w:t>1</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Times New Roman"/>
                <w:sz w:val="20"/>
                <w:szCs w:val="21"/>
              </w:rPr>
            </w:pPr>
            <w:r>
              <w:rPr>
                <w:rFonts w:hint="eastAsia" w:ascii="宋体" w:hAnsi="宋体" w:eastAsia="Times New Roman"/>
                <w:sz w:val="20"/>
                <w:szCs w:val="21"/>
              </w:rPr>
              <w:t>自合同签订之日起90天内交货</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 w:val="20"/>
                <w:szCs w:val="21"/>
                <w:lang w:eastAsia="zh-CN"/>
              </w:rPr>
            </w:pPr>
            <w:r>
              <w:rPr>
                <w:rFonts w:hint="eastAsia" w:ascii="宋体" w:hAnsi="宋体"/>
                <w:sz w:val="20"/>
                <w:szCs w:val="21"/>
                <w:lang w:eastAsia="zh-CN"/>
              </w:rPr>
              <w:t>大柳塔煤矿</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Times New Roman"/>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Times New Roman"/>
                <w:sz w:val="20"/>
                <w:szCs w:val="21"/>
              </w:rPr>
            </w:pPr>
            <w:r>
              <w:rPr>
                <w:rFonts w:hint="eastAsia" w:ascii="宋体" w:hAnsi="宋体" w:eastAsia="Times New Roman"/>
                <w:sz w:val="20"/>
                <w:szCs w:val="21"/>
              </w:rPr>
              <w:t>2</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Times New Roman"/>
                <w:sz w:val="20"/>
                <w:szCs w:val="21"/>
              </w:rPr>
            </w:pPr>
            <w:r>
              <w:rPr>
                <w:rFonts w:ascii="宋体" w:hAnsi="宋体" w:eastAsia="Times New Roman"/>
                <w:sz w:val="20"/>
                <w:szCs w:val="21"/>
              </w:rPr>
              <w:t>备品备件</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Times New Roman"/>
                <w:sz w:val="20"/>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Times New Roman"/>
                <w:sz w:val="20"/>
                <w:szCs w:val="21"/>
              </w:rPr>
            </w:pPr>
            <w:r>
              <w:rPr>
                <w:rFonts w:ascii="宋体" w:hAnsi="宋体" w:eastAsia="Times New Roman"/>
                <w:sz w:val="20"/>
                <w:szCs w:val="21"/>
              </w:rPr>
              <w:t>套</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Times New Roman"/>
                <w:sz w:val="20"/>
                <w:szCs w:val="21"/>
              </w:rPr>
            </w:pPr>
            <w:r>
              <w:rPr>
                <w:rFonts w:hint="eastAsia" w:ascii="宋体" w:hAnsi="宋体" w:eastAsia="Times New Roman"/>
                <w:sz w:val="20"/>
                <w:szCs w:val="21"/>
              </w:rPr>
              <w:t>1</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Times New Roman"/>
                <w:sz w:val="20"/>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Times New Roman"/>
                <w:sz w:val="20"/>
                <w:szCs w:val="21"/>
              </w:rPr>
            </w:pP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 w:val="20"/>
                <w:szCs w:val="21"/>
                <w:lang w:eastAsia="zh-CN"/>
              </w:rPr>
            </w:pPr>
            <w:r>
              <w:rPr>
                <w:rFonts w:hint="eastAsia" w:ascii="宋体" w:hAnsi="宋体"/>
                <w:sz w:val="20"/>
                <w:szCs w:val="21"/>
                <w:lang w:eastAsia="zh-CN"/>
              </w:rPr>
              <w:t>备件包括防震压力表</w:t>
            </w:r>
            <w:r>
              <w:rPr>
                <w:rFonts w:hint="eastAsia" w:ascii="宋体" w:hAnsi="宋体"/>
                <w:sz w:val="20"/>
                <w:szCs w:val="21"/>
                <w:lang w:val="en-US" w:eastAsia="zh-CN"/>
              </w:rPr>
              <w:t>3个，夹具1套，油管1套。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Times New Roman"/>
                <w:sz w:val="20"/>
                <w:szCs w:val="21"/>
              </w:rPr>
            </w:pPr>
            <w:r>
              <w:rPr>
                <w:rFonts w:hint="eastAsia" w:ascii="宋体" w:hAnsi="宋体" w:eastAsia="Times New Roman"/>
                <w:sz w:val="20"/>
                <w:szCs w:val="21"/>
              </w:rPr>
              <w:t>3</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Times New Roman"/>
                <w:sz w:val="20"/>
                <w:szCs w:val="21"/>
              </w:rPr>
            </w:pPr>
            <w:r>
              <w:rPr>
                <w:rFonts w:ascii="宋体" w:hAnsi="宋体" w:eastAsia="Times New Roman"/>
                <w:sz w:val="20"/>
                <w:szCs w:val="21"/>
              </w:rPr>
              <w:t>专用工具</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Times New Roman"/>
                <w:sz w:val="20"/>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Times New Roman"/>
                <w:sz w:val="20"/>
                <w:szCs w:val="21"/>
              </w:rPr>
            </w:pPr>
            <w:r>
              <w:rPr>
                <w:rFonts w:ascii="宋体" w:hAnsi="宋体" w:eastAsia="Times New Roman"/>
                <w:sz w:val="20"/>
                <w:szCs w:val="21"/>
              </w:rPr>
              <w:t>批</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Times New Roman"/>
                <w:sz w:val="20"/>
                <w:szCs w:val="21"/>
              </w:rPr>
            </w:pPr>
            <w:r>
              <w:rPr>
                <w:rFonts w:hint="eastAsia" w:ascii="宋体" w:hAnsi="宋体"/>
                <w:sz w:val="20"/>
                <w:szCs w:val="21"/>
              </w:rPr>
              <w:t>1</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Times New Roman"/>
                <w:sz w:val="20"/>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Times New Roman"/>
                <w:sz w:val="20"/>
                <w:szCs w:val="21"/>
              </w:rPr>
            </w:pP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Times New Roman"/>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Times New Roman"/>
                <w:sz w:val="20"/>
                <w:szCs w:val="21"/>
              </w:rPr>
            </w:pPr>
            <w:r>
              <w:rPr>
                <w:rFonts w:hint="eastAsia" w:ascii="宋体" w:hAnsi="宋体" w:eastAsia="Times New Roman"/>
                <w:sz w:val="20"/>
                <w:szCs w:val="21"/>
              </w:rPr>
              <w:t>4</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Times New Roman"/>
                <w:sz w:val="20"/>
                <w:szCs w:val="21"/>
              </w:rPr>
            </w:pPr>
            <w:r>
              <w:rPr>
                <w:rFonts w:ascii="宋体" w:hAnsi="宋体" w:eastAsia="Times New Roman"/>
                <w:sz w:val="20"/>
                <w:szCs w:val="21"/>
              </w:rPr>
              <w:t>技术资料</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Times New Roman"/>
                <w:sz w:val="20"/>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Times New Roman"/>
                <w:sz w:val="20"/>
                <w:szCs w:val="21"/>
              </w:rPr>
            </w:pPr>
            <w:r>
              <w:rPr>
                <w:rFonts w:hint="eastAsia" w:ascii="宋体" w:hAnsi="宋体" w:eastAsia="Times New Roman"/>
                <w:sz w:val="20"/>
                <w:szCs w:val="21"/>
              </w:rPr>
              <w:t>套/台</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Times New Roman"/>
                <w:sz w:val="20"/>
                <w:szCs w:val="21"/>
              </w:rPr>
            </w:pPr>
            <w:r>
              <w:rPr>
                <w:rFonts w:hint="eastAsia" w:ascii="宋体" w:hAnsi="宋体" w:eastAsia="Times New Roman"/>
                <w:sz w:val="20"/>
                <w:szCs w:val="21"/>
              </w:rPr>
              <w:t>6</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Times New Roman"/>
                <w:sz w:val="20"/>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Times New Roman"/>
                <w:sz w:val="20"/>
                <w:szCs w:val="21"/>
              </w:rPr>
            </w:pP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Times New Roman"/>
                <w:sz w:val="20"/>
                <w:szCs w:val="21"/>
              </w:rPr>
            </w:pPr>
          </w:p>
        </w:tc>
      </w:tr>
    </w:tbl>
    <w:p>
      <w:pPr>
        <w:adjustRightInd w:val="0"/>
        <w:snapToGrid w:val="0"/>
        <w:spacing w:beforeLines="100" w:line="360" w:lineRule="auto"/>
        <w:jc w:val="center"/>
        <w:rPr>
          <w:b/>
          <w:szCs w:val="21"/>
        </w:rPr>
      </w:pPr>
      <w:r>
        <w:rPr>
          <w:rFonts w:hint="eastAsia"/>
          <w:b/>
          <w:szCs w:val="21"/>
        </w:rPr>
        <w:t>分项报价表</w:t>
      </w:r>
    </w:p>
    <w:tbl>
      <w:tblPr>
        <w:tblStyle w:val="14"/>
        <w:tblW w:w="73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
        <w:gridCol w:w="2069"/>
        <w:gridCol w:w="847"/>
        <w:gridCol w:w="708"/>
        <w:gridCol w:w="1530"/>
        <w:gridCol w:w="1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5" w:hRule="atLeast"/>
          <w:tblHeader/>
          <w:jc w:val="center"/>
        </w:trPr>
        <w:tc>
          <w:tcPr>
            <w:tcW w:w="754" w:type="dxa"/>
            <w:vAlign w:val="center"/>
          </w:tcPr>
          <w:p>
            <w:pPr>
              <w:widowControl/>
              <w:jc w:val="center"/>
              <w:rPr>
                <w:rFonts w:ascii="宋体" w:eastAsia="Times New Roman" w:cs="宋体"/>
                <w:b/>
                <w:kern w:val="0"/>
                <w:sz w:val="20"/>
                <w:szCs w:val="21"/>
              </w:rPr>
            </w:pPr>
            <w:r>
              <w:rPr>
                <w:rFonts w:hint="eastAsia" w:ascii="宋体" w:hAnsi="宋体" w:eastAsia="Times New Roman" w:cs="宋体"/>
                <w:b/>
                <w:kern w:val="0"/>
                <w:sz w:val="20"/>
                <w:szCs w:val="21"/>
              </w:rPr>
              <w:t>序号</w:t>
            </w:r>
          </w:p>
        </w:tc>
        <w:tc>
          <w:tcPr>
            <w:tcW w:w="2069" w:type="dxa"/>
            <w:vAlign w:val="center"/>
          </w:tcPr>
          <w:p>
            <w:pPr>
              <w:widowControl/>
              <w:jc w:val="center"/>
              <w:rPr>
                <w:rFonts w:ascii="宋体" w:eastAsia="Times New Roman" w:cs="宋体"/>
                <w:b/>
                <w:kern w:val="0"/>
                <w:sz w:val="20"/>
                <w:szCs w:val="21"/>
              </w:rPr>
            </w:pPr>
            <w:r>
              <w:rPr>
                <w:rFonts w:hint="eastAsia" w:ascii="宋体" w:hAnsi="宋体" w:eastAsia="Times New Roman" w:cs="宋体"/>
                <w:b/>
                <w:kern w:val="0"/>
                <w:sz w:val="20"/>
                <w:szCs w:val="21"/>
              </w:rPr>
              <w:t>名称</w:t>
            </w:r>
          </w:p>
        </w:tc>
        <w:tc>
          <w:tcPr>
            <w:tcW w:w="847" w:type="dxa"/>
            <w:vAlign w:val="center"/>
          </w:tcPr>
          <w:p>
            <w:pPr>
              <w:widowControl/>
              <w:jc w:val="center"/>
              <w:rPr>
                <w:rFonts w:ascii="宋体" w:eastAsia="Times New Roman" w:cs="宋体"/>
                <w:b/>
                <w:kern w:val="0"/>
                <w:sz w:val="20"/>
                <w:szCs w:val="21"/>
              </w:rPr>
            </w:pPr>
            <w:r>
              <w:rPr>
                <w:rFonts w:hint="eastAsia" w:ascii="宋体" w:hAnsi="宋体" w:eastAsia="Times New Roman" w:cs="宋体"/>
                <w:b/>
                <w:kern w:val="0"/>
                <w:sz w:val="20"/>
                <w:szCs w:val="21"/>
              </w:rPr>
              <w:t>单位</w:t>
            </w:r>
          </w:p>
        </w:tc>
        <w:tc>
          <w:tcPr>
            <w:tcW w:w="708" w:type="dxa"/>
            <w:vAlign w:val="center"/>
          </w:tcPr>
          <w:p>
            <w:pPr>
              <w:widowControl/>
              <w:jc w:val="center"/>
              <w:rPr>
                <w:rFonts w:ascii="宋体" w:eastAsia="Times New Roman" w:cs="宋体"/>
                <w:b/>
                <w:kern w:val="0"/>
                <w:sz w:val="20"/>
                <w:szCs w:val="21"/>
              </w:rPr>
            </w:pPr>
            <w:r>
              <w:rPr>
                <w:rFonts w:hint="eastAsia" w:ascii="宋体" w:hAnsi="宋体" w:eastAsia="Times New Roman" w:cs="宋体"/>
                <w:b/>
                <w:kern w:val="0"/>
                <w:sz w:val="20"/>
                <w:szCs w:val="21"/>
              </w:rPr>
              <w:t>数量</w:t>
            </w:r>
          </w:p>
        </w:tc>
        <w:tc>
          <w:tcPr>
            <w:tcW w:w="1530" w:type="dxa"/>
            <w:vAlign w:val="center"/>
          </w:tcPr>
          <w:p>
            <w:pPr>
              <w:widowControl/>
              <w:jc w:val="center"/>
              <w:rPr>
                <w:rFonts w:ascii="宋体" w:eastAsia="Times New Roman" w:cs="宋体"/>
                <w:b/>
                <w:kern w:val="0"/>
                <w:sz w:val="20"/>
                <w:szCs w:val="21"/>
              </w:rPr>
            </w:pPr>
            <w:r>
              <w:rPr>
                <w:rFonts w:hint="eastAsia" w:ascii="宋体" w:hAnsi="宋体" w:eastAsia="Times New Roman" w:cs="宋体"/>
                <w:b/>
                <w:kern w:val="0"/>
                <w:sz w:val="20"/>
                <w:szCs w:val="21"/>
              </w:rPr>
              <w:t>单价（元）</w:t>
            </w:r>
          </w:p>
        </w:tc>
        <w:tc>
          <w:tcPr>
            <w:tcW w:w="1456" w:type="dxa"/>
            <w:vAlign w:val="center"/>
          </w:tcPr>
          <w:p>
            <w:pPr>
              <w:widowControl/>
              <w:jc w:val="center"/>
              <w:rPr>
                <w:rFonts w:ascii="宋体" w:eastAsia="Times New Roman" w:cs="宋体"/>
                <w:b/>
                <w:kern w:val="0"/>
                <w:sz w:val="20"/>
                <w:szCs w:val="21"/>
              </w:rPr>
            </w:pPr>
            <w:r>
              <w:rPr>
                <w:rFonts w:hint="eastAsia" w:ascii="宋体" w:hAnsi="宋体" w:eastAsia="Times New Roman" w:cs="宋体"/>
                <w:b/>
                <w:kern w:val="0"/>
                <w:sz w:val="20"/>
                <w:szCs w:val="21"/>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754" w:type="dxa"/>
          </w:tcPr>
          <w:p>
            <w:pPr>
              <w:spacing w:line="400" w:lineRule="exact"/>
              <w:jc w:val="center"/>
              <w:rPr>
                <w:rFonts w:ascii="宋体" w:eastAsia="Times New Roman"/>
                <w:sz w:val="20"/>
                <w:szCs w:val="21"/>
              </w:rPr>
            </w:pPr>
            <w:r>
              <w:rPr>
                <w:rFonts w:hint="eastAsia" w:ascii="宋体" w:eastAsia="Times New Roman"/>
                <w:sz w:val="20"/>
                <w:szCs w:val="21"/>
              </w:rPr>
              <w:t>1</w:t>
            </w:r>
          </w:p>
        </w:tc>
        <w:tc>
          <w:tcPr>
            <w:tcW w:w="2069" w:type="dxa"/>
          </w:tcPr>
          <w:p>
            <w:pPr>
              <w:spacing w:line="400" w:lineRule="exact"/>
              <w:jc w:val="center"/>
              <w:rPr>
                <w:rFonts w:ascii="宋体" w:eastAsiaTheme="minorEastAsia"/>
                <w:b/>
                <w:color w:val="FF0000"/>
                <w:sz w:val="20"/>
                <w:szCs w:val="21"/>
              </w:rPr>
            </w:pPr>
            <w:r>
              <w:rPr>
                <w:rFonts w:hint="eastAsia" w:ascii="宋体" w:hAnsi="宋体" w:eastAsiaTheme="minorEastAsia"/>
                <w:sz w:val="20"/>
                <w:szCs w:val="21"/>
              </w:rPr>
              <w:t>拉马</w:t>
            </w:r>
          </w:p>
        </w:tc>
        <w:tc>
          <w:tcPr>
            <w:tcW w:w="847" w:type="dxa"/>
          </w:tcPr>
          <w:p>
            <w:pPr>
              <w:spacing w:line="400" w:lineRule="exact"/>
              <w:jc w:val="center"/>
              <w:rPr>
                <w:rFonts w:ascii="宋体" w:eastAsia="Times New Roman"/>
                <w:b/>
                <w:sz w:val="20"/>
                <w:szCs w:val="21"/>
              </w:rPr>
            </w:pPr>
            <w:r>
              <w:rPr>
                <w:rFonts w:hint="eastAsia" w:ascii="宋体" w:eastAsia="Times New Roman"/>
                <w:sz w:val="20"/>
                <w:szCs w:val="21"/>
              </w:rPr>
              <w:t>台</w:t>
            </w:r>
          </w:p>
        </w:tc>
        <w:tc>
          <w:tcPr>
            <w:tcW w:w="708" w:type="dxa"/>
            <w:vAlign w:val="center"/>
          </w:tcPr>
          <w:p>
            <w:pPr>
              <w:widowControl/>
              <w:jc w:val="center"/>
              <w:rPr>
                <w:rFonts w:ascii="宋体" w:eastAsia="Times New Roman" w:cs="宋体"/>
                <w:kern w:val="0"/>
                <w:sz w:val="20"/>
                <w:szCs w:val="21"/>
              </w:rPr>
            </w:pPr>
            <w:r>
              <w:rPr>
                <w:rFonts w:hint="eastAsia" w:ascii="宋体" w:eastAsia="Times New Roman" w:cs="宋体"/>
                <w:kern w:val="0"/>
                <w:sz w:val="20"/>
                <w:szCs w:val="21"/>
              </w:rPr>
              <w:t>1</w:t>
            </w:r>
          </w:p>
        </w:tc>
        <w:tc>
          <w:tcPr>
            <w:tcW w:w="1530" w:type="dxa"/>
            <w:vAlign w:val="center"/>
          </w:tcPr>
          <w:p>
            <w:pPr>
              <w:widowControl/>
              <w:jc w:val="center"/>
              <w:rPr>
                <w:rFonts w:ascii="宋体" w:eastAsia="Times New Roman" w:cs="宋体"/>
                <w:kern w:val="0"/>
                <w:sz w:val="20"/>
                <w:szCs w:val="21"/>
              </w:rPr>
            </w:pPr>
          </w:p>
        </w:tc>
        <w:tc>
          <w:tcPr>
            <w:tcW w:w="1456" w:type="dxa"/>
            <w:vAlign w:val="center"/>
          </w:tcPr>
          <w:p>
            <w:pPr>
              <w:widowControl/>
              <w:jc w:val="center"/>
              <w:rPr>
                <w:rFonts w:ascii="宋体" w:eastAsia="Times New Roman" w:cs="宋体"/>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754" w:type="dxa"/>
          </w:tcPr>
          <w:p>
            <w:pPr>
              <w:spacing w:line="400" w:lineRule="exact"/>
              <w:jc w:val="center"/>
              <w:rPr>
                <w:rFonts w:ascii="宋体" w:eastAsia="Times New Roman"/>
                <w:sz w:val="20"/>
                <w:szCs w:val="21"/>
              </w:rPr>
            </w:pPr>
          </w:p>
        </w:tc>
        <w:tc>
          <w:tcPr>
            <w:tcW w:w="2069" w:type="dxa"/>
          </w:tcPr>
          <w:p>
            <w:pPr>
              <w:spacing w:line="400" w:lineRule="exact"/>
              <w:jc w:val="center"/>
              <w:rPr>
                <w:rFonts w:ascii="宋体" w:hAnsi="宋体" w:eastAsia="Times New Roman"/>
                <w:sz w:val="20"/>
                <w:szCs w:val="21"/>
              </w:rPr>
            </w:pPr>
            <w:r>
              <w:rPr>
                <w:rFonts w:hint="eastAsia" w:ascii="宋体" w:hAnsi="宋体" w:eastAsia="Times New Roman"/>
                <w:sz w:val="20"/>
                <w:szCs w:val="21"/>
              </w:rPr>
              <w:t>每台包括</w:t>
            </w:r>
          </w:p>
        </w:tc>
        <w:tc>
          <w:tcPr>
            <w:tcW w:w="847" w:type="dxa"/>
          </w:tcPr>
          <w:p>
            <w:pPr>
              <w:spacing w:line="400" w:lineRule="exact"/>
              <w:jc w:val="center"/>
              <w:rPr>
                <w:rFonts w:ascii="宋体" w:eastAsia="Times New Roman"/>
                <w:sz w:val="20"/>
                <w:szCs w:val="21"/>
              </w:rPr>
            </w:pPr>
          </w:p>
        </w:tc>
        <w:tc>
          <w:tcPr>
            <w:tcW w:w="708" w:type="dxa"/>
            <w:vAlign w:val="center"/>
          </w:tcPr>
          <w:p>
            <w:pPr>
              <w:widowControl/>
              <w:jc w:val="center"/>
              <w:rPr>
                <w:rFonts w:ascii="宋体" w:eastAsia="Times New Roman" w:cs="宋体"/>
                <w:kern w:val="0"/>
                <w:sz w:val="20"/>
                <w:szCs w:val="21"/>
              </w:rPr>
            </w:pPr>
          </w:p>
        </w:tc>
        <w:tc>
          <w:tcPr>
            <w:tcW w:w="1530" w:type="dxa"/>
            <w:vAlign w:val="center"/>
          </w:tcPr>
          <w:p>
            <w:pPr>
              <w:widowControl/>
              <w:jc w:val="center"/>
              <w:rPr>
                <w:rFonts w:ascii="宋体" w:eastAsia="Times New Roman" w:cs="宋体"/>
                <w:kern w:val="0"/>
                <w:sz w:val="20"/>
                <w:szCs w:val="21"/>
              </w:rPr>
            </w:pPr>
          </w:p>
        </w:tc>
        <w:tc>
          <w:tcPr>
            <w:tcW w:w="1456" w:type="dxa"/>
            <w:vAlign w:val="center"/>
          </w:tcPr>
          <w:p>
            <w:pPr>
              <w:widowControl/>
              <w:jc w:val="center"/>
              <w:rPr>
                <w:rFonts w:ascii="宋体" w:eastAsia="Times New Roman" w:cs="宋体"/>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754" w:type="dxa"/>
          </w:tcPr>
          <w:p>
            <w:pPr>
              <w:spacing w:line="400" w:lineRule="exact"/>
              <w:jc w:val="center"/>
              <w:rPr>
                <w:rFonts w:ascii="宋体" w:eastAsia="Times New Roman"/>
                <w:sz w:val="20"/>
                <w:szCs w:val="21"/>
              </w:rPr>
            </w:pPr>
            <w:r>
              <w:rPr>
                <w:rFonts w:hint="eastAsia" w:ascii="宋体" w:eastAsia="Times New Roman"/>
                <w:sz w:val="20"/>
                <w:szCs w:val="21"/>
              </w:rPr>
              <w:t>1.1</w:t>
            </w:r>
          </w:p>
        </w:tc>
        <w:tc>
          <w:tcPr>
            <w:tcW w:w="2069" w:type="dxa"/>
          </w:tcPr>
          <w:p>
            <w:pPr>
              <w:spacing w:line="400" w:lineRule="exact"/>
              <w:jc w:val="center"/>
              <w:rPr>
                <w:rFonts w:ascii="宋体"/>
                <w:sz w:val="20"/>
                <w:szCs w:val="21"/>
              </w:rPr>
            </w:pPr>
            <w:r>
              <w:rPr>
                <w:rFonts w:hint="eastAsia" w:ascii="宋体"/>
                <w:sz w:val="20"/>
                <w:szCs w:val="21"/>
              </w:rPr>
              <w:t>夹具</w:t>
            </w:r>
          </w:p>
        </w:tc>
        <w:tc>
          <w:tcPr>
            <w:tcW w:w="847" w:type="dxa"/>
          </w:tcPr>
          <w:p>
            <w:pPr>
              <w:spacing w:line="400" w:lineRule="exact"/>
              <w:jc w:val="center"/>
              <w:rPr>
                <w:rFonts w:ascii="宋体" w:eastAsia="Times New Roman"/>
                <w:sz w:val="20"/>
                <w:szCs w:val="21"/>
              </w:rPr>
            </w:pPr>
            <w:r>
              <w:rPr>
                <w:rFonts w:hint="eastAsia" w:ascii="宋体" w:eastAsia="Times New Roman"/>
                <w:sz w:val="20"/>
                <w:szCs w:val="21"/>
              </w:rPr>
              <w:t>套</w:t>
            </w:r>
          </w:p>
        </w:tc>
        <w:tc>
          <w:tcPr>
            <w:tcW w:w="708" w:type="dxa"/>
          </w:tcPr>
          <w:p>
            <w:pPr>
              <w:spacing w:line="400" w:lineRule="exact"/>
              <w:jc w:val="center"/>
              <w:rPr>
                <w:rFonts w:ascii="宋体" w:eastAsia="Times New Roman"/>
                <w:sz w:val="20"/>
                <w:szCs w:val="21"/>
              </w:rPr>
            </w:pPr>
            <w:r>
              <w:rPr>
                <w:rFonts w:hint="eastAsia" w:ascii="宋体" w:eastAsia="Times New Roman"/>
                <w:sz w:val="20"/>
                <w:szCs w:val="21"/>
              </w:rPr>
              <w:t>2</w:t>
            </w:r>
          </w:p>
        </w:tc>
        <w:tc>
          <w:tcPr>
            <w:tcW w:w="1530" w:type="dxa"/>
            <w:vAlign w:val="center"/>
          </w:tcPr>
          <w:p>
            <w:pPr>
              <w:widowControl/>
              <w:jc w:val="center"/>
              <w:rPr>
                <w:rFonts w:ascii="宋体" w:eastAsia="Times New Roman" w:cs="宋体"/>
                <w:kern w:val="0"/>
                <w:sz w:val="20"/>
                <w:szCs w:val="21"/>
              </w:rPr>
            </w:pPr>
          </w:p>
        </w:tc>
        <w:tc>
          <w:tcPr>
            <w:tcW w:w="1456" w:type="dxa"/>
            <w:vAlign w:val="center"/>
          </w:tcPr>
          <w:p>
            <w:pPr>
              <w:widowControl/>
              <w:jc w:val="center"/>
              <w:rPr>
                <w:rFonts w:ascii="宋体" w:eastAsia="Times New Roman" w:cs="宋体"/>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exact"/>
          <w:jc w:val="center"/>
        </w:trPr>
        <w:tc>
          <w:tcPr>
            <w:tcW w:w="754" w:type="dxa"/>
          </w:tcPr>
          <w:p>
            <w:pPr>
              <w:spacing w:line="400" w:lineRule="exact"/>
              <w:jc w:val="center"/>
              <w:rPr>
                <w:rFonts w:ascii="宋体" w:eastAsia="Times New Roman"/>
                <w:sz w:val="20"/>
                <w:szCs w:val="21"/>
              </w:rPr>
            </w:pPr>
            <w:r>
              <w:rPr>
                <w:rFonts w:hint="eastAsia" w:ascii="宋体" w:eastAsia="Times New Roman"/>
                <w:sz w:val="20"/>
                <w:szCs w:val="21"/>
              </w:rPr>
              <w:t>1.2</w:t>
            </w:r>
          </w:p>
          <w:p>
            <w:pPr>
              <w:spacing w:line="400" w:lineRule="exact"/>
              <w:jc w:val="center"/>
              <w:rPr>
                <w:rFonts w:ascii="宋体" w:eastAsia="Times New Roman"/>
                <w:sz w:val="20"/>
                <w:szCs w:val="21"/>
              </w:rPr>
            </w:pPr>
          </w:p>
        </w:tc>
        <w:tc>
          <w:tcPr>
            <w:tcW w:w="2069" w:type="dxa"/>
          </w:tcPr>
          <w:p>
            <w:pPr>
              <w:spacing w:line="400" w:lineRule="exact"/>
              <w:jc w:val="center"/>
              <w:rPr>
                <w:rFonts w:ascii="宋体" w:eastAsia="Times New Roman"/>
                <w:sz w:val="20"/>
                <w:szCs w:val="21"/>
              </w:rPr>
            </w:pPr>
            <w:r>
              <w:rPr>
                <w:rFonts w:hint="eastAsia" w:ascii="宋体" w:eastAsia="Times New Roman"/>
                <w:sz w:val="20"/>
                <w:szCs w:val="21"/>
              </w:rPr>
              <w:t>油缸</w:t>
            </w:r>
          </w:p>
        </w:tc>
        <w:tc>
          <w:tcPr>
            <w:tcW w:w="847" w:type="dxa"/>
          </w:tcPr>
          <w:p>
            <w:pPr>
              <w:spacing w:line="400" w:lineRule="exact"/>
              <w:jc w:val="center"/>
              <w:rPr>
                <w:rFonts w:hint="eastAsia" w:ascii="宋体" w:eastAsia="宋体"/>
                <w:sz w:val="20"/>
                <w:szCs w:val="21"/>
                <w:lang w:eastAsia="zh-CN"/>
              </w:rPr>
            </w:pPr>
            <w:r>
              <w:rPr>
                <w:rFonts w:hint="eastAsia" w:ascii="宋体"/>
                <w:sz w:val="20"/>
                <w:szCs w:val="21"/>
                <w:lang w:eastAsia="zh-CN"/>
              </w:rPr>
              <w:t>套</w:t>
            </w:r>
          </w:p>
        </w:tc>
        <w:tc>
          <w:tcPr>
            <w:tcW w:w="708" w:type="dxa"/>
          </w:tcPr>
          <w:p>
            <w:pPr>
              <w:spacing w:line="400" w:lineRule="exact"/>
              <w:jc w:val="center"/>
              <w:rPr>
                <w:rFonts w:ascii="宋体" w:eastAsia="Times New Roman"/>
                <w:sz w:val="20"/>
                <w:szCs w:val="21"/>
              </w:rPr>
            </w:pPr>
            <w:r>
              <w:rPr>
                <w:rFonts w:hint="eastAsia" w:ascii="宋体" w:eastAsia="Times New Roman"/>
                <w:sz w:val="20"/>
                <w:szCs w:val="21"/>
              </w:rPr>
              <w:t>1</w:t>
            </w:r>
          </w:p>
        </w:tc>
        <w:tc>
          <w:tcPr>
            <w:tcW w:w="1530" w:type="dxa"/>
            <w:vAlign w:val="center"/>
          </w:tcPr>
          <w:p>
            <w:pPr>
              <w:widowControl/>
              <w:jc w:val="center"/>
              <w:rPr>
                <w:rFonts w:ascii="宋体" w:eastAsia="Times New Roman" w:cs="宋体"/>
                <w:kern w:val="0"/>
                <w:sz w:val="20"/>
                <w:szCs w:val="21"/>
              </w:rPr>
            </w:pPr>
          </w:p>
        </w:tc>
        <w:tc>
          <w:tcPr>
            <w:tcW w:w="1456" w:type="dxa"/>
            <w:vAlign w:val="center"/>
          </w:tcPr>
          <w:p>
            <w:pPr>
              <w:widowControl/>
              <w:jc w:val="center"/>
              <w:rPr>
                <w:rFonts w:ascii="宋体" w:eastAsia="Times New Roman" w:cs="宋体"/>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754" w:type="dxa"/>
          </w:tcPr>
          <w:p>
            <w:pPr>
              <w:spacing w:line="400" w:lineRule="exact"/>
              <w:jc w:val="center"/>
              <w:rPr>
                <w:rFonts w:ascii="宋体" w:eastAsia="Times New Roman"/>
                <w:sz w:val="20"/>
                <w:szCs w:val="21"/>
              </w:rPr>
            </w:pPr>
            <w:r>
              <w:rPr>
                <w:rFonts w:hint="eastAsia" w:ascii="宋体" w:eastAsia="Times New Roman"/>
                <w:sz w:val="20"/>
                <w:szCs w:val="21"/>
              </w:rPr>
              <w:t>1.3</w:t>
            </w:r>
          </w:p>
        </w:tc>
        <w:tc>
          <w:tcPr>
            <w:tcW w:w="2069" w:type="dxa"/>
          </w:tcPr>
          <w:p>
            <w:pPr>
              <w:spacing w:line="400" w:lineRule="exact"/>
              <w:jc w:val="center"/>
              <w:rPr>
                <w:rFonts w:ascii="宋体" w:eastAsia="Times New Roman"/>
                <w:sz w:val="20"/>
                <w:szCs w:val="21"/>
              </w:rPr>
            </w:pPr>
            <w:r>
              <w:rPr>
                <w:rFonts w:hint="eastAsia" w:ascii="宋体" w:eastAsia="Times New Roman"/>
                <w:sz w:val="20"/>
                <w:szCs w:val="21"/>
              </w:rPr>
              <w:t>油泵</w:t>
            </w:r>
          </w:p>
        </w:tc>
        <w:tc>
          <w:tcPr>
            <w:tcW w:w="847" w:type="dxa"/>
          </w:tcPr>
          <w:p>
            <w:pPr>
              <w:spacing w:line="400" w:lineRule="exact"/>
              <w:jc w:val="center"/>
              <w:rPr>
                <w:rFonts w:ascii="宋体" w:eastAsia="Times New Roman"/>
                <w:sz w:val="20"/>
                <w:szCs w:val="21"/>
              </w:rPr>
            </w:pPr>
            <w:r>
              <w:rPr>
                <w:rFonts w:hint="eastAsia" w:ascii="宋体" w:eastAsia="Times New Roman"/>
                <w:sz w:val="20"/>
                <w:szCs w:val="21"/>
              </w:rPr>
              <w:t>台</w:t>
            </w:r>
          </w:p>
        </w:tc>
        <w:tc>
          <w:tcPr>
            <w:tcW w:w="708" w:type="dxa"/>
          </w:tcPr>
          <w:p>
            <w:pPr>
              <w:spacing w:line="400" w:lineRule="exact"/>
              <w:jc w:val="center"/>
              <w:rPr>
                <w:rFonts w:ascii="宋体" w:eastAsia="Times New Roman"/>
                <w:sz w:val="20"/>
                <w:szCs w:val="21"/>
              </w:rPr>
            </w:pPr>
            <w:r>
              <w:rPr>
                <w:rFonts w:hint="eastAsia" w:ascii="宋体" w:eastAsia="Times New Roman"/>
                <w:sz w:val="20"/>
                <w:szCs w:val="21"/>
              </w:rPr>
              <w:t>1</w:t>
            </w:r>
          </w:p>
        </w:tc>
        <w:tc>
          <w:tcPr>
            <w:tcW w:w="1530" w:type="dxa"/>
            <w:vAlign w:val="center"/>
          </w:tcPr>
          <w:p>
            <w:pPr>
              <w:widowControl/>
              <w:jc w:val="center"/>
              <w:rPr>
                <w:rFonts w:ascii="宋体" w:eastAsia="Times New Roman" w:cs="宋体"/>
                <w:kern w:val="0"/>
                <w:sz w:val="20"/>
                <w:szCs w:val="21"/>
              </w:rPr>
            </w:pPr>
          </w:p>
        </w:tc>
        <w:tc>
          <w:tcPr>
            <w:tcW w:w="1456" w:type="dxa"/>
            <w:vAlign w:val="center"/>
          </w:tcPr>
          <w:p>
            <w:pPr>
              <w:widowControl/>
              <w:jc w:val="center"/>
              <w:rPr>
                <w:rFonts w:ascii="宋体" w:eastAsia="Times New Roman" w:cs="宋体"/>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754" w:type="dxa"/>
          </w:tcPr>
          <w:p>
            <w:pPr>
              <w:spacing w:line="400" w:lineRule="exact"/>
              <w:jc w:val="center"/>
              <w:rPr>
                <w:rFonts w:ascii="宋体" w:eastAsia="Times New Roman"/>
                <w:sz w:val="20"/>
                <w:szCs w:val="21"/>
              </w:rPr>
            </w:pPr>
            <w:r>
              <w:rPr>
                <w:rFonts w:hint="eastAsia" w:ascii="宋体" w:eastAsia="Times New Roman"/>
                <w:sz w:val="20"/>
                <w:szCs w:val="21"/>
              </w:rPr>
              <w:t>1.4</w:t>
            </w:r>
          </w:p>
        </w:tc>
        <w:tc>
          <w:tcPr>
            <w:tcW w:w="2069" w:type="dxa"/>
          </w:tcPr>
          <w:p>
            <w:pPr>
              <w:spacing w:line="400" w:lineRule="exact"/>
              <w:jc w:val="center"/>
              <w:rPr>
                <w:rFonts w:ascii="宋体" w:eastAsia="Times New Roman"/>
                <w:sz w:val="20"/>
                <w:szCs w:val="21"/>
              </w:rPr>
            </w:pPr>
            <w:r>
              <w:rPr>
                <w:rFonts w:hint="eastAsia" w:ascii="宋体" w:eastAsia="Times New Roman"/>
                <w:sz w:val="20"/>
                <w:szCs w:val="21"/>
              </w:rPr>
              <w:t>油箱</w:t>
            </w:r>
          </w:p>
        </w:tc>
        <w:tc>
          <w:tcPr>
            <w:tcW w:w="847" w:type="dxa"/>
          </w:tcPr>
          <w:p>
            <w:pPr>
              <w:spacing w:line="400" w:lineRule="exact"/>
              <w:jc w:val="center"/>
              <w:rPr>
                <w:rFonts w:ascii="宋体" w:eastAsia="Times New Roman"/>
                <w:sz w:val="20"/>
                <w:szCs w:val="21"/>
              </w:rPr>
            </w:pPr>
            <w:r>
              <w:rPr>
                <w:rFonts w:hint="eastAsia" w:ascii="宋体" w:eastAsia="Times New Roman"/>
                <w:sz w:val="20"/>
                <w:szCs w:val="21"/>
              </w:rPr>
              <w:t>个</w:t>
            </w:r>
          </w:p>
        </w:tc>
        <w:tc>
          <w:tcPr>
            <w:tcW w:w="708" w:type="dxa"/>
          </w:tcPr>
          <w:p>
            <w:pPr>
              <w:spacing w:line="400" w:lineRule="exact"/>
              <w:jc w:val="center"/>
              <w:rPr>
                <w:rFonts w:ascii="宋体" w:eastAsia="Times New Roman"/>
                <w:sz w:val="20"/>
                <w:szCs w:val="21"/>
              </w:rPr>
            </w:pPr>
            <w:r>
              <w:rPr>
                <w:rFonts w:hint="eastAsia" w:ascii="宋体" w:eastAsia="Times New Roman"/>
                <w:sz w:val="20"/>
                <w:szCs w:val="21"/>
              </w:rPr>
              <w:t>1</w:t>
            </w:r>
          </w:p>
        </w:tc>
        <w:tc>
          <w:tcPr>
            <w:tcW w:w="1530" w:type="dxa"/>
            <w:vAlign w:val="center"/>
          </w:tcPr>
          <w:p>
            <w:pPr>
              <w:widowControl/>
              <w:jc w:val="center"/>
              <w:rPr>
                <w:rFonts w:ascii="宋体" w:eastAsia="Times New Roman" w:cs="宋体"/>
                <w:kern w:val="0"/>
                <w:sz w:val="20"/>
                <w:szCs w:val="21"/>
              </w:rPr>
            </w:pPr>
          </w:p>
        </w:tc>
        <w:tc>
          <w:tcPr>
            <w:tcW w:w="1456" w:type="dxa"/>
            <w:vAlign w:val="center"/>
          </w:tcPr>
          <w:p>
            <w:pPr>
              <w:widowControl/>
              <w:jc w:val="center"/>
              <w:rPr>
                <w:rFonts w:ascii="宋体" w:eastAsia="Times New Roman" w:cs="宋体"/>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754" w:type="dxa"/>
          </w:tcPr>
          <w:p>
            <w:pPr>
              <w:spacing w:line="400" w:lineRule="exact"/>
              <w:jc w:val="center"/>
              <w:rPr>
                <w:rFonts w:ascii="宋体" w:eastAsia="Times New Roman"/>
                <w:sz w:val="20"/>
                <w:szCs w:val="21"/>
              </w:rPr>
            </w:pPr>
            <w:r>
              <w:rPr>
                <w:rFonts w:hint="eastAsia" w:ascii="宋体" w:eastAsia="Times New Roman"/>
                <w:sz w:val="20"/>
                <w:szCs w:val="21"/>
              </w:rPr>
              <w:t>1.5</w:t>
            </w:r>
          </w:p>
        </w:tc>
        <w:tc>
          <w:tcPr>
            <w:tcW w:w="2069" w:type="dxa"/>
          </w:tcPr>
          <w:p>
            <w:pPr>
              <w:spacing w:line="400" w:lineRule="exact"/>
              <w:jc w:val="center"/>
              <w:rPr>
                <w:rFonts w:ascii="宋体" w:eastAsia="Times New Roman"/>
                <w:sz w:val="20"/>
                <w:szCs w:val="21"/>
              </w:rPr>
            </w:pPr>
            <w:r>
              <w:rPr>
                <w:rFonts w:hint="eastAsia" w:ascii="宋体" w:eastAsia="Times New Roman"/>
                <w:sz w:val="20"/>
                <w:szCs w:val="21"/>
              </w:rPr>
              <w:t>油管</w:t>
            </w:r>
          </w:p>
        </w:tc>
        <w:tc>
          <w:tcPr>
            <w:tcW w:w="847" w:type="dxa"/>
          </w:tcPr>
          <w:p>
            <w:pPr>
              <w:spacing w:line="400" w:lineRule="exact"/>
              <w:jc w:val="center"/>
              <w:rPr>
                <w:rFonts w:ascii="宋体" w:eastAsia="Times New Roman"/>
                <w:sz w:val="20"/>
                <w:szCs w:val="21"/>
              </w:rPr>
            </w:pPr>
            <w:r>
              <w:rPr>
                <w:rFonts w:hint="eastAsia" w:ascii="宋体" w:eastAsia="Times New Roman"/>
                <w:sz w:val="20"/>
                <w:szCs w:val="21"/>
              </w:rPr>
              <w:t>套</w:t>
            </w:r>
          </w:p>
        </w:tc>
        <w:tc>
          <w:tcPr>
            <w:tcW w:w="708" w:type="dxa"/>
          </w:tcPr>
          <w:p>
            <w:pPr>
              <w:spacing w:line="400" w:lineRule="exact"/>
              <w:jc w:val="center"/>
              <w:rPr>
                <w:rFonts w:ascii="宋体" w:eastAsia="Times New Roman"/>
                <w:sz w:val="20"/>
                <w:szCs w:val="21"/>
              </w:rPr>
            </w:pPr>
            <w:r>
              <w:rPr>
                <w:rFonts w:hint="eastAsia" w:ascii="宋体" w:eastAsia="Times New Roman"/>
                <w:sz w:val="20"/>
                <w:szCs w:val="21"/>
              </w:rPr>
              <w:t>1</w:t>
            </w:r>
          </w:p>
        </w:tc>
        <w:tc>
          <w:tcPr>
            <w:tcW w:w="1530" w:type="dxa"/>
            <w:vAlign w:val="center"/>
          </w:tcPr>
          <w:p>
            <w:pPr>
              <w:widowControl/>
              <w:jc w:val="center"/>
              <w:rPr>
                <w:rFonts w:ascii="宋体" w:eastAsia="Times New Roman" w:cs="宋体"/>
                <w:kern w:val="0"/>
                <w:sz w:val="20"/>
                <w:szCs w:val="21"/>
              </w:rPr>
            </w:pPr>
          </w:p>
        </w:tc>
        <w:tc>
          <w:tcPr>
            <w:tcW w:w="1456" w:type="dxa"/>
            <w:vAlign w:val="center"/>
          </w:tcPr>
          <w:p>
            <w:pPr>
              <w:widowControl/>
              <w:jc w:val="center"/>
              <w:rPr>
                <w:rFonts w:ascii="宋体" w:eastAsia="Times New Roman" w:cs="宋体"/>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754" w:type="dxa"/>
          </w:tcPr>
          <w:p>
            <w:pPr>
              <w:spacing w:line="400" w:lineRule="exact"/>
              <w:jc w:val="center"/>
              <w:rPr>
                <w:rFonts w:ascii="宋体" w:eastAsia="Times New Roman"/>
                <w:sz w:val="20"/>
                <w:szCs w:val="21"/>
              </w:rPr>
            </w:pPr>
            <w:r>
              <w:rPr>
                <w:rFonts w:hint="eastAsia" w:ascii="宋体" w:eastAsia="Times New Roman"/>
                <w:sz w:val="20"/>
                <w:szCs w:val="21"/>
              </w:rPr>
              <w:t>1.6</w:t>
            </w:r>
          </w:p>
        </w:tc>
        <w:tc>
          <w:tcPr>
            <w:tcW w:w="2069" w:type="dxa"/>
          </w:tcPr>
          <w:p>
            <w:pPr>
              <w:spacing w:line="400" w:lineRule="exact"/>
              <w:jc w:val="center"/>
              <w:rPr>
                <w:rFonts w:ascii="宋体" w:eastAsia="Times New Roman"/>
                <w:sz w:val="20"/>
                <w:szCs w:val="21"/>
              </w:rPr>
            </w:pPr>
            <w:r>
              <w:rPr>
                <w:rFonts w:hint="eastAsia" w:ascii="宋体" w:eastAsia="Times New Roman"/>
                <w:sz w:val="20"/>
                <w:szCs w:val="21"/>
              </w:rPr>
              <w:t>安全阀</w:t>
            </w:r>
          </w:p>
        </w:tc>
        <w:tc>
          <w:tcPr>
            <w:tcW w:w="847" w:type="dxa"/>
          </w:tcPr>
          <w:p>
            <w:pPr>
              <w:spacing w:line="400" w:lineRule="exact"/>
              <w:jc w:val="center"/>
              <w:rPr>
                <w:rFonts w:ascii="宋体" w:eastAsia="Times New Roman"/>
                <w:sz w:val="20"/>
                <w:szCs w:val="21"/>
              </w:rPr>
            </w:pPr>
            <w:r>
              <w:rPr>
                <w:rFonts w:hint="eastAsia" w:ascii="宋体" w:eastAsia="Times New Roman"/>
                <w:sz w:val="20"/>
                <w:szCs w:val="21"/>
              </w:rPr>
              <w:t>套</w:t>
            </w:r>
          </w:p>
        </w:tc>
        <w:tc>
          <w:tcPr>
            <w:tcW w:w="708" w:type="dxa"/>
          </w:tcPr>
          <w:p>
            <w:pPr>
              <w:spacing w:line="400" w:lineRule="exact"/>
              <w:jc w:val="center"/>
              <w:rPr>
                <w:rFonts w:ascii="宋体" w:eastAsia="Times New Roman"/>
                <w:sz w:val="20"/>
                <w:szCs w:val="21"/>
              </w:rPr>
            </w:pPr>
            <w:r>
              <w:rPr>
                <w:rFonts w:hint="eastAsia" w:ascii="宋体" w:eastAsia="Times New Roman"/>
                <w:sz w:val="20"/>
                <w:szCs w:val="21"/>
              </w:rPr>
              <w:t>1</w:t>
            </w:r>
          </w:p>
        </w:tc>
        <w:tc>
          <w:tcPr>
            <w:tcW w:w="1530" w:type="dxa"/>
            <w:vAlign w:val="center"/>
          </w:tcPr>
          <w:p>
            <w:pPr>
              <w:widowControl/>
              <w:jc w:val="center"/>
              <w:rPr>
                <w:rFonts w:ascii="宋体" w:eastAsia="Times New Roman" w:cs="宋体"/>
                <w:kern w:val="0"/>
                <w:sz w:val="20"/>
                <w:szCs w:val="21"/>
              </w:rPr>
            </w:pPr>
          </w:p>
        </w:tc>
        <w:tc>
          <w:tcPr>
            <w:tcW w:w="1456" w:type="dxa"/>
            <w:vAlign w:val="center"/>
          </w:tcPr>
          <w:p>
            <w:pPr>
              <w:widowControl/>
              <w:jc w:val="center"/>
              <w:rPr>
                <w:rFonts w:ascii="宋体" w:eastAsia="Times New Roman" w:cs="宋体"/>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754" w:type="dxa"/>
          </w:tcPr>
          <w:p>
            <w:pPr>
              <w:spacing w:line="400" w:lineRule="exact"/>
              <w:jc w:val="center"/>
              <w:rPr>
                <w:rFonts w:ascii="宋体" w:eastAsia="Times New Roman"/>
                <w:sz w:val="20"/>
                <w:szCs w:val="21"/>
              </w:rPr>
            </w:pPr>
            <w:r>
              <w:rPr>
                <w:rFonts w:hint="eastAsia" w:ascii="宋体" w:eastAsia="Times New Roman"/>
                <w:sz w:val="20"/>
                <w:szCs w:val="21"/>
              </w:rPr>
              <w:t>1.7</w:t>
            </w:r>
          </w:p>
        </w:tc>
        <w:tc>
          <w:tcPr>
            <w:tcW w:w="2069" w:type="dxa"/>
          </w:tcPr>
          <w:p>
            <w:pPr>
              <w:spacing w:line="400" w:lineRule="exact"/>
              <w:jc w:val="center"/>
              <w:rPr>
                <w:rFonts w:ascii="宋体" w:eastAsia="Times New Roman"/>
                <w:sz w:val="20"/>
                <w:szCs w:val="21"/>
              </w:rPr>
            </w:pPr>
            <w:r>
              <w:rPr>
                <w:rFonts w:hint="eastAsia" w:ascii="宋体" w:eastAsia="Times New Roman"/>
                <w:sz w:val="20"/>
                <w:szCs w:val="21"/>
              </w:rPr>
              <w:t>压力表</w:t>
            </w:r>
          </w:p>
        </w:tc>
        <w:tc>
          <w:tcPr>
            <w:tcW w:w="847" w:type="dxa"/>
          </w:tcPr>
          <w:p>
            <w:pPr>
              <w:spacing w:line="400" w:lineRule="exact"/>
              <w:jc w:val="center"/>
              <w:rPr>
                <w:rFonts w:ascii="宋体" w:eastAsia="Times New Roman"/>
                <w:sz w:val="20"/>
                <w:szCs w:val="21"/>
              </w:rPr>
            </w:pPr>
            <w:r>
              <w:rPr>
                <w:rFonts w:hint="eastAsia" w:ascii="宋体" w:eastAsia="Times New Roman"/>
                <w:sz w:val="20"/>
                <w:szCs w:val="21"/>
              </w:rPr>
              <w:t>块</w:t>
            </w:r>
          </w:p>
        </w:tc>
        <w:tc>
          <w:tcPr>
            <w:tcW w:w="708" w:type="dxa"/>
          </w:tcPr>
          <w:p>
            <w:pPr>
              <w:spacing w:line="400" w:lineRule="exact"/>
              <w:jc w:val="center"/>
              <w:rPr>
                <w:rFonts w:hint="eastAsia" w:ascii="宋体" w:eastAsia="宋体"/>
                <w:sz w:val="20"/>
                <w:szCs w:val="21"/>
                <w:lang w:eastAsia="zh-CN"/>
              </w:rPr>
            </w:pPr>
            <w:r>
              <w:rPr>
                <w:rFonts w:hint="eastAsia" w:ascii="宋体"/>
                <w:color w:val="auto"/>
                <w:sz w:val="20"/>
                <w:szCs w:val="21"/>
                <w:highlight w:val="none"/>
                <w:lang w:val="en-US" w:eastAsia="zh-CN"/>
              </w:rPr>
              <w:t>6</w:t>
            </w:r>
          </w:p>
        </w:tc>
        <w:tc>
          <w:tcPr>
            <w:tcW w:w="1530" w:type="dxa"/>
            <w:vAlign w:val="center"/>
          </w:tcPr>
          <w:p>
            <w:pPr>
              <w:widowControl/>
              <w:jc w:val="center"/>
              <w:rPr>
                <w:rFonts w:ascii="宋体" w:eastAsia="Times New Roman" w:cs="宋体"/>
                <w:kern w:val="0"/>
                <w:sz w:val="20"/>
                <w:szCs w:val="21"/>
              </w:rPr>
            </w:pPr>
          </w:p>
        </w:tc>
        <w:tc>
          <w:tcPr>
            <w:tcW w:w="1456" w:type="dxa"/>
            <w:vAlign w:val="center"/>
          </w:tcPr>
          <w:p>
            <w:pPr>
              <w:widowControl/>
              <w:jc w:val="center"/>
              <w:rPr>
                <w:rFonts w:ascii="宋体" w:eastAsia="Times New Roman" w:cs="宋体"/>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754" w:type="dxa"/>
          </w:tcPr>
          <w:p>
            <w:pPr>
              <w:spacing w:line="400" w:lineRule="exact"/>
              <w:jc w:val="center"/>
              <w:rPr>
                <w:rFonts w:ascii="宋体" w:eastAsia="Times New Roman"/>
                <w:sz w:val="20"/>
                <w:szCs w:val="21"/>
              </w:rPr>
            </w:pPr>
            <w:r>
              <w:rPr>
                <w:rFonts w:hint="eastAsia" w:ascii="宋体" w:eastAsia="Times New Roman"/>
                <w:sz w:val="20"/>
                <w:szCs w:val="21"/>
              </w:rPr>
              <w:t>1.8</w:t>
            </w:r>
          </w:p>
        </w:tc>
        <w:tc>
          <w:tcPr>
            <w:tcW w:w="2069" w:type="dxa"/>
          </w:tcPr>
          <w:p>
            <w:pPr>
              <w:spacing w:line="400" w:lineRule="exact"/>
              <w:jc w:val="center"/>
              <w:rPr>
                <w:rFonts w:ascii="宋体" w:eastAsia="Times New Roman"/>
                <w:sz w:val="20"/>
                <w:szCs w:val="21"/>
              </w:rPr>
            </w:pPr>
            <w:r>
              <w:rPr>
                <w:rFonts w:hint="eastAsia" w:ascii="宋体" w:eastAsia="Times New Roman"/>
                <w:sz w:val="20"/>
                <w:szCs w:val="21"/>
              </w:rPr>
              <w:t>液压锁</w:t>
            </w:r>
          </w:p>
        </w:tc>
        <w:tc>
          <w:tcPr>
            <w:tcW w:w="847" w:type="dxa"/>
          </w:tcPr>
          <w:p>
            <w:pPr>
              <w:spacing w:line="400" w:lineRule="exact"/>
              <w:jc w:val="center"/>
              <w:rPr>
                <w:rFonts w:ascii="宋体" w:eastAsia="Times New Roman"/>
                <w:sz w:val="20"/>
                <w:szCs w:val="21"/>
              </w:rPr>
            </w:pPr>
            <w:r>
              <w:rPr>
                <w:rFonts w:hint="eastAsia" w:ascii="宋体" w:eastAsia="Times New Roman"/>
                <w:sz w:val="20"/>
                <w:szCs w:val="21"/>
              </w:rPr>
              <w:t>块</w:t>
            </w:r>
          </w:p>
        </w:tc>
        <w:tc>
          <w:tcPr>
            <w:tcW w:w="708" w:type="dxa"/>
          </w:tcPr>
          <w:p>
            <w:pPr>
              <w:spacing w:line="400" w:lineRule="exact"/>
              <w:jc w:val="center"/>
              <w:rPr>
                <w:rFonts w:ascii="宋体" w:eastAsia="Times New Roman"/>
                <w:sz w:val="20"/>
                <w:szCs w:val="21"/>
              </w:rPr>
            </w:pPr>
            <w:r>
              <w:rPr>
                <w:rFonts w:hint="eastAsia" w:ascii="宋体" w:eastAsia="Times New Roman"/>
                <w:sz w:val="20"/>
                <w:szCs w:val="21"/>
              </w:rPr>
              <w:t>2</w:t>
            </w:r>
          </w:p>
        </w:tc>
        <w:tc>
          <w:tcPr>
            <w:tcW w:w="1530" w:type="dxa"/>
            <w:vAlign w:val="center"/>
          </w:tcPr>
          <w:p>
            <w:pPr>
              <w:widowControl/>
              <w:jc w:val="center"/>
              <w:rPr>
                <w:rFonts w:ascii="宋体" w:eastAsia="Times New Roman" w:cs="宋体"/>
                <w:kern w:val="0"/>
                <w:sz w:val="20"/>
                <w:szCs w:val="21"/>
              </w:rPr>
            </w:pPr>
          </w:p>
        </w:tc>
        <w:tc>
          <w:tcPr>
            <w:tcW w:w="1456" w:type="dxa"/>
            <w:vAlign w:val="center"/>
          </w:tcPr>
          <w:p>
            <w:pPr>
              <w:widowControl/>
              <w:jc w:val="center"/>
              <w:rPr>
                <w:rFonts w:ascii="宋体" w:eastAsia="Times New Roman" w:cs="宋体"/>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754" w:type="dxa"/>
          </w:tcPr>
          <w:p>
            <w:pPr>
              <w:spacing w:line="400" w:lineRule="exact"/>
              <w:jc w:val="center"/>
              <w:rPr>
                <w:rFonts w:ascii="宋体"/>
                <w:sz w:val="20"/>
                <w:szCs w:val="21"/>
              </w:rPr>
            </w:pPr>
            <w:r>
              <w:rPr>
                <w:rFonts w:hint="eastAsia" w:ascii="宋体"/>
                <w:sz w:val="20"/>
                <w:szCs w:val="21"/>
              </w:rPr>
              <w:t>1.9</w:t>
            </w:r>
          </w:p>
        </w:tc>
        <w:tc>
          <w:tcPr>
            <w:tcW w:w="2069" w:type="dxa"/>
          </w:tcPr>
          <w:p>
            <w:pPr>
              <w:spacing w:line="400" w:lineRule="exact"/>
              <w:jc w:val="center"/>
              <w:rPr>
                <w:rFonts w:ascii="宋体"/>
                <w:sz w:val="20"/>
                <w:szCs w:val="21"/>
              </w:rPr>
            </w:pPr>
            <w:r>
              <w:rPr>
                <w:rFonts w:hint="eastAsia" w:ascii="宋体"/>
                <w:sz w:val="20"/>
                <w:szCs w:val="21"/>
              </w:rPr>
              <w:t>夹具螺栓</w:t>
            </w:r>
          </w:p>
        </w:tc>
        <w:tc>
          <w:tcPr>
            <w:tcW w:w="847" w:type="dxa"/>
          </w:tcPr>
          <w:p>
            <w:pPr>
              <w:spacing w:line="400" w:lineRule="exact"/>
              <w:jc w:val="center"/>
              <w:rPr>
                <w:rFonts w:ascii="宋体"/>
                <w:sz w:val="20"/>
                <w:szCs w:val="21"/>
              </w:rPr>
            </w:pPr>
            <w:r>
              <w:rPr>
                <w:rFonts w:hint="eastAsia" w:ascii="宋体"/>
                <w:sz w:val="20"/>
                <w:szCs w:val="21"/>
              </w:rPr>
              <w:t>套</w:t>
            </w:r>
          </w:p>
        </w:tc>
        <w:tc>
          <w:tcPr>
            <w:tcW w:w="708" w:type="dxa"/>
          </w:tcPr>
          <w:p>
            <w:pPr>
              <w:spacing w:line="400" w:lineRule="exact"/>
              <w:jc w:val="center"/>
              <w:rPr>
                <w:rFonts w:ascii="宋体"/>
                <w:sz w:val="20"/>
                <w:szCs w:val="21"/>
              </w:rPr>
            </w:pPr>
            <w:r>
              <w:rPr>
                <w:rFonts w:hint="eastAsia" w:ascii="宋体"/>
                <w:sz w:val="20"/>
                <w:szCs w:val="21"/>
              </w:rPr>
              <w:t>6</w:t>
            </w:r>
          </w:p>
        </w:tc>
        <w:tc>
          <w:tcPr>
            <w:tcW w:w="1530" w:type="dxa"/>
            <w:vAlign w:val="center"/>
          </w:tcPr>
          <w:p>
            <w:pPr>
              <w:widowControl/>
              <w:jc w:val="center"/>
              <w:rPr>
                <w:rFonts w:ascii="宋体" w:eastAsia="Times New Roman" w:cs="宋体"/>
                <w:kern w:val="0"/>
                <w:sz w:val="20"/>
                <w:szCs w:val="21"/>
              </w:rPr>
            </w:pPr>
          </w:p>
        </w:tc>
        <w:tc>
          <w:tcPr>
            <w:tcW w:w="1456" w:type="dxa"/>
            <w:vAlign w:val="center"/>
          </w:tcPr>
          <w:p>
            <w:pPr>
              <w:widowControl/>
              <w:jc w:val="center"/>
              <w:rPr>
                <w:rFonts w:ascii="宋体" w:eastAsia="Times New Roman" w:cs="宋体"/>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754" w:type="dxa"/>
          </w:tcPr>
          <w:p>
            <w:pPr>
              <w:spacing w:line="400" w:lineRule="exact"/>
              <w:jc w:val="center"/>
              <w:rPr>
                <w:rFonts w:ascii="宋体" w:eastAsia="Times New Roman"/>
                <w:sz w:val="20"/>
                <w:szCs w:val="21"/>
              </w:rPr>
            </w:pPr>
            <w:r>
              <w:rPr>
                <w:rFonts w:hint="eastAsia" w:ascii="宋体" w:eastAsia="Times New Roman"/>
                <w:sz w:val="20"/>
                <w:szCs w:val="21"/>
              </w:rPr>
              <w:t>2</w:t>
            </w:r>
          </w:p>
        </w:tc>
        <w:tc>
          <w:tcPr>
            <w:tcW w:w="2069" w:type="dxa"/>
          </w:tcPr>
          <w:p>
            <w:pPr>
              <w:spacing w:line="400" w:lineRule="exact"/>
              <w:jc w:val="center"/>
              <w:rPr>
                <w:rFonts w:ascii="宋体" w:eastAsia="Times New Roman"/>
                <w:sz w:val="20"/>
                <w:szCs w:val="21"/>
              </w:rPr>
            </w:pPr>
            <w:r>
              <w:rPr>
                <w:rFonts w:hint="eastAsia" w:ascii="宋体"/>
                <w:sz w:val="20"/>
                <w:szCs w:val="21"/>
              </w:rPr>
              <w:t>防爆</w:t>
            </w:r>
            <w:r>
              <w:rPr>
                <w:rFonts w:hint="eastAsia" w:ascii="宋体" w:eastAsia="Times New Roman"/>
                <w:sz w:val="20"/>
                <w:szCs w:val="21"/>
              </w:rPr>
              <w:t>电机</w:t>
            </w:r>
          </w:p>
        </w:tc>
        <w:tc>
          <w:tcPr>
            <w:tcW w:w="847" w:type="dxa"/>
          </w:tcPr>
          <w:p>
            <w:pPr>
              <w:spacing w:line="400" w:lineRule="exact"/>
              <w:jc w:val="center"/>
              <w:rPr>
                <w:rFonts w:ascii="宋体" w:eastAsia="Times New Roman"/>
                <w:sz w:val="20"/>
                <w:szCs w:val="21"/>
              </w:rPr>
            </w:pPr>
            <w:r>
              <w:rPr>
                <w:rFonts w:hint="eastAsia" w:ascii="宋体" w:eastAsia="Times New Roman"/>
                <w:sz w:val="20"/>
                <w:szCs w:val="21"/>
              </w:rPr>
              <w:t>台</w:t>
            </w:r>
          </w:p>
        </w:tc>
        <w:tc>
          <w:tcPr>
            <w:tcW w:w="708" w:type="dxa"/>
          </w:tcPr>
          <w:p>
            <w:pPr>
              <w:spacing w:line="400" w:lineRule="exact"/>
              <w:jc w:val="center"/>
              <w:rPr>
                <w:rFonts w:ascii="宋体" w:eastAsia="Times New Roman"/>
                <w:sz w:val="20"/>
                <w:szCs w:val="21"/>
              </w:rPr>
            </w:pPr>
            <w:r>
              <w:rPr>
                <w:rFonts w:hint="eastAsia" w:ascii="宋体" w:eastAsia="Times New Roman"/>
                <w:sz w:val="20"/>
                <w:szCs w:val="21"/>
              </w:rPr>
              <w:t>1</w:t>
            </w:r>
          </w:p>
        </w:tc>
        <w:tc>
          <w:tcPr>
            <w:tcW w:w="1530" w:type="dxa"/>
            <w:vAlign w:val="center"/>
          </w:tcPr>
          <w:p>
            <w:pPr>
              <w:widowControl/>
              <w:jc w:val="center"/>
              <w:rPr>
                <w:rFonts w:ascii="宋体" w:eastAsia="Times New Roman" w:cs="宋体"/>
                <w:kern w:val="0"/>
                <w:sz w:val="20"/>
                <w:szCs w:val="21"/>
              </w:rPr>
            </w:pPr>
          </w:p>
        </w:tc>
        <w:tc>
          <w:tcPr>
            <w:tcW w:w="1456" w:type="dxa"/>
            <w:vAlign w:val="center"/>
          </w:tcPr>
          <w:p>
            <w:pPr>
              <w:widowControl/>
              <w:jc w:val="center"/>
              <w:rPr>
                <w:rFonts w:ascii="宋体" w:eastAsia="Times New Roman" w:cs="宋体"/>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754" w:type="dxa"/>
          </w:tcPr>
          <w:p>
            <w:pPr>
              <w:spacing w:line="400" w:lineRule="exact"/>
              <w:jc w:val="center"/>
              <w:rPr>
                <w:rFonts w:ascii="宋体" w:eastAsia="Times New Roman"/>
                <w:sz w:val="20"/>
                <w:szCs w:val="21"/>
              </w:rPr>
            </w:pPr>
            <w:r>
              <w:rPr>
                <w:rFonts w:hint="eastAsia" w:ascii="宋体" w:eastAsia="Times New Roman"/>
                <w:sz w:val="20"/>
                <w:szCs w:val="21"/>
              </w:rPr>
              <w:t>3</w:t>
            </w:r>
          </w:p>
        </w:tc>
        <w:tc>
          <w:tcPr>
            <w:tcW w:w="2069" w:type="dxa"/>
          </w:tcPr>
          <w:p>
            <w:pPr>
              <w:spacing w:line="400" w:lineRule="exact"/>
              <w:jc w:val="center"/>
              <w:rPr>
                <w:rFonts w:ascii="宋体" w:eastAsia="Times New Roman"/>
                <w:sz w:val="20"/>
                <w:szCs w:val="21"/>
              </w:rPr>
            </w:pPr>
            <w:r>
              <w:rPr>
                <w:rFonts w:hint="eastAsia" w:ascii="宋体" w:eastAsia="Times New Roman"/>
                <w:sz w:val="20"/>
                <w:szCs w:val="21"/>
              </w:rPr>
              <w:t>液压移动推行车</w:t>
            </w:r>
          </w:p>
        </w:tc>
        <w:tc>
          <w:tcPr>
            <w:tcW w:w="847" w:type="dxa"/>
          </w:tcPr>
          <w:p>
            <w:pPr>
              <w:spacing w:line="400" w:lineRule="exact"/>
              <w:jc w:val="center"/>
              <w:rPr>
                <w:rFonts w:ascii="宋体" w:eastAsia="Times New Roman"/>
                <w:sz w:val="20"/>
                <w:szCs w:val="21"/>
              </w:rPr>
            </w:pPr>
            <w:r>
              <w:rPr>
                <w:rFonts w:hint="eastAsia" w:ascii="宋体" w:eastAsia="Times New Roman"/>
                <w:sz w:val="20"/>
                <w:szCs w:val="21"/>
              </w:rPr>
              <w:t>台</w:t>
            </w:r>
          </w:p>
        </w:tc>
        <w:tc>
          <w:tcPr>
            <w:tcW w:w="708" w:type="dxa"/>
          </w:tcPr>
          <w:p>
            <w:pPr>
              <w:spacing w:line="400" w:lineRule="exact"/>
              <w:jc w:val="center"/>
              <w:rPr>
                <w:rFonts w:ascii="宋体" w:eastAsia="Times New Roman"/>
                <w:sz w:val="20"/>
                <w:szCs w:val="21"/>
              </w:rPr>
            </w:pPr>
            <w:r>
              <w:rPr>
                <w:rFonts w:hint="eastAsia" w:ascii="宋体" w:eastAsia="Times New Roman"/>
                <w:sz w:val="20"/>
                <w:szCs w:val="21"/>
              </w:rPr>
              <w:t>1</w:t>
            </w:r>
          </w:p>
        </w:tc>
        <w:tc>
          <w:tcPr>
            <w:tcW w:w="1530" w:type="dxa"/>
            <w:vAlign w:val="center"/>
          </w:tcPr>
          <w:p>
            <w:pPr>
              <w:widowControl/>
              <w:spacing w:line="400" w:lineRule="exact"/>
              <w:jc w:val="left"/>
              <w:rPr>
                <w:rFonts w:ascii="宋体" w:eastAsia="Times New Roman"/>
                <w:sz w:val="20"/>
                <w:szCs w:val="21"/>
              </w:rPr>
            </w:pPr>
          </w:p>
        </w:tc>
        <w:tc>
          <w:tcPr>
            <w:tcW w:w="1456" w:type="dxa"/>
            <w:vAlign w:val="center"/>
          </w:tcPr>
          <w:p>
            <w:pPr>
              <w:widowControl/>
              <w:spacing w:line="400" w:lineRule="exact"/>
              <w:jc w:val="left"/>
              <w:rPr>
                <w:rFonts w:ascii="宋体" w:eastAsia="Times New Roman"/>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754" w:type="dxa"/>
          </w:tcPr>
          <w:p>
            <w:pPr>
              <w:spacing w:line="400" w:lineRule="exact"/>
              <w:jc w:val="center"/>
              <w:rPr>
                <w:rFonts w:ascii="宋体" w:eastAsia="Times New Roman"/>
                <w:sz w:val="20"/>
                <w:szCs w:val="21"/>
              </w:rPr>
            </w:pPr>
            <w:r>
              <w:rPr>
                <w:rFonts w:hint="eastAsia" w:ascii="宋体" w:eastAsia="Times New Roman"/>
                <w:sz w:val="20"/>
                <w:szCs w:val="21"/>
              </w:rPr>
              <w:t>4</w:t>
            </w:r>
          </w:p>
        </w:tc>
        <w:tc>
          <w:tcPr>
            <w:tcW w:w="2069" w:type="dxa"/>
          </w:tcPr>
          <w:p>
            <w:pPr>
              <w:spacing w:line="400" w:lineRule="exact"/>
              <w:jc w:val="center"/>
              <w:rPr>
                <w:rFonts w:ascii="宋体" w:eastAsia="Times New Roman"/>
                <w:sz w:val="20"/>
                <w:szCs w:val="21"/>
              </w:rPr>
            </w:pPr>
            <w:r>
              <w:rPr>
                <w:rFonts w:hint="eastAsia" w:ascii="宋体" w:eastAsia="Times New Roman"/>
                <w:sz w:val="20"/>
                <w:szCs w:val="21"/>
              </w:rPr>
              <w:t>移动装置</w:t>
            </w:r>
          </w:p>
        </w:tc>
        <w:tc>
          <w:tcPr>
            <w:tcW w:w="847" w:type="dxa"/>
          </w:tcPr>
          <w:p>
            <w:pPr>
              <w:spacing w:line="400" w:lineRule="exact"/>
              <w:jc w:val="center"/>
              <w:rPr>
                <w:rFonts w:ascii="宋体" w:eastAsia="Times New Roman"/>
                <w:sz w:val="20"/>
                <w:szCs w:val="21"/>
              </w:rPr>
            </w:pPr>
            <w:r>
              <w:rPr>
                <w:rFonts w:hint="eastAsia" w:ascii="宋体" w:eastAsia="Times New Roman"/>
                <w:sz w:val="20"/>
                <w:szCs w:val="21"/>
              </w:rPr>
              <w:t>台</w:t>
            </w:r>
          </w:p>
        </w:tc>
        <w:tc>
          <w:tcPr>
            <w:tcW w:w="708" w:type="dxa"/>
          </w:tcPr>
          <w:p>
            <w:pPr>
              <w:spacing w:line="400" w:lineRule="exact"/>
              <w:jc w:val="center"/>
              <w:rPr>
                <w:rFonts w:ascii="宋体" w:eastAsia="Times New Roman"/>
                <w:sz w:val="20"/>
                <w:szCs w:val="21"/>
              </w:rPr>
            </w:pPr>
            <w:r>
              <w:rPr>
                <w:rFonts w:hint="eastAsia" w:ascii="宋体" w:eastAsia="Times New Roman"/>
                <w:sz w:val="20"/>
                <w:szCs w:val="21"/>
              </w:rPr>
              <w:t>1</w:t>
            </w:r>
          </w:p>
        </w:tc>
        <w:tc>
          <w:tcPr>
            <w:tcW w:w="1530" w:type="dxa"/>
            <w:vAlign w:val="center"/>
          </w:tcPr>
          <w:p>
            <w:pPr>
              <w:widowControl/>
              <w:spacing w:line="400" w:lineRule="exact"/>
              <w:jc w:val="left"/>
              <w:rPr>
                <w:rFonts w:ascii="宋体" w:eastAsia="Times New Roman"/>
                <w:sz w:val="20"/>
                <w:szCs w:val="21"/>
              </w:rPr>
            </w:pPr>
          </w:p>
        </w:tc>
        <w:tc>
          <w:tcPr>
            <w:tcW w:w="1456" w:type="dxa"/>
            <w:vAlign w:val="center"/>
          </w:tcPr>
          <w:p>
            <w:pPr>
              <w:widowControl/>
              <w:spacing w:line="400" w:lineRule="exact"/>
              <w:jc w:val="left"/>
              <w:rPr>
                <w:rFonts w:ascii="宋体" w:eastAsia="Times New Roman"/>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754" w:type="dxa"/>
          </w:tcPr>
          <w:p>
            <w:pPr>
              <w:spacing w:line="400" w:lineRule="exact"/>
              <w:jc w:val="center"/>
              <w:rPr>
                <w:rFonts w:ascii="宋体" w:eastAsia="Times New Roman"/>
                <w:sz w:val="20"/>
                <w:szCs w:val="21"/>
              </w:rPr>
            </w:pPr>
            <w:r>
              <w:rPr>
                <w:rFonts w:hint="eastAsia" w:ascii="宋体" w:eastAsia="Times New Roman"/>
                <w:sz w:val="20"/>
                <w:szCs w:val="21"/>
              </w:rPr>
              <w:t>5</w:t>
            </w:r>
          </w:p>
        </w:tc>
        <w:tc>
          <w:tcPr>
            <w:tcW w:w="2069" w:type="dxa"/>
          </w:tcPr>
          <w:p>
            <w:pPr>
              <w:spacing w:line="400" w:lineRule="exact"/>
              <w:jc w:val="center"/>
              <w:rPr>
                <w:rFonts w:ascii="宋体"/>
                <w:sz w:val="20"/>
                <w:szCs w:val="21"/>
              </w:rPr>
            </w:pPr>
            <w:r>
              <w:rPr>
                <w:rFonts w:hint="eastAsia" w:ascii="宋体" w:eastAsia="Times New Roman"/>
                <w:sz w:val="20"/>
                <w:szCs w:val="21"/>
              </w:rPr>
              <w:t>液压</w:t>
            </w:r>
            <w:r>
              <w:rPr>
                <w:rFonts w:hint="eastAsia" w:ascii="宋体"/>
                <w:sz w:val="20"/>
                <w:szCs w:val="21"/>
              </w:rPr>
              <w:t>千斤顶</w:t>
            </w:r>
          </w:p>
        </w:tc>
        <w:tc>
          <w:tcPr>
            <w:tcW w:w="847" w:type="dxa"/>
          </w:tcPr>
          <w:p>
            <w:pPr>
              <w:spacing w:line="400" w:lineRule="exact"/>
              <w:jc w:val="center"/>
              <w:rPr>
                <w:rFonts w:ascii="宋体" w:eastAsia="Times New Roman"/>
                <w:sz w:val="20"/>
                <w:szCs w:val="21"/>
              </w:rPr>
            </w:pPr>
            <w:r>
              <w:rPr>
                <w:rFonts w:hint="eastAsia" w:ascii="宋体" w:eastAsia="Times New Roman"/>
                <w:sz w:val="20"/>
                <w:szCs w:val="21"/>
              </w:rPr>
              <w:t>个</w:t>
            </w:r>
          </w:p>
        </w:tc>
        <w:tc>
          <w:tcPr>
            <w:tcW w:w="708" w:type="dxa"/>
          </w:tcPr>
          <w:p>
            <w:pPr>
              <w:spacing w:line="400" w:lineRule="exact"/>
              <w:jc w:val="center"/>
              <w:rPr>
                <w:rFonts w:ascii="宋体" w:eastAsia="Times New Roman"/>
                <w:sz w:val="20"/>
                <w:szCs w:val="21"/>
              </w:rPr>
            </w:pPr>
            <w:r>
              <w:rPr>
                <w:rFonts w:hint="eastAsia" w:ascii="宋体" w:eastAsia="Times New Roman"/>
                <w:sz w:val="20"/>
                <w:szCs w:val="21"/>
              </w:rPr>
              <w:t>2</w:t>
            </w:r>
          </w:p>
        </w:tc>
        <w:tc>
          <w:tcPr>
            <w:tcW w:w="1530" w:type="dxa"/>
            <w:vAlign w:val="center"/>
          </w:tcPr>
          <w:p>
            <w:pPr>
              <w:widowControl/>
              <w:spacing w:line="400" w:lineRule="exact"/>
              <w:jc w:val="left"/>
              <w:rPr>
                <w:rFonts w:ascii="宋体" w:eastAsia="Times New Roman"/>
                <w:sz w:val="20"/>
                <w:szCs w:val="21"/>
              </w:rPr>
            </w:pPr>
          </w:p>
        </w:tc>
        <w:tc>
          <w:tcPr>
            <w:tcW w:w="1456" w:type="dxa"/>
            <w:vAlign w:val="center"/>
          </w:tcPr>
          <w:p>
            <w:pPr>
              <w:widowControl/>
              <w:spacing w:line="400" w:lineRule="exact"/>
              <w:jc w:val="left"/>
              <w:rPr>
                <w:rFonts w:ascii="宋体" w:eastAsia="Times New Roman"/>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754" w:type="dxa"/>
          </w:tcPr>
          <w:p>
            <w:pPr>
              <w:spacing w:line="400" w:lineRule="exact"/>
              <w:jc w:val="center"/>
              <w:rPr>
                <w:rFonts w:ascii="宋体"/>
                <w:sz w:val="20"/>
                <w:szCs w:val="21"/>
              </w:rPr>
            </w:pPr>
            <w:r>
              <w:rPr>
                <w:rFonts w:hint="eastAsia" w:ascii="宋体"/>
                <w:sz w:val="20"/>
                <w:szCs w:val="21"/>
              </w:rPr>
              <w:t>6</w:t>
            </w:r>
          </w:p>
        </w:tc>
        <w:tc>
          <w:tcPr>
            <w:tcW w:w="2069" w:type="dxa"/>
          </w:tcPr>
          <w:p>
            <w:pPr>
              <w:spacing w:line="400" w:lineRule="exact"/>
              <w:jc w:val="center"/>
              <w:rPr>
                <w:rFonts w:ascii="宋体"/>
                <w:sz w:val="20"/>
                <w:szCs w:val="21"/>
              </w:rPr>
            </w:pPr>
            <w:r>
              <w:rPr>
                <w:rFonts w:hint="eastAsia" w:ascii="宋体"/>
                <w:sz w:val="20"/>
                <w:szCs w:val="21"/>
              </w:rPr>
              <w:t>加长块</w:t>
            </w:r>
          </w:p>
        </w:tc>
        <w:tc>
          <w:tcPr>
            <w:tcW w:w="847" w:type="dxa"/>
          </w:tcPr>
          <w:p>
            <w:pPr>
              <w:spacing w:line="400" w:lineRule="exact"/>
              <w:jc w:val="center"/>
              <w:rPr>
                <w:rFonts w:ascii="宋体"/>
                <w:sz w:val="20"/>
                <w:szCs w:val="21"/>
              </w:rPr>
            </w:pPr>
            <w:r>
              <w:rPr>
                <w:rFonts w:hint="eastAsia" w:ascii="宋体"/>
                <w:sz w:val="20"/>
                <w:szCs w:val="21"/>
              </w:rPr>
              <w:t>块</w:t>
            </w:r>
          </w:p>
        </w:tc>
        <w:tc>
          <w:tcPr>
            <w:tcW w:w="708" w:type="dxa"/>
          </w:tcPr>
          <w:p>
            <w:pPr>
              <w:spacing w:line="400" w:lineRule="exact"/>
              <w:jc w:val="center"/>
              <w:rPr>
                <w:rFonts w:ascii="宋体"/>
                <w:sz w:val="20"/>
                <w:szCs w:val="21"/>
              </w:rPr>
            </w:pPr>
            <w:r>
              <w:rPr>
                <w:rFonts w:hint="eastAsia" w:ascii="宋体"/>
                <w:sz w:val="20"/>
                <w:szCs w:val="21"/>
              </w:rPr>
              <w:t>6</w:t>
            </w:r>
          </w:p>
        </w:tc>
        <w:tc>
          <w:tcPr>
            <w:tcW w:w="1530" w:type="dxa"/>
            <w:vAlign w:val="center"/>
          </w:tcPr>
          <w:p>
            <w:pPr>
              <w:widowControl/>
              <w:spacing w:line="400" w:lineRule="exact"/>
              <w:jc w:val="left"/>
              <w:rPr>
                <w:rFonts w:ascii="宋体" w:eastAsia="Times New Roman"/>
                <w:sz w:val="20"/>
                <w:szCs w:val="21"/>
              </w:rPr>
            </w:pPr>
          </w:p>
        </w:tc>
        <w:tc>
          <w:tcPr>
            <w:tcW w:w="1456" w:type="dxa"/>
            <w:vAlign w:val="center"/>
          </w:tcPr>
          <w:p>
            <w:pPr>
              <w:widowControl/>
              <w:spacing w:line="400" w:lineRule="exact"/>
              <w:jc w:val="left"/>
              <w:rPr>
                <w:rFonts w:ascii="宋体" w:eastAsia="Times New Roman"/>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754" w:type="dxa"/>
          </w:tcPr>
          <w:p>
            <w:pPr>
              <w:spacing w:line="400" w:lineRule="exact"/>
              <w:jc w:val="center"/>
              <w:rPr>
                <w:rFonts w:hint="eastAsia" w:ascii="宋体" w:eastAsia="宋体"/>
                <w:sz w:val="20"/>
                <w:szCs w:val="21"/>
                <w:lang w:val="en-US" w:eastAsia="zh-CN"/>
              </w:rPr>
            </w:pPr>
            <w:r>
              <w:rPr>
                <w:rFonts w:hint="eastAsia" w:ascii="宋体"/>
                <w:sz w:val="20"/>
                <w:szCs w:val="21"/>
                <w:lang w:val="en-US" w:eastAsia="zh-CN"/>
              </w:rPr>
              <w:t>7</w:t>
            </w:r>
          </w:p>
        </w:tc>
        <w:tc>
          <w:tcPr>
            <w:tcW w:w="2069" w:type="dxa"/>
          </w:tcPr>
          <w:p>
            <w:pPr>
              <w:spacing w:line="400" w:lineRule="exact"/>
              <w:jc w:val="center"/>
              <w:rPr>
                <w:rFonts w:hint="eastAsia" w:ascii="宋体" w:eastAsia="宋体"/>
                <w:sz w:val="20"/>
                <w:szCs w:val="21"/>
                <w:lang w:eastAsia="zh-CN"/>
              </w:rPr>
            </w:pPr>
            <w:r>
              <w:rPr>
                <w:rFonts w:hint="eastAsia" w:ascii="宋体"/>
                <w:sz w:val="20"/>
                <w:szCs w:val="21"/>
                <w:lang w:eastAsia="zh-CN"/>
              </w:rPr>
              <w:t>备品备件</w:t>
            </w:r>
          </w:p>
        </w:tc>
        <w:tc>
          <w:tcPr>
            <w:tcW w:w="847" w:type="dxa"/>
          </w:tcPr>
          <w:p>
            <w:pPr>
              <w:spacing w:line="400" w:lineRule="exact"/>
              <w:jc w:val="center"/>
              <w:rPr>
                <w:rFonts w:hint="eastAsia" w:ascii="宋体" w:eastAsia="宋体"/>
                <w:sz w:val="20"/>
                <w:szCs w:val="21"/>
                <w:lang w:eastAsia="zh-CN"/>
              </w:rPr>
            </w:pPr>
            <w:r>
              <w:rPr>
                <w:rFonts w:hint="eastAsia" w:ascii="宋体"/>
                <w:sz w:val="20"/>
                <w:szCs w:val="21"/>
                <w:lang w:eastAsia="zh-CN"/>
              </w:rPr>
              <w:t>套</w:t>
            </w:r>
          </w:p>
        </w:tc>
        <w:tc>
          <w:tcPr>
            <w:tcW w:w="708" w:type="dxa"/>
          </w:tcPr>
          <w:p>
            <w:pPr>
              <w:spacing w:line="400" w:lineRule="exact"/>
              <w:jc w:val="center"/>
              <w:rPr>
                <w:rFonts w:hint="eastAsia" w:ascii="宋体" w:eastAsia="宋体"/>
                <w:sz w:val="20"/>
                <w:szCs w:val="21"/>
                <w:lang w:val="en-US" w:eastAsia="zh-CN"/>
              </w:rPr>
            </w:pPr>
            <w:r>
              <w:rPr>
                <w:rFonts w:hint="eastAsia" w:ascii="宋体"/>
                <w:sz w:val="20"/>
                <w:szCs w:val="21"/>
                <w:lang w:val="en-US" w:eastAsia="zh-CN"/>
              </w:rPr>
              <w:t>1</w:t>
            </w:r>
          </w:p>
        </w:tc>
        <w:tc>
          <w:tcPr>
            <w:tcW w:w="1530" w:type="dxa"/>
            <w:vAlign w:val="center"/>
          </w:tcPr>
          <w:p>
            <w:pPr>
              <w:widowControl/>
              <w:spacing w:line="400" w:lineRule="exact"/>
              <w:jc w:val="left"/>
              <w:rPr>
                <w:rFonts w:ascii="宋体" w:eastAsia="Times New Roman"/>
                <w:sz w:val="20"/>
                <w:szCs w:val="21"/>
              </w:rPr>
            </w:pPr>
          </w:p>
        </w:tc>
        <w:tc>
          <w:tcPr>
            <w:tcW w:w="1456" w:type="dxa"/>
            <w:vAlign w:val="center"/>
          </w:tcPr>
          <w:p>
            <w:pPr>
              <w:widowControl/>
              <w:spacing w:line="400" w:lineRule="exact"/>
              <w:jc w:val="left"/>
              <w:rPr>
                <w:rFonts w:ascii="宋体" w:eastAsia="Times New Roman"/>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754" w:type="dxa"/>
          </w:tcPr>
          <w:p>
            <w:pPr>
              <w:spacing w:line="400" w:lineRule="exact"/>
              <w:jc w:val="center"/>
              <w:rPr>
                <w:rFonts w:hint="eastAsia" w:ascii="宋体" w:eastAsia="宋体"/>
                <w:sz w:val="20"/>
                <w:szCs w:val="21"/>
                <w:lang w:eastAsia="zh-CN"/>
              </w:rPr>
            </w:pPr>
            <w:r>
              <w:rPr>
                <w:rFonts w:hint="eastAsia" w:ascii="宋体"/>
                <w:sz w:val="20"/>
                <w:szCs w:val="21"/>
                <w:lang w:val="en-US" w:eastAsia="zh-CN"/>
              </w:rPr>
              <w:t>8</w:t>
            </w:r>
          </w:p>
        </w:tc>
        <w:tc>
          <w:tcPr>
            <w:tcW w:w="2069" w:type="dxa"/>
          </w:tcPr>
          <w:p>
            <w:pPr>
              <w:spacing w:line="400" w:lineRule="exact"/>
              <w:jc w:val="center"/>
              <w:rPr>
                <w:rFonts w:ascii="宋体" w:eastAsia="Times New Roman"/>
                <w:sz w:val="20"/>
                <w:szCs w:val="21"/>
              </w:rPr>
            </w:pPr>
            <w:r>
              <w:rPr>
                <w:rFonts w:hint="eastAsia" w:ascii="宋体" w:eastAsia="Times New Roman"/>
                <w:sz w:val="20"/>
                <w:szCs w:val="21"/>
              </w:rPr>
              <w:t>其它</w:t>
            </w:r>
          </w:p>
        </w:tc>
        <w:tc>
          <w:tcPr>
            <w:tcW w:w="847" w:type="dxa"/>
          </w:tcPr>
          <w:p>
            <w:pPr>
              <w:spacing w:line="400" w:lineRule="exact"/>
              <w:jc w:val="center"/>
              <w:rPr>
                <w:rFonts w:ascii="宋体" w:eastAsia="Times New Roman"/>
                <w:sz w:val="20"/>
                <w:szCs w:val="21"/>
              </w:rPr>
            </w:pPr>
            <w:r>
              <w:rPr>
                <w:rFonts w:hint="eastAsia" w:ascii="宋体" w:eastAsia="Times New Roman"/>
                <w:sz w:val="20"/>
                <w:szCs w:val="21"/>
              </w:rPr>
              <w:t>套</w:t>
            </w:r>
          </w:p>
        </w:tc>
        <w:tc>
          <w:tcPr>
            <w:tcW w:w="708" w:type="dxa"/>
          </w:tcPr>
          <w:p>
            <w:pPr>
              <w:spacing w:line="400" w:lineRule="exact"/>
              <w:jc w:val="center"/>
              <w:rPr>
                <w:rFonts w:ascii="宋体" w:eastAsia="Times New Roman"/>
                <w:sz w:val="20"/>
                <w:szCs w:val="21"/>
              </w:rPr>
            </w:pPr>
            <w:r>
              <w:rPr>
                <w:rFonts w:hint="eastAsia" w:ascii="宋体" w:eastAsia="Times New Roman"/>
                <w:sz w:val="20"/>
                <w:szCs w:val="21"/>
              </w:rPr>
              <w:t>1</w:t>
            </w:r>
          </w:p>
        </w:tc>
        <w:tc>
          <w:tcPr>
            <w:tcW w:w="1530" w:type="dxa"/>
            <w:vAlign w:val="center"/>
          </w:tcPr>
          <w:p>
            <w:pPr>
              <w:widowControl/>
              <w:spacing w:line="400" w:lineRule="exact"/>
              <w:jc w:val="left"/>
              <w:rPr>
                <w:rFonts w:ascii="宋体"/>
                <w:sz w:val="20"/>
                <w:szCs w:val="21"/>
              </w:rPr>
            </w:pPr>
          </w:p>
          <w:p>
            <w:pPr>
              <w:widowControl/>
              <w:spacing w:line="400" w:lineRule="exact"/>
              <w:jc w:val="left"/>
              <w:rPr>
                <w:rFonts w:ascii="宋体"/>
                <w:sz w:val="20"/>
                <w:szCs w:val="21"/>
              </w:rPr>
            </w:pPr>
          </w:p>
        </w:tc>
        <w:tc>
          <w:tcPr>
            <w:tcW w:w="1456" w:type="dxa"/>
            <w:vAlign w:val="center"/>
          </w:tcPr>
          <w:p>
            <w:pPr>
              <w:widowControl/>
              <w:spacing w:line="400" w:lineRule="exact"/>
              <w:jc w:val="left"/>
              <w:rPr>
                <w:rFonts w:ascii="宋体" w:eastAsia="Times New Roman"/>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754" w:type="dxa"/>
            <w:vAlign w:val="center"/>
          </w:tcPr>
          <w:p>
            <w:pPr>
              <w:widowControl/>
              <w:jc w:val="center"/>
              <w:rPr>
                <w:rFonts w:ascii="宋体" w:eastAsia="Times New Roman" w:cs="宋体"/>
                <w:kern w:val="0"/>
                <w:sz w:val="20"/>
                <w:szCs w:val="21"/>
              </w:rPr>
            </w:pPr>
          </w:p>
        </w:tc>
        <w:tc>
          <w:tcPr>
            <w:tcW w:w="2069" w:type="dxa"/>
            <w:vAlign w:val="center"/>
          </w:tcPr>
          <w:p>
            <w:pPr>
              <w:widowControl/>
              <w:jc w:val="center"/>
              <w:rPr>
                <w:rFonts w:ascii="宋体" w:eastAsia="Times New Roman" w:cs="宋体"/>
                <w:kern w:val="0"/>
                <w:sz w:val="20"/>
                <w:szCs w:val="21"/>
              </w:rPr>
            </w:pPr>
            <w:r>
              <w:rPr>
                <w:rFonts w:hint="eastAsia" w:ascii="宋体" w:hAnsi="宋体" w:eastAsia="Times New Roman" w:cs="宋体"/>
                <w:kern w:val="0"/>
                <w:sz w:val="20"/>
                <w:szCs w:val="21"/>
              </w:rPr>
              <w:t>合计</w:t>
            </w:r>
          </w:p>
        </w:tc>
        <w:tc>
          <w:tcPr>
            <w:tcW w:w="847" w:type="dxa"/>
            <w:vAlign w:val="center"/>
          </w:tcPr>
          <w:p>
            <w:pPr>
              <w:widowControl/>
              <w:jc w:val="center"/>
              <w:rPr>
                <w:rFonts w:ascii="宋体" w:eastAsia="Times New Roman" w:cs="宋体"/>
                <w:kern w:val="0"/>
                <w:sz w:val="20"/>
                <w:szCs w:val="21"/>
              </w:rPr>
            </w:pPr>
          </w:p>
        </w:tc>
        <w:tc>
          <w:tcPr>
            <w:tcW w:w="708" w:type="dxa"/>
            <w:vAlign w:val="center"/>
          </w:tcPr>
          <w:p>
            <w:pPr>
              <w:widowControl/>
              <w:jc w:val="center"/>
              <w:rPr>
                <w:rFonts w:ascii="宋体" w:eastAsia="Times New Roman" w:cs="宋体"/>
                <w:kern w:val="0"/>
                <w:sz w:val="20"/>
                <w:szCs w:val="21"/>
              </w:rPr>
            </w:pPr>
          </w:p>
        </w:tc>
        <w:tc>
          <w:tcPr>
            <w:tcW w:w="1530" w:type="dxa"/>
            <w:vAlign w:val="center"/>
          </w:tcPr>
          <w:p>
            <w:pPr>
              <w:widowControl/>
              <w:jc w:val="center"/>
              <w:rPr>
                <w:rFonts w:ascii="宋体" w:eastAsia="Times New Roman" w:cs="宋体"/>
                <w:kern w:val="0"/>
                <w:sz w:val="20"/>
                <w:szCs w:val="21"/>
              </w:rPr>
            </w:pPr>
          </w:p>
        </w:tc>
        <w:tc>
          <w:tcPr>
            <w:tcW w:w="1456" w:type="dxa"/>
            <w:vAlign w:val="center"/>
          </w:tcPr>
          <w:p>
            <w:pPr>
              <w:widowControl/>
              <w:jc w:val="center"/>
              <w:rPr>
                <w:rFonts w:ascii="宋体" w:eastAsia="Times New Roman" w:cs="宋体"/>
                <w:kern w:val="0"/>
                <w:sz w:val="20"/>
                <w:szCs w:val="21"/>
              </w:rPr>
            </w:pPr>
          </w:p>
        </w:tc>
      </w:tr>
    </w:tbl>
    <w:p>
      <w:pPr>
        <w:adjustRightInd w:val="0"/>
        <w:snapToGrid w:val="0"/>
        <w:spacing w:beforeLines="100" w:afterLines="100" w:line="360" w:lineRule="auto"/>
        <w:rPr>
          <w:b/>
          <w:szCs w:val="21"/>
        </w:rPr>
      </w:pPr>
      <w:r>
        <w:rPr>
          <w:rFonts w:hint="eastAsia"/>
          <w:b/>
          <w:szCs w:val="21"/>
        </w:rPr>
        <w:t>二、工作环境</w:t>
      </w:r>
    </w:p>
    <w:p>
      <w:pPr>
        <w:adjustRightInd w:val="0"/>
        <w:snapToGrid w:val="0"/>
        <w:spacing w:line="360" w:lineRule="auto"/>
        <w:rPr>
          <w:rFonts w:ascii="宋体" w:hAnsi="宋体"/>
          <w:szCs w:val="21"/>
        </w:rPr>
      </w:pPr>
      <w:r>
        <w:rPr>
          <w:rFonts w:hint="eastAsia" w:ascii="宋体" w:hAnsi="宋体"/>
          <w:szCs w:val="21"/>
        </w:rPr>
        <w:t>1. 工作环境</w:t>
      </w:r>
    </w:p>
    <w:p>
      <w:pPr>
        <w:adjustRightInd w:val="0"/>
        <w:snapToGrid w:val="0"/>
        <w:spacing w:line="360" w:lineRule="auto"/>
        <w:rPr>
          <w:rFonts w:ascii="宋体" w:hAnsi="宋体"/>
          <w:szCs w:val="21"/>
        </w:rPr>
      </w:pPr>
      <w:r>
        <w:rPr>
          <w:rFonts w:hint="eastAsia" w:ascii="宋体" w:hAnsi="宋体"/>
          <w:szCs w:val="21"/>
        </w:rPr>
        <w:t xml:space="preserve">   使用地点：</w:t>
      </w:r>
      <w:r>
        <w:rPr>
          <w:rFonts w:hint="eastAsia" w:ascii="宋体" w:hAnsi="宋体"/>
          <w:szCs w:val="21"/>
          <w:lang w:eastAsia="zh-CN"/>
        </w:rPr>
        <w:t>大柳塔煤矿井下</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最高温度：</w:t>
      </w:r>
      <w:r>
        <w:rPr>
          <w:rFonts w:hint="eastAsia" w:ascii="宋体" w:hAnsi="宋体"/>
          <w:szCs w:val="21"/>
          <w:u w:val="single"/>
        </w:rPr>
        <w:t>+45℃</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最低温度：</w:t>
      </w:r>
      <w:r>
        <w:rPr>
          <w:rFonts w:hint="eastAsia" w:ascii="宋体" w:hAnsi="宋体"/>
          <w:szCs w:val="21"/>
          <w:u w:val="single"/>
        </w:rPr>
        <w:t>-25℃</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年平均气温：</w:t>
      </w:r>
      <w:r>
        <w:rPr>
          <w:rFonts w:hint="eastAsia" w:ascii="宋体" w:hAnsi="宋体"/>
          <w:szCs w:val="21"/>
          <w:u w:val="single"/>
        </w:rPr>
        <w:t>+15℃</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环境相对湿度：</w:t>
      </w:r>
      <w:r>
        <w:rPr>
          <w:rFonts w:hint="eastAsia" w:ascii="宋体" w:hAnsi="宋体"/>
          <w:szCs w:val="21"/>
          <w:u w:val="single"/>
        </w:rPr>
        <w:t>95％</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地震烈度：</w:t>
      </w:r>
      <w:r>
        <w:rPr>
          <w:rFonts w:hint="eastAsia" w:ascii="宋体" w:hAnsi="宋体"/>
          <w:szCs w:val="21"/>
          <w:u w:val="single"/>
        </w:rPr>
        <w:t>7级</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海拔高度：≤1400m。</w:t>
      </w:r>
    </w:p>
    <w:p>
      <w:pPr>
        <w:adjustRightInd w:val="0"/>
        <w:snapToGrid w:val="0"/>
        <w:spacing w:line="360" w:lineRule="auto"/>
        <w:rPr>
          <w:rFonts w:ascii="宋体" w:hAnsi="宋体"/>
          <w:szCs w:val="21"/>
        </w:rPr>
      </w:pPr>
      <w:r>
        <w:rPr>
          <w:rFonts w:hint="eastAsia" w:ascii="宋体" w:hAnsi="宋体"/>
          <w:szCs w:val="21"/>
        </w:rPr>
        <w:t>2</w:t>
      </w:r>
      <w:r>
        <w:rPr>
          <w:rFonts w:ascii="宋体" w:hAnsi="宋体"/>
          <w:szCs w:val="21"/>
        </w:rPr>
        <w:t>.</w:t>
      </w:r>
      <w:r>
        <w:rPr>
          <w:rFonts w:hint="eastAsia" w:ascii="宋体" w:hAnsi="宋体"/>
          <w:szCs w:val="21"/>
        </w:rPr>
        <w:t>使用条件</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）拉马在下列使用条件下，能连续正常运行。</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（2）最大工作阻力500T。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（3）最大工作行程不小于500mm。</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（4）夹具中心高度调节范围：450-1200mm。</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（5）额定电压：380V/660V。</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（6）工作压力：63MPa。</w:t>
      </w:r>
    </w:p>
    <w:p>
      <w:pPr>
        <w:adjustRightInd w:val="0"/>
        <w:snapToGrid w:val="0"/>
        <w:spacing w:line="360" w:lineRule="auto"/>
        <w:ind w:left="491" w:leftChars="133" w:firstLine="0" w:firstLineChars="0"/>
        <w:rPr>
          <w:rFonts w:ascii="宋体" w:hAnsi="宋体"/>
          <w:szCs w:val="21"/>
        </w:rPr>
      </w:pPr>
      <w:r>
        <w:rPr>
          <w:rFonts w:hint="eastAsia" w:ascii="宋体" w:hAnsi="宋体"/>
          <w:szCs w:val="21"/>
        </w:rPr>
        <w:t>（7）工作温度：-25℃～+45℃。</w:t>
      </w:r>
    </w:p>
    <w:p>
      <w:pPr>
        <w:adjustRightInd w:val="0"/>
        <w:snapToGrid w:val="0"/>
        <w:spacing w:beforeLines="100" w:afterLines="100" w:line="360" w:lineRule="auto"/>
        <w:rPr>
          <w:b/>
          <w:szCs w:val="21"/>
        </w:rPr>
      </w:pPr>
      <w:r>
        <w:rPr>
          <w:rFonts w:hint="eastAsia"/>
          <w:b/>
          <w:szCs w:val="21"/>
        </w:rPr>
        <w:t>三、技术参数及要求</w:t>
      </w:r>
    </w:p>
    <w:p>
      <w:pPr>
        <w:spacing w:line="360" w:lineRule="auto"/>
        <w:rPr>
          <w:szCs w:val="21"/>
        </w:rPr>
      </w:pPr>
      <w:r>
        <w:rPr>
          <w:rFonts w:ascii="宋体" w:hAnsi="宋体"/>
          <w:szCs w:val="21"/>
        </w:rPr>
        <w:t>1.技术</w:t>
      </w:r>
      <w:r>
        <w:rPr>
          <w:rFonts w:hint="eastAsia"/>
          <w:szCs w:val="21"/>
        </w:rPr>
        <w:t>参数</w:t>
      </w:r>
    </w:p>
    <w:p>
      <w:pPr>
        <w:adjustRightInd w:val="0"/>
        <w:spacing w:line="360" w:lineRule="auto"/>
        <w:ind w:firstLine="210" w:firstLineChars="100"/>
        <w:jc w:val="left"/>
        <w:rPr>
          <w:rFonts w:ascii="宋体" w:hAnsi="宋体"/>
          <w:szCs w:val="21"/>
        </w:rPr>
      </w:pPr>
      <w:r>
        <w:rPr>
          <w:rFonts w:ascii="宋体" w:hAnsi="宋体"/>
          <w:szCs w:val="21"/>
        </w:rPr>
        <w:t>1.1</w:t>
      </w:r>
      <w:r>
        <w:rPr>
          <w:rFonts w:hint="eastAsia" w:ascii="宋体" w:hAnsi="宋体"/>
          <w:szCs w:val="21"/>
        </w:rPr>
        <w:t>、拉马参考型号：1100×500×1100mm。</w:t>
      </w:r>
    </w:p>
    <w:p>
      <w:pPr>
        <w:adjustRightInd w:val="0"/>
        <w:spacing w:line="360" w:lineRule="auto"/>
        <w:ind w:firstLine="210" w:firstLineChars="100"/>
        <w:jc w:val="left"/>
        <w:rPr>
          <w:rFonts w:ascii="宋体" w:hAnsi="宋体"/>
          <w:szCs w:val="21"/>
        </w:rPr>
      </w:pPr>
      <w:r>
        <w:rPr>
          <w:rFonts w:ascii="宋体" w:hAnsi="宋体"/>
          <w:szCs w:val="21"/>
        </w:rPr>
        <w:t>* 1.</w:t>
      </w:r>
      <w:r>
        <w:rPr>
          <w:rFonts w:hint="eastAsia" w:ascii="宋体" w:hAnsi="宋体"/>
          <w:szCs w:val="21"/>
        </w:rPr>
        <w:t>2、最大工作阻力：500T。</w:t>
      </w:r>
    </w:p>
    <w:p>
      <w:pPr>
        <w:adjustRightInd w:val="0"/>
        <w:spacing w:line="360" w:lineRule="auto"/>
        <w:ind w:firstLine="210" w:firstLineChars="100"/>
        <w:jc w:val="left"/>
        <w:rPr>
          <w:rFonts w:ascii="宋体" w:hAnsi="宋体"/>
          <w:szCs w:val="21"/>
        </w:rPr>
      </w:pPr>
      <w:r>
        <w:rPr>
          <w:rFonts w:ascii="宋体" w:hAnsi="宋体"/>
          <w:szCs w:val="21"/>
        </w:rPr>
        <w:t>* 1.3</w:t>
      </w:r>
      <w:r>
        <w:rPr>
          <w:rFonts w:hint="eastAsia" w:ascii="宋体" w:hAnsi="宋体"/>
          <w:szCs w:val="21"/>
        </w:rPr>
        <w:t>、最大顶出行程：不小于500mm。</w:t>
      </w:r>
    </w:p>
    <w:p>
      <w:pPr>
        <w:adjustRightInd w:val="0"/>
        <w:spacing w:line="360" w:lineRule="auto"/>
        <w:ind w:firstLine="210" w:firstLineChars="100"/>
        <w:jc w:val="left"/>
        <w:rPr>
          <w:rFonts w:ascii="宋体" w:hAnsi="宋体"/>
          <w:szCs w:val="21"/>
        </w:rPr>
      </w:pPr>
      <w:r>
        <w:rPr>
          <w:rFonts w:ascii="宋体" w:hAnsi="宋体"/>
          <w:szCs w:val="21"/>
        </w:rPr>
        <w:t>*</w:t>
      </w:r>
      <w:r>
        <w:rPr>
          <w:rFonts w:hint="eastAsia" w:ascii="宋体" w:hAnsi="宋体"/>
          <w:szCs w:val="21"/>
        </w:rPr>
        <w:t>1.4、液压千斤顶轴心点高度调节范围：450-1200mm。</w:t>
      </w:r>
    </w:p>
    <w:p>
      <w:pPr>
        <w:adjustRightInd w:val="0"/>
        <w:spacing w:line="360" w:lineRule="auto"/>
        <w:ind w:firstLine="210" w:firstLineChars="100"/>
        <w:jc w:val="left"/>
        <w:rPr>
          <w:rFonts w:ascii="宋体" w:hAnsi="宋体"/>
          <w:szCs w:val="21"/>
        </w:rPr>
      </w:pPr>
      <w:r>
        <w:rPr>
          <w:rFonts w:hint="eastAsia" w:ascii="宋体" w:hAnsi="宋体"/>
          <w:szCs w:val="21"/>
        </w:rPr>
        <w:t>1.5、液压顶力活塞高度调节方式：油缸。</w:t>
      </w:r>
    </w:p>
    <w:p>
      <w:pPr>
        <w:adjustRightInd w:val="0"/>
        <w:spacing w:line="360" w:lineRule="auto"/>
        <w:ind w:firstLine="210" w:firstLineChars="100"/>
        <w:jc w:val="left"/>
        <w:rPr>
          <w:rFonts w:ascii="宋体" w:hAnsi="宋体"/>
          <w:szCs w:val="21"/>
        </w:rPr>
      </w:pPr>
      <w:r>
        <w:rPr>
          <w:rFonts w:ascii="宋体" w:hAnsi="宋体"/>
          <w:szCs w:val="21"/>
        </w:rPr>
        <w:t>*</w:t>
      </w:r>
      <w:r>
        <w:rPr>
          <w:rFonts w:hint="eastAsia" w:ascii="宋体" w:hAnsi="宋体"/>
          <w:szCs w:val="21"/>
        </w:rPr>
        <w:t>1.6、工作压力：</w:t>
      </w:r>
      <w:r>
        <w:rPr>
          <w:rFonts w:hint="eastAsia" w:ascii="宋体" w:hAnsi="宋体"/>
          <w:szCs w:val="21"/>
          <w:lang w:eastAsia="zh-CN"/>
        </w:rPr>
        <w:t>≥</w:t>
      </w:r>
      <w:r>
        <w:rPr>
          <w:rFonts w:hint="eastAsia" w:ascii="宋体" w:hAnsi="宋体"/>
          <w:szCs w:val="21"/>
        </w:rPr>
        <w:t>63MPa。</w:t>
      </w:r>
    </w:p>
    <w:p>
      <w:pPr>
        <w:adjustRightInd w:val="0"/>
        <w:spacing w:line="360" w:lineRule="auto"/>
        <w:ind w:firstLine="210" w:firstLineChars="100"/>
        <w:jc w:val="left"/>
        <w:rPr>
          <w:rFonts w:ascii="宋体" w:hAnsi="宋体"/>
          <w:szCs w:val="21"/>
        </w:rPr>
      </w:pPr>
      <w:r>
        <w:rPr>
          <w:rFonts w:ascii="宋体" w:hAnsi="宋体"/>
          <w:szCs w:val="21"/>
        </w:rPr>
        <w:t>* 1.</w:t>
      </w:r>
      <w:r>
        <w:rPr>
          <w:rFonts w:hint="eastAsia" w:ascii="宋体" w:hAnsi="宋体"/>
          <w:szCs w:val="21"/>
        </w:rPr>
        <w:t>7、配套电动机额定电压：380V/66</w:t>
      </w:r>
      <w:r>
        <w:rPr>
          <w:rFonts w:ascii="宋体" w:hAnsi="宋体"/>
          <w:szCs w:val="21"/>
        </w:rPr>
        <w:t>0V</w:t>
      </w:r>
      <w:r>
        <w:rPr>
          <w:rFonts w:hint="eastAsia" w:ascii="宋体" w:hAnsi="宋体"/>
          <w:szCs w:val="21"/>
        </w:rPr>
        <w:t>。</w:t>
      </w:r>
    </w:p>
    <w:p>
      <w:pPr>
        <w:adjustRightInd w:val="0"/>
        <w:spacing w:line="360" w:lineRule="auto"/>
        <w:ind w:firstLine="210" w:firstLineChars="100"/>
        <w:jc w:val="left"/>
        <w:rPr>
          <w:rFonts w:ascii="宋体" w:hAnsi="宋体"/>
          <w:szCs w:val="21"/>
        </w:rPr>
      </w:pPr>
      <w:r>
        <w:rPr>
          <w:rFonts w:ascii="宋体" w:hAnsi="宋体"/>
          <w:szCs w:val="21"/>
        </w:rPr>
        <w:t>1.</w:t>
      </w:r>
      <w:r>
        <w:rPr>
          <w:rFonts w:hint="eastAsia" w:ascii="宋体" w:hAnsi="宋体"/>
          <w:szCs w:val="21"/>
        </w:rPr>
        <w:t>8、配套电动机额定功率：</w:t>
      </w:r>
      <w:r>
        <w:rPr>
          <w:rFonts w:hint="eastAsia" w:ascii="宋体" w:hAnsi="宋体"/>
          <w:szCs w:val="21"/>
          <w:lang w:eastAsia="zh-CN"/>
        </w:rPr>
        <w:t>≥</w:t>
      </w:r>
      <w:r>
        <w:rPr>
          <w:rFonts w:hint="eastAsia" w:ascii="宋体" w:hAnsi="宋体"/>
          <w:szCs w:val="21"/>
        </w:rPr>
        <w:t>5.5k</w:t>
      </w:r>
      <w:r>
        <w:rPr>
          <w:rFonts w:ascii="宋体" w:hAnsi="宋体"/>
          <w:szCs w:val="21"/>
        </w:rPr>
        <w:t>W</w:t>
      </w:r>
      <w:r>
        <w:rPr>
          <w:rFonts w:hint="eastAsia" w:ascii="宋体" w:hAnsi="宋体"/>
          <w:szCs w:val="21"/>
        </w:rPr>
        <w:t>。</w:t>
      </w:r>
    </w:p>
    <w:p>
      <w:pPr>
        <w:adjustRightInd w:val="0"/>
        <w:spacing w:line="360" w:lineRule="auto"/>
        <w:ind w:firstLine="210" w:firstLineChars="100"/>
        <w:jc w:val="left"/>
        <w:rPr>
          <w:rFonts w:ascii="宋体" w:hAnsi="宋体"/>
          <w:szCs w:val="21"/>
        </w:rPr>
      </w:pPr>
      <w:r>
        <w:rPr>
          <w:rFonts w:ascii="宋体" w:hAnsi="宋体"/>
          <w:szCs w:val="21"/>
        </w:rPr>
        <w:t>1.</w:t>
      </w:r>
      <w:r>
        <w:rPr>
          <w:rFonts w:hint="eastAsia" w:ascii="宋体" w:hAnsi="宋体"/>
          <w:szCs w:val="21"/>
        </w:rPr>
        <w:t>9、配套电动机转速：</w:t>
      </w:r>
      <w:r>
        <w:rPr>
          <w:rFonts w:ascii="宋体" w:hAnsi="宋体"/>
          <w:szCs w:val="21"/>
        </w:rPr>
        <w:t>1488 r/min</w:t>
      </w:r>
      <w:r>
        <w:rPr>
          <w:rFonts w:hint="eastAsia" w:ascii="宋体" w:hAnsi="宋体"/>
          <w:szCs w:val="21"/>
        </w:rPr>
        <w:t>。</w:t>
      </w:r>
    </w:p>
    <w:p>
      <w:pPr>
        <w:adjustRightInd w:val="0"/>
        <w:spacing w:line="360" w:lineRule="auto"/>
        <w:ind w:firstLine="210" w:firstLineChars="100"/>
        <w:jc w:val="left"/>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10、过载系数：大于等于</w:t>
      </w:r>
      <w:r>
        <w:rPr>
          <w:rFonts w:ascii="宋体" w:hAnsi="宋体"/>
          <w:szCs w:val="21"/>
        </w:rPr>
        <w:t>1.8</w:t>
      </w:r>
      <w:r>
        <w:rPr>
          <w:rFonts w:hint="eastAsia" w:ascii="宋体" w:hAnsi="宋体"/>
          <w:szCs w:val="21"/>
        </w:rPr>
        <w:t>倍。</w:t>
      </w:r>
    </w:p>
    <w:p>
      <w:pPr>
        <w:adjustRightInd w:val="0"/>
        <w:spacing w:line="360" w:lineRule="auto"/>
        <w:ind w:firstLine="210" w:firstLineChars="100"/>
        <w:jc w:val="left"/>
        <w:rPr>
          <w:rFonts w:ascii="宋体" w:hAnsi="宋体"/>
          <w:szCs w:val="21"/>
        </w:rPr>
      </w:pPr>
      <w:r>
        <w:rPr>
          <w:rFonts w:ascii="宋体" w:hAnsi="宋体"/>
          <w:szCs w:val="21"/>
        </w:rPr>
        <w:t>* 1.</w:t>
      </w:r>
      <w:r>
        <w:rPr>
          <w:rFonts w:hint="eastAsia" w:ascii="宋体" w:hAnsi="宋体"/>
          <w:szCs w:val="21"/>
        </w:rPr>
        <w:t>11、绝缘等级：不小于F级。</w:t>
      </w:r>
    </w:p>
    <w:p>
      <w:pPr>
        <w:adjustRightInd w:val="0"/>
        <w:spacing w:line="360" w:lineRule="auto"/>
        <w:ind w:firstLine="210" w:firstLineChars="100"/>
        <w:jc w:val="left"/>
        <w:rPr>
          <w:rFonts w:ascii="宋体" w:hAnsi="宋体"/>
          <w:szCs w:val="21"/>
        </w:rPr>
      </w:pPr>
      <w:r>
        <w:rPr>
          <w:rFonts w:ascii="宋体" w:hAnsi="宋体"/>
          <w:szCs w:val="21"/>
        </w:rPr>
        <w:t>* 1.1</w:t>
      </w:r>
      <w:r>
        <w:rPr>
          <w:rFonts w:hint="eastAsia" w:ascii="宋体" w:hAnsi="宋体"/>
          <w:szCs w:val="21"/>
        </w:rPr>
        <w:t>2、配套电动机的防护等级：不小于</w:t>
      </w:r>
      <w:r>
        <w:rPr>
          <w:rFonts w:ascii="宋体" w:hAnsi="宋体"/>
          <w:szCs w:val="21"/>
        </w:rPr>
        <w:t>IP5</w:t>
      </w:r>
      <w:r>
        <w:rPr>
          <w:rFonts w:hint="eastAsia" w:ascii="宋体" w:hAnsi="宋体"/>
          <w:szCs w:val="21"/>
        </w:rPr>
        <w:t>5。</w:t>
      </w:r>
    </w:p>
    <w:p>
      <w:pPr>
        <w:adjustRightInd w:val="0"/>
        <w:spacing w:line="360" w:lineRule="auto"/>
        <w:ind w:firstLine="210" w:firstLineChars="100"/>
        <w:jc w:val="left"/>
        <w:rPr>
          <w:rFonts w:ascii="宋体" w:hAnsi="宋体"/>
          <w:szCs w:val="21"/>
        </w:rPr>
      </w:pPr>
      <w:r>
        <w:rPr>
          <w:rFonts w:ascii="宋体" w:hAnsi="宋体"/>
          <w:szCs w:val="21"/>
        </w:rPr>
        <w:t>1.</w:t>
      </w:r>
      <w:r>
        <w:rPr>
          <w:rFonts w:hint="eastAsia" w:ascii="宋体" w:hAnsi="宋体"/>
          <w:szCs w:val="21"/>
        </w:rPr>
        <w:t>13、电源标准频率：</w:t>
      </w:r>
      <w:r>
        <w:rPr>
          <w:rFonts w:ascii="宋体" w:hAnsi="宋体"/>
          <w:szCs w:val="21"/>
        </w:rPr>
        <w:t>50Hz</w:t>
      </w:r>
      <w:r>
        <w:rPr>
          <w:rFonts w:hint="eastAsia" w:ascii="宋体" w:hAnsi="宋体"/>
          <w:szCs w:val="21"/>
        </w:rPr>
        <w:t>（用户电压波动范围±</w:t>
      </w:r>
      <w:r>
        <w:rPr>
          <w:rFonts w:ascii="宋体" w:hAnsi="宋体"/>
          <w:szCs w:val="21"/>
        </w:rPr>
        <w:t>10%</w:t>
      </w:r>
      <w:r>
        <w:rPr>
          <w:rFonts w:hint="eastAsia" w:ascii="宋体" w:hAnsi="宋体"/>
          <w:szCs w:val="21"/>
        </w:rPr>
        <w:t>）。</w:t>
      </w:r>
    </w:p>
    <w:p>
      <w:pPr>
        <w:adjustRightInd w:val="0"/>
        <w:spacing w:line="360" w:lineRule="auto"/>
        <w:ind w:firstLine="210" w:firstLineChars="100"/>
        <w:jc w:val="left"/>
        <w:rPr>
          <w:rFonts w:ascii="宋体" w:hAnsi="宋体"/>
          <w:szCs w:val="21"/>
        </w:rPr>
      </w:pPr>
      <w:r>
        <w:rPr>
          <w:rFonts w:hint="eastAsia" w:ascii="宋体" w:hAnsi="宋体"/>
          <w:szCs w:val="21"/>
        </w:rPr>
        <w:t>△1.14、噪音：不大于80dB。</w:t>
      </w:r>
    </w:p>
    <w:p>
      <w:pPr>
        <w:adjustRightInd w:val="0"/>
        <w:spacing w:line="360" w:lineRule="auto"/>
        <w:ind w:firstLine="210" w:firstLineChars="100"/>
        <w:jc w:val="left"/>
        <w:rPr>
          <w:rFonts w:ascii="宋体" w:hAnsi="宋体"/>
          <w:color w:val="FF0000"/>
          <w:szCs w:val="21"/>
        </w:rPr>
      </w:pPr>
      <w:r>
        <w:rPr>
          <w:rFonts w:hint="eastAsia" w:ascii="宋体" w:hAnsi="宋体"/>
          <w:szCs w:val="21"/>
        </w:rPr>
        <w:t>1.15、电动机冷却方式：自冷。</w:t>
      </w:r>
    </w:p>
    <w:p>
      <w:pPr>
        <w:adjustRightInd w:val="0"/>
        <w:spacing w:line="360" w:lineRule="auto"/>
        <w:ind w:firstLine="210" w:firstLineChars="100"/>
        <w:jc w:val="left"/>
        <w:rPr>
          <w:rFonts w:hint="eastAsia" w:ascii="宋体" w:hAnsi="宋体"/>
          <w:szCs w:val="21"/>
        </w:rPr>
      </w:pPr>
      <w:r>
        <w:rPr>
          <w:rFonts w:hint="eastAsia" w:ascii="宋体" w:hAnsi="宋体"/>
          <w:szCs w:val="21"/>
        </w:rPr>
        <w:t>△ 1.16、油缸品牌为：美国派克汉尼汾</w:t>
      </w:r>
      <w:r>
        <w:rPr>
          <w:rFonts w:hint="eastAsia" w:ascii="宋体" w:hAnsi="宋体"/>
          <w:szCs w:val="21"/>
          <w:lang w:eastAsia="zh-CN"/>
        </w:rPr>
        <w:t>或同等品牌产品</w:t>
      </w:r>
      <w:r>
        <w:rPr>
          <w:rFonts w:hint="eastAsia" w:ascii="宋体" w:hAnsi="宋体"/>
          <w:szCs w:val="21"/>
        </w:rPr>
        <w:t>。</w:t>
      </w:r>
    </w:p>
    <w:p>
      <w:pPr>
        <w:adjustRightInd w:val="0"/>
        <w:spacing w:line="360" w:lineRule="auto"/>
        <w:ind w:firstLine="210" w:firstLineChars="100"/>
        <w:jc w:val="left"/>
        <w:rPr>
          <w:rFonts w:hint="eastAsia" w:ascii="宋体" w:hAnsi="宋体"/>
          <w:szCs w:val="21"/>
        </w:rPr>
      </w:pPr>
      <w:r>
        <w:rPr>
          <w:rFonts w:hint="eastAsia" w:ascii="宋体" w:hAnsi="宋体"/>
          <w:szCs w:val="21"/>
        </w:rPr>
        <w:t>△1.17、油泵品牌为：力士乐</w:t>
      </w:r>
      <w:r>
        <w:rPr>
          <w:rFonts w:hint="eastAsia" w:ascii="宋体" w:hAnsi="宋体"/>
          <w:szCs w:val="21"/>
          <w:lang w:eastAsia="zh-CN"/>
        </w:rPr>
        <w:t>或同等品牌产品</w:t>
      </w:r>
      <w:r>
        <w:rPr>
          <w:rFonts w:hint="eastAsia" w:ascii="宋体" w:hAnsi="宋体"/>
          <w:szCs w:val="21"/>
        </w:rPr>
        <w:t>。</w:t>
      </w:r>
    </w:p>
    <w:p>
      <w:pPr>
        <w:adjustRightInd w:val="0"/>
        <w:spacing w:line="360" w:lineRule="auto"/>
        <w:ind w:firstLine="210" w:firstLineChars="100"/>
        <w:jc w:val="left"/>
        <w:rPr>
          <w:rFonts w:ascii="宋体" w:hAnsi="宋体"/>
          <w:szCs w:val="21"/>
        </w:rPr>
      </w:pPr>
      <w:r>
        <w:rPr>
          <w:rFonts w:hint="eastAsia" w:ascii="宋体" w:hAnsi="宋体"/>
          <w:szCs w:val="21"/>
        </w:rPr>
        <w:t>*1.18、</w:t>
      </w:r>
      <w:r>
        <w:rPr>
          <w:rFonts w:ascii="宋体" w:hAnsi="宋体"/>
          <w:szCs w:val="21"/>
        </w:rPr>
        <w:t>各种型号规格夹具</w:t>
      </w:r>
      <w:r>
        <w:rPr>
          <w:rFonts w:hint="eastAsia" w:ascii="宋体" w:hAnsi="宋体"/>
          <w:szCs w:val="21"/>
        </w:rPr>
        <w:t>能够满足为1110T10至1260T10之间的所有型号蛇形簧联轴器使用。</w:t>
      </w:r>
    </w:p>
    <w:p>
      <w:pPr>
        <w:adjustRightInd w:val="0"/>
        <w:spacing w:line="360" w:lineRule="auto"/>
        <w:ind w:firstLine="210" w:firstLineChars="100"/>
        <w:jc w:val="left"/>
        <w:rPr>
          <w:rFonts w:ascii="宋体" w:hAnsi="宋体"/>
          <w:szCs w:val="21"/>
        </w:rPr>
      </w:pPr>
      <w:r>
        <w:rPr>
          <w:rFonts w:hint="eastAsia" w:ascii="宋体" w:hAnsi="宋体"/>
          <w:szCs w:val="21"/>
        </w:rPr>
        <w:t>1.19、平台尺寸平台尺寸 ：长1200mm，宽800mm,最低高度330mm，最高高度900mm，扶手高度1100mm。</w:t>
      </w:r>
    </w:p>
    <w:p>
      <w:pPr>
        <w:adjustRightInd w:val="0"/>
        <w:spacing w:line="360" w:lineRule="auto"/>
        <w:ind w:firstLine="210" w:firstLineChars="100"/>
        <w:jc w:val="left"/>
        <w:rPr>
          <w:rFonts w:ascii="宋体" w:hAnsi="宋体"/>
          <w:szCs w:val="21"/>
        </w:rPr>
      </w:pPr>
      <w:r>
        <w:rPr>
          <w:rFonts w:hint="eastAsia" w:ascii="宋体" w:hAnsi="宋体"/>
          <w:szCs w:val="21"/>
        </w:rPr>
        <w:t>1.20、加长块长度分别为：50mm、80mm、100mm，各型号数量分别为2块。</w:t>
      </w:r>
    </w:p>
    <w:p>
      <w:pPr>
        <w:adjustRightInd w:val="0"/>
        <w:spacing w:line="360" w:lineRule="auto"/>
        <w:ind w:firstLine="246" w:firstLineChars="117"/>
        <w:jc w:val="left"/>
        <w:rPr>
          <w:rFonts w:ascii="宋体" w:hAnsi="宋体"/>
          <w:szCs w:val="21"/>
        </w:rPr>
      </w:pPr>
      <w:r>
        <w:rPr>
          <w:rFonts w:hint="eastAsia" w:ascii="宋体" w:hAnsi="宋体"/>
          <w:szCs w:val="21"/>
        </w:rPr>
        <w:t>1.21、专用工具、备件工具需配备专用工具箱。</w:t>
      </w:r>
    </w:p>
    <w:p>
      <w:pPr>
        <w:adjustRightInd w:val="0"/>
        <w:spacing w:line="360" w:lineRule="auto"/>
        <w:ind w:firstLine="246" w:firstLineChars="117"/>
        <w:jc w:val="left"/>
        <w:rPr>
          <w:rFonts w:ascii="宋体" w:hAnsi="宋体"/>
          <w:szCs w:val="21"/>
        </w:rPr>
      </w:pPr>
      <w:r>
        <w:rPr>
          <w:rFonts w:hint="eastAsia" w:ascii="宋体" w:hAnsi="宋体"/>
          <w:szCs w:val="21"/>
        </w:rPr>
        <w:t>1.22、设备外形尺寸:不大于1100×500×1100mm。</w:t>
      </w:r>
    </w:p>
    <w:p>
      <w:pPr>
        <w:adjustRightInd w:val="0"/>
        <w:spacing w:line="360" w:lineRule="auto"/>
        <w:ind w:firstLine="246" w:firstLineChars="117"/>
        <w:jc w:val="left"/>
        <w:rPr>
          <w:rFonts w:ascii="宋体" w:hAnsi="宋体"/>
          <w:szCs w:val="21"/>
        </w:rPr>
      </w:pPr>
      <w:r>
        <w:rPr>
          <w:rFonts w:hint="eastAsia" w:ascii="宋体" w:hAnsi="宋体"/>
          <w:szCs w:val="21"/>
        </w:rPr>
        <w:t>1.23、设备重量：约900kg。</w:t>
      </w:r>
    </w:p>
    <w:p>
      <w:pPr>
        <w:adjustRightInd w:val="0"/>
        <w:spacing w:line="360" w:lineRule="auto"/>
        <w:ind w:firstLine="210" w:firstLineChars="100"/>
        <w:jc w:val="left"/>
        <w:rPr>
          <w:rFonts w:hint="eastAsia" w:ascii="宋体" w:hAnsi="宋体"/>
          <w:szCs w:val="21"/>
        </w:rPr>
      </w:pPr>
      <w:r>
        <w:rPr>
          <w:rFonts w:hint="eastAsia" w:ascii="宋体" w:hAnsi="宋体"/>
          <w:szCs w:val="21"/>
        </w:rPr>
        <w:t>△1.24、油管品牌为：美国恩派克</w:t>
      </w:r>
      <w:r>
        <w:rPr>
          <w:rFonts w:hint="eastAsia" w:ascii="宋体" w:hAnsi="宋体"/>
          <w:szCs w:val="21"/>
          <w:lang w:eastAsia="zh-CN"/>
        </w:rPr>
        <w:t>或同等品牌产品</w:t>
      </w:r>
      <w:r>
        <w:rPr>
          <w:rFonts w:hint="eastAsia" w:ascii="宋体" w:hAnsi="宋体"/>
          <w:szCs w:val="21"/>
        </w:rPr>
        <w:t>。</w:t>
      </w:r>
    </w:p>
    <w:p>
      <w:pPr>
        <w:adjustRightInd w:val="0"/>
        <w:spacing w:line="360" w:lineRule="auto"/>
        <w:ind w:firstLine="246" w:firstLineChars="117"/>
        <w:jc w:val="left"/>
        <w:rPr>
          <w:rFonts w:ascii="宋体" w:hAnsi="宋体"/>
          <w:szCs w:val="21"/>
        </w:rPr>
      </w:pPr>
      <w:r>
        <w:rPr>
          <w:rFonts w:hint="eastAsia" w:ascii="宋体" w:hAnsi="宋体"/>
          <w:szCs w:val="21"/>
        </w:rPr>
        <w:t>*1.25、油管额定</w:t>
      </w:r>
      <w:r>
        <w:rPr>
          <w:rFonts w:ascii="宋体" w:hAnsi="宋体"/>
          <w:szCs w:val="21"/>
        </w:rPr>
        <w:t>压力</w:t>
      </w:r>
      <w:r>
        <w:rPr>
          <w:rFonts w:hint="eastAsia" w:ascii="宋体" w:hAnsi="宋体"/>
          <w:szCs w:val="21"/>
        </w:rPr>
        <w:t>：</w:t>
      </w:r>
      <w:r>
        <w:rPr>
          <w:rFonts w:hint="eastAsia" w:ascii="宋体" w:hAnsi="宋体"/>
          <w:szCs w:val="21"/>
          <w:lang w:eastAsia="zh-CN"/>
        </w:rPr>
        <w:t>≥</w:t>
      </w:r>
      <w:r>
        <w:rPr>
          <w:rFonts w:hint="eastAsia" w:ascii="宋体" w:hAnsi="宋体"/>
          <w:szCs w:val="21"/>
        </w:rPr>
        <w:t>70MPa。</w:t>
      </w:r>
    </w:p>
    <w:p>
      <w:pPr>
        <w:adjustRightInd w:val="0"/>
        <w:spacing w:line="360" w:lineRule="auto"/>
        <w:ind w:firstLine="210" w:firstLineChars="100"/>
        <w:jc w:val="left"/>
        <w:rPr>
          <w:rFonts w:hint="eastAsia" w:ascii="宋体" w:hAnsi="宋体"/>
          <w:szCs w:val="21"/>
        </w:rPr>
      </w:pPr>
      <w:r>
        <w:rPr>
          <w:rFonts w:hint="eastAsia" w:ascii="宋体" w:hAnsi="宋体"/>
          <w:szCs w:val="21"/>
        </w:rPr>
        <w:t>△1.26、接头品牌为：美国恩派克</w:t>
      </w:r>
      <w:r>
        <w:rPr>
          <w:rFonts w:hint="eastAsia" w:ascii="宋体" w:hAnsi="宋体"/>
          <w:szCs w:val="21"/>
          <w:lang w:eastAsia="zh-CN"/>
        </w:rPr>
        <w:t>或同等品牌产品</w:t>
      </w:r>
      <w:r>
        <w:rPr>
          <w:rFonts w:hint="eastAsia" w:ascii="宋体" w:hAnsi="宋体"/>
          <w:szCs w:val="21"/>
        </w:rPr>
        <w:t>。</w:t>
      </w:r>
    </w:p>
    <w:p>
      <w:pPr>
        <w:adjustRightInd w:val="0"/>
        <w:spacing w:line="360" w:lineRule="auto"/>
        <w:ind w:firstLine="246" w:firstLineChars="117"/>
        <w:jc w:val="left"/>
        <w:rPr>
          <w:rFonts w:hint="eastAsia" w:ascii="宋体" w:hAnsi="宋体"/>
          <w:szCs w:val="21"/>
        </w:rPr>
      </w:pPr>
      <w:r>
        <w:rPr>
          <w:rFonts w:hint="eastAsia" w:ascii="宋体" w:hAnsi="宋体"/>
          <w:szCs w:val="21"/>
        </w:rPr>
        <w:t>*1.27、接头为快速插头形式。</w:t>
      </w:r>
    </w:p>
    <w:p>
      <w:pPr>
        <w:adjustRightInd w:val="0"/>
        <w:spacing w:line="360" w:lineRule="auto"/>
        <w:ind w:firstLine="210" w:firstLineChars="100"/>
        <w:rPr>
          <w:rFonts w:hint="eastAsia" w:ascii="宋体" w:hAnsi="宋体"/>
          <w:szCs w:val="21"/>
        </w:rPr>
      </w:pPr>
      <w:r>
        <w:rPr>
          <w:rFonts w:hint="eastAsia" w:ascii="宋体" w:hAnsi="宋体"/>
          <w:szCs w:val="21"/>
        </w:rPr>
        <w:t>*</w:t>
      </w:r>
      <w:r>
        <w:rPr>
          <w:rFonts w:hint="eastAsia" w:ascii="宋体" w:hAnsi="宋体"/>
          <w:szCs w:val="21"/>
          <w:lang w:val="en-US" w:eastAsia="zh-CN"/>
        </w:rPr>
        <w:t>1.28、</w:t>
      </w:r>
      <w:r>
        <w:rPr>
          <w:rFonts w:hint="eastAsia" w:ascii="宋体" w:hAnsi="宋体"/>
          <w:szCs w:val="21"/>
        </w:rPr>
        <w:t>工作介质为68#液压油；</w:t>
      </w:r>
    </w:p>
    <w:p>
      <w:pPr>
        <w:adjustRightInd w:val="0"/>
        <w:snapToGrid w:val="0"/>
        <w:spacing w:line="360" w:lineRule="auto"/>
        <w:ind w:firstLine="210" w:firstLineChars="100"/>
        <w:rPr>
          <w:rFonts w:hint="eastAsia" w:ascii="宋体" w:hAnsi="宋体"/>
          <w:szCs w:val="21"/>
        </w:rPr>
      </w:pPr>
      <w:r>
        <w:rPr>
          <w:rFonts w:hint="eastAsia" w:ascii="宋体" w:hAnsi="宋体"/>
          <w:szCs w:val="21"/>
        </w:rPr>
        <w:t>*</w:t>
      </w:r>
      <w:r>
        <w:rPr>
          <w:rFonts w:ascii="宋体" w:hAnsi="宋体"/>
          <w:szCs w:val="21"/>
        </w:rPr>
        <w:t>1.</w:t>
      </w:r>
      <w:r>
        <w:rPr>
          <w:rFonts w:hint="eastAsia" w:ascii="宋体" w:hAnsi="宋体"/>
          <w:szCs w:val="21"/>
          <w:lang w:val="en-US" w:eastAsia="zh-CN"/>
        </w:rPr>
        <w:t>29</w:t>
      </w:r>
      <w:r>
        <w:rPr>
          <w:rFonts w:hint="eastAsia" w:ascii="宋体" w:hAnsi="宋体"/>
          <w:szCs w:val="21"/>
        </w:rPr>
        <w:t>、工作阻力显示：数字式。</w:t>
      </w:r>
    </w:p>
    <w:p>
      <w:pPr>
        <w:adjustRightInd w:val="0"/>
        <w:snapToGrid w:val="0"/>
        <w:spacing w:line="360" w:lineRule="auto"/>
        <w:ind w:firstLine="210" w:firstLineChars="100"/>
        <w:rPr>
          <w:rFonts w:hint="eastAsia" w:ascii="宋体" w:hAnsi="宋体"/>
          <w:szCs w:val="21"/>
        </w:rPr>
      </w:pPr>
      <w:r>
        <w:rPr>
          <w:rFonts w:hint="eastAsia" w:ascii="宋体" w:hAnsi="宋体"/>
          <w:szCs w:val="21"/>
        </w:rPr>
        <w:t>2. 技术性能要求</w:t>
      </w:r>
    </w:p>
    <w:p>
      <w:pPr>
        <w:adjustRightInd w:val="0"/>
        <w:snapToGrid w:val="0"/>
        <w:spacing w:line="360" w:lineRule="auto"/>
        <w:ind w:firstLine="210" w:firstLineChars="100"/>
        <w:rPr>
          <w:rFonts w:hint="eastAsia" w:ascii="宋体" w:hAnsi="宋体"/>
          <w:szCs w:val="21"/>
        </w:rPr>
      </w:pPr>
      <w:r>
        <w:rPr>
          <w:rFonts w:hint="eastAsia" w:ascii="宋体" w:hAnsi="宋体"/>
          <w:szCs w:val="21"/>
        </w:rPr>
        <w:t>* 2.1、结构要求：分体车载式。</w:t>
      </w:r>
    </w:p>
    <w:p>
      <w:pPr>
        <w:adjustRightInd w:val="0"/>
        <w:snapToGrid w:val="0"/>
        <w:spacing w:line="360" w:lineRule="auto"/>
        <w:ind w:firstLine="210" w:firstLineChars="100"/>
        <w:rPr>
          <w:rFonts w:hint="eastAsia" w:ascii="宋体" w:hAnsi="宋体"/>
          <w:szCs w:val="21"/>
        </w:rPr>
      </w:pPr>
      <w:r>
        <w:rPr>
          <w:rFonts w:hint="eastAsia" w:ascii="宋体" w:hAnsi="宋体"/>
          <w:szCs w:val="21"/>
        </w:rPr>
        <w:t>* 2.2、行走方式：移动液压小车。</w:t>
      </w:r>
    </w:p>
    <w:p>
      <w:pPr>
        <w:adjustRightInd w:val="0"/>
        <w:snapToGrid w:val="0"/>
        <w:spacing w:line="360" w:lineRule="auto"/>
        <w:ind w:firstLine="210" w:firstLineChars="100"/>
        <w:rPr>
          <w:rFonts w:hint="eastAsia" w:ascii="宋体" w:hAnsi="宋体"/>
          <w:szCs w:val="21"/>
        </w:rPr>
      </w:pPr>
      <w:r>
        <w:rPr>
          <w:rFonts w:hint="eastAsia" w:ascii="宋体" w:hAnsi="宋体"/>
          <w:szCs w:val="21"/>
        </w:rPr>
        <w:t>* 2.3、三爪材质选用优质合金钢，材质性能不低Cr12MoV合金工具钢，并精工制造。</w:t>
      </w:r>
    </w:p>
    <w:p>
      <w:pPr>
        <w:adjustRightInd w:val="0"/>
        <w:snapToGrid w:val="0"/>
        <w:spacing w:line="360" w:lineRule="auto"/>
        <w:ind w:firstLine="210" w:firstLineChars="100"/>
        <w:rPr>
          <w:rFonts w:hint="eastAsia" w:ascii="宋体" w:hAnsi="宋体"/>
          <w:szCs w:val="21"/>
        </w:rPr>
      </w:pPr>
      <w:r>
        <w:rPr>
          <w:rFonts w:hint="eastAsia" w:ascii="宋体" w:hAnsi="宋体"/>
          <w:szCs w:val="21"/>
        </w:rPr>
        <w:t>* 2.4、油缸作用形式：双作用液压缸。</w:t>
      </w:r>
    </w:p>
    <w:p>
      <w:pPr>
        <w:adjustRightInd w:val="0"/>
        <w:snapToGrid w:val="0"/>
        <w:spacing w:line="360" w:lineRule="auto"/>
        <w:ind w:firstLine="210" w:firstLineChars="100"/>
        <w:rPr>
          <w:rFonts w:hint="eastAsia" w:ascii="宋体" w:hAnsi="宋体"/>
          <w:szCs w:val="21"/>
        </w:rPr>
      </w:pPr>
      <w:r>
        <w:rPr>
          <w:rFonts w:hint="eastAsia" w:ascii="宋体" w:hAnsi="宋体"/>
          <w:szCs w:val="21"/>
        </w:rPr>
        <w:t>* 2.5、操作方式：遥控+手柄。</w:t>
      </w:r>
    </w:p>
    <w:p>
      <w:pPr>
        <w:adjustRightInd w:val="0"/>
        <w:snapToGrid w:val="0"/>
        <w:spacing w:line="360" w:lineRule="auto"/>
        <w:ind w:firstLine="210" w:firstLineChars="100"/>
        <w:rPr>
          <w:rFonts w:hint="eastAsia" w:ascii="宋体" w:hAnsi="宋体"/>
          <w:szCs w:val="21"/>
        </w:rPr>
      </w:pPr>
      <w:r>
        <w:rPr>
          <w:rFonts w:hint="eastAsia" w:ascii="宋体" w:hAnsi="宋体"/>
          <w:szCs w:val="21"/>
        </w:rPr>
        <w:t>* 2.6、夹具高度调节作用方式：油缸升降调节。</w:t>
      </w:r>
    </w:p>
    <w:p>
      <w:pPr>
        <w:adjustRightInd w:val="0"/>
        <w:snapToGrid w:val="0"/>
        <w:spacing w:line="360" w:lineRule="auto"/>
        <w:ind w:firstLine="210" w:firstLineChars="100"/>
        <w:rPr>
          <w:rFonts w:hint="eastAsia" w:ascii="宋体" w:hAnsi="宋体"/>
          <w:szCs w:val="21"/>
        </w:rPr>
      </w:pPr>
      <w:r>
        <w:rPr>
          <w:rFonts w:hint="eastAsia" w:ascii="宋体" w:hAnsi="宋体"/>
          <w:szCs w:val="21"/>
        </w:rPr>
        <w:t>* 2.7、质保期：自使用之日起1年或验收合格后18个月。</w:t>
      </w:r>
    </w:p>
    <w:p>
      <w:pPr>
        <w:adjustRightInd w:val="0"/>
        <w:snapToGrid w:val="0"/>
        <w:spacing w:line="360" w:lineRule="auto"/>
        <w:ind w:firstLine="210" w:firstLineChars="100"/>
        <w:rPr>
          <w:rFonts w:hint="eastAsia" w:ascii="宋体" w:hAnsi="宋体"/>
          <w:szCs w:val="21"/>
        </w:rPr>
      </w:pPr>
      <w:r>
        <w:rPr>
          <w:rFonts w:hint="eastAsia" w:ascii="宋体" w:hAnsi="宋体"/>
          <w:szCs w:val="21"/>
        </w:rPr>
        <w:t>△ 2.8、使用寿命10年。</w:t>
      </w:r>
    </w:p>
    <w:p>
      <w:pPr>
        <w:adjustRightInd w:val="0"/>
        <w:spacing w:line="360" w:lineRule="auto"/>
        <w:ind w:firstLine="210" w:firstLineChars="100"/>
        <w:rPr>
          <w:rFonts w:hint="eastAsia" w:ascii="宋体" w:hAnsi="宋体"/>
          <w:szCs w:val="21"/>
        </w:rPr>
      </w:pPr>
    </w:p>
    <w:p>
      <w:pPr>
        <w:adjustRightInd w:val="0"/>
        <w:snapToGrid w:val="0"/>
        <w:spacing w:line="360" w:lineRule="auto"/>
        <w:rPr>
          <w:rFonts w:ascii="宋体" w:hAnsi="宋体"/>
          <w:szCs w:val="21"/>
        </w:rPr>
      </w:pPr>
      <w:r>
        <w:rPr>
          <w:rFonts w:hint="eastAsia" w:ascii="宋体" w:hAnsi="宋体"/>
          <w:szCs w:val="21"/>
        </w:rPr>
        <w:t>3．安全技术要求</w:t>
      </w:r>
    </w:p>
    <w:p>
      <w:pPr>
        <w:adjustRightInd w:val="0"/>
        <w:snapToGrid w:val="0"/>
        <w:spacing w:line="360" w:lineRule="auto"/>
        <w:ind w:firstLine="210" w:firstLineChars="100"/>
        <w:rPr>
          <w:rFonts w:ascii="宋体" w:hAnsi="宋体"/>
          <w:szCs w:val="21"/>
        </w:rPr>
      </w:pPr>
      <w:r>
        <w:rPr>
          <w:rFonts w:hint="eastAsia" w:ascii="宋体" w:hAnsi="宋体"/>
          <w:szCs w:val="21"/>
        </w:rPr>
        <w:t>*3.1. 应装有齐全、可靠的电气和机械防护装置。</w:t>
      </w:r>
    </w:p>
    <w:p>
      <w:pPr>
        <w:adjustRightInd w:val="0"/>
        <w:snapToGrid w:val="0"/>
        <w:spacing w:line="360" w:lineRule="auto"/>
        <w:ind w:firstLine="210" w:firstLineChars="100"/>
        <w:rPr>
          <w:rFonts w:hint="eastAsia" w:ascii="宋体" w:hAnsi="宋体"/>
          <w:szCs w:val="21"/>
        </w:rPr>
      </w:pPr>
      <w:r>
        <w:rPr>
          <w:rFonts w:hint="eastAsia" w:ascii="宋体" w:hAnsi="宋体"/>
          <w:szCs w:val="21"/>
        </w:rPr>
        <w:t>*3.2. 安全锁紧装置：有。</w:t>
      </w:r>
    </w:p>
    <w:p>
      <w:pPr>
        <w:adjustRightInd w:val="0"/>
        <w:snapToGrid w:val="0"/>
        <w:spacing w:line="360" w:lineRule="auto"/>
        <w:ind w:firstLine="210" w:firstLineChars="100"/>
        <w:rPr>
          <w:rFonts w:hint="eastAsia" w:ascii="宋体" w:hAnsi="宋体"/>
          <w:szCs w:val="21"/>
        </w:rPr>
      </w:pPr>
      <w:r>
        <w:rPr>
          <w:rFonts w:hint="eastAsia" w:ascii="宋体" w:hAnsi="宋体"/>
          <w:szCs w:val="21"/>
        </w:rPr>
        <w:t>*</w:t>
      </w:r>
      <w:r>
        <w:rPr>
          <w:rFonts w:hint="eastAsia" w:ascii="宋体" w:hAnsi="宋体"/>
          <w:szCs w:val="21"/>
          <w:lang w:val="en-US" w:eastAsia="zh-CN"/>
        </w:rPr>
        <w:t>3</w:t>
      </w:r>
      <w:r>
        <w:rPr>
          <w:rFonts w:ascii="宋体" w:hAnsi="宋体"/>
          <w:szCs w:val="21"/>
        </w:rPr>
        <w:t>.</w:t>
      </w:r>
      <w:r>
        <w:rPr>
          <w:rFonts w:hint="eastAsia" w:ascii="宋体" w:hAnsi="宋体"/>
          <w:szCs w:val="21"/>
          <w:lang w:val="en-US" w:eastAsia="zh-CN"/>
        </w:rPr>
        <w:t>3</w:t>
      </w:r>
      <w:r>
        <w:rPr>
          <w:rFonts w:hint="eastAsia" w:ascii="宋体" w:hAnsi="宋体"/>
          <w:szCs w:val="21"/>
        </w:rPr>
        <w:t>、自动对中装置：有。</w:t>
      </w:r>
    </w:p>
    <w:p>
      <w:pPr>
        <w:tabs>
          <w:tab w:val="left" w:pos="142"/>
        </w:tabs>
        <w:adjustRightInd w:val="0"/>
        <w:snapToGrid w:val="0"/>
        <w:spacing w:line="360" w:lineRule="auto"/>
        <w:ind w:firstLine="210" w:firstLineChars="100"/>
        <w:rPr>
          <w:rFonts w:ascii="宋体" w:hAnsi="宋体"/>
          <w:szCs w:val="21"/>
        </w:rPr>
      </w:pPr>
      <w:r>
        <w:rPr>
          <w:rFonts w:hint="eastAsia" w:ascii="宋体" w:hAnsi="宋体"/>
          <w:szCs w:val="21"/>
        </w:rPr>
        <w:t>*3.</w:t>
      </w:r>
      <w:r>
        <w:rPr>
          <w:rFonts w:hint="eastAsia" w:ascii="宋体" w:hAnsi="宋体"/>
          <w:szCs w:val="21"/>
          <w:lang w:val="en-US" w:eastAsia="zh-CN"/>
        </w:rPr>
        <w:t>4</w:t>
      </w:r>
      <w:r>
        <w:rPr>
          <w:rFonts w:hint="eastAsia" w:ascii="宋体" w:hAnsi="宋体"/>
          <w:szCs w:val="21"/>
        </w:rPr>
        <w:t xml:space="preserve">  采用防爆驱动电机，防护等级不低于IP55。</w:t>
      </w:r>
    </w:p>
    <w:p>
      <w:pPr>
        <w:adjustRightInd w:val="0"/>
        <w:snapToGrid w:val="0"/>
        <w:spacing w:line="360" w:lineRule="auto"/>
        <w:ind w:firstLine="210" w:firstLineChars="100"/>
        <w:rPr>
          <w:rFonts w:ascii="宋体" w:hAnsi="宋体"/>
          <w:szCs w:val="21"/>
        </w:rPr>
      </w:pPr>
      <w:r>
        <w:rPr>
          <w:rFonts w:hint="eastAsia" w:ascii="宋体" w:hAnsi="宋体"/>
          <w:szCs w:val="21"/>
        </w:rPr>
        <w:t>*3.</w:t>
      </w:r>
      <w:r>
        <w:rPr>
          <w:rFonts w:hint="eastAsia" w:ascii="宋体" w:hAnsi="宋体"/>
          <w:szCs w:val="21"/>
          <w:lang w:val="en-US" w:eastAsia="zh-CN"/>
        </w:rPr>
        <w:t>5电机</w:t>
      </w:r>
      <w:r>
        <w:rPr>
          <w:rFonts w:hint="eastAsia" w:ascii="宋体" w:hAnsi="宋体"/>
          <w:szCs w:val="21"/>
        </w:rPr>
        <w:t>防爆形式：隔爆型，防爆标志：ExdⅠ。</w:t>
      </w:r>
    </w:p>
    <w:p>
      <w:pPr>
        <w:adjustRightInd w:val="0"/>
        <w:snapToGrid w:val="0"/>
        <w:spacing w:line="360" w:lineRule="auto"/>
        <w:ind w:firstLine="210" w:firstLineChars="100"/>
        <w:rPr>
          <w:rFonts w:ascii="宋体" w:hAnsi="宋体"/>
          <w:szCs w:val="21"/>
        </w:rPr>
      </w:pPr>
      <w:r>
        <w:rPr>
          <w:rFonts w:hint="eastAsia" w:ascii="宋体" w:hAnsi="宋体"/>
          <w:szCs w:val="21"/>
        </w:rPr>
        <w:t>*3.</w:t>
      </w:r>
      <w:r>
        <w:rPr>
          <w:rFonts w:hint="eastAsia" w:ascii="宋体" w:hAnsi="宋体"/>
          <w:szCs w:val="21"/>
          <w:lang w:val="en-US" w:eastAsia="zh-CN"/>
        </w:rPr>
        <w:t>6</w:t>
      </w:r>
      <w:r>
        <w:rPr>
          <w:rFonts w:hint="eastAsia" w:ascii="宋体" w:hAnsi="宋体"/>
          <w:szCs w:val="21"/>
        </w:rPr>
        <w:t xml:space="preserve"> 电机设备应取得中国国家煤矿安全标志证书和″MA″标识牌。</w:t>
      </w:r>
    </w:p>
    <w:p>
      <w:pPr>
        <w:adjustRightInd w:val="0"/>
        <w:snapToGrid w:val="0"/>
        <w:spacing w:line="360" w:lineRule="auto"/>
        <w:ind w:firstLine="210" w:firstLineChars="100"/>
        <w:rPr>
          <w:rFonts w:ascii="宋体" w:hAnsi="宋体"/>
          <w:szCs w:val="21"/>
        </w:rPr>
      </w:pPr>
      <w:r>
        <w:rPr>
          <w:rFonts w:hint="eastAsia" w:ascii="宋体" w:hAnsi="宋体"/>
          <w:szCs w:val="21"/>
        </w:rPr>
        <w:t>*3.</w:t>
      </w:r>
      <w:r>
        <w:rPr>
          <w:rFonts w:hint="eastAsia" w:ascii="宋体" w:hAnsi="宋体"/>
          <w:szCs w:val="21"/>
          <w:lang w:val="en-US" w:eastAsia="zh-CN"/>
        </w:rPr>
        <w:t>7</w:t>
      </w:r>
      <w:r>
        <w:rPr>
          <w:rFonts w:hint="eastAsia" w:ascii="宋体" w:hAnsi="宋体"/>
          <w:szCs w:val="21"/>
        </w:rPr>
        <w:t xml:space="preserve"> 产品符合国家和行业的相关标准和规定。</w:t>
      </w:r>
    </w:p>
    <w:p>
      <w:pPr>
        <w:pStyle w:val="16"/>
        <w:tabs>
          <w:tab w:val="left" w:pos="1290"/>
          <w:tab w:val="left" w:pos="1680"/>
        </w:tabs>
        <w:adjustRightInd w:val="0"/>
        <w:snapToGrid w:val="0"/>
        <w:spacing w:line="360" w:lineRule="auto"/>
        <w:rPr>
          <w:sz w:val="21"/>
          <w:szCs w:val="21"/>
        </w:rPr>
      </w:pPr>
      <w:r>
        <w:rPr>
          <w:rFonts w:hint="eastAsia" w:ascii="宋体" w:hAnsi="宋体"/>
          <w:szCs w:val="21"/>
        </w:rPr>
        <w:t>*</w:t>
      </w:r>
      <w:r>
        <w:rPr>
          <w:rFonts w:hint="eastAsia"/>
          <w:sz w:val="21"/>
          <w:szCs w:val="21"/>
        </w:rPr>
        <w:t>4.招标人提出的特别技术要求</w:t>
      </w:r>
    </w:p>
    <w:p>
      <w:pPr>
        <w:pStyle w:val="16"/>
        <w:tabs>
          <w:tab w:val="left" w:pos="1290"/>
          <w:tab w:val="left" w:pos="1680"/>
        </w:tabs>
        <w:adjustRightInd w:val="0"/>
        <w:snapToGrid w:val="0"/>
        <w:spacing w:line="360" w:lineRule="auto"/>
        <w:rPr>
          <w:sz w:val="21"/>
          <w:szCs w:val="21"/>
        </w:rPr>
      </w:pPr>
      <w:r>
        <w:rPr>
          <w:rFonts w:hint="eastAsia"/>
          <w:sz w:val="21"/>
          <w:szCs w:val="21"/>
        </w:rPr>
        <w:t xml:space="preserve">  4.1.投标厂家必须对招标文件中的技术条款逐条解释并满足工作环境。</w:t>
      </w:r>
    </w:p>
    <w:p>
      <w:pPr>
        <w:pStyle w:val="16"/>
        <w:tabs>
          <w:tab w:val="left" w:pos="1290"/>
          <w:tab w:val="left" w:pos="1680"/>
        </w:tabs>
        <w:adjustRightInd w:val="0"/>
        <w:snapToGrid w:val="0"/>
        <w:spacing w:line="360" w:lineRule="auto"/>
        <w:rPr>
          <w:sz w:val="21"/>
          <w:szCs w:val="21"/>
        </w:rPr>
      </w:pPr>
      <w:r>
        <w:rPr>
          <w:rFonts w:hint="eastAsia"/>
          <w:sz w:val="21"/>
          <w:szCs w:val="21"/>
        </w:rPr>
        <w:t xml:space="preserve">  4.2.未说明事项符合国家标准</w:t>
      </w:r>
      <w:r>
        <w:rPr>
          <w:rFonts w:hint="eastAsia"/>
          <w:sz w:val="21"/>
          <w:szCs w:val="21"/>
          <w:lang w:eastAsia="zh-CN"/>
        </w:rPr>
        <w:t>，不得使用及制造国家产业政策明令淘汰的产品</w:t>
      </w:r>
      <w:bookmarkStart w:id="8" w:name="_GoBack"/>
      <w:bookmarkEnd w:id="8"/>
      <w:r>
        <w:rPr>
          <w:rFonts w:hint="eastAsia"/>
          <w:sz w:val="21"/>
          <w:szCs w:val="21"/>
        </w:rPr>
        <w:t>。</w:t>
      </w:r>
    </w:p>
    <w:p>
      <w:pPr>
        <w:pStyle w:val="16"/>
        <w:tabs>
          <w:tab w:val="left" w:pos="1290"/>
          <w:tab w:val="left" w:pos="1680"/>
        </w:tabs>
        <w:adjustRightInd w:val="0"/>
        <w:snapToGrid w:val="0"/>
        <w:spacing w:line="360" w:lineRule="auto"/>
        <w:ind w:firstLine="210" w:firstLineChars="100"/>
        <w:rPr>
          <w:sz w:val="21"/>
          <w:szCs w:val="21"/>
        </w:rPr>
      </w:pPr>
      <w:r>
        <w:rPr>
          <w:rFonts w:hint="eastAsia"/>
          <w:sz w:val="21"/>
          <w:szCs w:val="21"/>
        </w:rPr>
        <w:t>4.3.为便于设备后期维修，供货方必须提供相关图纸和备件手册。</w:t>
      </w:r>
    </w:p>
    <w:p>
      <w:pPr>
        <w:pStyle w:val="16"/>
        <w:tabs>
          <w:tab w:val="left" w:pos="1290"/>
          <w:tab w:val="left" w:pos="1680"/>
        </w:tabs>
        <w:adjustRightInd w:val="0"/>
        <w:snapToGrid w:val="0"/>
        <w:spacing w:line="360" w:lineRule="auto"/>
        <w:ind w:firstLine="210" w:firstLineChars="100"/>
        <w:rPr>
          <w:sz w:val="21"/>
          <w:szCs w:val="21"/>
        </w:rPr>
      </w:pPr>
      <w:r>
        <w:rPr>
          <w:rFonts w:hint="eastAsia"/>
          <w:sz w:val="21"/>
          <w:szCs w:val="21"/>
        </w:rPr>
        <w:t>4.4.供货方必须列出易损件清单、分项备件价格，并随机赠送两套易损件。</w:t>
      </w:r>
    </w:p>
    <w:p>
      <w:pPr>
        <w:adjustRightInd w:val="0"/>
        <w:snapToGrid w:val="0"/>
        <w:spacing w:line="360" w:lineRule="auto"/>
        <w:rPr>
          <w:rFonts w:ascii="宋体" w:hAnsi="宋体" w:cs="宋体"/>
          <w:kern w:val="0"/>
          <w:szCs w:val="21"/>
        </w:rPr>
      </w:pPr>
      <w:r>
        <w:rPr>
          <w:rFonts w:hint="eastAsia" w:ascii="宋体" w:hAnsi="宋体" w:cs="宋体"/>
          <w:kern w:val="0"/>
          <w:szCs w:val="21"/>
        </w:rPr>
        <w:t>5.标准</w:t>
      </w:r>
    </w:p>
    <w:p>
      <w:pPr>
        <w:pStyle w:val="16"/>
        <w:tabs>
          <w:tab w:val="left" w:pos="1290"/>
          <w:tab w:val="left" w:pos="1680"/>
        </w:tabs>
        <w:adjustRightInd w:val="0"/>
        <w:snapToGrid w:val="0"/>
        <w:spacing w:before="120" w:after="0" w:line="360" w:lineRule="auto"/>
        <w:rPr>
          <w:sz w:val="21"/>
          <w:szCs w:val="21"/>
        </w:rPr>
      </w:pPr>
      <w:r>
        <w:rPr>
          <w:rFonts w:hint="eastAsia"/>
          <w:sz w:val="21"/>
          <w:szCs w:val="21"/>
        </w:rPr>
        <w:t>5.</w:t>
      </w:r>
      <w:r>
        <w:rPr>
          <w:sz w:val="21"/>
          <w:szCs w:val="21"/>
        </w:rPr>
        <w:t>1.所供应的货物将按下列标准（推荐）进行设计和制造</w:t>
      </w:r>
    </w:p>
    <w:p>
      <w:pPr>
        <w:pStyle w:val="16"/>
        <w:tabs>
          <w:tab w:val="left" w:pos="550"/>
        </w:tabs>
        <w:adjustRightInd w:val="0"/>
        <w:snapToGrid w:val="0"/>
        <w:spacing w:line="360" w:lineRule="auto"/>
        <w:ind w:left="546" w:leftChars="200" w:hanging="126" w:hangingChars="60"/>
        <w:rPr>
          <w:sz w:val="21"/>
          <w:szCs w:val="21"/>
        </w:rPr>
      </w:pPr>
      <w:r>
        <w:rPr>
          <w:sz w:val="21"/>
          <w:szCs w:val="21"/>
        </w:rPr>
        <w:t>电器:     IEC标准/EN标准</w:t>
      </w:r>
    </w:p>
    <w:p>
      <w:pPr>
        <w:pStyle w:val="16"/>
        <w:tabs>
          <w:tab w:val="left" w:pos="550"/>
        </w:tabs>
        <w:adjustRightInd w:val="0"/>
        <w:snapToGrid w:val="0"/>
        <w:spacing w:line="360" w:lineRule="auto"/>
        <w:ind w:firstLine="420" w:firstLineChars="200"/>
        <w:rPr>
          <w:sz w:val="21"/>
          <w:szCs w:val="21"/>
        </w:rPr>
      </w:pPr>
      <w:r>
        <w:rPr>
          <w:sz w:val="21"/>
          <w:szCs w:val="21"/>
        </w:rPr>
        <w:t>机械:     ISO标准</w:t>
      </w:r>
    </w:p>
    <w:p>
      <w:pPr>
        <w:pStyle w:val="16"/>
        <w:tabs>
          <w:tab w:val="left" w:pos="1290"/>
          <w:tab w:val="left" w:pos="1680"/>
        </w:tabs>
        <w:adjustRightInd w:val="0"/>
        <w:snapToGrid w:val="0"/>
        <w:spacing w:line="360" w:lineRule="auto"/>
        <w:rPr>
          <w:sz w:val="21"/>
          <w:szCs w:val="21"/>
        </w:rPr>
      </w:pPr>
      <w:r>
        <w:rPr>
          <w:rFonts w:hint="eastAsia"/>
          <w:sz w:val="21"/>
          <w:szCs w:val="21"/>
        </w:rPr>
        <w:t>5.</w:t>
      </w:r>
      <w:r>
        <w:rPr>
          <w:sz w:val="21"/>
          <w:szCs w:val="21"/>
        </w:rPr>
        <w:t>2.设备的设计与制造要求采用国际公制单位，个别部件采用英制单位应列出清单。</w:t>
      </w:r>
    </w:p>
    <w:p>
      <w:pPr>
        <w:pStyle w:val="16"/>
        <w:tabs>
          <w:tab w:val="left" w:pos="1290"/>
          <w:tab w:val="left" w:pos="1680"/>
        </w:tabs>
        <w:adjustRightInd w:val="0"/>
        <w:snapToGrid w:val="0"/>
        <w:spacing w:line="360" w:lineRule="auto"/>
        <w:rPr>
          <w:sz w:val="21"/>
          <w:szCs w:val="21"/>
        </w:rPr>
      </w:pPr>
      <w:r>
        <w:rPr>
          <w:rFonts w:hint="eastAsia"/>
          <w:sz w:val="21"/>
          <w:szCs w:val="21"/>
        </w:rPr>
        <w:t>5.</w:t>
      </w:r>
      <w:r>
        <w:rPr>
          <w:sz w:val="21"/>
          <w:szCs w:val="21"/>
        </w:rPr>
        <w:t>3.防爆电气设备应按中国国家防爆标准或其它中国防爆检验部门认可的标准制造。</w:t>
      </w:r>
    </w:p>
    <w:p>
      <w:pPr>
        <w:adjustRightInd w:val="0"/>
        <w:snapToGrid w:val="0"/>
        <w:spacing w:line="360" w:lineRule="auto"/>
        <w:rPr>
          <w:szCs w:val="21"/>
        </w:rPr>
      </w:pPr>
      <w:r>
        <w:rPr>
          <w:rFonts w:hint="eastAsia" w:ascii="宋体" w:hAnsi="宋体"/>
          <w:szCs w:val="21"/>
        </w:rPr>
        <w:t>5.</w:t>
      </w:r>
      <w:r>
        <w:rPr>
          <w:rFonts w:ascii="宋体" w:hAnsi="宋体"/>
          <w:szCs w:val="21"/>
        </w:rPr>
        <w:t>4.</w:t>
      </w:r>
      <w:r>
        <w:rPr>
          <w:szCs w:val="21"/>
        </w:rPr>
        <w:t>上述标准均应为</w:t>
      </w:r>
      <w:r>
        <w:rPr>
          <w:rFonts w:hint="eastAsia"/>
          <w:szCs w:val="21"/>
        </w:rPr>
        <w:t>投</w:t>
      </w:r>
      <w:r>
        <w:rPr>
          <w:szCs w:val="21"/>
        </w:rPr>
        <w:t>标截止日时的最新有效版</w:t>
      </w:r>
      <w:r>
        <w:rPr>
          <w:rFonts w:hint="eastAsia"/>
          <w:szCs w:val="21"/>
        </w:rPr>
        <w:t>。</w:t>
      </w:r>
    </w:p>
    <w:p>
      <w:pPr>
        <w:adjustRightInd w:val="0"/>
        <w:snapToGrid w:val="0"/>
        <w:spacing w:beforeLines="100" w:afterLines="100" w:line="360" w:lineRule="auto"/>
        <w:rPr>
          <w:b/>
        </w:rPr>
      </w:pPr>
      <w:r>
        <w:rPr>
          <w:rFonts w:hint="eastAsia"/>
          <w:b/>
        </w:rPr>
        <w:t>四. 需投标人提供的技术参数</w:t>
      </w:r>
    </w:p>
    <w:p>
      <w:pPr>
        <w:spacing w:line="360" w:lineRule="auto"/>
        <w:rPr>
          <w:rFonts w:ascii="宋体" w:hAnsi="宋体"/>
          <w:szCs w:val="21"/>
        </w:rPr>
      </w:pPr>
      <w:r>
        <w:rPr>
          <w:rFonts w:hint="eastAsia" w:ascii="宋体"/>
          <w:spacing w:val="-5"/>
          <w:kern w:val="0"/>
          <w:szCs w:val="21"/>
        </w:rPr>
        <w:t>1 .技术参数及性能</w:t>
      </w:r>
    </w:p>
    <w:p>
      <w:pPr>
        <w:adjustRightInd w:val="0"/>
        <w:spacing w:line="360" w:lineRule="auto"/>
        <w:ind w:firstLine="210" w:firstLineChars="100"/>
        <w:rPr>
          <w:rFonts w:ascii="宋体" w:hAnsi="宋体"/>
          <w:szCs w:val="21"/>
          <w:u w:val="thick"/>
        </w:rPr>
      </w:pPr>
      <w:r>
        <w:rPr>
          <w:rFonts w:ascii="宋体" w:hAnsi="宋体"/>
          <w:szCs w:val="21"/>
        </w:rPr>
        <w:t>1.</w:t>
      </w:r>
      <w:r>
        <w:rPr>
          <w:rFonts w:hint="eastAsia" w:ascii="宋体" w:hAnsi="宋体"/>
          <w:szCs w:val="21"/>
        </w:rPr>
        <w:t>2、最大工作阻力：_________。</w:t>
      </w:r>
    </w:p>
    <w:p>
      <w:pPr>
        <w:adjustRightInd w:val="0"/>
        <w:spacing w:line="360" w:lineRule="auto"/>
        <w:ind w:firstLine="210" w:firstLineChars="100"/>
        <w:rPr>
          <w:rFonts w:ascii="宋体" w:hAnsi="宋体"/>
          <w:szCs w:val="21"/>
          <w:u w:val="single"/>
        </w:rPr>
      </w:pPr>
      <w:r>
        <w:rPr>
          <w:rFonts w:ascii="宋体" w:hAnsi="宋体"/>
          <w:szCs w:val="21"/>
        </w:rPr>
        <w:t>1.3</w:t>
      </w:r>
      <w:r>
        <w:rPr>
          <w:rFonts w:hint="eastAsia" w:ascii="宋体" w:hAnsi="宋体"/>
          <w:szCs w:val="21"/>
        </w:rPr>
        <w:t>、最大顶出行程：_________  。</w:t>
      </w:r>
    </w:p>
    <w:p>
      <w:pPr>
        <w:adjustRightInd w:val="0"/>
        <w:spacing w:line="360" w:lineRule="auto"/>
        <w:ind w:firstLine="210" w:firstLineChars="100"/>
        <w:rPr>
          <w:rFonts w:ascii="宋体" w:hAnsi="宋体"/>
          <w:szCs w:val="21"/>
          <w:u w:val="single"/>
        </w:rPr>
      </w:pPr>
      <w:r>
        <w:rPr>
          <w:rFonts w:hint="eastAsia" w:ascii="宋体" w:hAnsi="宋体"/>
          <w:szCs w:val="21"/>
        </w:rPr>
        <w:t>1.4、夹具中心高度调节范围：_________  。</w:t>
      </w:r>
    </w:p>
    <w:p>
      <w:pPr>
        <w:adjustRightInd w:val="0"/>
        <w:spacing w:line="360" w:lineRule="auto"/>
        <w:ind w:firstLine="210" w:firstLineChars="100"/>
        <w:rPr>
          <w:rFonts w:ascii="宋体" w:hAnsi="宋体"/>
          <w:szCs w:val="21"/>
          <w:u w:val="single"/>
        </w:rPr>
      </w:pPr>
      <w:r>
        <w:rPr>
          <w:rFonts w:hint="eastAsia" w:ascii="宋体" w:hAnsi="宋体"/>
          <w:szCs w:val="21"/>
        </w:rPr>
        <w:t>1.5、夹具高度调节方式：_________  。</w:t>
      </w:r>
    </w:p>
    <w:p>
      <w:pPr>
        <w:adjustRightInd w:val="0"/>
        <w:spacing w:line="360" w:lineRule="auto"/>
        <w:ind w:firstLine="210" w:firstLineChars="100"/>
        <w:rPr>
          <w:rFonts w:ascii="宋体" w:hAnsi="宋体"/>
          <w:szCs w:val="21"/>
        </w:rPr>
      </w:pPr>
      <w:r>
        <w:rPr>
          <w:rFonts w:hint="eastAsia" w:ascii="宋体" w:hAnsi="宋体"/>
          <w:szCs w:val="21"/>
        </w:rPr>
        <w:t>1.6、工作压力：_________  。</w:t>
      </w:r>
    </w:p>
    <w:p>
      <w:pPr>
        <w:adjustRightInd w:val="0"/>
        <w:spacing w:line="360" w:lineRule="auto"/>
        <w:ind w:firstLine="210" w:firstLineChars="100"/>
        <w:rPr>
          <w:rFonts w:ascii="宋体" w:hAnsi="宋体"/>
          <w:szCs w:val="21"/>
        </w:rPr>
      </w:pPr>
      <w:r>
        <w:rPr>
          <w:rFonts w:ascii="宋体" w:hAnsi="宋体"/>
          <w:szCs w:val="21"/>
        </w:rPr>
        <w:t>1.</w:t>
      </w:r>
      <w:r>
        <w:rPr>
          <w:rFonts w:hint="eastAsia" w:ascii="宋体" w:hAnsi="宋体"/>
          <w:szCs w:val="21"/>
        </w:rPr>
        <w:t>7、配套电动机额定电压：_________ 。</w:t>
      </w:r>
    </w:p>
    <w:p>
      <w:pPr>
        <w:adjustRightInd w:val="0"/>
        <w:spacing w:line="360" w:lineRule="auto"/>
        <w:ind w:firstLine="210" w:firstLineChars="100"/>
        <w:rPr>
          <w:rFonts w:ascii="宋体" w:hAnsi="宋体"/>
          <w:szCs w:val="21"/>
        </w:rPr>
      </w:pPr>
      <w:r>
        <w:rPr>
          <w:rFonts w:ascii="宋体" w:hAnsi="宋体"/>
          <w:szCs w:val="21"/>
        </w:rPr>
        <w:t>1.</w:t>
      </w:r>
      <w:r>
        <w:rPr>
          <w:rFonts w:hint="eastAsia" w:ascii="宋体" w:hAnsi="宋体"/>
          <w:szCs w:val="21"/>
        </w:rPr>
        <w:t>8、配套电动机额定功率：_________ 。</w:t>
      </w:r>
    </w:p>
    <w:p>
      <w:pPr>
        <w:adjustRightInd w:val="0"/>
        <w:spacing w:line="360" w:lineRule="auto"/>
        <w:ind w:firstLine="210" w:firstLineChars="100"/>
        <w:rPr>
          <w:rFonts w:ascii="宋体" w:hAnsi="宋体"/>
          <w:szCs w:val="21"/>
        </w:rPr>
      </w:pPr>
      <w:r>
        <w:rPr>
          <w:rFonts w:ascii="宋体" w:hAnsi="宋体"/>
          <w:szCs w:val="21"/>
        </w:rPr>
        <w:t>1.</w:t>
      </w:r>
      <w:r>
        <w:rPr>
          <w:rFonts w:hint="eastAsia" w:ascii="宋体" w:hAnsi="宋体"/>
          <w:szCs w:val="21"/>
        </w:rPr>
        <w:t>9、配套电动机转速：_________ 。</w:t>
      </w:r>
    </w:p>
    <w:p>
      <w:pPr>
        <w:adjustRightInd w:val="0"/>
        <w:spacing w:line="360" w:lineRule="auto"/>
        <w:ind w:firstLine="210" w:firstLineChars="100"/>
        <w:rPr>
          <w:rFonts w:ascii="宋体" w:hAnsi="宋体"/>
          <w:szCs w:val="21"/>
        </w:rPr>
      </w:pPr>
      <w:r>
        <w:rPr>
          <w:rFonts w:ascii="宋体" w:hAnsi="宋体"/>
          <w:szCs w:val="21"/>
        </w:rPr>
        <w:t>1.</w:t>
      </w:r>
      <w:r>
        <w:rPr>
          <w:rFonts w:hint="eastAsia" w:ascii="宋体" w:hAnsi="宋体"/>
          <w:szCs w:val="21"/>
        </w:rPr>
        <w:t>10、过载系数：_________ 。</w:t>
      </w:r>
    </w:p>
    <w:p>
      <w:pPr>
        <w:adjustRightInd w:val="0"/>
        <w:spacing w:line="360" w:lineRule="auto"/>
        <w:ind w:firstLine="210" w:firstLineChars="100"/>
        <w:rPr>
          <w:rFonts w:ascii="宋体" w:hAnsi="宋体"/>
          <w:szCs w:val="21"/>
        </w:rPr>
      </w:pPr>
      <w:r>
        <w:rPr>
          <w:rFonts w:ascii="宋体" w:hAnsi="宋体"/>
          <w:szCs w:val="21"/>
        </w:rPr>
        <w:t>1.</w:t>
      </w:r>
      <w:r>
        <w:rPr>
          <w:rFonts w:hint="eastAsia" w:ascii="宋体" w:hAnsi="宋体"/>
          <w:szCs w:val="21"/>
        </w:rPr>
        <w:t>11、绝缘等级：_________ 。</w:t>
      </w:r>
    </w:p>
    <w:p>
      <w:pPr>
        <w:adjustRightInd w:val="0"/>
        <w:spacing w:line="360" w:lineRule="auto"/>
        <w:ind w:firstLine="210" w:firstLineChars="100"/>
        <w:rPr>
          <w:rFonts w:ascii="宋体" w:hAnsi="宋体"/>
          <w:szCs w:val="21"/>
        </w:rPr>
      </w:pPr>
      <w:r>
        <w:rPr>
          <w:rFonts w:ascii="宋体" w:hAnsi="宋体"/>
          <w:szCs w:val="21"/>
        </w:rPr>
        <w:t>1.1</w:t>
      </w:r>
      <w:r>
        <w:rPr>
          <w:rFonts w:hint="eastAsia" w:ascii="宋体" w:hAnsi="宋体"/>
          <w:szCs w:val="21"/>
        </w:rPr>
        <w:t>2、配套电动机的防护等级：_________ 。</w:t>
      </w:r>
    </w:p>
    <w:p>
      <w:pPr>
        <w:adjustRightInd w:val="0"/>
        <w:spacing w:line="360" w:lineRule="auto"/>
        <w:ind w:firstLine="210" w:firstLineChars="100"/>
        <w:rPr>
          <w:rFonts w:ascii="宋体" w:hAnsi="宋体"/>
          <w:szCs w:val="21"/>
        </w:rPr>
      </w:pPr>
      <w:r>
        <w:rPr>
          <w:rFonts w:ascii="宋体" w:hAnsi="宋体"/>
          <w:szCs w:val="21"/>
        </w:rPr>
        <w:t>1.</w:t>
      </w:r>
      <w:r>
        <w:rPr>
          <w:rFonts w:hint="eastAsia" w:ascii="宋体" w:hAnsi="宋体"/>
          <w:szCs w:val="21"/>
        </w:rPr>
        <w:t>13、电源标准频率：_________  。</w:t>
      </w:r>
    </w:p>
    <w:p>
      <w:pPr>
        <w:adjustRightInd w:val="0"/>
        <w:spacing w:line="360" w:lineRule="auto"/>
        <w:ind w:firstLine="210" w:firstLineChars="100"/>
        <w:rPr>
          <w:rFonts w:ascii="宋体" w:hAnsi="宋体"/>
          <w:szCs w:val="21"/>
        </w:rPr>
      </w:pPr>
      <w:r>
        <w:rPr>
          <w:rFonts w:hint="eastAsia" w:ascii="宋体" w:hAnsi="宋体"/>
          <w:szCs w:val="21"/>
        </w:rPr>
        <w:t>1.14、噪音：_________ 。</w:t>
      </w:r>
    </w:p>
    <w:p>
      <w:pPr>
        <w:adjustRightInd w:val="0"/>
        <w:spacing w:line="360" w:lineRule="auto"/>
        <w:ind w:firstLine="210" w:firstLineChars="100"/>
        <w:rPr>
          <w:rFonts w:ascii="宋体" w:hAnsi="宋体"/>
          <w:szCs w:val="21"/>
        </w:rPr>
      </w:pPr>
      <w:r>
        <w:rPr>
          <w:rFonts w:hint="eastAsia" w:ascii="宋体" w:hAnsi="宋体"/>
          <w:szCs w:val="21"/>
        </w:rPr>
        <w:t>1.15、电动机冷却方式：_________ 。</w:t>
      </w:r>
    </w:p>
    <w:p>
      <w:pPr>
        <w:adjustRightInd w:val="0"/>
        <w:spacing w:line="360" w:lineRule="auto"/>
        <w:ind w:firstLine="210" w:firstLineChars="100"/>
        <w:rPr>
          <w:rFonts w:ascii="宋体" w:hAnsi="宋体"/>
          <w:szCs w:val="21"/>
        </w:rPr>
      </w:pPr>
      <w:r>
        <w:rPr>
          <w:rFonts w:hint="eastAsia" w:ascii="宋体" w:hAnsi="宋体"/>
          <w:szCs w:val="21"/>
        </w:rPr>
        <w:t>1.16、生产厂家：_________ 。</w:t>
      </w:r>
    </w:p>
    <w:p>
      <w:pPr>
        <w:adjustRightInd w:val="0"/>
        <w:spacing w:line="360" w:lineRule="auto"/>
        <w:ind w:firstLine="210" w:firstLineChars="100"/>
        <w:rPr>
          <w:rFonts w:ascii="宋体"/>
          <w:szCs w:val="21"/>
        </w:rPr>
      </w:pPr>
      <w:r>
        <w:rPr>
          <w:rFonts w:hint="eastAsia" w:ascii="宋体"/>
          <w:szCs w:val="21"/>
        </w:rPr>
        <w:t>2.投标人需要特别说明的其他问题</w:t>
      </w:r>
    </w:p>
    <w:p>
      <w:pPr>
        <w:widowControl/>
        <w:jc w:val="left"/>
        <w:rPr>
          <w:rFonts w:ascii="宋体"/>
          <w:szCs w:val="21"/>
        </w:rPr>
      </w:pPr>
      <w:r>
        <w:rPr>
          <w:rFonts w:ascii="宋体"/>
          <w:szCs w:val="21"/>
        </w:rPr>
        <w:br w:type="page"/>
      </w:r>
    </w:p>
    <w:p>
      <w:pPr>
        <w:pStyle w:val="15"/>
        <w:jc w:val="center"/>
        <w:rPr>
          <w:rFonts w:ascii="黑体" w:hAnsi="黑体" w:cs="Times New Roman"/>
          <w:b/>
          <w:bCs/>
          <w:sz w:val="32"/>
          <w:szCs w:val="24"/>
        </w:rPr>
      </w:pPr>
      <w:bookmarkStart w:id="2" w:name="_Toc357086143"/>
      <w:r>
        <w:rPr>
          <w:rFonts w:hint="eastAsia" w:ascii="黑体" w:hAnsi="黑体" w:cs="Times New Roman"/>
          <w:b/>
          <w:bCs/>
          <w:sz w:val="32"/>
          <w:szCs w:val="24"/>
        </w:rPr>
        <w:t>第二节 备件和工具</w:t>
      </w:r>
      <w:bookmarkEnd w:id="2"/>
    </w:p>
    <w:p>
      <w:pPr>
        <w:adjustRightInd w:val="0"/>
        <w:snapToGrid w:val="0"/>
        <w:spacing w:line="360" w:lineRule="auto"/>
        <w:jc w:val="center"/>
        <w:rPr>
          <w:rFonts w:ascii="宋体" w:hAnsi="宋体"/>
          <w:szCs w:val="21"/>
        </w:rPr>
      </w:pP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所有为设备的安装、试运行、质保期内和质保期后1年必备的备件、消耗品，包括专用工具、仪器、仪表等，在设备交货时提供。推迟的交货期将按照设备推迟交货计算。</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中标方应提供完整备件手册、备件件号、数量、规格型号、价格表的CD盘，随同设备发货。</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3. 中标方应保证所有零部件均有唯一编码，如属外购标准件，要求必须按照原厂家编码执行。</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 中标方还应进一步提供设备上的所需的备件、易耗品及标准件的货源地，包括润滑油脂。</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设备采用的外购、外协件应提供原产地证明及检验合格证书。</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6. 如因为中标人提供1年期备件明细不准确，导致招标人方误采购或按明细提供数量不足以满足生产需求，中标人应免费提供相应的备件。</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7. 中标人应保证长期以最优惠的价格供给易损件和备件。如果备件发生设计变更，应将变更信息及时通知招标人。</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8. 中标人备件价格在设备开始使用的3年内必须维持稳定。</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9. 在5年内，因中标人技术升级导致部分备件不能提供时，中标人要免费为用户升级设备。</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10. 5年后在备件停止生产的情况下，中标人应事先将要停止生产的计划通知招标人，使招标人有足够的时间采购所需的备件。</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11. 5年后在备件停止生产后，如果招标人要求，中标人应免费向买方提供备件的蓝图、图纸和规格。</w:t>
      </w:r>
    </w:p>
    <w:p>
      <w:pPr>
        <w:pStyle w:val="6"/>
        <w:adjustRightInd w:val="0"/>
        <w:snapToGrid w:val="0"/>
        <w:spacing w:beforeLines="50" w:line="360" w:lineRule="auto"/>
        <w:rPr>
          <w:rFonts w:ascii="宋体" w:hAnsi="宋体"/>
          <w:szCs w:val="21"/>
        </w:rPr>
      </w:pPr>
    </w:p>
    <w:p>
      <w:pPr>
        <w:pStyle w:val="15"/>
        <w:jc w:val="center"/>
      </w:pPr>
      <w:r>
        <w:rPr>
          <w:rFonts w:hint="eastAsia" w:ascii="宋体" w:hAnsi="宋体"/>
          <w:szCs w:val="21"/>
        </w:rPr>
        <w:br w:type="page"/>
      </w:r>
    </w:p>
    <w:p>
      <w:pPr>
        <w:pStyle w:val="15"/>
        <w:jc w:val="center"/>
        <w:rPr>
          <w:rFonts w:ascii="黑体" w:hAnsi="黑体" w:cs="Times New Roman"/>
          <w:b/>
          <w:bCs/>
          <w:sz w:val="32"/>
          <w:szCs w:val="24"/>
        </w:rPr>
      </w:pPr>
      <w:bookmarkStart w:id="3" w:name="_Toc357086144"/>
      <w:r>
        <w:rPr>
          <w:rFonts w:hint="eastAsia" w:ascii="黑体" w:hAnsi="黑体" w:cs="Times New Roman"/>
          <w:b/>
          <w:bCs/>
          <w:sz w:val="32"/>
          <w:szCs w:val="24"/>
        </w:rPr>
        <w:t>第三节 设备出厂前检验</w:t>
      </w:r>
      <w:bookmarkEnd w:id="3"/>
    </w:p>
    <w:p>
      <w:pPr>
        <w:adjustRightInd w:val="0"/>
        <w:snapToGrid w:val="0"/>
        <w:spacing w:line="360" w:lineRule="auto"/>
        <w:jc w:val="center"/>
        <w:rPr>
          <w:rFonts w:ascii="宋体" w:hAnsi="宋体"/>
          <w:szCs w:val="21"/>
        </w:rPr>
      </w:pP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供货商质量担保期范围内的责任，也不能替代设备抵运招标人现场的质量检验。</w:t>
      </w:r>
    </w:p>
    <w:p>
      <w:pPr>
        <w:adjustRightInd w:val="0"/>
        <w:snapToGrid w:val="0"/>
        <w:spacing w:beforeLines="50" w:line="360" w:lineRule="auto"/>
        <w:rPr>
          <w:rFonts w:ascii="宋体" w:hAnsi="宋体"/>
          <w:szCs w:val="21"/>
        </w:rPr>
      </w:pPr>
      <w:r>
        <w:rPr>
          <w:rFonts w:hint="eastAsia" w:ascii="宋体" w:hAnsi="宋体"/>
          <w:szCs w:val="21"/>
        </w:rPr>
        <w:t>3．在中检中质检团成员发现或提出的问题，双方应积极通过友好协商解决。</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 设备在出厂前必须进行整体联合试运转，根据试运转时间确定招标人中检时间，联合试运转应在招标人中检人员监督下进行。</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pStyle w:val="6"/>
        <w:adjustRightInd w:val="0"/>
        <w:snapToGrid w:val="0"/>
        <w:spacing w:line="360" w:lineRule="auto"/>
        <w:rPr>
          <w:rFonts w:ascii="宋体" w:hAnsi="宋体"/>
          <w:szCs w:val="21"/>
        </w:rPr>
      </w:pPr>
    </w:p>
    <w:p>
      <w:pPr>
        <w:pStyle w:val="15"/>
        <w:jc w:val="center"/>
      </w:pPr>
      <w:r>
        <w:rPr>
          <w:rFonts w:hint="eastAsia" w:ascii="宋体" w:hAnsi="宋体"/>
          <w:szCs w:val="21"/>
        </w:rPr>
        <w:br w:type="page"/>
      </w:r>
      <w:bookmarkStart w:id="4" w:name="_Toc357086145"/>
      <w:r>
        <w:rPr>
          <w:rFonts w:hint="eastAsia" w:ascii="黑体" w:hAnsi="黑体" w:cs="Times New Roman"/>
          <w:b/>
          <w:bCs/>
          <w:sz w:val="32"/>
          <w:szCs w:val="24"/>
        </w:rPr>
        <w:t>第四节 技术服务</w:t>
      </w:r>
      <w:bookmarkEnd w:id="4"/>
    </w:p>
    <w:p>
      <w:pPr>
        <w:adjustRightInd w:val="0"/>
        <w:snapToGrid w:val="0"/>
        <w:spacing w:line="360" w:lineRule="auto"/>
        <w:jc w:val="center"/>
        <w:rPr>
          <w:rFonts w:ascii="宋体" w:hAnsi="宋体"/>
          <w:szCs w:val="21"/>
        </w:rPr>
      </w:pP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中标人将派出有技术、有能力胜任的服务工程师到现场，提供有关安装管理、调试、空载测试、性能测试、试运转、维修及现场培训维修人员的服务。中标人服务工程师的主要责任与任务如下：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beforeLines="50" w:line="360" w:lineRule="auto"/>
        <w:ind w:firstLine="525"/>
        <w:rPr>
          <w:rFonts w:ascii="宋体" w:hAnsi="宋体"/>
          <w:szCs w:val="21"/>
        </w:rPr>
      </w:pPr>
      <w:r>
        <w:rPr>
          <w:rFonts w:hint="eastAsia" w:ascii="宋体" w:hAnsi="宋体"/>
          <w:szCs w:val="21"/>
        </w:rPr>
        <w:t>——给招标人安装人员提供完整的技术指导。</w:t>
      </w:r>
    </w:p>
    <w:p>
      <w:pPr>
        <w:adjustRightInd w:val="0"/>
        <w:snapToGrid w:val="0"/>
        <w:spacing w:beforeLines="50" w:line="360" w:lineRule="auto"/>
        <w:ind w:firstLine="525"/>
        <w:rPr>
          <w:rFonts w:ascii="宋体" w:hAnsi="宋体"/>
          <w:szCs w:val="21"/>
        </w:rPr>
      </w:pPr>
      <w:r>
        <w:rPr>
          <w:rFonts w:hint="eastAsia" w:ascii="宋体" w:hAnsi="宋体"/>
          <w:szCs w:val="21"/>
        </w:rPr>
        <w:t>——指导招标人人员进行合同设备的试运转，运行测试和性能测试。</w:t>
      </w:r>
    </w:p>
    <w:p>
      <w:pPr>
        <w:adjustRightInd w:val="0"/>
        <w:snapToGrid w:val="0"/>
        <w:spacing w:beforeLines="50" w:line="360" w:lineRule="auto"/>
        <w:ind w:firstLine="525"/>
        <w:rPr>
          <w:rFonts w:ascii="宋体" w:hAnsi="宋体"/>
          <w:szCs w:val="21"/>
        </w:rPr>
      </w:pPr>
      <w:r>
        <w:rPr>
          <w:rFonts w:hint="eastAsia" w:ascii="宋体" w:hAnsi="宋体"/>
          <w:szCs w:val="21"/>
        </w:rPr>
        <w:t>——培训招标人人员。</w:t>
      </w:r>
    </w:p>
    <w:p>
      <w:pPr>
        <w:adjustRightInd w:val="0"/>
        <w:snapToGrid w:val="0"/>
        <w:spacing w:beforeLines="50" w:line="360" w:lineRule="auto"/>
        <w:ind w:firstLine="525"/>
        <w:rPr>
          <w:rFonts w:ascii="宋体" w:hAnsi="宋体"/>
          <w:szCs w:val="21"/>
        </w:rPr>
      </w:pPr>
      <w:r>
        <w:rPr>
          <w:rFonts w:hint="eastAsia" w:ascii="宋体" w:hAnsi="宋体"/>
          <w:szCs w:val="21"/>
        </w:rPr>
        <w:t>——设备投入使用后提供现场运行技术支持。</w:t>
      </w:r>
    </w:p>
    <w:p>
      <w:pPr>
        <w:adjustRightInd w:val="0"/>
        <w:snapToGrid w:val="0"/>
        <w:spacing w:beforeLines="50" w:line="360" w:lineRule="auto"/>
        <w:ind w:firstLine="525"/>
        <w:rPr>
          <w:rFonts w:ascii="宋体" w:hAnsi="宋体"/>
          <w:szCs w:val="21"/>
        </w:rPr>
      </w:pPr>
      <w:r>
        <w:rPr>
          <w:rFonts w:hint="eastAsia" w:ascii="宋体" w:hAnsi="宋体"/>
          <w:szCs w:val="21"/>
        </w:rPr>
        <w:t>——质保期内技术服务。</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3.中标人将提供所有的关于装配与组装所用的专用工具,例如:专用测试仪、测量仪和机械工具。</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4.在现场举行由双方参加的会议，对所提供设备进行安装的准备工作进行讨论。</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对于安装指导、测试运转、性能测试、试运转和验收，包括招标人操作和维修人员的现场培训,中标人需免费提供。</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6. 中标人应提供用于招标人自行培训人员需要使用的相关培训资料。</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7. 设备过质保期后，在设备使用寿命内，如招标人需要，中标人应确保服务工程师到现场进行技术服务。</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pStyle w:val="15"/>
        <w:jc w:val="center"/>
      </w:pPr>
      <w:r>
        <w:rPr>
          <w:rFonts w:hint="eastAsia" w:ascii="宋体" w:hAnsi="宋体"/>
          <w:szCs w:val="21"/>
        </w:rPr>
        <w:br w:type="page"/>
      </w:r>
      <w:bookmarkStart w:id="5" w:name="_Toc357086146"/>
      <w:r>
        <w:rPr>
          <w:rFonts w:hint="eastAsia" w:ascii="黑体" w:hAnsi="黑体" w:cs="Times New Roman"/>
          <w:b/>
          <w:bCs/>
          <w:sz w:val="32"/>
          <w:szCs w:val="24"/>
        </w:rPr>
        <w:t>第五节 安装、检验、调试、试运行及验收</w:t>
      </w:r>
      <w:bookmarkEnd w:id="5"/>
    </w:p>
    <w:p>
      <w:pPr>
        <w:adjustRightInd w:val="0"/>
        <w:snapToGrid w:val="0"/>
        <w:spacing w:line="360" w:lineRule="auto"/>
        <w:jc w:val="center"/>
        <w:rPr>
          <w:rFonts w:ascii="宋体" w:hAnsi="宋体"/>
          <w:szCs w:val="21"/>
        </w:rPr>
      </w:pP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在该附录中：</w:t>
      </w:r>
    </w:p>
    <w:p>
      <w:pPr>
        <w:adjustRightInd w:val="0"/>
        <w:snapToGrid w:val="0"/>
        <w:spacing w:beforeLines="50" w:line="360" w:lineRule="auto"/>
        <w:ind w:left="708" w:leftChars="135" w:hanging="425"/>
        <w:rPr>
          <w:rFonts w:ascii="宋体" w:hAns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beforeLines="50" w:line="360" w:lineRule="auto"/>
        <w:ind w:left="708" w:leftChars="135" w:hanging="425"/>
        <w:rPr>
          <w:rFonts w:ascii="宋体" w:hAnsi="宋体"/>
          <w:szCs w:val="21"/>
        </w:rPr>
      </w:pPr>
      <w:r>
        <w:rPr>
          <w:rFonts w:hint="eastAsia" w:ascii="宋体" w:hAnsi="宋体"/>
          <w:szCs w:val="21"/>
        </w:rPr>
        <w:t>试运转：即为在空载条件下测试该设备。</w:t>
      </w:r>
    </w:p>
    <w:p>
      <w:pPr>
        <w:adjustRightInd w:val="0"/>
        <w:snapToGrid w:val="0"/>
        <w:spacing w:beforeLines="50" w:line="360" w:lineRule="auto"/>
        <w:ind w:left="708" w:leftChars="135" w:hanging="425"/>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beforeLines="50" w:line="360" w:lineRule="auto"/>
        <w:ind w:left="708" w:leftChars="135" w:hanging="425"/>
        <w:rPr>
          <w:rFonts w:ascii="宋体" w:hAnsi="宋体"/>
          <w:szCs w:val="21"/>
        </w:rPr>
      </w:pPr>
      <w:r>
        <w:rPr>
          <w:rFonts w:hint="eastAsia" w:ascii="宋体" w:hAnsi="宋体"/>
          <w:szCs w:val="21"/>
        </w:rPr>
        <w:t>试运行：即为设备按照合同要求性能投入运转。</w:t>
      </w:r>
    </w:p>
    <w:p>
      <w:pPr>
        <w:adjustRightInd w:val="0"/>
        <w:snapToGrid w:val="0"/>
        <w:spacing w:beforeLines="50" w:line="360" w:lineRule="auto"/>
        <w:ind w:left="708" w:leftChars="135" w:hanging="425"/>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2. 设备到货应随机提供出厂验收报告。</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3． 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pPr>
        <w:adjustRightInd w:val="0"/>
        <w:snapToGrid w:val="0"/>
        <w:spacing w:line="360" w:lineRule="auto"/>
        <w:ind w:left="420" w:hanging="420" w:hangingChars="200"/>
        <w:rPr>
          <w:rFonts w:ascii="宋体" w:hAnsi="宋体"/>
          <w:color w:val="FF0000"/>
          <w:szCs w:val="21"/>
        </w:rPr>
      </w:pPr>
      <w:r>
        <w:rPr>
          <w:rFonts w:hint="eastAsia" w:ascii="宋体" w:hAnsi="宋体"/>
          <w:szCs w:val="21"/>
        </w:rPr>
        <w:t>4．包装：必须按照双方约定的包装要求包装，如无约定的要按照中国国家标准、规范以及国际标准和双方认可的标准进行包装。</w:t>
      </w:r>
      <w:bookmarkStart w:id="6" w:name="_Toc357086147"/>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pStyle w:val="15"/>
        <w:jc w:val="center"/>
        <w:rPr>
          <w:rFonts w:ascii="黑体" w:hAnsi="黑体" w:cs="Times New Roman"/>
          <w:b/>
          <w:bCs/>
          <w:sz w:val="32"/>
          <w:szCs w:val="24"/>
        </w:rPr>
      </w:pPr>
      <w:r>
        <w:rPr>
          <w:rFonts w:hint="eastAsia" w:ascii="黑体" w:hAnsi="黑体" w:cs="Times New Roman"/>
          <w:b/>
          <w:bCs/>
          <w:sz w:val="32"/>
          <w:szCs w:val="24"/>
        </w:rPr>
        <w:t>第六节 质量保证</w:t>
      </w:r>
      <w:bookmarkEnd w:id="6"/>
    </w:p>
    <w:p>
      <w:pPr>
        <w:adjustRightInd w:val="0"/>
        <w:snapToGrid w:val="0"/>
        <w:spacing w:line="360" w:lineRule="auto"/>
        <w:jc w:val="center"/>
        <w:rPr>
          <w:rFonts w:ascii="宋体" w:hAnsi="宋体"/>
          <w:szCs w:val="21"/>
        </w:rPr>
      </w:pP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1. 质保期应为最终验收合格后12个月。对由于设计或质量问题而引起的设备故障，中标方应进一步对此负责。专用合同条款对质保有特殊规定的从其规定。</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2. 中标方应有质保期内的维修服务承诺，无偿更换零配件、部件承诺。</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3. 中标方应有对设备大修周期、使用寿命及各主要部件的寿命承诺。</w:t>
      </w:r>
    </w:p>
    <w:p>
      <w:pPr>
        <w:pStyle w:val="17"/>
        <w:adjustRightInd w:val="0"/>
        <w:snapToGrid w:val="0"/>
        <w:spacing w:line="360" w:lineRule="auto"/>
        <w:ind w:left="426" w:leftChars="202" w:hanging="2" w:firstLineChars="0"/>
        <w:rPr>
          <w:rFonts w:ascii="宋体" w:hAnsi="宋体"/>
          <w:szCs w:val="21"/>
        </w:rPr>
      </w:pPr>
    </w:p>
    <w:p>
      <w:pPr>
        <w:adjustRightInd w:val="0"/>
        <w:snapToGrid w:val="0"/>
        <w:spacing w:line="360" w:lineRule="auto"/>
        <w:rPr>
          <w:rFonts w:ascii="宋体" w:hAnsi="宋体"/>
          <w:szCs w:val="21"/>
        </w:rPr>
      </w:pPr>
    </w:p>
    <w:p>
      <w:pPr>
        <w:pStyle w:val="15"/>
        <w:jc w:val="center"/>
      </w:pPr>
      <w:r>
        <w:rPr>
          <w:rFonts w:hint="eastAsia" w:ascii="宋体" w:hAnsi="宋体"/>
          <w:szCs w:val="21"/>
        </w:rPr>
        <w:br w:type="page"/>
      </w:r>
      <w:bookmarkStart w:id="7" w:name="_Toc357086148"/>
      <w:r>
        <w:rPr>
          <w:rFonts w:hint="eastAsia" w:ascii="黑体" w:hAnsi="黑体" w:cs="Times New Roman"/>
          <w:b/>
          <w:bCs/>
          <w:sz w:val="32"/>
          <w:szCs w:val="24"/>
        </w:rPr>
        <w:t>第七节 技术资料和图纸</w:t>
      </w:r>
      <w:bookmarkEnd w:id="7"/>
    </w:p>
    <w:p>
      <w:pPr>
        <w:adjustRightInd w:val="0"/>
        <w:snapToGrid w:val="0"/>
        <w:spacing w:beforeLines="50" w:line="360" w:lineRule="auto"/>
        <w:ind w:left="283" w:hanging="283" w:hangingChars="135"/>
        <w:rPr>
          <w:rFonts w:ascii="宋体" w:hAnsi="宋体"/>
          <w:szCs w:val="21"/>
        </w:rPr>
      </w:pP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2. 中标人按规定给招标人每台（套）设备提供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3. 如果中标人交付的技术文件和图纸不完整、丢失或损坏，中标人在接到招标人索要不完整、丢失或损坏部分的技术文件和图纸的通知后的30天内,应免费向招标人增补丢失或损坏部分的技术文件与图纸。</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4. 中标人有义务对该设备的控制软件、管理软件进行免费升级换代。</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5. 中标人定期对设备进行回访，并对用户提出的问题进行解决。</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6. 中标人要提供下列相关的技术资料及图纸：</w:t>
      </w:r>
    </w:p>
    <w:p>
      <w:pPr>
        <w:adjustRightInd w:val="0"/>
        <w:snapToGrid w:val="0"/>
        <w:spacing w:beforeLines="50" w:line="360" w:lineRule="auto"/>
        <w:ind w:left="281" w:leftChars="134" w:firstLine="424" w:firstLineChars="202"/>
        <w:rPr>
          <w:rFonts w:ascii="宋体" w:hAnsi="宋体"/>
          <w:szCs w:val="21"/>
        </w:rPr>
      </w:pPr>
      <w:r>
        <w:rPr>
          <w:rFonts w:hint="eastAsia" w:ascii="宋体" w:hAnsi="宋体"/>
          <w:szCs w:val="21"/>
        </w:rPr>
        <w:t>总图及安装基础图</w:t>
      </w:r>
    </w:p>
    <w:p>
      <w:pPr>
        <w:adjustRightInd w:val="0"/>
        <w:snapToGrid w:val="0"/>
        <w:spacing w:beforeLines="50" w:line="360" w:lineRule="auto"/>
        <w:ind w:left="281" w:leftChars="134" w:firstLine="424" w:firstLineChars="202"/>
        <w:rPr>
          <w:rFonts w:ascii="宋体" w:hAnsi="宋体"/>
          <w:szCs w:val="21"/>
        </w:rPr>
      </w:pPr>
      <w:r>
        <w:rPr>
          <w:rFonts w:hint="eastAsia" w:ascii="宋体" w:hAnsi="宋体"/>
          <w:szCs w:val="21"/>
        </w:rPr>
        <w:t>制造标准、防爆标准</w:t>
      </w:r>
    </w:p>
    <w:p>
      <w:pPr>
        <w:adjustRightInd w:val="0"/>
        <w:snapToGrid w:val="0"/>
        <w:spacing w:beforeLines="50" w:line="360" w:lineRule="auto"/>
        <w:ind w:left="281" w:leftChars="134" w:firstLine="424" w:firstLineChars="202"/>
        <w:rPr>
          <w:rFonts w:ascii="宋体" w:hAnsi="宋体"/>
          <w:szCs w:val="21"/>
        </w:rPr>
      </w:pPr>
      <w:r>
        <w:rPr>
          <w:rFonts w:hint="eastAsia" w:ascii="宋体" w:hAnsi="宋体"/>
          <w:szCs w:val="21"/>
        </w:rPr>
        <w:t>完整的技术特征及说明书</w:t>
      </w:r>
    </w:p>
    <w:p>
      <w:pPr>
        <w:adjustRightInd w:val="0"/>
        <w:snapToGrid w:val="0"/>
        <w:spacing w:beforeLines="50" w:line="360" w:lineRule="auto"/>
        <w:ind w:left="281" w:leftChars="134" w:firstLine="424" w:firstLineChars="202"/>
        <w:rPr>
          <w:rFonts w:ascii="宋体" w:hAnsi="宋体"/>
          <w:szCs w:val="21"/>
        </w:rPr>
      </w:pPr>
      <w:r>
        <w:rPr>
          <w:rFonts w:hint="eastAsia" w:ascii="宋体" w:hAnsi="宋体"/>
          <w:szCs w:val="21"/>
        </w:rPr>
        <w:t>全部机电图纸、材料清册、所有设备、元件、部件型号、规格、特性曲线、产品检验合格证及出厂日期。</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7. 技术资料与设备同属合同供货范围，如不能按照上述条款交货，将按照推迟合同交货期执行。</w:t>
      </w:r>
    </w:p>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华文细黑">
    <w:panose1 w:val="02010600040101010101"/>
    <w:charset w:val="86"/>
    <w:family w:val="auto"/>
    <w:pitch w:val="default"/>
    <w:sig w:usb0="00000287" w:usb1="080F0000" w:usb2="00000000" w:usb3="00000000" w:csb0="0004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24AED"/>
    <w:rsid w:val="000057B2"/>
    <w:rsid w:val="00015381"/>
    <w:rsid w:val="00025BE2"/>
    <w:rsid w:val="00032C51"/>
    <w:rsid w:val="00034491"/>
    <w:rsid w:val="000349FF"/>
    <w:rsid w:val="00040FAA"/>
    <w:rsid w:val="00046393"/>
    <w:rsid w:val="00062A06"/>
    <w:rsid w:val="000638CF"/>
    <w:rsid w:val="00074BAA"/>
    <w:rsid w:val="0008777B"/>
    <w:rsid w:val="00091069"/>
    <w:rsid w:val="000B4A8F"/>
    <w:rsid w:val="000C002E"/>
    <w:rsid w:val="000D3122"/>
    <w:rsid w:val="000D5B51"/>
    <w:rsid w:val="000D7183"/>
    <w:rsid w:val="000F7B2D"/>
    <w:rsid w:val="00106631"/>
    <w:rsid w:val="00133CFE"/>
    <w:rsid w:val="0013745E"/>
    <w:rsid w:val="001378D0"/>
    <w:rsid w:val="00142DC8"/>
    <w:rsid w:val="00152AAB"/>
    <w:rsid w:val="0015402A"/>
    <w:rsid w:val="00155A24"/>
    <w:rsid w:val="001608A6"/>
    <w:rsid w:val="00162CD6"/>
    <w:rsid w:val="00163E29"/>
    <w:rsid w:val="0017236C"/>
    <w:rsid w:val="00173B13"/>
    <w:rsid w:val="00175505"/>
    <w:rsid w:val="001760D5"/>
    <w:rsid w:val="001803C1"/>
    <w:rsid w:val="001A30CA"/>
    <w:rsid w:val="001A52AA"/>
    <w:rsid w:val="001C2A35"/>
    <w:rsid w:val="001D3BA7"/>
    <w:rsid w:val="001D4BD8"/>
    <w:rsid w:val="001D7E76"/>
    <w:rsid w:val="001F3366"/>
    <w:rsid w:val="0020094D"/>
    <w:rsid w:val="00201A85"/>
    <w:rsid w:val="00205A97"/>
    <w:rsid w:val="00207DB2"/>
    <w:rsid w:val="00213B0F"/>
    <w:rsid w:val="00227904"/>
    <w:rsid w:val="0023500D"/>
    <w:rsid w:val="00243118"/>
    <w:rsid w:val="0024361C"/>
    <w:rsid w:val="00247066"/>
    <w:rsid w:val="00254199"/>
    <w:rsid w:val="002633A5"/>
    <w:rsid w:val="002902C1"/>
    <w:rsid w:val="00292D0F"/>
    <w:rsid w:val="002962F4"/>
    <w:rsid w:val="002971B0"/>
    <w:rsid w:val="002A0807"/>
    <w:rsid w:val="002C2B1B"/>
    <w:rsid w:val="002D5BFD"/>
    <w:rsid w:val="002E17F4"/>
    <w:rsid w:val="002E4385"/>
    <w:rsid w:val="002E7A3D"/>
    <w:rsid w:val="002F7B57"/>
    <w:rsid w:val="0030306D"/>
    <w:rsid w:val="00306EB2"/>
    <w:rsid w:val="003133E1"/>
    <w:rsid w:val="00315A14"/>
    <w:rsid w:val="00316095"/>
    <w:rsid w:val="00323C4A"/>
    <w:rsid w:val="00324547"/>
    <w:rsid w:val="00324AED"/>
    <w:rsid w:val="003329E7"/>
    <w:rsid w:val="003370AA"/>
    <w:rsid w:val="003417A1"/>
    <w:rsid w:val="00343D04"/>
    <w:rsid w:val="003538D6"/>
    <w:rsid w:val="00355943"/>
    <w:rsid w:val="0035699D"/>
    <w:rsid w:val="0036001B"/>
    <w:rsid w:val="003708D1"/>
    <w:rsid w:val="00375D0E"/>
    <w:rsid w:val="00386656"/>
    <w:rsid w:val="003A0325"/>
    <w:rsid w:val="003A43AD"/>
    <w:rsid w:val="003A5B5C"/>
    <w:rsid w:val="003B08D2"/>
    <w:rsid w:val="003B20BC"/>
    <w:rsid w:val="003B3F9D"/>
    <w:rsid w:val="003B79FC"/>
    <w:rsid w:val="003D0832"/>
    <w:rsid w:val="003D621C"/>
    <w:rsid w:val="003F38A7"/>
    <w:rsid w:val="004013AD"/>
    <w:rsid w:val="004021E7"/>
    <w:rsid w:val="00405B14"/>
    <w:rsid w:val="00413602"/>
    <w:rsid w:val="00415933"/>
    <w:rsid w:val="004171CC"/>
    <w:rsid w:val="00424C95"/>
    <w:rsid w:val="00426856"/>
    <w:rsid w:val="00433399"/>
    <w:rsid w:val="00443C0F"/>
    <w:rsid w:val="004575FF"/>
    <w:rsid w:val="00462545"/>
    <w:rsid w:val="0046284D"/>
    <w:rsid w:val="00481D87"/>
    <w:rsid w:val="004842B2"/>
    <w:rsid w:val="00484858"/>
    <w:rsid w:val="004954E0"/>
    <w:rsid w:val="004A2D24"/>
    <w:rsid w:val="004A3F9D"/>
    <w:rsid w:val="004A5487"/>
    <w:rsid w:val="004C7F10"/>
    <w:rsid w:val="004D0189"/>
    <w:rsid w:val="004D4587"/>
    <w:rsid w:val="004E0346"/>
    <w:rsid w:val="004E5B57"/>
    <w:rsid w:val="004F3F2B"/>
    <w:rsid w:val="004F5D0C"/>
    <w:rsid w:val="00501850"/>
    <w:rsid w:val="00502BE3"/>
    <w:rsid w:val="0050670E"/>
    <w:rsid w:val="005139BA"/>
    <w:rsid w:val="00514332"/>
    <w:rsid w:val="005210D7"/>
    <w:rsid w:val="005210E1"/>
    <w:rsid w:val="00522FE4"/>
    <w:rsid w:val="00524A09"/>
    <w:rsid w:val="005357F0"/>
    <w:rsid w:val="00543472"/>
    <w:rsid w:val="00564646"/>
    <w:rsid w:val="00580A7F"/>
    <w:rsid w:val="00595E43"/>
    <w:rsid w:val="00596F47"/>
    <w:rsid w:val="005A6A5C"/>
    <w:rsid w:val="005B215D"/>
    <w:rsid w:val="005B3899"/>
    <w:rsid w:val="005B5C21"/>
    <w:rsid w:val="005B7C05"/>
    <w:rsid w:val="005C1073"/>
    <w:rsid w:val="005C2EC1"/>
    <w:rsid w:val="005D117A"/>
    <w:rsid w:val="005D381C"/>
    <w:rsid w:val="005D69C7"/>
    <w:rsid w:val="005E1806"/>
    <w:rsid w:val="005E2C8D"/>
    <w:rsid w:val="005F6C66"/>
    <w:rsid w:val="005F79B2"/>
    <w:rsid w:val="0060013F"/>
    <w:rsid w:val="00600F25"/>
    <w:rsid w:val="00602E75"/>
    <w:rsid w:val="00604F0E"/>
    <w:rsid w:val="006061AA"/>
    <w:rsid w:val="00607817"/>
    <w:rsid w:val="00607E0D"/>
    <w:rsid w:val="006118E4"/>
    <w:rsid w:val="00616668"/>
    <w:rsid w:val="00620B39"/>
    <w:rsid w:val="00644CBA"/>
    <w:rsid w:val="0064539F"/>
    <w:rsid w:val="00647C0B"/>
    <w:rsid w:val="006521FC"/>
    <w:rsid w:val="0066799F"/>
    <w:rsid w:val="00672B02"/>
    <w:rsid w:val="00674855"/>
    <w:rsid w:val="0068763C"/>
    <w:rsid w:val="00695B06"/>
    <w:rsid w:val="006A339F"/>
    <w:rsid w:val="006B3D97"/>
    <w:rsid w:val="006C2B88"/>
    <w:rsid w:val="006C3017"/>
    <w:rsid w:val="006C3ED5"/>
    <w:rsid w:val="006C505F"/>
    <w:rsid w:val="006C5F39"/>
    <w:rsid w:val="006D2122"/>
    <w:rsid w:val="006D365C"/>
    <w:rsid w:val="006D4DE5"/>
    <w:rsid w:val="006E52DC"/>
    <w:rsid w:val="006F7261"/>
    <w:rsid w:val="00701A90"/>
    <w:rsid w:val="00716DDA"/>
    <w:rsid w:val="0072646E"/>
    <w:rsid w:val="0073246F"/>
    <w:rsid w:val="00734DF3"/>
    <w:rsid w:val="007404F7"/>
    <w:rsid w:val="0074278F"/>
    <w:rsid w:val="00750777"/>
    <w:rsid w:val="00756946"/>
    <w:rsid w:val="0076282D"/>
    <w:rsid w:val="00765FB3"/>
    <w:rsid w:val="00782F74"/>
    <w:rsid w:val="00786A40"/>
    <w:rsid w:val="00786E22"/>
    <w:rsid w:val="00790A71"/>
    <w:rsid w:val="00796B6E"/>
    <w:rsid w:val="007A37E8"/>
    <w:rsid w:val="007A5778"/>
    <w:rsid w:val="007B0B28"/>
    <w:rsid w:val="007B74F6"/>
    <w:rsid w:val="007D1645"/>
    <w:rsid w:val="007D1C2F"/>
    <w:rsid w:val="007F322F"/>
    <w:rsid w:val="0080693E"/>
    <w:rsid w:val="00807102"/>
    <w:rsid w:val="0080734B"/>
    <w:rsid w:val="008156D9"/>
    <w:rsid w:val="00821A39"/>
    <w:rsid w:val="00826E8C"/>
    <w:rsid w:val="00826F56"/>
    <w:rsid w:val="0083250C"/>
    <w:rsid w:val="0083563D"/>
    <w:rsid w:val="00836E72"/>
    <w:rsid w:val="00842166"/>
    <w:rsid w:val="00843418"/>
    <w:rsid w:val="00845825"/>
    <w:rsid w:val="00846FBF"/>
    <w:rsid w:val="00853966"/>
    <w:rsid w:val="0085566D"/>
    <w:rsid w:val="00855944"/>
    <w:rsid w:val="00881676"/>
    <w:rsid w:val="00882500"/>
    <w:rsid w:val="0088601A"/>
    <w:rsid w:val="00887EF8"/>
    <w:rsid w:val="00890998"/>
    <w:rsid w:val="00897BC6"/>
    <w:rsid w:val="008A44B0"/>
    <w:rsid w:val="008C1105"/>
    <w:rsid w:val="008C2E31"/>
    <w:rsid w:val="008D32CD"/>
    <w:rsid w:val="008E4684"/>
    <w:rsid w:val="008F6198"/>
    <w:rsid w:val="00901281"/>
    <w:rsid w:val="00905422"/>
    <w:rsid w:val="009054B3"/>
    <w:rsid w:val="009102E1"/>
    <w:rsid w:val="0092369C"/>
    <w:rsid w:val="00930498"/>
    <w:rsid w:val="00943FA8"/>
    <w:rsid w:val="00947716"/>
    <w:rsid w:val="00947E03"/>
    <w:rsid w:val="0095259A"/>
    <w:rsid w:val="009555FC"/>
    <w:rsid w:val="0096100E"/>
    <w:rsid w:val="00965102"/>
    <w:rsid w:val="00986153"/>
    <w:rsid w:val="00992860"/>
    <w:rsid w:val="00993163"/>
    <w:rsid w:val="009933CD"/>
    <w:rsid w:val="00996A9F"/>
    <w:rsid w:val="009A1731"/>
    <w:rsid w:val="009A6B64"/>
    <w:rsid w:val="009A7CDB"/>
    <w:rsid w:val="009B7AFD"/>
    <w:rsid w:val="009C08BC"/>
    <w:rsid w:val="009C560A"/>
    <w:rsid w:val="009C78B9"/>
    <w:rsid w:val="009D05E6"/>
    <w:rsid w:val="009D16D9"/>
    <w:rsid w:val="009F0088"/>
    <w:rsid w:val="009F2647"/>
    <w:rsid w:val="009F4195"/>
    <w:rsid w:val="009F700A"/>
    <w:rsid w:val="00A0156C"/>
    <w:rsid w:val="00A1147B"/>
    <w:rsid w:val="00A116B9"/>
    <w:rsid w:val="00A14213"/>
    <w:rsid w:val="00A2367D"/>
    <w:rsid w:val="00A25B21"/>
    <w:rsid w:val="00A30913"/>
    <w:rsid w:val="00A36918"/>
    <w:rsid w:val="00A4794C"/>
    <w:rsid w:val="00A6162C"/>
    <w:rsid w:val="00A66B32"/>
    <w:rsid w:val="00A678FB"/>
    <w:rsid w:val="00A67AA5"/>
    <w:rsid w:val="00A744AB"/>
    <w:rsid w:val="00A74B75"/>
    <w:rsid w:val="00A8273B"/>
    <w:rsid w:val="00A84201"/>
    <w:rsid w:val="00A90896"/>
    <w:rsid w:val="00A9110C"/>
    <w:rsid w:val="00A95DDA"/>
    <w:rsid w:val="00AA1072"/>
    <w:rsid w:val="00AA317E"/>
    <w:rsid w:val="00AA563E"/>
    <w:rsid w:val="00AB7D21"/>
    <w:rsid w:val="00AB7E73"/>
    <w:rsid w:val="00AC3394"/>
    <w:rsid w:val="00AC7B5B"/>
    <w:rsid w:val="00AD68D8"/>
    <w:rsid w:val="00AE2322"/>
    <w:rsid w:val="00AE3F1F"/>
    <w:rsid w:val="00AE66AF"/>
    <w:rsid w:val="00AF260A"/>
    <w:rsid w:val="00B031C1"/>
    <w:rsid w:val="00B03A0D"/>
    <w:rsid w:val="00B045D4"/>
    <w:rsid w:val="00B078AA"/>
    <w:rsid w:val="00B10346"/>
    <w:rsid w:val="00B11AE5"/>
    <w:rsid w:val="00B15920"/>
    <w:rsid w:val="00B1737F"/>
    <w:rsid w:val="00B24159"/>
    <w:rsid w:val="00B246C9"/>
    <w:rsid w:val="00B3258E"/>
    <w:rsid w:val="00B335EE"/>
    <w:rsid w:val="00B42553"/>
    <w:rsid w:val="00B45AE6"/>
    <w:rsid w:val="00B479F5"/>
    <w:rsid w:val="00B615D0"/>
    <w:rsid w:val="00B6712E"/>
    <w:rsid w:val="00B73000"/>
    <w:rsid w:val="00B74DB9"/>
    <w:rsid w:val="00B81CAE"/>
    <w:rsid w:val="00B8459D"/>
    <w:rsid w:val="00B93EF8"/>
    <w:rsid w:val="00BA13C9"/>
    <w:rsid w:val="00BB3B5C"/>
    <w:rsid w:val="00BC1A1D"/>
    <w:rsid w:val="00BC7C25"/>
    <w:rsid w:val="00BD126A"/>
    <w:rsid w:val="00BD3068"/>
    <w:rsid w:val="00BF1B41"/>
    <w:rsid w:val="00BF7D6B"/>
    <w:rsid w:val="00C005E2"/>
    <w:rsid w:val="00C04844"/>
    <w:rsid w:val="00C05D41"/>
    <w:rsid w:val="00C077D1"/>
    <w:rsid w:val="00C12AAA"/>
    <w:rsid w:val="00C15F05"/>
    <w:rsid w:val="00C22C5C"/>
    <w:rsid w:val="00C3204C"/>
    <w:rsid w:val="00C3393C"/>
    <w:rsid w:val="00C4031E"/>
    <w:rsid w:val="00C4115D"/>
    <w:rsid w:val="00C41823"/>
    <w:rsid w:val="00C53DAE"/>
    <w:rsid w:val="00C56484"/>
    <w:rsid w:val="00C56E68"/>
    <w:rsid w:val="00C61510"/>
    <w:rsid w:val="00C61BEE"/>
    <w:rsid w:val="00C64E1C"/>
    <w:rsid w:val="00C655FD"/>
    <w:rsid w:val="00C67D73"/>
    <w:rsid w:val="00C80301"/>
    <w:rsid w:val="00C82F57"/>
    <w:rsid w:val="00C87C9F"/>
    <w:rsid w:val="00C904D9"/>
    <w:rsid w:val="00C945CD"/>
    <w:rsid w:val="00CA1942"/>
    <w:rsid w:val="00CA2AAB"/>
    <w:rsid w:val="00CA6ADA"/>
    <w:rsid w:val="00CB68B2"/>
    <w:rsid w:val="00CC186D"/>
    <w:rsid w:val="00CD2BA9"/>
    <w:rsid w:val="00CD5D1D"/>
    <w:rsid w:val="00CE2302"/>
    <w:rsid w:val="00CE6EE5"/>
    <w:rsid w:val="00CF3036"/>
    <w:rsid w:val="00D04856"/>
    <w:rsid w:val="00D10234"/>
    <w:rsid w:val="00D1404A"/>
    <w:rsid w:val="00D14B4D"/>
    <w:rsid w:val="00D15AFD"/>
    <w:rsid w:val="00D33006"/>
    <w:rsid w:val="00D36A4A"/>
    <w:rsid w:val="00D43F0D"/>
    <w:rsid w:val="00D45A07"/>
    <w:rsid w:val="00D47A3A"/>
    <w:rsid w:val="00D50A55"/>
    <w:rsid w:val="00D8541E"/>
    <w:rsid w:val="00D93117"/>
    <w:rsid w:val="00D95D3F"/>
    <w:rsid w:val="00DA4732"/>
    <w:rsid w:val="00DC0DF1"/>
    <w:rsid w:val="00DC42CF"/>
    <w:rsid w:val="00DD144E"/>
    <w:rsid w:val="00DD1B16"/>
    <w:rsid w:val="00DD24AD"/>
    <w:rsid w:val="00DD3E50"/>
    <w:rsid w:val="00DE1BDB"/>
    <w:rsid w:val="00DE243A"/>
    <w:rsid w:val="00DE7C91"/>
    <w:rsid w:val="00DF7A13"/>
    <w:rsid w:val="00E00421"/>
    <w:rsid w:val="00E0092C"/>
    <w:rsid w:val="00E050EF"/>
    <w:rsid w:val="00E109C5"/>
    <w:rsid w:val="00E12326"/>
    <w:rsid w:val="00E12EBD"/>
    <w:rsid w:val="00E143F9"/>
    <w:rsid w:val="00E1500A"/>
    <w:rsid w:val="00E17E02"/>
    <w:rsid w:val="00E239DB"/>
    <w:rsid w:val="00E31200"/>
    <w:rsid w:val="00E33525"/>
    <w:rsid w:val="00E41D53"/>
    <w:rsid w:val="00E4526B"/>
    <w:rsid w:val="00E461DF"/>
    <w:rsid w:val="00E60227"/>
    <w:rsid w:val="00E62120"/>
    <w:rsid w:val="00E661A1"/>
    <w:rsid w:val="00E70FE5"/>
    <w:rsid w:val="00E73DE8"/>
    <w:rsid w:val="00E74C50"/>
    <w:rsid w:val="00E77DE9"/>
    <w:rsid w:val="00E8366B"/>
    <w:rsid w:val="00E87006"/>
    <w:rsid w:val="00EA0575"/>
    <w:rsid w:val="00EA0A71"/>
    <w:rsid w:val="00EA3C6E"/>
    <w:rsid w:val="00EB08C9"/>
    <w:rsid w:val="00EB7A1A"/>
    <w:rsid w:val="00EB7AB9"/>
    <w:rsid w:val="00EC2480"/>
    <w:rsid w:val="00EC35BC"/>
    <w:rsid w:val="00EC5962"/>
    <w:rsid w:val="00EE23A6"/>
    <w:rsid w:val="00EE66B8"/>
    <w:rsid w:val="00EF1528"/>
    <w:rsid w:val="00F02E92"/>
    <w:rsid w:val="00F15AC7"/>
    <w:rsid w:val="00F16511"/>
    <w:rsid w:val="00F24373"/>
    <w:rsid w:val="00F3355C"/>
    <w:rsid w:val="00F35665"/>
    <w:rsid w:val="00F378FA"/>
    <w:rsid w:val="00F43474"/>
    <w:rsid w:val="00F54464"/>
    <w:rsid w:val="00F54953"/>
    <w:rsid w:val="00F626EE"/>
    <w:rsid w:val="00F76074"/>
    <w:rsid w:val="00F76586"/>
    <w:rsid w:val="00F85621"/>
    <w:rsid w:val="00F92D03"/>
    <w:rsid w:val="00FA6B21"/>
    <w:rsid w:val="00FB3542"/>
    <w:rsid w:val="00FC6B4B"/>
    <w:rsid w:val="00FD2101"/>
    <w:rsid w:val="00FD776B"/>
    <w:rsid w:val="00FE3B54"/>
    <w:rsid w:val="00FE5241"/>
    <w:rsid w:val="00FF5862"/>
    <w:rsid w:val="00FF6988"/>
    <w:rsid w:val="04151F3D"/>
    <w:rsid w:val="05AD3A56"/>
    <w:rsid w:val="0ADE0421"/>
    <w:rsid w:val="0B0429E1"/>
    <w:rsid w:val="0DEE59C7"/>
    <w:rsid w:val="112653D1"/>
    <w:rsid w:val="12D5676B"/>
    <w:rsid w:val="16C349DE"/>
    <w:rsid w:val="19D14D49"/>
    <w:rsid w:val="1CEA5DAF"/>
    <w:rsid w:val="22A4553F"/>
    <w:rsid w:val="22A87536"/>
    <w:rsid w:val="24D24F36"/>
    <w:rsid w:val="2AF40677"/>
    <w:rsid w:val="3784627D"/>
    <w:rsid w:val="38CD2234"/>
    <w:rsid w:val="3FAF241D"/>
    <w:rsid w:val="49FE2A3D"/>
    <w:rsid w:val="4EE66518"/>
    <w:rsid w:val="5C096FD4"/>
    <w:rsid w:val="5F2E0897"/>
    <w:rsid w:val="61D16218"/>
    <w:rsid w:val="6809496D"/>
    <w:rsid w:val="69E742F5"/>
    <w:rsid w:val="6BD54491"/>
    <w:rsid w:val="772F242E"/>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Cambria" w:hAnsi="Cambria"/>
      <w:b/>
      <w:bCs/>
      <w:kern w:val="0"/>
      <w:sz w:val="32"/>
      <w:szCs w:val="32"/>
    </w:rPr>
  </w:style>
  <w:style w:type="character" w:default="1" w:styleId="11">
    <w:name w:val="Default Paragraph Font"/>
    <w:unhideWhenUsed/>
    <w:qFormat/>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27"/>
    <w:unhideWhenUsed/>
    <w:qFormat/>
    <w:uiPriority w:val="99"/>
    <w:rPr>
      <w:b/>
      <w:bCs/>
    </w:rPr>
  </w:style>
  <w:style w:type="paragraph" w:styleId="5">
    <w:name w:val="annotation text"/>
    <w:basedOn w:val="1"/>
    <w:link w:val="26"/>
    <w:unhideWhenUsed/>
    <w:qFormat/>
    <w:uiPriority w:val="99"/>
    <w:pPr>
      <w:jc w:val="left"/>
    </w:pPr>
    <w:rPr>
      <w:kern w:val="0"/>
      <w:sz w:val="20"/>
    </w:rPr>
  </w:style>
  <w:style w:type="paragraph" w:styleId="6">
    <w:name w:val="Body Text"/>
    <w:basedOn w:val="1"/>
    <w:link w:val="23"/>
    <w:qFormat/>
    <w:uiPriority w:val="0"/>
    <w:pPr>
      <w:spacing w:after="120"/>
    </w:pPr>
    <w:rPr>
      <w:kern w:val="0"/>
      <w:sz w:val="20"/>
    </w:rPr>
  </w:style>
  <w:style w:type="paragraph" w:styleId="7">
    <w:name w:val="Balloon Text"/>
    <w:basedOn w:val="1"/>
    <w:link w:val="28"/>
    <w:unhideWhenUsed/>
    <w:qFormat/>
    <w:uiPriority w:val="99"/>
    <w:rPr>
      <w:kern w:val="0"/>
      <w:sz w:val="18"/>
      <w:szCs w:val="18"/>
    </w:rPr>
  </w:style>
  <w:style w:type="paragraph" w:styleId="8">
    <w:name w:val="footer"/>
    <w:basedOn w:val="1"/>
    <w:link w:val="25"/>
    <w:unhideWhenUsed/>
    <w:qFormat/>
    <w:uiPriority w:val="99"/>
    <w:pPr>
      <w:tabs>
        <w:tab w:val="center" w:pos="4153"/>
        <w:tab w:val="right" w:pos="8306"/>
      </w:tabs>
      <w:snapToGrid w:val="0"/>
      <w:jc w:val="left"/>
    </w:pPr>
    <w:rPr>
      <w:kern w:val="0"/>
      <w:sz w:val="18"/>
      <w:szCs w:val="18"/>
    </w:rPr>
  </w:style>
  <w:style w:type="paragraph" w:styleId="9">
    <w:name w:val="header"/>
    <w:basedOn w:val="1"/>
    <w:link w:val="24"/>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0">
    <w:name w:val="footnote text"/>
    <w:basedOn w:val="1"/>
    <w:link w:val="21"/>
    <w:qFormat/>
    <w:uiPriority w:val="0"/>
    <w:pPr>
      <w:snapToGrid w:val="0"/>
      <w:jc w:val="left"/>
    </w:pPr>
    <w:rPr>
      <w:kern w:val="0"/>
      <w:sz w:val="18"/>
      <w:szCs w:val="18"/>
    </w:rPr>
  </w:style>
  <w:style w:type="character" w:styleId="12">
    <w:name w:val="annotation reference"/>
    <w:unhideWhenUsed/>
    <w:qFormat/>
    <w:uiPriority w:val="99"/>
    <w:rPr>
      <w:sz w:val="21"/>
      <w:szCs w:val="21"/>
    </w:rPr>
  </w:style>
  <w:style w:type="character" w:styleId="13">
    <w:name w:val="footnote reference"/>
    <w:qFormat/>
    <w:uiPriority w:val="0"/>
    <w:rPr>
      <w:vertAlign w:val="superscript"/>
    </w:rPr>
  </w:style>
  <w:style w:type="paragraph" w:customStyle="1" w:styleId="15">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paragraph" w:customStyle="1" w:styleId="16">
    <w:name w:val="普通 (Web)"/>
    <w:qFormat/>
    <w:uiPriority w:val="0"/>
    <w:pPr>
      <w:spacing w:before="100" w:after="100"/>
    </w:pPr>
    <w:rPr>
      <w:rFonts w:ascii="宋体" w:hAnsi="Times New Roman" w:eastAsia="宋体" w:cs="Times New Roman"/>
      <w:sz w:val="24"/>
      <w:lang w:val="en-US" w:eastAsia="zh-CN" w:bidi="ar-SA"/>
    </w:rPr>
  </w:style>
  <w:style w:type="paragraph" w:customStyle="1" w:styleId="17">
    <w:name w:val="列出段落1"/>
    <w:qFormat/>
    <w:uiPriority w:val="34"/>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18">
    <w:name w:val="样式"/>
    <w:qFormat/>
    <w:uiPriority w:val="0"/>
    <w:pPr>
      <w:widowControl w:val="0"/>
      <w:adjustRightInd w:val="0"/>
      <w:spacing w:line="360" w:lineRule="auto"/>
      <w:ind w:firstLine="482"/>
      <w:jc w:val="both"/>
      <w:textAlignment w:val="baseline"/>
    </w:pPr>
    <w:rPr>
      <w:rFonts w:ascii="Times New Roman" w:hAnsi="Times New Roman" w:eastAsia="宋体" w:cs="Times New Roman"/>
      <w:sz w:val="24"/>
      <w:lang w:val="en-US" w:eastAsia="zh-CN" w:bidi="ar-SA"/>
    </w:rPr>
  </w:style>
  <w:style w:type="paragraph" w:customStyle="1" w:styleId="19">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20">
    <w:name w:val="标题 1 Char"/>
    <w:link w:val="2"/>
    <w:qFormat/>
    <w:uiPriority w:val="0"/>
    <w:rPr>
      <w:rFonts w:ascii="Times New Roman" w:hAnsi="Times New Roman" w:eastAsia="宋体" w:cs="Times New Roman"/>
      <w:b/>
      <w:bCs/>
      <w:kern w:val="44"/>
      <w:sz w:val="44"/>
      <w:szCs w:val="44"/>
    </w:rPr>
  </w:style>
  <w:style w:type="character" w:customStyle="1" w:styleId="21">
    <w:name w:val="脚注文本 Char"/>
    <w:link w:val="10"/>
    <w:qFormat/>
    <w:uiPriority w:val="0"/>
    <w:rPr>
      <w:rFonts w:ascii="Times New Roman" w:hAnsi="Times New Roman" w:eastAsia="宋体" w:cs="Times New Roman"/>
      <w:sz w:val="18"/>
      <w:szCs w:val="18"/>
    </w:rPr>
  </w:style>
  <w:style w:type="character" w:customStyle="1" w:styleId="22">
    <w:name w:val="标题 2 Char"/>
    <w:link w:val="3"/>
    <w:semiHidden/>
    <w:qFormat/>
    <w:uiPriority w:val="9"/>
    <w:rPr>
      <w:rFonts w:ascii="Cambria" w:hAnsi="Cambria" w:eastAsia="宋体" w:cs="黑体"/>
      <w:b/>
      <w:bCs/>
      <w:sz w:val="32"/>
      <w:szCs w:val="32"/>
    </w:rPr>
  </w:style>
  <w:style w:type="character" w:customStyle="1" w:styleId="23">
    <w:name w:val="正文文本 Char"/>
    <w:link w:val="6"/>
    <w:qFormat/>
    <w:uiPriority w:val="0"/>
    <w:rPr>
      <w:rFonts w:ascii="Times New Roman" w:hAnsi="Times New Roman" w:eastAsia="宋体" w:cs="Times New Roman"/>
      <w:szCs w:val="24"/>
    </w:rPr>
  </w:style>
  <w:style w:type="character" w:customStyle="1" w:styleId="24">
    <w:name w:val="页眉 Char"/>
    <w:link w:val="9"/>
    <w:semiHidden/>
    <w:qFormat/>
    <w:uiPriority w:val="99"/>
    <w:rPr>
      <w:rFonts w:ascii="Times New Roman" w:hAnsi="Times New Roman" w:eastAsia="宋体" w:cs="Times New Roman"/>
      <w:sz w:val="18"/>
      <w:szCs w:val="18"/>
    </w:rPr>
  </w:style>
  <w:style w:type="character" w:customStyle="1" w:styleId="25">
    <w:name w:val="页脚 Char"/>
    <w:link w:val="8"/>
    <w:semiHidden/>
    <w:qFormat/>
    <w:uiPriority w:val="99"/>
    <w:rPr>
      <w:rFonts w:ascii="Times New Roman" w:hAnsi="Times New Roman" w:eastAsia="宋体" w:cs="Times New Roman"/>
      <w:sz w:val="18"/>
      <w:szCs w:val="18"/>
    </w:rPr>
  </w:style>
  <w:style w:type="character" w:customStyle="1" w:styleId="26">
    <w:name w:val="批注文字 Char"/>
    <w:link w:val="5"/>
    <w:semiHidden/>
    <w:qFormat/>
    <w:uiPriority w:val="99"/>
    <w:rPr>
      <w:rFonts w:ascii="Times New Roman" w:hAnsi="Times New Roman" w:eastAsia="宋体" w:cs="Times New Roman"/>
      <w:szCs w:val="24"/>
    </w:rPr>
  </w:style>
  <w:style w:type="character" w:customStyle="1" w:styleId="27">
    <w:name w:val="批注主题 Char"/>
    <w:link w:val="4"/>
    <w:semiHidden/>
    <w:qFormat/>
    <w:uiPriority w:val="99"/>
    <w:rPr>
      <w:rFonts w:ascii="Times New Roman" w:hAnsi="Times New Roman" w:eastAsia="宋体" w:cs="Times New Roman"/>
      <w:b/>
      <w:bCs/>
      <w:szCs w:val="24"/>
    </w:rPr>
  </w:style>
  <w:style w:type="character" w:customStyle="1" w:styleId="28">
    <w:name w:val="批注框文本 Char"/>
    <w:link w:val="7"/>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A0374A-1865-4D0C-9076-A2D65FAE2B32}">
  <ds:schemaRefs/>
</ds:datastoreItem>
</file>

<file path=docProps/app.xml><?xml version="1.0" encoding="utf-8"?>
<Properties xmlns="http://schemas.openxmlformats.org/officeDocument/2006/extended-properties" xmlns:vt="http://schemas.openxmlformats.org/officeDocument/2006/docPropsVTypes">
  <Template>Normal</Template>
  <Company>sd</Company>
  <Pages>12</Pages>
  <Words>807</Words>
  <Characters>4604</Characters>
  <Lines>38</Lines>
  <Paragraphs>10</Paragraphs>
  <ScaleCrop>false</ScaleCrop>
  <LinksUpToDate>false</LinksUpToDate>
  <CharactersWithSpaces>5401</CharactersWithSpaces>
  <Application>WPS Office_10.8.0.5874_F1E327BC-269C-435d-A152-05C5408002CA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2015-01-23T02:36:00Z</dcterms:created>
  <dc:creator>qzy3472</dc:creator>
  <cp:lastModifiedBy>%E5%BC%A0%E7%99%BB%E5%B1%B1</cp:lastModifiedBy>
  <dcterms:modified xsi:type="dcterms:W3CDTF">2017-06-07T02:07:22Z</dcterms:modified>
  <dc:title>设备技术要求</dc:title>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ies>
</file>