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黑体" w:hAnsi="黑体" w:eastAsia="黑体"/>
          <w:b/>
          <w:bCs/>
          <w:sz w:val="32"/>
        </w:rPr>
      </w:pPr>
      <w:bookmarkStart w:id="0" w:name="_Toc144974834"/>
      <w:bookmarkStart w:id="1" w:name="_Toc152042554"/>
      <w:bookmarkStart w:id="2" w:name="_Toc152045772"/>
      <w:bookmarkStart w:id="3" w:name="_Toc357086141"/>
      <w:r>
        <w:rPr>
          <w:rFonts w:hint="eastAsia" w:ascii="黑体" w:hAnsi="黑体" w:eastAsia="黑体"/>
          <w:b/>
          <w:bCs/>
          <w:sz w:val="32"/>
        </w:rPr>
        <w:t xml:space="preserve">第五章  </w:t>
      </w:r>
      <w:bookmarkEnd w:id="0"/>
      <w:bookmarkEnd w:id="1"/>
      <w:bookmarkEnd w:id="2"/>
      <w:r>
        <w:rPr>
          <w:rFonts w:hint="eastAsia" w:ascii="黑体" w:hAnsi="黑体" w:eastAsia="黑体"/>
          <w:b/>
          <w:bCs/>
          <w:sz w:val="32"/>
        </w:rPr>
        <w:t>设备技术要求</w:t>
      </w:r>
      <w:bookmarkEnd w:id="3"/>
    </w:p>
    <w:p>
      <w:pPr>
        <w:spacing w:line="400" w:lineRule="exact"/>
      </w:pPr>
    </w:p>
    <w:p>
      <w:pPr>
        <w:tabs>
          <w:tab w:val="left" w:pos="2340"/>
        </w:tabs>
        <w:spacing w:line="480" w:lineRule="auto"/>
        <w:ind w:left="570" w:leftChars="300" w:firstLine="230" w:firstLineChars="100"/>
        <w:jc w:val="left"/>
        <w:rPr>
          <w:rFonts w:ascii="宋体"/>
          <w:sz w:val="24"/>
        </w:rPr>
      </w:pPr>
      <w:bookmarkStart w:id="4" w:name="_Toc356204277"/>
      <w:bookmarkStart w:id="5" w:name="_Toc357086142"/>
      <w:r>
        <w:rPr>
          <w:rFonts w:hint="eastAsia" w:ascii="宋体"/>
          <w:sz w:val="24"/>
        </w:rPr>
        <w:t>第一节  供货范围、技术规格、参数与要求</w:t>
      </w:r>
    </w:p>
    <w:p>
      <w:pPr>
        <w:tabs>
          <w:tab w:val="left" w:pos="2340"/>
        </w:tabs>
        <w:spacing w:line="480" w:lineRule="auto"/>
        <w:ind w:left="570" w:leftChars="300" w:firstLine="230" w:firstLineChars="100"/>
        <w:jc w:val="left"/>
        <w:rPr>
          <w:rFonts w:ascii="宋体"/>
          <w:sz w:val="24"/>
        </w:rPr>
      </w:pPr>
      <w:r>
        <w:rPr>
          <w:rFonts w:hint="eastAsia" w:ascii="宋体"/>
          <w:sz w:val="24"/>
        </w:rPr>
        <w:t>第二节  备件和工具</w:t>
      </w:r>
    </w:p>
    <w:p>
      <w:pPr>
        <w:tabs>
          <w:tab w:val="left" w:pos="2340"/>
        </w:tabs>
        <w:spacing w:line="480" w:lineRule="auto"/>
        <w:ind w:left="570" w:leftChars="300" w:firstLine="230" w:firstLineChars="100"/>
        <w:jc w:val="left"/>
        <w:rPr>
          <w:rFonts w:ascii="宋体"/>
          <w:sz w:val="24"/>
        </w:rPr>
      </w:pPr>
      <w:r>
        <w:rPr>
          <w:rFonts w:hint="eastAsia" w:ascii="宋体"/>
          <w:sz w:val="24"/>
        </w:rPr>
        <w:t>第三节  设备出厂前检验</w:t>
      </w:r>
    </w:p>
    <w:p>
      <w:pPr>
        <w:tabs>
          <w:tab w:val="left" w:pos="2340"/>
        </w:tabs>
        <w:spacing w:line="480" w:lineRule="auto"/>
        <w:ind w:left="570" w:leftChars="300" w:firstLine="230" w:firstLineChars="100"/>
        <w:jc w:val="left"/>
        <w:rPr>
          <w:rFonts w:ascii="宋体"/>
          <w:sz w:val="24"/>
        </w:rPr>
      </w:pPr>
      <w:r>
        <w:rPr>
          <w:rFonts w:hint="eastAsia" w:ascii="宋体"/>
          <w:sz w:val="24"/>
        </w:rPr>
        <w:t>第四节  技术服务</w:t>
      </w:r>
    </w:p>
    <w:p>
      <w:pPr>
        <w:tabs>
          <w:tab w:val="left" w:pos="2340"/>
        </w:tabs>
        <w:spacing w:line="480" w:lineRule="auto"/>
        <w:ind w:left="570" w:leftChars="300" w:firstLine="230" w:firstLineChars="100"/>
        <w:jc w:val="left"/>
        <w:rPr>
          <w:rFonts w:ascii="宋体"/>
          <w:sz w:val="24"/>
        </w:rPr>
      </w:pPr>
      <w:r>
        <w:rPr>
          <w:rFonts w:hint="eastAsia" w:ascii="宋体"/>
          <w:sz w:val="24"/>
        </w:rPr>
        <w:t>第五节  安装、检验、调试、试运行及验收</w:t>
      </w:r>
    </w:p>
    <w:p>
      <w:pPr>
        <w:tabs>
          <w:tab w:val="left" w:pos="2340"/>
        </w:tabs>
        <w:spacing w:line="480" w:lineRule="auto"/>
        <w:ind w:left="570" w:leftChars="300" w:firstLine="230" w:firstLineChars="100"/>
        <w:jc w:val="left"/>
        <w:rPr>
          <w:rFonts w:ascii="宋体"/>
          <w:sz w:val="24"/>
        </w:rPr>
      </w:pPr>
      <w:r>
        <w:rPr>
          <w:rFonts w:hint="eastAsia" w:ascii="宋体"/>
          <w:sz w:val="24"/>
        </w:rPr>
        <w:t>第六节  质量保证</w:t>
      </w:r>
    </w:p>
    <w:p>
      <w:pPr>
        <w:tabs>
          <w:tab w:val="left" w:pos="2340"/>
        </w:tabs>
        <w:spacing w:line="480" w:lineRule="auto"/>
        <w:ind w:left="570" w:leftChars="300" w:firstLine="230" w:firstLineChars="100"/>
        <w:jc w:val="left"/>
        <w:rPr>
          <w:rFonts w:ascii="宋体"/>
          <w:sz w:val="24"/>
        </w:rPr>
      </w:pPr>
      <w:r>
        <w:rPr>
          <w:rFonts w:hint="eastAsia" w:ascii="宋体"/>
          <w:sz w:val="24"/>
        </w:rPr>
        <w:t>第七节  技术资料和图纸</w:t>
      </w:r>
    </w:p>
    <w:p>
      <w:pPr>
        <w:tabs>
          <w:tab w:val="left" w:pos="2340"/>
        </w:tabs>
        <w:spacing w:line="480" w:lineRule="auto"/>
        <w:ind w:left="570" w:leftChars="300" w:firstLine="190" w:firstLineChars="100"/>
        <w:jc w:val="left"/>
        <w:rPr>
          <w:rFonts w:ascii="宋体" w:hAnsi="宋体"/>
          <w:szCs w:val="21"/>
        </w:rPr>
      </w:pPr>
    </w:p>
    <w:p>
      <w:pPr>
        <w:tabs>
          <w:tab w:val="left" w:pos="2340"/>
        </w:tabs>
        <w:spacing w:line="480" w:lineRule="auto"/>
        <w:ind w:left="570" w:leftChars="300" w:firstLine="190" w:firstLineChars="100"/>
        <w:jc w:val="left"/>
        <w:rPr>
          <w:rFonts w:ascii="宋体" w:hAnsi="宋体"/>
          <w:szCs w:val="21"/>
        </w:rPr>
      </w:pPr>
    </w:p>
    <w:p>
      <w:pPr>
        <w:tabs>
          <w:tab w:val="left" w:pos="2340"/>
        </w:tabs>
        <w:spacing w:line="480" w:lineRule="auto"/>
        <w:ind w:left="570" w:leftChars="300" w:firstLine="190" w:firstLineChars="100"/>
        <w:jc w:val="left"/>
        <w:rPr>
          <w:rFonts w:ascii="宋体" w:hAnsi="宋体"/>
          <w:szCs w:val="21"/>
        </w:rPr>
      </w:pPr>
    </w:p>
    <w:p>
      <w:pPr>
        <w:tabs>
          <w:tab w:val="left" w:pos="2340"/>
        </w:tabs>
        <w:spacing w:line="480" w:lineRule="auto"/>
        <w:ind w:left="570" w:leftChars="300" w:firstLine="190" w:firstLineChars="100"/>
        <w:jc w:val="left"/>
        <w:rPr>
          <w:rFonts w:ascii="宋体" w:hAnsi="宋体"/>
          <w:szCs w:val="21"/>
        </w:rPr>
      </w:pPr>
    </w:p>
    <w:p>
      <w:pPr>
        <w:tabs>
          <w:tab w:val="left" w:pos="2340"/>
        </w:tabs>
        <w:spacing w:line="480" w:lineRule="auto"/>
        <w:ind w:left="570" w:leftChars="300" w:firstLine="190" w:firstLineChars="100"/>
        <w:jc w:val="left"/>
        <w:rPr>
          <w:rFonts w:ascii="宋体" w:hAnsi="宋体"/>
          <w:szCs w:val="21"/>
        </w:rPr>
      </w:pPr>
    </w:p>
    <w:p>
      <w:pPr>
        <w:tabs>
          <w:tab w:val="left" w:pos="2340"/>
        </w:tabs>
        <w:spacing w:line="480" w:lineRule="auto"/>
        <w:ind w:left="570" w:leftChars="300" w:firstLine="190" w:firstLineChars="100"/>
        <w:jc w:val="left"/>
        <w:rPr>
          <w:rFonts w:ascii="宋体" w:hAnsi="宋体"/>
          <w:szCs w:val="21"/>
        </w:rPr>
      </w:pPr>
    </w:p>
    <w:p>
      <w:pPr>
        <w:tabs>
          <w:tab w:val="left" w:pos="2340"/>
        </w:tabs>
        <w:spacing w:line="480" w:lineRule="auto"/>
        <w:ind w:left="570" w:leftChars="300" w:firstLine="190" w:firstLineChars="100"/>
        <w:jc w:val="left"/>
        <w:rPr>
          <w:rFonts w:ascii="宋体" w:hAnsi="宋体"/>
          <w:szCs w:val="21"/>
        </w:rPr>
      </w:pPr>
    </w:p>
    <w:p>
      <w:pPr>
        <w:tabs>
          <w:tab w:val="left" w:pos="2340"/>
        </w:tabs>
        <w:spacing w:line="480" w:lineRule="auto"/>
        <w:ind w:left="570" w:leftChars="300" w:firstLine="190" w:firstLineChars="100"/>
        <w:jc w:val="left"/>
        <w:rPr>
          <w:rFonts w:ascii="宋体" w:hAnsi="宋体"/>
          <w:szCs w:val="21"/>
        </w:rPr>
      </w:pPr>
    </w:p>
    <w:p>
      <w:pPr>
        <w:tabs>
          <w:tab w:val="left" w:pos="2340"/>
        </w:tabs>
        <w:spacing w:line="480" w:lineRule="auto"/>
        <w:ind w:left="570" w:leftChars="300" w:firstLine="190" w:firstLineChars="100"/>
        <w:jc w:val="left"/>
        <w:rPr>
          <w:rFonts w:ascii="宋体" w:hAnsi="宋体"/>
          <w:szCs w:val="21"/>
        </w:rPr>
      </w:pPr>
    </w:p>
    <w:p>
      <w:pPr>
        <w:tabs>
          <w:tab w:val="left" w:pos="2340"/>
        </w:tabs>
        <w:spacing w:line="480" w:lineRule="auto"/>
        <w:ind w:left="570" w:leftChars="300" w:firstLine="190" w:firstLineChars="100"/>
        <w:jc w:val="left"/>
        <w:rPr>
          <w:rFonts w:ascii="宋体" w:hAnsi="宋体"/>
          <w:szCs w:val="21"/>
        </w:rPr>
      </w:pPr>
    </w:p>
    <w:p>
      <w:pPr>
        <w:tabs>
          <w:tab w:val="left" w:pos="2340"/>
        </w:tabs>
        <w:spacing w:line="480" w:lineRule="auto"/>
        <w:ind w:left="570" w:leftChars="300" w:firstLine="190" w:firstLineChars="100"/>
        <w:jc w:val="left"/>
        <w:rPr>
          <w:rFonts w:ascii="宋体" w:hAnsi="宋体"/>
          <w:szCs w:val="21"/>
        </w:rPr>
      </w:pPr>
    </w:p>
    <w:p>
      <w:pPr>
        <w:tabs>
          <w:tab w:val="left" w:pos="2340"/>
        </w:tabs>
        <w:spacing w:line="480" w:lineRule="auto"/>
        <w:ind w:left="570" w:leftChars="300" w:firstLine="190" w:firstLineChars="100"/>
        <w:jc w:val="left"/>
        <w:rPr>
          <w:rFonts w:ascii="宋体" w:hAnsi="宋体"/>
          <w:szCs w:val="21"/>
        </w:rPr>
      </w:pPr>
    </w:p>
    <w:p>
      <w:pPr>
        <w:tabs>
          <w:tab w:val="left" w:pos="2340"/>
        </w:tabs>
        <w:spacing w:line="480" w:lineRule="auto"/>
        <w:ind w:left="570" w:leftChars="300" w:firstLine="190" w:firstLineChars="100"/>
        <w:jc w:val="left"/>
        <w:rPr>
          <w:rFonts w:ascii="宋体" w:hAnsi="宋体"/>
          <w:szCs w:val="21"/>
        </w:rPr>
      </w:pPr>
    </w:p>
    <w:p>
      <w:pPr>
        <w:pStyle w:val="15"/>
        <w:jc w:val="center"/>
      </w:pPr>
      <w:r>
        <w:rPr>
          <w:rFonts w:hint="eastAsia"/>
        </w:rPr>
        <w:t>第一节 供货范围、技术规格、参数与要求</w:t>
      </w:r>
      <w:bookmarkEnd w:id="4"/>
      <w:bookmarkEnd w:id="5"/>
    </w:p>
    <w:p>
      <w:pPr>
        <w:adjustRightInd w:val="0"/>
        <w:snapToGrid w:val="0"/>
        <w:spacing w:beforeLines="100" w:afterLines="100" w:line="360" w:lineRule="auto"/>
        <w:ind w:left="2032" w:leftChars="-5" w:hanging="2041" w:hangingChars="1070"/>
        <w:rPr>
          <w:b/>
        </w:rPr>
      </w:pPr>
      <w:r>
        <w:rPr>
          <w:rFonts w:hint="eastAsia"/>
          <w:b/>
        </w:rPr>
        <w:t>一、货物需求一览表</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6"/>
        <w:gridCol w:w="1062"/>
        <w:gridCol w:w="1275"/>
        <w:gridCol w:w="567"/>
        <w:gridCol w:w="567"/>
        <w:gridCol w:w="1418"/>
        <w:gridCol w:w="1417"/>
        <w:gridCol w:w="1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trPr>
        <w:tc>
          <w:tcPr>
            <w:tcW w:w="60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pacing w:val="0"/>
                <w:sz w:val="21"/>
                <w:szCs w:val="21"/>
              </w:rPr>
            </w:pPr>
            <w:r>
              <w:rPr>
                <w:rFonts w:hint="eastAsia" w:ascii="宋体" w:hAnsi="宋体"/>
                <w:spacing w:val="0"/>
                <w:sz w:val="21"/>
                <w:szCs w:val="21"/>
              </w:rPr>
              <w:t>序号</w:t>
            </w:r>
          </w:p>
        </w:tc>
        <w:tc>
          <w:tcPr>
            <w:tcW w:w="106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pacing w:val="0"/>
                <w:sz w:val="21"/>
                <w:szCs w:val="21"/>
              </w:rPr>
            </w:pPr>
            <w:r>
              <w:rPr>
                <w:rFonts w:hint="eastAsia" w:ascii="宋体" w:hAnsi="宋体"/>
                <w:spacing w:val="0"/>
                <w:sz w:val="21"/>
                <w:szCs w:val="21"/>
              </w:rPr>
              <w:t>名称</w:t>
            </w:r>
          </w:p>
        </w:tc>
        <w:tc>
          <w:tcPr>
            <w:tcW w:w="127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pacing w:val="0"/>
                <w:sz w:val="21"/>
                <w:szCs w:val="21"/>
              </w:rPr>
            </w:pPr>
            <w:r>
              <w:rPr>
                <w:rFonts w:hint="eastAsia" w:ascii="宋体" w:hAnsi="宋体"/>
                <w:spacing w:val="0"/>
                <w:sz w:val="21"/>
                <w:szCs w:val="21"/>
                <w:lang w:eastAsia="zh-CN"/>
              </w:rPr>
              <w:t>参考</w:t>
            </w:r>
            <w:r>
              <w:rPr>
                <w:rFonts w:hint="eastAsia" w:ascii="宋体" w:hAnsi="宋体"/>
                <w:spacing w:val="0"/>
                <w:sz w:val="21"/>
                <w:szCs w:val="21"/>
              </w:rPr>
              <w:t>型号</w:t>
            </w:r>
          </w:p>
        </w:tc>
        <w:tc>
          <w:tcPr>
            <w:tcW w:w="56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pacing w:val="0"/>
                <w:sz w:val="21"/>
                <w:szCs w:val="21"/>
              </w:rPr>
            </w:pPr>
            <w:r>
              <w:rPr>
                <w:rFonts w:hint="eastAsia" w:ascii="宋体" w:hAnsi="宋体"/>
                <w:spacing w:val="0"/>
                <w:sz w:val="21"/>
                <w:szCs w:val="21"/>
              </w:rPr>
              <w:t>单位</w:t>
            </w:r>
          </w:p>
        </w:tc>
        <w:tc>
          <w:tcPr>
            <w:tcW w:w="56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pacing w:val="0"/>
                <w:sz w:val="21"/>
                <w:szCs w:val="21"/>
              </w:rPr>
            </w:pPr>
            <w:r>
              <w:rPr>
                <w:rFonts w:hint="eastAsia" w:ascii="宋体" w:hAnsi="宋体"/>
                <w:spacing w:val="0"/>
                <w:sz w:val="21"/>
                <w:szCs w:val="21"/>
              </w:rPr>
              <w:t>数量</w:t>
            </w:r>
          </w:p>
        </w:tc>
        <w:tc>
          <w:tcPr>
            <w:tcW w:w="141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pacing w:val="0"/>
                <w:sz w:val="21"/>
                <w:szCs w:val="21"/>
              </w:rPr>
            </w:pPr>
            <w:r>
              <w:rPr>
                <w:rFonts w:hint="eastAsia" w:ascii="宋体" w:hAnsi="宋体"/>
                <w:spacing w:val="0"/>
                <w:sz w:val="21"/>
                <w:szCs w:val="21"/>
              </w:rPr>
              <w:t>交货时间</w:t>
            </w:r>
          </w:p>
        </w:tc>
        <w:tc>
          <w:tcPr>
            <w:tcW w:w="141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pacing w:val="0"/>
                <w:sz w:val="21"/>
                <w:szCs w:val="21"/>
              </w:rPr>
            </w:pPr>
            <w:r>
              <w:rPr>
                <w:rFonts w:hint="eastAsia" w:ascii="宋体" w:hAnsi="宋体"/>
                <w:spacing w:val="0"/>
                <w:sz w:val="21"/>
                <w:szCs w:val="21"/>
              </w:rPr>
              <w:t>交货地点</w:t>
            </w:r>
          </w:p>
        </w:tc>
        <w:tc>
          <w:tcPr>
            <w:tcW w:w="1610"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pacing w:val="0"/>
                <w:sz w:val="21"/>
                <w:szCs w:val="21"/>
              </w:rPr>
            </w:pPr>
            <w:r>
              <w:rPr>
                <w:rFonts w:hint="eastAsia" w:ascii="宋体" w:hAnsi="宋体"/>
                <w:spacing w:val="0"/>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trPr>
        <w:tc>
          <w:tcPr>
            <w:tcW w:w="60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pacing w:val="0"/>
                <w:sz w:val="21"/>
                <w:szCs w:val="21"/>
              </w:rPr>
            </w:pPr>
            <w:r>
              <w:rPr>
                <w:rFonts w:ascii="宋体" w:hAnsi="宋体"/>
                <w:spacing w:val="0"/>
                <w:sz w:val="21"/>
                <w:szCs w:val="21"/>
              </w:rPr>
              <w:t>1</w:t>
            </w:r>
          </w:p>
        </w:tc>
        <w:tc>
          <w:tcPr>
            <w:tcW w:w="106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pacing w:val="0"/>
                <w:sz w:val="21"/>
                <w:szCs w:val="21"/>
              </w:rPr>
            </w:pPr>
            <w:r>
              <w:rPr>
                <w:rFonts w:hint="eastAsia" w:ascii="宋体" w:hAnsi="宋体"/>
                <w:spacing w:val="0"/>
                <w:sz w:val="21"/>
                <w:szCs w:val="21"/>
              </w:rPr>
              <w:t>逆止器</w:t>
            </w:r>
          </w:p>
        </w:tc>
        <w:tc>
          <w:tcPr>
            <w:tcW w:w="127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pacing w:val="0"/>
                <w:sz w:val="21"/>
                <w:szCs w:val="21"/>
              </w:rPr>
            </w:pPr>
            <w:r>
              <w:rPr>
                <w:rFonts w:hint="eastAsia" w:ascii="宋体" w:hAnsi="宋体"/>
                <w:spacing w:val="0"/>
                <w:sz w:val="21"/>
                <w:szCs w:val="21"/>
              </w:rPr>
              <w:t>NJ（DSN）90</w:t>
            </w:r>
          </w:p>
        </w:tc>
        <w:tc>
          <w:tcPr>
            <w:tcW w:w="56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pacing w:val="0"/>
                <w:sz w:val="21"/>
                <w:szCs w:val="21"/>
              </w:rPr>
            </w:pPr>
            <w:r>
              <w:rPr>
                <w:rFonts w:hint="eastAsia" w:ascii="宋体" w:hAnsi="宋体"/>
                <w:spacing w:val="0"/>
                <w:sz w:val="21"/>
                <w:szCs w:val="21"/>
              </w:rPr>
              <w:t>个</w:t>
            </w:r>
          </w:p>
        </w:tc>
        <w:tc>
          <w:tcPr>
            <w:tcW w:w="56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pacing w:val="0"/>
                <w:sz w:val="21"/>
                <w:szCs w:val="21"/>
              </w:rPr>
            </w:pPr>
            <w:r>
              <w:rPr>
                <w:rFonts w:hint="eastAsia" w:ascii="宋体" w:hAnsi="宋体"/>
                <w:spacing w:val="0"/>
                <w:sz w:val="21"/>
                <w:szCs w:val="21"/>
              </w:rPr>
              <w:t>1</w:t>
            </w:r>
          </w:p>
        </w:tc>
        <w:tc>
          <w:tcPr>
            <w:tcW w:w="141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rPr>
                <w:rFonts w:ascii="宋体" w:hAnsi="宋体"/>
                <w:spacing w:val="0"/>
                <w:sz w:val="21"/>
                <w:szCs w:val="21"/>
              </w:rPr>
            </w:pPr>
            <w:r>
              <w:rPr>
                <w:rFonts w:hint="eastAsia" w:ascii="宋体" w:hAnsi="宋体"/>
                <w:spacing w:val="0"/>
                <w:sz w:val="21"/>
                <w:szCs w:val="21"/>
              </w:rPr>
              <w:t>合同签订后3个月内交货</w:t>
            </w:r>
          </w:p>
        </w:tc>
        <w:tc>
          <w:tcPr>
            <w:tcW w:w="141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pacing w:val="0"/>
                <w:sz w:val="21"/>
                <w:szCs w:val="21"/>
              </w:rPr>
            </w:pPr>
            <w:r>
              <w:rPr>
                <w:rFonts w:hint="eastAsia" w:ascii="宋体" w:hAnsi="宋体"/>
                <w:spacing w:val="0"/>
                <w:sz w:val="21"/>
                <w:szCs w:val="21"/>
              </w:rPr>
              <w:t>物资供应中心指定地点</w:t>
            </w:r>
          </w:p>
        </w:tc>
        <w:tc>
          <w:tcPr>
            <w:tcW w:w="1610"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pacing w:val="0"/>
                <w:sz w:val="21"/>
                <w:szCs w:val="21"/>
              </w:rPr>
            </w:pPr>
            <w:r>
              <w:rPr>
                <w:rFonts w:hint="eastAsia" w:ascii="宋体" w:hAnsi="宋体"/>
                <w:spacing w:val="0"/>
                <w:sz w:val="21"/>
                <w:szCs w:val="21"/>
              </w:rPr>
              <w:t>需厂家现场测绘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6" w:hRule="atLeast"/>
        </w:trPr>
        <w:tc>
          <w:tcPr>
            <w:tcW w:w="60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pacing w:val="0"/>
                <w:sz w:val="21"/>
                <w:szCs w:val="21"/>
              </w:rPr>
            </w:pPr>
            <w:r>
              <w:rPr>
                <w:rFonts w:hint="eastAsia" w:ascii="宋体" w:hAnsi="宋体"/>
                <w:spacing w:val="0"/>
                <w:sz w:val="21"/>
                <w:szCs w:val="21"/>
              </w:rPr>
              <w:t>2</w:t>
            </w:r>
          </w:p>
        </w:tc>
        <w:tc>
          <w:tcPr>
            <w:tcW w:w="106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pacing w:val="0"/>
                <w:sz w:val="21"/>
                <w:szCs w:val="21"/>
              </w:rPr>
            </w:pPr>
            <w:r>
              <w:rPr>
                <w:rFonts w:hint="eastAsia" w:ascii="宋体" w:hAnsi="宋体"/>
                <w:spacing w:val="0"/>
                <w:sz w:val="21"/>
                <w:szCs w:val="21"/>
              </w:rPr>
              <w:t>附属设备</w:t>
            </w:r>
          </w:p>
        </w:tc>
        <w:tc>
          <w:tcPr>
            <w:tcW w:w="127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pacing w:val="0"/>
                <w:sz w:val="21"/>
                <w:szCs w:val="21"/>
              </w:rPr>
            </w:pPr>
          </w:p>
        </w:tc>
        <w:tc>
          <w:tcPr>
            <w:tcW w:w="56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pacing w:val="0"/>
                <w:sz w:val="21"/>
                <w:szCs w:val="21"/>
              </w:rPr>
            </w:pPr>
            <w:r>
              <w:rPr>
                <w:rFonts w:hint="eastAsia" w:ascii="宋体" w:hAnsi="宋体"/>
                <w:spacing w:val="0"/>
                <w:sz w:val="21"/>
                <w:szCs w:val="21"/>
              </w:rPr>
              <w:t>套</w:t>
            </w:r>
          </w:p>
        </w:tc>
        <w:tc>
          <w:tcPr>
            <w:tcW w:w="56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pacing w:val="0"/>
                <w:sz w:val="21"/>
                <w:szCs w:val="21"/>
              </w:rPr>
            </w:pPr>
            <w:r>
              <w:rPr>
                <w:rFonts w:hint="eastAsia" w:ascii="宋体" w:hAnsi="宋体"/>
                <w:spacing w:val="0"/>
                <w:sz w:val="21"/>
                <w:szCs w:val="21"/>
              </w:rPr>
              <w:t>1</w:t>
            </w:r>
          </w:p>
        </w:tc>
        <w:tc>
          <w:tcPr>
            <w:tcW w:w="141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rPr>
                <w:rFonts w:ascii="宋体" w:hAnsi="宋体"/>
                <w:spacing w:val="0"/>
                <w:sz w:val="21"/>
                <w:szCs w:val="21"/>
              </w:rPr>
            </w:pPr>
            <w:r>
              <w:rPr>
                <w:rFonts w:hint="eastAsia" w:ascii="宋体" w:hAnsi="宋体"/>
                <w:spacing w:val="0"/>
                <w:sz w:val="21"/>
                <w:szCs w:val="21"/>
              </w:rPr>
              <w:t>合同签订后3个月内交货</w:t>
            </w:r>
          </w:p>
        </w:tc>
        <w:tc>
          <w:tcPr>
            <w:tcW w:w="141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pacing w:val="0"/>
                <w:sz w:val="21"/>
                <w:szCs w:val="21"/>
              </w:rPr>
            </w:pPr>
            <w:r>
              <w:rPr>
                <w:rFonts w:hint="eastAsia" w:ascii="宋体" w:hAnsi="宋体"/>
                <w:spacing w:val="0"/>
                <w:sz w:val="21"/>
                <w:szCs w:val="21"/>
              </w:rPr>
              <w:t>物资供应中心指定地点</w:t>
            </w:r>
          </w:p>
        </w:tc>
        <w:tc>
          <w:tcPr>
            <w:tcW w:w="1610"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pacing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rPr>
        <w:tc>
          <w:tcPr>
            <w:tcW w:w="60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pacing w:val="0"/>
                <w:sz w:val="21"/>
                <w:szCs w:val="21"/>
              </w:rPr>
            </w:pPr>
            <w:r>
              <w:rPr>
                <w:rFonts w:hint="eastAsia" w:ascii="宋体" w:hAnsi="宋体"/>
                <w:spacing w:val="0"/>
                <w:sz w:val="21"/>
                <w:szCs w:val="21"/>
              </w:rPr>
              <w:t>3</w:t>
            </w:r>
          </w:p>
        </w:tc>
        <w:tc>
          <w:tcPr>
            <w:tcW w:w="106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pacing w:val="0"/>
                <w:sz w:val="21"/>
                <w:szCs w:val="21"/>
              </w:rPr>
            </w:pPr>
            <w:r>
              <w:rPr>
                <w:rFonts w:hint="eastAsia" w:ascii="宋体" w:hAnsi="宋体"/>
                <w:spacing w:val="0"/>
                <w:sz w:val="21"/>
                <w:szCs w:val="21"/>
              </w:rPr>
              <w:t>备品备件</w:t>
            </w:r>
          </w:p>
        </w:tc>
        <w:tc>
          <w:tcPr>
            <w:tcW w:w="127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pacing w:val="0"/>
                <w:sz w:val="21"/>
                <w:szCs w:val="21"/>
              </w:rPr>
            </w:pPr>
          </w:p>
        </w:tc>
        <w:tc>
          <w:tcPr>
            <w:tcW w:w="56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pacing w:val="0"/>
                <w:sz w:val="21"/>
                <w:szCs w:val="21"/>
              </w:rPr>
            </w:pPr>
            <w:r>
              <w:rPr>
                <w:rFonts w:hint="eastAsia" w:ascii="宋体" w:hAnsi="宋体"/>
                <w:spacing w:val="0"/>
                <w:sz w:val="21"/>
                <w:szCs w:val="21"/>
              </w:rPr>
              <w:t>批</w:t>
            </w:r>
          </w:p>
        </w:tc>
        <w:tc>
          <w:tcPr>
            <w:tcW w:w="56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pacing w:val="0"/>
                <w:sz w:val="21"/>
                <w:szCs w:val="21"/>
              </w:rPr>
            </w:pPr>
            <w:r>
              <w:rPr>
                <w:rFonts w:hint="eastAsia" w:ascii="宋体" w:hAnsi="宋体"/>
                <w:spacing w:val="0"/>
                <w:sz w:val="21"/>
                <w:szCs w:val="21"/>
              </w:rPr>
              <w:t>0</w:t>
            </w:r>
          </w:p>
        </w:tc>
        <w:tc>
          <w:tcPr>
            <w:tcW w:w="141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rPr>
                <w:rFonts w:ascii="宋体" w:hAnsi="宋体"/>
                <w:spacing w:val="0"/>
                <w:sz w:val="21"/>
                <w:szCs w:val="21"/>
              </w:rPr>
            </w:pPr>
            <w:r>
              <w:rPr>
                <w:rFonts w:hint="eastAsia" w:ascii="宋体" w:hAnsi="宋体"/>
                <w:spacing w:val="0"/>
                <w:sz w:val="21"/>
                <w:szCs w:val="21"/>
              </w:rPr>
              <w:t>合同签订后3个月内交货</w:t>
            </w:r>
          </w:p>
        </w:tc>
        <w:tc>
          <w:tcPr>
            <w:tcW w:w="141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pacing w:val="0"/>
                <w:sz w:val="21"/>
                <w:szCs w:val="21"/>
              </w:rPr>
            </w:pPr>
            <w:r>
              <w:rPr>
                <w:rFonts w:hint="eastAsia" w:ascii="宋体" w:hAnsi="宋体"/>
                <w:spacing w:val="0"/>
                <w:sz w:val="21"/>
                <w:szCs w:val="21"/>
              </w:rPr>
              <w:t>物资供应中心指定地点</w:t>
            </w:r>
          </w:p>
        </w:tc>
        <w:tc>
          <w:tcPr>
            <w:tcW w:w="1610"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pacing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9" w:hRule="atLeast"/>
        </w:trPr>
        <w:tc>
          <w:tcPr>
            <w:tcW w:w="60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pacing w:val="0"/>
                <w:sz w:val="21"/>
                <w:szCs w:val="21"/>
              </w:rPr>
            </w:pPr>
            <w:r>
              <w:rPr>
                <w:rFonts w:hint="eastAsia" w:ascii="宋体" w:hAnsi="宋体"/>
                <w:spacing w:val="0"/>
                <w:sz w:val="21"/>
                <w:szCs w:val="21"/>
              </w:rPr>
              <w:t>4</w:t>
            </w:r>
          </w:p>
        </w:tc>
        <w:tc>
          <w:tcPr>
            <w:tcW w:w="106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pacing w:val="0"/>
                <w:sz w:val="21"/>
                <w:szCs w:val="21"/>
              </w:rPr>
            </w:pPr>
            <w:r>
              <w:rPr>
                <w:rFonts w:hint="eastAsia" w:ascii="宋体" w:hAnsi="宋体"/>
                <w:spacing w:val="0"/>
                <w:sz w:val="21"/>
                <w:szCs w:val="21"/>
              </w:rPr>
              <w:t>其他</w:t>
            </w:r>
          </w:p>
        </w:tc>
        <w:tc>
          <w:tcPr>
            <w:tcW w:w="127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pacing w:val="0"/>
                <w:sz w:val="21"/>
                <w:szCs w:val="21"/>
              </w:rPr>
            </w:pPr>
          </w:p>
        </w:tc>
        <w:tc>
          <w:tcPr>
            <w:tcW w:w="56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pacing w:val="0"/>
                <w:sz w:val="21"/>
                <w:szCs w:val="21"/>
              </w:rPr>
            </w:pPr>
            <w:r>
              <w:rPr>
                <w:rFonts w:hint="eastAsia" w:ascii="宋体" w:hAnsi="宋体"/>
                <w:spacing w:val="0"/>
                <w:sz w:val="21"/>
                <w:szCs w:val="21"/>
              </w:rPr>
              <w:t>套</w:t>
            </w:r>
          </w:p>
        </w:tc>
        <w:tc>
          <w:tcPr>
            <w:tcW w:w="56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pacing w:val="0"/>
                <w:sz w:val="21"/>
                <w:szCs w:val="21"/>
              </w:rPr>
            </w:pPr>
            <w:r>
              <w:rPr>
                <w:rFonts w:hint="eastAsia" w:ascii="宋体" w:hAnsi="宋体"/>
                <w:spacing w:val="0"/>
                <w:sz w:val="21"/>
                <w:szCs w:val="21"/>
              </w:rPr>
              <w:t>1</w:t>
            </w:r>
          </w:p>
        </w:tc>
        <w:tc>
          <w:tcPr>
            <w:tcW w:w="141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rPr>
                <w:rFonts w:ascii="宋体" w:hAnsi="宋体"/>
                <w:spacing w:val="0"/>
                <w:sz w:val="21"/>
                <w:szCs w:val="21"/>
              </w:rPr>
            </w:pPr>
            <w:r>
              <w:rPr>
                <w:rFonts w:hint="eastAsia" w:ascii="宋体" w:hAnsi="宋体"/>
                <w:spacing w:val="0"/>
                <w:sz w:val="21"/>
                <w:szCs w:val="21"/>
              </w:rPr>
              <w:t>合同签订后3个月内交货</w:t>
            </w:r>
          </w:p>
        </w:tc>
        <w:tc>
          <w:tcPr>
            <w:tcW w:w="141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pacing w:val="0"/>
                <w:sz w:val="21"/>
                <w:szCs w:val="21"/>
              </w:rPr>
            </w:pPr>
            <w:r>
              <w:rPr>
                <w:rFonts w:hint="eastAsia" w:ascii="宋体" w:hAnsi="宋体"/>
                <w:spacing w:val="0"/>
                <w:sz w:val="21"/>
                <w:szCs w:val="21"/>
              </w:rPr>
              <w:t>物资供应中心指定地点</w:t>
            </w:r>
          </w:p>
        </w:tc>
        <w:tc>
          <w:tcPr>
            <w:tcW w:w="1610"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pacing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9" w:hRule="atLeast"/>
        </w:trPr>
        <w:tc>
          <w:tcPr>
            <w:tcW w:w="60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pacing w:val="0"/>
                <w:sz w:val="21"/>
                <w:szCs w:val="21"/>
              </w:rPr>
            </w:pPr>
            <w:r>
              <w:rPr>
                <w:rFonts w:hint="eastAsia" w:ascii="宋体" w:hAnsi="宋体"/>
                <w:spacing w:val="0"/>
                <w:sz w:val="21"/>
                <w:szCs w:val="21"/>
              </w:rPr>
              <w:t>5</w:t>
            </w:r>
          </w:p>
        </w:tc>
        <w:tc>
          <w:tcPr>
            <w:tcW w:w="106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pacing w:val="0"/>
                <w:sz w:val="21"/>
                <w:szCs w:val="21"/>
              </w:rPr>
            </w:pPr>
            <w:r>
              <w:rPr>
                <w:rFonts w:hint="eastAsia" w:ascii="宋体" w:hAnsi="宋体"/>
                <w:spacing w:val="0"/>
                <w:sz w:val="21"/>
                <w:szCs w:val="21"/>
              </w:rPr>
              <w:t>技术资料</w:t>
            </w:r>
          </w:p>
        </w:tc>
        <w:tc>
          <w:tcPr>
            <w:tcW w:w="127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pacing w:val="0"/>
                <w:sz w:val="21"/>
                <w:szCs w:val="21"/>
              </w:rPr>
            </w:pPr>
          </w:p>
        </w:tc>
        <w:tc>
          <w:tcPr>
            <w:tcW w:w="56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pacing w:val="0"/>
                <w:sz w:val="21"/>
                <w:szCs w:val="21"/>
              </w:rPr>
            </w:pPr>
            <w:r>
              <w:rPr>
                <w:rFonts w:hint="eastAsia" w:ascii="宋体" w:hAnsi="宋体"/>
                <w:spacing w:val="0"/>
                <w:sz w:val="21"/>
                <w:szCs w:val="21"/>
              </w:rPr>
              <w:t>套</w:t>
            </w:r>
          </w:p>
        </w:tc>
        <w:tc>
          <w:tcPr>
            <w:tcW w:w="56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pacing w:val="0"/>
                <w:sz w:val="21"/>
                <w:szCs w:val="21"/>
              </w:rPr>
            </w:pPr>
            <w:r>
              <w:rPr>
                <w:rFonts w:hint="eastAsia" w:ascii="宋体" w:hAnsi="宋体"/>
                <w:spacing w:val="0"/>
                <w:sz w:val="21"/>
                <w:szCs w:val="21"/>
              </w:rPr>
              <w:t>6</w:t>
            </w:r>
          </w:p>
        </w:tc>
        <w:tc>
          <w:tcPr>
            <w:tcW w:w="141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rPr>
                <w:rFonts w:ascii="宋体" w:hAnsi="宋体"/>
                <w:spacing w:val="0"/>
                <w:sz w:val="21"/>
                <w:szCs w:val="21"/>
              </w:rPr>
            </w:pPr>
            <w:r>
              <w:rPr>
                <w:rFonts w:hint="eastAsia" w:ascii="宋体" w:hAnsi="宋体"/>
                <w:spacing w:val="0"/>
                <w:sz w:val="21"/>
                <w:szCs w:val="21"/>
              </w:rPr>
              <w:t>合同签订后3个月内交货</w:t>
            </w:r>
          </w:p>
        </w:tc>
        <w:tc>
          <w:tcPr>
            <w:tcW w:w="141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pacing w:val="0"/>
                <w:sz w:val="21"/>
                <w:szCs w:val="21"/>
              </w:rPr>
            </w:pPr>
            <w:r>
              <w:rPr>
                <w:rFonts w:hint="eastAsia" w:ascii="宋体" w:hAnsi="宋体"/>
                <w:spacing w:val="0"/>
                <w:sz w:val="21"/>
                <w:szCs w:val="21"/>
              </w:rPr>
              <w:t>物资供应中心指定地点</w:t>
            </w:r>
          </w:p>
        </w:tc>
        <w:tc>
          <w:tcPr>
            <w:tcW w:w="1610"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pacing w:val="0"/>
                <w:sz w:val="21"/>
                <w:szCs w:val="21"/>
              </w:rPr>
            </w:pPr>
          </w:p>
        </w:tc>
      </w:tr>
    </w:tbl>
    <w:p>
      <w:pPr>
        <w:spacing w:line="360" w:lineRule="auto"/>
        <w:rPr>
          <w:rFonts w:hint="eastAsia" w:ascii="宋体" w:hAnsi="宋体"/>
          <w:b/>
          <w:bCs/>
          <w:szCs w:val="21"/>
        </w:rPr>
      </w:pPr>
    </w:p>
    <w:p>
      <w:pPr>
        <w:spacing w:line="360" w:lineRule="auto"/>
        <w:ind w:firstLine="2726" w:firstLineChars="1429"/>
        <w:rPr>
          <w:rFonts w:ascii="宋体" w:hAnsi="宋体"/>
          <w:b/>
          <w:bCs/>
          <w:szCs w:val="21"/>
        </w:rPr>
      </w:pPr>
      <w:r>
        <w:rPr>
          <w:rFonts w:hint="eastAsia" w:ascii="宋体" w:hAnsi="宋体"/>
          <w:b/>
          <w:bCs/>
          <w:szCs w:val="21"/>
        </w:rPr>
        <w:t>（2）分项报价表</w:t>
      </w:r>
    </w:p>
    <w:tbl>
      <w:tblPr>
        <w:tblStyle w:val="7"/>
        <w:tblpPr w:leftFromText="180" w:rightFromText="180" w:vertAnchor="text" w:horzAnchor="margin" w:tblpXSpec="center" w:tblpY="185"/>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7"/>
        <w:gridCol w:w="2008"/>
        <w:gridCol w:w="851"/>
        <w:gridCol w:w="1417"/>
        <w:gridCol w:w="1559"/>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1" w:hRule="atLeast"/>
        </w:trPr>
        <w:tc>
          <w:tcPr>
            <w:tcW w:w="1077" w:type="dxa"/>
            <w:vAlign w:val="center"/>
          </w:tcPr>
          <w:p>
            <w:pPr>
              <w:jc w:val="center"/>
              <w:rPr>
                <w:rFonts w:ascii="宋体" w:hAnsi="宋体"/>
                <w:b/>
                <w:szCs w:val="21"/>
              </w:rPr>
            </w:pPr>
            <w:r>
              <w:rPr>
                <w:rFonts w:hint="eastAsia" w:ascii="宋体" w:hAnsi="宋体"/>
                <w:b/>
                <w:szCs w:val="21"/>
              </w:rPr>
              <w:t>序号</w:t>
            </w:r>
          </w:p>
        </w:tc>
        <w:tc>
          <w:tcPr>
            <w:tcW w:w="2008" w:type="dxa"/>
            <w:vAlign w:val="center"/>
          </w:tcPr>
          <w:p>
            <w:pPr>
              <w:jc w:val="center"/>
              <w:rPr>
                <w:rFonts w:ascii="宋体" w:hAnsi="宋体"/>
                <w:b/>
                <w:szCs w:val="21"/>
              </w:rPr>
            </w:pPr>
            <w:r>
              <w:rPr>
                <w:rFonts w:hint="eastAsia" w:ascii="宋体" w:hAnsi="宋体"/>
                <w:b/>
                <w:szCs w:val="21"/>
              </w:rPr>
              <w:t>名　称</w:t>
            </w:r>
          </w:p>
        </w:tc>
        <w:tc>
          <w:tcPr>
            <w:tcW w:w="851" w:type="dxa"/>
            <w:vAlign w:val="center"/>
          </w:tcPr>
          <w:p>
            <w:pPr>
              <w:jc w:val="center"/>
              <w:rPr>
                <w:rFonts w:ascii="宋体" w:hAnsi="宋体"/>
                <w:b/>
                <w:szCs w:val="21"/>
              </w:rPr>
            </w:pPr>
            <w:r>
              <w:rPr>
                <w:rFonts w:hint="eastAsia" w:ascii="宋体" w:hAnsi="宋体"/>
                <w:b/>
                <w:szCs w:val="21"/>
              </w:rPr>
              <w:t>单位</w:t>
            </w:r>
          </w:p>
        </w:tc>
        <w:tc>
          <w:tcPr>
            <w:tcW w:w="1417" w:type="dxa"/>
            <w:vAlign w:val="center"/>
          </w:tcPr>
          <w:p>
            <w:pPr>
              <w:jc w:val="center"/>
              <w:rPr>
                <w:rFonts w:ascii="宋体" w:hAnsi="宋体"/>
                <w:b/>
                <w:szCs w:val="21"/>
              </w:rPr>
            </w:pPr>
            <w:r>
              <w:rPr>
                <w:rFonts w:hint="eastAsia" w:ascii="宋体" w:hAnsi="宋体"/>
                <w:b/>
                <w:szCs w:val="21"/>
              </w:rPr>
              <w:t>数量</w:t>
            </w:r>
          </w:p>
        </w:tc>
        <w:tc>
          <w:tcPr>
            <w:tcW w:w="1559" w:type="dxa"/>
            <w:vAlign w:val="center"/>
          </w:tcPr>
          <w:p>
            <w:pPr>
              <w:jc w:val="center"/>
              <w:rPr>
                <w:rFonts w:ascii="宋体" w:hAnsi="宋体"/>
                <w:b/>
                <w:szCs w:val="21"/>
              </w:rPr>
            </w:pPr>
            <w:r>
              <w:rPr>
                <w:rFonts w:hint="eastAsia" w:ascii="宋体" w:hAnsi="宋体"/>
                <w:b/>
                <w:szCs w:val="21"/>
              </w:rPr>
              <w:t>单价（元）</w:t>
            </w:r>
          </w:p>
        </w:tc>
        <w:tc>
          <w:tcPr>
            <w:tcW w:w="1843" w:type="dxa"/>
            <w:vAlign w:val="center"/>
          </w:tcPr>
          <w:p>
            <w:pPr>
              <w:jc w:val="center"/>
              <w:rPr>
                <w:rFonts w:ascii="宋体" w:hAnsi="宋体"/>
                <w:b/>
                <w:szCs w:val="21"/>
              </w:rPr>
            </w:pPr>
            <w:r>
              <w:rPr>
                <w:rFonts w:hint="eastAsia" w:ascii="宋体" w:hAnsi="宋体"/>
                <w:b/>
                <w:szCs w:val="21"/>
              </w:rPr>
              <w:t>总计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77" w:type="dxa"/>
            <w:vAlign w:val="center"/>
          </w:tcPr>
          <w:p>
            <w:pPr>
              <w:ind w:firstLine="380" w:firstLineChars="200"/>
              <w:rPr>
                <w:rFonts w:ascii="宋体" w:hAnsi="宋体"/>
                <w:szCs w:val="21"/>
              </w:rPr>
            </w:pPr>
            <w:r>
              <w:rPr>
                <w:rFonts w:ascii="宋体" w:hAnsi="宋体"/>
                <w:szCs w:val="21"/>
              </w:rPr>
              <w:t>1</w:t>
            </w:r>
          </w:p>
        </w:tc>
        <w:tc>
          <w:tcPr>
            <w:tcW w:w="2008" w:type="dxa"/>
            <w:vAlign w:val="center"/>
          </w:tcPr>
          <w:p>
            <w:pPr>
              <w:spacing w:line="360" w:lineRule="auto"/>
              <w:jc w:val="center"/>
              <w:rPr>
                <w:rFonts w:ascii="宋体" w:hAnsi="宋体"/>
                <w:szCs w:val="21"/>
              </w:rPr>
            </w:pPr>
            <w:r>
              <w:rPr>
                <w:rFonts w:hint="eastAsia" w:ascii="宋体" w:hAnsi="宋体"/>
                <w:spacing w:val="0"/>
                <w:sz w:val="21"/>
                <w:szCs w:val="21"/>
              </w:rPr>
              <w:t>逆止器</w:t>
            </w:r>
          </w:p>
        </w:tc>
        <w:tc>
          <w:tcPr>
            <w:tcW w:w="851" w:type="dxa"/>
            <w:vAlign w:val="center"/>
          </w:tcPr>
          <w:p>
            <w:pPr>
              <w:jc w:val="center"/>
              <w:rPr>
                <w:rFonts w:ascii="宋体" w:hAnsi="宋体"/>
                <w:b/>
                <w:szCs w:val="21"/>
              </w:rPr>
            </w:pPr>
            <w:r>
              <w:rPr>
                <w:rFonts w:hint="eastAsia" w:ascii="宋体" w:hAnsi="宋体"/>
                <w:szCs w:val="21"/>
              </w:rPr>
              <w:t>台</w:t>
            </w:r>
          </w:p>
        </w:tc>
        <w:tc>
          <w:tcPr>
            <w:tcW w:w="1417" w:type="dxa"/>
            <w:vAlign w:val="center"/>
          </w:tcPr>
          <w:p>
            <w:pPr>
              <w:jc w:val="center"/>
              <w:rPr>
                <w:rFonts w:hint="eastAsia" w:ascii="宋体" w:hAnsi="宋体"/>
                <w:szCs w:val="21"/>
              </w:rPr>
            </w:pPr>
            <w:r>
              <w:rPr>
                <w:rFonts w:hint="eastAsia" w:ascii="宋体" w:hAnsi="宋体"/>
                <w:szCs w:val="21"/>
              </w:rPr>
              <w:t>1</w:t>
            </w:r>
          </w:p>
        </w:tc>
        <w:tc>
          <w:tcPr>
            <w:tcW w:w="1559" w:type="dxa"/>
            <w:vAlign w:val="center"/>
          </w:tcPr>
          <w:p>
            <w:pPr>
              <w:jc w:val="center"/>
              <w:rPr>
                <w:rFonts w:ascii="宋体" w:hAnsi="宋体"/>
                <w:b/>
                <w:szCs w:val="21"/>
              </w:rPr>
            </w:pPr>
          </w:p>
        </w:tc>
        <w:tc>
          <w:tcPr>
            <w:tcW w:w="1843" w:type="dxa"/>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077" w:type="dxa"/>
            <w:vAlign w:val="center"/>
          </w:tcPr>
          <w:p>
            <w:pPr>
              <w:jc w:val="center"/>
              <w:rPr>
                <w:rFonts w:ascii="宋体" w:hAnsi="宋体"/>
                <w:szCs w:val="21"/>
              </w:rPr>
            </w:pPr>
          </w:p>
        </w:tc>
        <w:tc>
          <w:tcPr>
            <w:tcW w:w="2008" w:type="dxa"/>
            <w:vAlign w:val="center"/>
          </w:tcPr>
          <w:p>
            <w:pPr>
              <w:jc w:val="center"/>
              <w:rPr>
                <w:rFonts w:ascii="宋体" w:hAnsi="宋体"/>
                <w:szCs w:val="21"/>
              </w:rPr>
            </w:pPr>
            <w:r>
              <w:rPr>
                <w:rFonts w:hint="eastAsia" w:ascii="宋体" w:hAnsi="宋体"/>
                <w:szCs w:val="21"/>
              </w:rPr>
              <w:t>每台包括：</w:t>
            </w:r>
          </w:p>
        </w:tc>
        <w:tc>
          <w:tcPr>
            <w:tcW w:w="851" w:type="dxa"/>
            <w:vAlign w:val="center"/>
          </w:tcPr>
          <w:p>
            <w:pPr>
              <w:jc w:val="center"/>
              <w:rPr>
                <w:rFonts w:ascii="宋体" w:hAnsi="宋体"/>
                <w:szCs w:val="21"/>
              </w:rPr>
            </w:pPr>
          </w:p>
        </w:tc>
        <w:tc>
          <w:tcPr>
            <w:tcW w:w="1417" w:type="dxa"/>
            <w:vAlign w:val="center"/>
          </w:tcPr>
          <w:p>
            <w:pPr>
              <w:jc w:val="center"/>
              <w:rPr>
                <w:rFonts w:ascii="宋体" w:hAnsi="宋体"/>
                <w:szCs w:val="21"/>
              </w:rPr>
            </w:pPr>
          </w:p>
        </w:tc>
        <w:tc>
          <w:tcPr>
            <w:tcW w:w="1559" w:type="dxa"/>
            <w:vAlign w:val="center"/>
          </w:tcPr>
          <w:p>
            <w:pPr>
              <w:jc w:val="center"/>
              <w:rPr>
                <w:rFonts w:ascii="宋体" w:hAnsi="宋体"/>
                <w:b/>
                <w:szCs w:val="21"/>
              </w:rPr>
            </w:pPr>
          </w:p>
        </w:tc>
        <w:tc>
          <w:tcPr>
            <w:tcW w:w="1843" w:type="dxa"/>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1077" w:type="dxa"/>
            <w:vAlign w:val="center"/>
          </w:tcPr>
          <w:p>
            <w:pPr>
              <w:ind w:firstLine="285" w:firstLineChars="150"/>
              <w:rPr>
                <w:rFonts w:ascii="宋体" w:hAnsi="宋体"/>
                <w:szCs w:val="21"/>
              </w:rPr>
            </w:pPr>
            <w:r>
              <w:rPr>
                <w:rFonts w:hint="eastAsia" w:ascii="宋体" w:hAnsi="宋体"/>
                <w:szCs w:val="21"/>
              </w:rPr>
              <w:t>1.1</w:t>
            </w:r>
          </w:p>
        </w:tc>
        <w:tc>
          <w:tcPr>
            <w:tcW w:w="2008" w:type="dxa"/>
            <w:vAlign w:val="center"/>
          </w:tcPr>
          <w:p>
            <w:pPr>
              <w:jc w:val="center"/>
              <w:rPr>
                <w:rFonts w:hint="eastAsia" w:ascii="宋体" w:hAnsi="宋体"/>
                <w:szCs w:val="21"/>
              </w:rPr>
            </w:pPr>
            <w:r>
              <w:rPr>
                <w:rFonts w:hint="eastAsia" w:ascii="宋体" w:hAnsi="宋体"/>
                <w:szCs w:val="21"/>
              </w:rPr>
              <w:t>底座</w:t>
            </w:r>
          </w:p>
        </w:tc>
        <w:tc>
          <w:tcPr>
            <w:tcW w:w="851" w:type="dxa"/>
            <w:vAlign w:val="center"/>
          </w:tcPr>
          <w:p>
            <w:pPr>
              <w:jc w:val="center"/>
              <w:rPr>
                <w:rFonts w:hint="eastAsia" w:ascii="宋体" w:hAnsi="宋体"/>
                <w:szCs w:val="21"/>
              </w:rPr>
            </w:pPr>
            <w:r>
              <w:rPr>
                <w:rFonts w:hint="eastAsia" w:ascii="宋体" w:hAnsi="宋体"/>
                <w:szCs w:val="21"/>
              </w:rPr>
              <w:t>台</w:t>
            </w:r>
          </w:p>
        </w:tc>
        <w:tc>
          <w:tcPr>
            <w:tcW w:w="1417" w:type="dxa"/>
            <w:vAlign w:val="center"/>
          </w:tcPr>
          <w:p>
            <w:pPr>
              <w:jc w:val="center"/>
              <w:rPr>
                <w:rFonts w:hint="eastAsia" w:ascii="宋体" w:hAnsi="宋体"/>
                <w:szCs w:val="21"/>
              </w:rPr>
            </w:pPr>
            <w:r>
              <w:rPr>
                <w:rFonts w:hint="eastAsia" w:ascii="宋体" w:hAnsi="宋体"/>
                <w:szCs w:val="21"/>
              </w:rPr>
              <w:t>1</w:t>
            </w:r>
          </w:p>
        </w:tc>
        <w:tc>
          <w:tcPr>
            <w:tcW w:w="1559" w:type="dxa"/>
            <w:vAlign w:val="center"/>
          </w:tcPr>
          <w:p>
            <w:pPr>
              <w:jc w:val="center"/>
              <w:rPr>
                <w:rFonts w:ascii="宋体" w:hAnsi="宋体"/>
                <w:b/>
                <w:szCs w:val="21"/>
              </w:rPr>
            </w:pPr>
          </w:p>
        </w:tc>
        <w:tc>
          <w:tcPr>
            <w:tcW w:w="1843" w:type="dxa"/>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2" w:hRule="atLeast"/>
        </w:trPr>
        <w:tc>
          <w:tcPr>
            <w:tcW w:w="1077" w:type="dxa"/>
            <w:vAlign w:val="center"/>
          </w:tcPr>
          <w:p>
            <w:pPr>
              <w:jc w:val="center"/>
              <w:rPr>
                <w:rFonts w:hint="eastAsia" w:ascii="宋体" w:hAnsi="宋体"/>
                <w:szCs w:val="21"/>
              </w:rPr>
            </w:pPr>
          </w:p>
        </w:tc>
        <w:tc>
          <w:tcPr>
            <w:tcW w:w="2008" w:type="dxa"/>
            <w:vAlign w:val="center"/>
          </w:tcPr>
          <w:p>
            <w:pPr>
              <w:jc w:val="center"/>
              <w:rPr>
                <w:rFonts w:hint="eastAsia" w:ascii="宋体" w:hAnsi="宋体"/>
                <w:szCs w:val="21"/>
              </w:rPr>
            </w:pPr>
            <w:r>
              <w:rPr>
                <w:rFonts w:hint="eastAsia" w:ascii="宋体" w:hAnsi="宋体"/>
                <w:szCs w:val="21"/>
              </w:rPr>
              <w:t>保持架</w:t>
            </w:r>
          </w:p>
        </w:tc>
        <w:tc>
          <w:tcPr>
            <w:tcW w:w="851" w:type="dxa"/>
            <w:vAlign w:val="center"/>
          </w:tcPr>
          <w:p>
            <w:pPr>
              <w:jc w:val="center"/>
              <w:rPr>
                <w:rFonts w:hint="eastAsia" w:ascii="宋体" w:hAnsi="宋体"/>
                <w:szCs w:val="21"/>
              </w:rPr>
            </w:pPr>
            <w:r>
              <w:rPr>
                <w:rFonts w:hint="eastAsia" w:ascii="宋体" w:hAnsi="宋体"/>
                <w:szCs w:val="21"/>
              </w:rPr>
              <w:t>套</w:t>
            </w:r>
          </w:p>
        </w:tc>
        <w:tc>
          <w:tcPr>
            <w:tcW w:w="1417" w:type="dxa"/>
            <w:vAlign w:val="center"/>
          </w:tcPr>
          <w:p>
            <w:pPr>
              <w:jc w:val="center"/>
              <w:rPr>
                <w:rFonts w:hint="eastAsia" w:ascii="宋体" w:hAnsi="宋体"/>
                <w:szCs w:val="21"/>
              </w:rPr>
            </w:pPr>
            <w:r>
              <w:rPr>
                <w:rFonts w:hint="eastAsia" w:ascii="宋体" w:hAnsi="宋体"/>
                <w:szCs w:val="21"/>
              </w:rPr>
              <w:t>1</w:t>
            </w:r>
          </w:p>
        </w:tc>
        <w:tc>
          <w:tcPr>
            <w:tcW w:w="1559" w:type="dxa"/>
            <w:vAlign w:val="center"/>
          </w:tcPr>
          <w:p>
            <w:pPr>
              <w:jc w:val="center"/>
              <w:rPr>
                <w:rFonts w:ascii="宋体" w:hAnsi="宋体"/>
                <w:b/>
                <w:szCs w:val="21"/>
              </w:rPr>
            </w:pPr>
          </w:p>
        </w:tc>
        <w:tc>
          <w:tcPr>
            <w:tcW w:w="1843" w:type="dxa"/>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2" w:hRule="atLeast"/>
        </w:trPr>
        <w:tc>
          <w:tcPr>
            <w:tcW w:w="1077" w:type="dxa"/>
            <w:vAlign w:val="center"/>
          </w:tcPr>
          <w:p>
            <w:pPr>
              <w:rPr>
                <w:rFonts w:hint="eastAsia" w:ascii="宋体" w:hAnsi="宋体"/>
                <w:szCs w:val="21"/>
              </w:rPr>
            </w:pPr>
          </w:p>
        </w:tc>
        <w:tc>
          <w:tcPr>
            <w:tcW w:w="2008" w:type="dxa"/>
            <w:vAlign w:val="center"/>
          </w:tcPr>
          <w:p>
            <w:pPr>
              <w:jc w:val="center"/>
              <w:rPr>
                <w:rFonts w:hint="eastAsia" w:ascii="宋体" w:hAnsi="宋体"/>
                <w:szCs w:val="21"/>
              </w:rPr>
            </w:pPr>
            <w:r>
              <w:rPr>
                <w:rFonts w:hint="eastAsia" w:ascii="宋体" w:hAnsi="宋体"/>
                <w:szCs w:val="21"/>
              </w:rPr>
              <w:t>异形楔块</w:t>
            </w:r>
          </w:p>
        </w:tc>
        <w:tc>
          <w:tcPr>
            <w:tcW w:w="851" w:type="dxa"/>
            <w:vAlign w:val="center"/>
          </w:tcPr>
          <w:p>
            <w:pPr>
              <w:jc w:val="center"/>
              <w:rPr>
                <w:rFonts w:hint="eastAsia" w:ascii="宋体" w:hAnsi="宋体"/>
                <w:szCs w:val="21"/>
              </w:rPr>
            </w:pPr>
            <w:r>
              <w:rPr>
                <w:rFonts w:hint="eastAsia" w:ascii="宋体" w:hAnsi="宋体"/>
                <w:szCs w:val="21"/>
              </w:rPr>
              <w:t>套</w:t>
            </w:r>
          </w:p>
        </w:tc>
        <w:tc>
          <w:tcPr>
            <w:tcW w:w="1417" w:type="dxa"/>
            <w:vAlign w:val="center"/>
          </w:tcPr>
          <w:p>
            <w:pPr>
              <w:jc w:val="center"/>
              <w:rPr>
                <w:rFonts w:hint="eastAsia" w:ascii="宋体" w:hAnsi="宋体"/>
                <w:szCs w:val="21"/>
              </w:rPr>
            </w:pPr>
            <w:r>
              <w:rPr>
                <w:rFonts w:hint="eastAsia" w:ascii="宋体" w:hAnsi="宋体"/>
                <w:szCs w:val="21"/>
              </w:rPr>
              <w:t>1</w:t>
            </w:r>
          </w:p>
        </w:tc>
        <w:tc>
          <w:tcPr>
            <w:tcW w:w="1559" w:type="dxa"/>
            <w:vAlign w:val="center"/>
          </w:tcPr>
          <w:p>
            <w:pPr>
              <w:jc w:val="center"/>
              <w:rPr>
                <w:rFonts w:ascii="宋体" w:hAnsi="宋体"/>
                <w:b/>
                <w:szCs w:val="21"/>
              </w:rPr>
            </w:pPr>
          </w:p>
        </w:tc>
        <w:tc>
          <w:tcPr>
            <w:tcW w:w="1843" w:type="dxa"/>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2" w:hRule="atLeast"/>
        </w:trPr>
        <w:tc>
          <w:tcPr>
            <w:tcW w:w="1077" w:type="dxa"/>
            <w:vAlign w:val="center"/>
          </w:tcPr>
          <w:p>
            <w:pPr>
              <w:rPr>
                <w:rFonts w:hint="eastAsia" w:ascii="宋体" w:hAnsi="宋体"/>
                <w:szCs w:val="21"/>
              </w:rPr>
            </w:pPr>
            <w:r>
              <w:rPr>
                <w:rFonts w:hint="eastAsia" w:ascii="宋体" w:hAnsi="宋体"/>
                <w:szCs w:val="21"/>
              </w:rPr>
              <w:t xml:space="preserve">   </w:t>
            </w:r>
          </w:p>
        </w:tc>
        <w:tc>
          <w:tcPr>
            <w:tcW w:w="2008" w:type="dxa"/>
            <w:vAlign w:val="center"/>
          </w:tcPr>
          <w:p>
            <w:pPr>
              <w:jc w:val="center"/>
              <w:rPr>
                <w:rFonts w:hint="eastAsia" w:ascii="宋体" w:hAnsi="宋体"/>
                <w:szCs w:val="21"/>
              </w:rPr>
            </w:pPr>
            <w:r>
              <w:rPr>
                <w:rFonts w:hint="eastAsia" w:ascii="宋体" w:hAnsi="宋体"/>
                <w:szCs w:val="21"/>
              </w:rPr>
              <w:t>油封</w:t>
            </w:r>
          </w:p>
        </w:tc>
        <w:tc>
          <w:tcPr>
            <w:tcW w:w="851" w:type="dxa"/>
            <w:vAlign w:val="center"/>
          </w:tcPr>
          <w:p>
            <w:pPr>
              <w:jc w:val="center"/>
              <w:rPr>
                <w:rFonts w:hint="eastAsia" w:ascii="宋体" w:hAnsi="宋体"/>
                <w:szCs w:val="21"/>
              </w:rPr>
            </w:pPr>
            <w:r>
              <w:rPr>
                <w:rFonts w:hint="eastAsia" w:ascii="宋体" w:hAnsi="宋体"/>
                <w:szCs w:val="21"/>
              </w:rPr>
              <w:t>套</w:t>
            </w:r>
          </w:p>
        </w:tc>
        <w:tc>
          <w:tcPr>
            <w:tcW w:w="1417" w:type="dxa"/>
            <w:vAlign w:val="center"/>
          </w:tcPr>
          <w:p>
            <w:pPr>
              <w:jc w:val="center"/>
              <w:rPr>
                <w:rFonts w:hint="eastAsia" w:ascii="宋体" w:hAnsi="宋体"/>
                <w:szCs w:val="21"/>
              </w:rPr>
            </w:pPr>
            <w:r>
              <w:rPr>
                <w:rFonts w:hint="eastAsia" w:ascii="宋体" w:hAnsi="宋体"/>
                <w:szCs w:val="21"/>
              </w:rPr>
              <w:t>1</w:t>
            </w:r>
          </w:p>
        </w:tc>
        <w:tc>
          <w:tcPr>
            <w:tcW w:w="1559" w:type="dxa"/>
            <w:vAlign w:val="center"/>
          </w:tcPr>
          <w:p>
            <w:pPr>
              <w:jc w:val="center"/>
              <w:rPr>
                <w:rFonts w:ascii="宋体" w:hAnsi="宋体"/>
                <w:b/>
                <w:szCs w:val="21"/>
              </w:rPr>
            </w:pPr>
          </w:p>
        </w:tc>
        <w:tc>
          <w:tcPr>
            <w:tcW w:w="1843" w:type="dxa"/>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2" w:hRule="atLeast"/>
        </w:trPr>
        <w:tc>
          <w:tcPr>
            <w:tcW w:w="1077" w:type="dxa"/>
            <w:vAlign w:val="center"/>
          </w:tcPr>
          <w:p>
            <w:pPr>
              <w:jc w:val="center"/>
              <w:rPr>
                <w:rFonts w:hint="eastAsia" w:ascii="宋体" w:hAnsi="宋体"/>
                <w:szCs w:val="21"/>
              </w:rPr>
            </w:pPr>
            <w:r>
              <w:rPr>
                <w:rFonts w:hint="eastAsia" w:ascii="宋体" w:hAnsi="宋体"/>
                <w:szCs w:val="21"/>
              </w:rPr>
              <w:t>1.2</w:t>
            </w:r>
          </w:p>
        </w:tc>
        <w:tc>
          <w:tcPr>
            <w:tcW w:w="2008" w:type="dxa"/>
            <w:vAlign w:val="center"/>
          </w:tcPr>
          <w:p>
            <w:pPr>
              <w:jc w:val="center"/>
              <w:rPr>
                <w:rFonts w:hint="eastAsia" w:ascii="宋体" w:hAnsi="宋体"/>
                <w:szCs w:val="21"/>
              </w:rPr>
            </w:pPr>
            <w:r>
              <w:rPr>
                <w:rFonts w:hint="eastAsia" w:ascii="宋体" w:hAnsi="宋体"/>
                <w:szCs w:val="21"/>
              </w:rPr>
              <w:t>其他</w:t>
            </w:r>
          </w:p>
        </w:tc>
        <w:tc>
          <w:tcPr>
            <w:tcW w:w="851" w:type="dxa"/>
            <w:vAlign w:val="center"/>
          </w:tcPr>
          <w:p>
            <w:pPr>
              <w:jc w:val="center"/>
              <w:rPr>
                <w:rFonts w:hint="eastAsia" w:ascii="宋体" w:hAnsi="宋体"/>
                <w:szCs w:val="21"/>
              </w:rPr>
            </w:pPr>
            <w:r>
              <w:rPr>
                <w:rFonts w:hint="eastAsia" w:ascii="宋体" w:hAnsi="宋体"/>
                <w:szCs w:val="21"/>
              </w:rPr>
              <w:t>套</w:t>
            </w:r>
          </w:p>
        </w:tc>
        <w:tc>
          <w:tcPr>
            <w:tcW w:w="1417" w:type="dxa"/>
            <w:vAlign w:val="center"/>
          </w:tcPr>
          <w:p>
            <w:pPr>
              <w:jc w:val="center"/>
              <w:rPr>
                <w:rFonts w:hint="eastAsia" w:ascii="宋体" w:hAnsi="宋体"/>
                <w:szCs w:val="21"/>
              </w:rPr>
            </w:pPr>
            <w:r>
              <w:rPr>
                <w:rFonts w:hint="eastAsia" w:ascii="宋体" w:hAnsi="宋体"/>
                <w:szCs w:val="21"/>
              </w:rPr>
              <w:t>1</w:t>
            </w:r>
          </w:p>
        </w:tc>
        <w:tc>
          <w:tcPr>
            <w:tcW w:w="1559" w:type="dxa"/>
            <w:vAlign w:val="center"/>
          </w:tcPr>
          <w:p>
            <w:pPr>
              <w:jc w:val="center"/>
              <w:rPr>
                <w:rFonts w:ascii="宋体" w:hAnsi="宋体"/>
                <w:b/>
                <w:szCs w:val="21"/>
              </w:rPr>
            </w:pPr>
          </w:p>
        </w:tc>
        <w:tc>
          <w:tcPr>
            <w:tcW w:w="1843" w:type="dxa"/>
            <w:vAlign w:val="center"/>
          </w:tcPr>
          <w:p>
            <w:pPr>
              <w:jc w:val="center"/>
              <w:rPr>
                <w:rFonts w:ascii="宋体" w:hAnsi="宋体"/>
                <w:szCs w:val="21"/>
              </w:rPr>
            </w:pPr>
          </w:p>
        </w:tc>
      </w:tr>
    </w:tbl>
    <w:p>
      <w:pPr>
        <w:adjustRightInd w:val="0"/>
        <w:snapToGrid w:val="0"/>
        <w:spacing w:beforeLines="100" w:afterLines="100" w:line="360" w:lineRule="auto"/>
        <w:rPr>
          <w:rFonts w:ascii="宋体" w:hAnsi="宋体"/>
          <w:spacing w:val="0"/>
          <w:sz w:val="21"/>
          <w:szCs w:val="21"/>
        </w:rPr>
      </w:pPr>
      <w:r>
        <w:rPr>
          <w:rFonts w:hint="eastAsia"/>
          <w:b/>
        </w:rPr>
        <w:t>二</w:t>
      </w:r>
      <w:r>
        <w:rPr>
          <w:rFonts w:hint="eastAsia" w:ascii="宋体" w:hAnsi="宋体"/>
          <w:spacing w:val="0"/>
          <w:sz w:val="21"/>
          <w:szCs w:val="21"/>
        </w:rPr>
        <w:t>、工作环境</w:t>
      </w:r>
    </w:p>
    <w:p>
      <w:pPr>
        <w:adjustRightInd w:val="0"/>
        <w:snapToGrid w:val="0"/>
        <w:spacing w:line="360" w:lineRule="auto"/>
        <w:ind w:firstLine="420" w:firstLineChars="200"/>
        <w:rPr>
          <w:rFonts w:ascii="宋体" w:hAnsi="宋体"/>
          <w:spacing w:val="0"/>
          <w:sz w:val="21"/>
          <w:szCs w:val="21"/>
        </w:rPr>
      </w:pPr>
      <w:r>
        <w:rPr>
          <w:rFonts w:hint="eastAsia" w:ascii="宋体" w:hAnsi="宋体"/>
          <w:spacing w:val="0"/>
          <w:sz w:val="21"/>
          <w:szCs w:val="21"/>
        </w:rPr>
        <w:t>使用环境：</w:t>
      </w:r>
      <w:r>
        <w:rPr>
          <w:rFonts w:hint="eastAsia" w:ascii="宋体" w:hAnsi="宋体"/>
          <w:spacing w:val="0"/>
          <w:sz w:val="21"/>
          <w:szCs w:val="21"/>
          <w:u w:val="single"/>
        </w:rPr>
        <w:t xml:space="preserve"> 有潮湿空气、煤尘、瓦斯的地面环境中使用 </w:t>
      </w:r>
      <w:r>
        <w:rPr>
          <w:rFonts w:hint="eastAsia" w:ascii="宋体" w:hAnsi="宋体"/>
          <w:spacing w:val="0"/>
          <w:sz w:val="21"/>
          <w:szCs w:val="21"/>
        </w:rPr>
        <w:t>。</w:t>
      </w:r>
    </w:p>
    <w:p>
      <w:pPr>
        <w:adjustRightInd w:val="0"/>
        <w:snapToGrid w:val="0"/>
        <w:spacing w:line="360" w:lineRule="auto"/>
        <w:ind w:firstLine="420" w:firstLineChars="200"/>
        <w:rPr>
          <w:rFonts w:ascii="宋体" w:hAnsi="宋体"/>
          <w:spacing w:val="0"/>
          <w:sz w:val="21"/>
          <w:szCs w:val="21"/>
          <w:u w:val="single"/>
        </w:rPr>
      </w:pPr>
      <w:r>
        <w:rPr>
          <w:rFonts w:hint="eastAsia" w:ascii="宋体" w:hAnsi="宋体"/>
          <w:spacing w:val="0"/>
          <w:sz w:val="21"/>
          <w:szCs w:val="21"/>
        </w:rPr>
        <w:t>最高温度：</w:t>
      </w:r>
      <w:r>
        <w:rPr>
          <w:rFonts w:hint="eastAsia" w:ascii="宋体" w:hAnsi="宋体"/>
          <w:spacing w:val="0"/>
          <w:sz w:val="21"/>
          <w:szCs w:val="21"/>
          <w:u w:val="single"/>
        </w:rPr>
        <w:t xml:space="preserve"> 50℃ 。</w:t>
      </w:r>
    </w:p>
    <w:p>
      <w:pPr>
        <w:adjustRightInd w:val="0"/>
        <w:snapToGrid w:val="0"/>
        <w:spacing w:line="360" w:lineRule="auto"/>
        <w:ind w:firstLine="420" w:firstLineChars="200"/>
        <w:rPr>
          <w:rFonts w:ascii="宋体" w:hAnsi="宋体"/>
          <w:spacing w:val="0"/>
          <w:sz w:val="21"/>
          <w:szCs w:val="21"/>
        </w:rPr>
      </w:pPr>
      <w:r>
        <w:rPr>
          <w:rFonts w:hint="eastAsia" w:ascii="宋体" w:hAnsi="宋体"/>
          <w:spacing w:val="0"/>
          <w:sz w:val="21"/>
          <w:szCs w:val="21"/>
        </w:rPr>
        <w:t>最低温度：</w:t>
      </w:r>
      <w:r>
        <w:rPr>
          <w:rFonts w:hint="eastAsia" w:ascii="宋体" w:hAnsi="宋体"/>
          <w:spacing w:val="0"/>
          <w:sz w:val="21"/>
          <w:szCs w:val="21"/>
          <w:u w:val="single"/>
        </w:rPr>
        <w:t xml:space="preserve"> -40℃ 。</w:t>
      </w:r>
    </w:p>
    <w:p>
      <w:pPr>
        <w:adjustRightInd w:val="0"/>
        <w:snapToGrid w:val="0"/>
        <w:spacing w:line="360" w:lineRule="auto"/>
        <w:ind w:firstLine="420" w:firstLineChars="200"/>
        <w:rPr>
          <w:rFonts w:ascii="宋体" w:hAnsi="宋体"/>
          <w:spacing w:val="0"/>
          <w:sz w:val="21"/>
          <w:szCs w:val="21"/>
          <w:u w:val="single"/>
        </w:rPr>
      </w:pPr>
      <w:r>
        <w:rPr>
          <w:rFonts w:hint="eastAsia" w:ascii="宋体" w:hAnsi="宋体"/>
          <w:spacing w:val="0"/>
          <w:sz w:val="21"/>
          <w:szCs w:val="21"/>
        </w:rPr>
        <w:t>年平均气温：</w:t>
      </w:r>
      <w:r>
        <w:rPr>
          <w:rFonts w:hint="eastAsia" w:ascii="宋体" w:hAnsi="宋体"/>
          <w:spacing w:val="0"/>
          <w:sz w:val="21"/>
          <w:szCs w:val="21"/>
          <w:u w:val="single"/>
        </w:rPr>
        <w:t xml:space="preserve"> ≤35℃ 。</w:t>
      </w:r>
    </w:p>
    <w:p>
      <w:pPr>
        <w:adjustRightInd w:val="0"/>
        <w:snapToGrid w:val="0"/>
        <w:spacing w:line="360" w:lineRule="auto"/>
        <w:ind w:firstLine="420" w:firstLineChars="200"/>
        <w:rPr>
          <w:rFonts w:ascii="宋体" w:hAnsi="宋体"/>
          <w:spacing w:val="0"/>
          <w:sz w:val="21"/>
          <w:szCs w:val="21"/>
          <w:u w:val="single"/>
        </w:rPr>
      </w:pPr>
      <w:r>
        <w:rPr>
          <w:rFonts w:hint="eastAsia" w:ascii="宋体" w:hAnsi="宋体"/>
          <w:spacing w:val="0"/>
          <w:sz w:val="21"/>
          <w:szCs w:val="21"/>
        </w:rPr>
        <w:t>环境相对湿度：</w:t>
      </w:r>
      <w:r>
        <w:rPr>
          <w:rFonts w:hint="eastAsia" w:ascii="宋体" w:hAnsi="宋体"/>
          <w:spacing w:val="0"/>
          <w:sz w:val="21"/>
          <w:szCs w:val="21"/>
          <w:u w:val="single"/>
        </w:rPr>
        <w:t xml:space="preserve"> 日平均值≤95%（+25℃）。</w:t>
      </w:r>
    </w:p>
    <w:p>
      <w:pPr>
        <w:adjustRightInd w:val="0"/>
        <w:snapToGrid w:val="0"/>
        <w:spacing w:line="360" w:lineRule="auto"/>
        <w:ind w:firstLine="420" w:firstLineChars="200"/>
        <w:rPr>
          <w:rFonts w:ascii="宋体" w:hAnsi="宋体"/>
          <w:spacing w:val="0"/>
          <w:sz w:val="21"/>
          <w:szCs w:val="21"/>
        </w:rPr>
      </w:pPr>
      <w:r>
        <w:rPr>
          <w:rFonts w:hint="eastAsia" w:ascii="宋体" w:hAnsi="宋体"/>
          <w:spacing w:val="0"/>
          <w:sz w:val="21"/>
          <w:szCs w:val="21"/>
        </w:rPr>
        <w:t xml:space="preserve">地震烈度： </w:t>
      </w:r>
      <w:r>
        <w:rPr>
          <w:rFonts w:hint="eastAsia" w:ascii="宋体" w:hAnsi="宋体"/>
          <w:spacing w:val="0"/>
          <w:sz w:val="21"/>
          <w:szCs w:val="21"/>
          <w:u w:val="single"/>
        </w:rPr>
        <w:t>≤6级 。</w:t>
      </w:r>
    </w:p>
    <w:p>
      <w:pPr>
        <w:adjustRightInd w:val="0"/>
        <w:snapToGrid w:val="0"/>
        <w:spacing w:line="360" w:lineRule="auto"/>
        <w:ind w:firstLine="420" w:firstLineChars="200"/>
        <w:rPr>
          <w:rFonts w:ascii="宋体" w:hAnsi="宋体"/>
          <w:spacing w:val="0"/>
          <w:sz w:val="21"/>
          <w:szCs w:val="21"/>
          <w:u w:val="single"/>
        </w:rPr>
      </w:pPr>
      <w:r>
        <w:rPr>
          <w:rFonts w:hint="eastAsia" w:ascii="宋体" w:hAnsi="宋体"/>
          <w:spacing w:val="0"/>
          <w:sz w:val="21"/>
          <w:szCs w:val="21"/>
        </w:rPr>
        <w:t xml:space="preserve">海拔高度： </w:t>
      </w:r>
      <w:r>
        <w:rPr>
          <w:rFonts w:hint="eastAsia" w:ascii="宋体" w:hAnsi="宋体"/>
          <w:spacing w:val="0"/>
          <w:sz w:val="21"/>
          <w:szCs w:val="21"/>
          <w:u w:val="single"/>
        </w:rPr>
        <w:t>≤1400米 。</w:t>
      </w:r>
    </w:p>
    <w:p>
      <w:pPr>
        <w:adjustRightInd w:val="0"/>
        <w:snapToGrid w:val="0"/>
        <w:spacing w:line="360" w:lineRule="auto"/>
        <w:ind w:firstLine="420" w:firstLineChars="200"/>
        <w:rPr>
          <w:b/>
        </w:rPr>
      </w:pPr>
      <w:r>
        <w:rPr>
          <w:rFonts w:hint="eastAsia" w:ascii="宋体" w:hAnsi="宋体"/>
          <w:spacing w:val="0"/>
          <w:sz w:val="21"/>
          <w:szCs w:val="21"/>
        </w:rPr>
        <w:t>安装场所及用途：</w:t>
      </w:r>
      <w:r>
        <w:rPr>
          <w:rFonts w:hint="eastAsia" w:ascii="宋体" w:hAnsi="宋体"/>
          <w:spacing w:val="0"/>
          <w:sz w:val="21"/>
          <w:szCs w:val="21"/>
          <w:u w:val="single"/>
        </w:rPr>
        <w:t xml:space="preserve"> 补连塔选煤厂507胶带机使用。</w:t>
      </w:r>
    </w:p>
    <w:p>
      <w:pPr>
        <w:adjustRightInd w:val="0"/>
        <w:snapToGrid w:val="0"/>
        <w:spacing w:beforeLines="100" w:afterLines="100" w:line="360" w:lineRule="auto"/>
        <w:rPr>
          <w:b/>
        </w:rPr>
      </w:pPr>
      <w:r>
        <w:rPr>
          <w:rFonts w:hint="eastAsia"/>
          <w:b/>
        </w:rPr>
        <w:t>三、技术参数及要求</w:t>
      </w:r>
    </w:p>
    <w:p>
      <w:pPr>
        <w:numPr>
          <w:ilvl w:val="0"/>
          <w:numId w:val="1"/>
        </w:numPr>
        <w:spacing w:line="360" w:lineRule="auto"/>
        <w:rPr>
          <w:rFonts w:ascii="宋体" w:hAnsi="宋体"/>
          <w:spacing w:val="0"/>
          <w:sz w:val="21"/>
          <w:szCs w:val="21"/>
        </w:rPr>
      </w:pPr>
      <w:r>
        <w:rPr>
          <w:rFonts w:hint="eastAsia" w:ascii="宋体" w:hAnsi="宋体"/>
          <w:spacing w:val="0"/>
          <w:sz w:val="21"/>
          <w:szCs w:val="21"/>
        </w:rPr>
        <w:t>技术参数</w:t>
      </w:r>
    </w:p>
    <w:p>
      <w:pPr>
        <w:spacing w:line="360" w:lineRule="auto"/>
        <w:ind w:firstLine="570" w:firstLineChars="300"/>
        <w:rPr>
          <w:rFonts w:ascii="宋体" w:hAnsi="宋体"/>
          <w:spacing w:val="0"/>
          <w:sz w:val="21"/>
          <w:szCs w:val="21"/>
        </w:rPr>
      </w:pPr>
      <w:r>
        <w:rPr>
          <w:rFonts w:hint="eastAsia" w:ascii="宋体" w:hAnsi="宋体"/>
          <w:szCs w:val="21"/>
        </w:rPr>
        <w:t>1.1 参考型号：</w:t>
      </w:r>
      <w:r>
        <w:rPr>
          <w:rFonts w:hint="eastAsia" w:ascii="宋体" w:hAnsi="宋体"/>
          <w:spacing w:val="0"/>
          <w:sz w:val="21"/>
          <w:szCs w:val="21"/>
          <w:u w:val="single"/>
        </w:rPr>
        <w:t>NJ（ DSN）90</w:t>
      </w:r>
      <w:r>
        <w:rPr>
          <w:rFonts w:hint="eastAsia" w:ascii="宋体" w:hAnsi="宋体"/>
          <w:szCs w:val="21"/>
          <w:u w:val="single"/>
        </w:rPr>
        <w:t>。</w:t>
      </w:r>
    </w:p>
    <w:p>
      <w:pPr>
        <w:pStyle w:val="14"/>
        <w:spacing w:line="360" w:lineRule="auto"/>
        <w:ind w:firstLine="315" w:firstLineChars="150"/>
        <w:rPr>
          <w:rFonts w:ascii="宋体" w:hAnsi="宋体"/>
          <w:kern w:val="0"/>
          <w:szCs w:val="21"/>
        </w:rPr>
      </w:pPr>
      <w:r>
        <w:rPr>
          <w:rFonts w:hint="eastAsia" w:ascii="宋体" w:hAnsi="宋体"/>
          <w:kern w:val="0"/>
          <w:szCs w:val="21"/>
        </w:rPr>
        <w:t>* 1.2额定逆止力矩：</w:t>
      </w:r>
      <w:r>
        <w:rPr>
          <w:rFonts w:hint="eastAsia" w:ascii="宋体" w:hAnsi="宋体"/>
          <w:kern w:val="0"/>
          <w:szCs w:val="21"/>
          <w:u w:val="single"/>
        </w:rPr>
        <w:t>≤90000 (N</w:t>
      </w:r>
      <w:r>
        <w:rPr>
          <w:rFonts w:hint="eastAsia" w:ascii="宋体" w:hAnsi="宋体"/>
          <w:kern w:val="0"/>
          <w:szCs w:val="21"/>
        </w:rPr>
        <w:t>.</w:t>
      </w:r>
      <w:r>
        <w:rPr>
          <w:rFonts w:hint="eastAsia" w:ascii="宋体" w:hAnsi="宋体"/>
          <w:kern w:val="0"/>
          <w:szCs w:val="21"/>
          <w:u w:val="single"/>
        </w:rPr>
        <w:t>m)</w:t>
      </w:r>
      <w:r>
        <w:rPr>
          <w:rFonts w:hint="eastAsia" w:ascii="宋体" w:hAnsi="宋体"/>
          <w:kern w:val="0"/>
          <w:szCs w:val="21"/>
        </w:rPr>
        <w:t>。</w:t>
      </w:r>
    </w:p>
    <w:p>
      <w:pPr>
        <w:pStyle w:val="14"/>
        <w:spacing w:line="360" w:lineRule="auto"/>
        <w:ind w:firstLine="315" w:firstLineChars="150"/>
        <w:rPr>
          <w:rFonts w:ascii="宋体" w:hAnsi="宋体"/>
          <w:kern w:val="0"/>
          <w:szCs w:val="21"/>
        </w:rPr>
      </w:pPr>
      <w:r>
        <w:rPr>
          <w:rFonts w:hint="eastAsia" w:ascii="宋体" w:hAnsi="宋体"/>
          <w:kern w:val="0"/>
          <w:szCs w:val="21"/>
        </w:rPr>
        <w:t>* 1.3内圈最高转速：</w:t>
      </w:r>
      <w:r>
        <w:rPr>
          <w:rFonts w:hint="eastAsia" w:ascii="宋体" w:hAnsi="宋体"/>
          <w:kern w:val="0"/>
          <w:szCs w:val="21"/>
          <w:u w:val="single"/>
        </w:rPr>
        <w:t>≤ 100（r/min）</w:t>
      </w:r>
      <w:r>
        <w:rPr>
          <w:rFonts w:hint="eastAsia" w:ascii="宋体" w:hAnsi="宋体"/>
          <w:kern w:val="0"/>
          <w:szCs w:val="21"/>
        </w:rPr>
        <w:t>。</w:t>
      </w:r>
    </w:p>
    <w:p>
      <w:pPr>
        <w:pStyle w:val="14"/>
        <w:spacing w:line="360" w:lineRule="auto"/>
        <w:ind w:firstLine="315" w:firstLineChars="150"/>
        <w:rPr>
          <w:rFonts w:ascii="宋体" w:hAnsi="宋体"/>
          <w:kern w:val="0"/>
          <w:szCs w:val="21"/>
        </w:rPr>
      </w:pPr>
      <w:r>
        <w:rPr>
          <w:rFonts w:hint="eastAsia" w:ascii="宋体" w:hAnsi="宋体"/>
          <w:kern w:val="0"/>
          <w:szCs w:val="21"/>
        </w:rPr>
        <w:t>* 1.4空转阻力矩：</w:t>
      </w:r>
      <w:r>
        <w:rPr>
          <w:rFonts w:hint="eastAsia" w:ascii="宋体" w:hAnsi="宋体"/>
          <w:kern w:val="0"/>
          <w:szCs w:val="21"/>
          <w:u w:val="single"/>
        </w:rPr>
        <w:t>≤86（N.m）</w:t>
      </w:r>
      <w:r>
        <w:rPr>
          <w:rFonts w:hint="eastAsia" w:ascii="宋体" w:hAnsi="宋体"/>
          <w:kern w:val="0"/>
          <w:szCs w:val="21"/>
        </w:rPr>
        <w:t>。</w:t>
      </w:r>
    </w:p>
    <w:p>
      <w:pPr>
        <w:spacing w:line="360" w:lineRule="auto"/>
        <w:ind w:firstLine="475" w:firstLineChars="250"/>
      </w:pPr>
      <w:r>
        <w:rPr>
          <w:rFonts w:hint="eastAsia" w:ascii="宋体" w:hAnsi="宋体"/>
          <w:szCs w:val="21"/>
        </w:rPr>
        <w:t xml:space="preserve"> 1.5</w:t>
      </w:r>
      <w:r>
        <w:rPr>
          <w:rFonts w:hint="eastAsia"/>
        </w:rPr>
        <w:t>孔径</w:t>
      </w:r>
      <w:r>
        <w:rPr>
          <w:rFonts w:hint="eastAsia" w:ascii="宋体" w:hAnsi="宋体"/>
          <w:szCs w:val="21"/>
        </w:rPr>
        <w:t>：</w:t>
      </w:r>
      <w:r>
        <w:rPr>
          <w:rFonts w:hint="eastAsia" w:ascii="宋体" w:hAnsi="宋体"/>
          <w:szCs w:val="21"/>
          <w:u w:val="single"/>
        </w:rPr>
        <w:t>≤250（</w:t>
      </w:r>
      <w:r>
        <w:rPr>
          <w:rFonts w:hint="eastAsia" w:ascii="宋体" w:hAnsi="宋体"/>
          <w:spacing w:val="0"/>
          <w:sz w:val="21"/>
          <w:szCs w:val="21"/>
          <w:u w:val="single"/>
        </w:rPr>
        <w:t>mm）。</w:t>
      </w:r>
    </w:p>
    <w:p>
      <w:pPr>
        <w:pStyle w:val="14"/>
        <w:spacing w:line="360" w:lineRule="auto"/>
        <w:ind w:firstLine="525" w:firstLineChars="250"/>
        <w:rPr>
          <w:rFonts w:ascii="宋体" w:hAnsi="宋体"/>
          <w:kern w:val="0"/>
          <w:szCs w:val="21"/>
        </w:rPr>
      </w:pPr>
      <w:r>
        <w:rPr>
          <w:rFonts w:hint="eastAsia" w:ascii="宋体" w:hAnsi="宋体"/>
          <w:kern w:val="0"/>
          <w:szCs w:val="21"/>
        </w:rPr>
        <w:t>1.6最大质量：</w:t>
      </w:r>
      <w:r>
        <w:rPr>
          <w:rFonts w:hint="eastAsia" w:ascii="宋体" w:hAnsi="宋体"/>
          <w:kern w:val="0"/>
          <w:szCs w:val="21"/>
          <w:u w:val="single"/>
        </w:rPr>
        <w:t>≤644（kg）</w:t>
      </w:r>
      <w:r>
        <w:rPr>
          <w:rFonts w:hint="eastAsia" w:ascii="宋体" w:hAnsi="宋体"/>
          <w:kern w:val="0"/>
          <w:szCs w:val="21"/>
        </w:rPr>
        <w:t>。</w:t>
      </w:r>
    </w:p>
    <w:p>
      <w:pPr>
        <w:adjustRightInd w:val="0"/>
        <w:snapToGrid w:val="0"/>
        <w:spacing w:line="360" w:lineRule="auto"/>
        <w:rPr>
          <w:rFonts w:ascii="宋体" w:hAnsi="宋体"/>
          <w:spacing w:val="0"/>
          <w:sz w:val="21"/>
          <w:szCs w:val="21"/>
        </w:rPr>
      </w:pPr>
      <w:r>
        <w:rPr>
          <w:rFonts w:hint="eastAsia" w:ascii="宋体" w:hAnsi="宋体"/>
          <w:spacing w:val="0"/>
          <w:sz w:val="21"/>
          <w:szCs w:val="21"/>
        </w:rPr>
        <w:t>2. 技术要求</w:t>
      </w:r>
    </w:p>
    <w:p>
      <w:pPr>
        <w:pStyle w:val="14"/>
        <w:spacing w:line="360" w:lineRule="auto"/>
        <w:ind w:firstLine="525" w:firstLineChars="250"/>
        <w:rPr>
          <w:rFonts w:ascii="宋体" w:hAnsi="宋体"/>
          <w:kern w:val="0"/>
          <w:szCs w:val="21"/>
        </w:rPr>
      </w:pPr>
      <w:r>
        <w:rPr>
          <w:rFonts w:hint="eastAsia" w:ascii="宋体" w:hAnsi="宋体"/>
          <w:kern w:val="0"/>
          <w:szCs w:val="21"/>
        </w:rPr>
        <w:t>2.1 逆止器在额定逆止力矩下，其锲块、内圈、外圈不应出现裂痕、塑性变形和点蚀。</w:t>
      </w:r>
    </w:p>
    <w:p>
      <w:pPr>
        <w:pStyle w:val="14"/>
        <w:spacing w:line="360" w:lineRule="auto"/>
        <w:ind w:firstLine="525" w:firstLineChars="250"/>
        <w:rPr>
          <w:rFonts w:ascii="宋体" w:hAnsi="宋体"/>
          <w:kern w:val="0"/>
          <w:szCs w:val="21"/>
        </w:rPr>
      </w:pPr>
      <w:r>
        <w:rPr>
          <w:rFonts w:hint="eastAsia" w:ascii="宋体" w:hAnsi="宋体"/>
          <w:kern w:val="0"/>
          <w:szCs w:val="21"/>
        </w:rPr>
        <w:t>2.2每台逆止器应在明显位置固定产品铭牌，在端面固定旋向指示牌，内圈转动方向应与转向指示牌箭头指示方向一致。产品标牌尺寸应符合GB/T13306的规定，内容应包括：产品名称，型号，规格，出厂编号，制造日期和制造厂名。</w:t>
      </w:r>
    </w:p>
    <w:p>
      <w:pPr>
        <w:pStyle w:val="14"/>
        <w:spacing w:line="360" w:lineRule="auto"/>
        <w:ind w:firstLine="315" w:firstLineChars="150"/>
        <w:rPr>
          <w:rFonts w:ascii="宋体" w:hAnsi="宋体"/>
          <w:kern w:val="0"/>
          <w:szCs w:val="21"/>
        </w:rPr>
      </w:pPr>
      <w:r>
        <w:rPr>
          <w:rFonts w:hint="eastAsia" w:ascii="宋体" w:hAnsi="宋体"/>
          <w:kern w:val="0"/>
          <w:szCs w:val="21"/>
        </w:rPr>
        <w:t xml:space="preserve"> 2.3逆止器类型：</w:t>
      </w:r>
      <w:r>
        <w:rPr>
          <w:rFonts w:hint="eastAsia" w:ascii="宋体" w:hAnsi="宋体"/>
          <w:kern w:val="0"/>
          <w:szCs w:val="21"/>
          <w:u w:val="single"/>
        </w:rPr>
        <w:t>低速逆止器。</w:t>
      </w:r>
    </w:p>
    <w:p>
      <w:pPr>
        <w:pStyle w:val="14"/>
        <w:spacing w:line="360" w:lineRule="auto"/>
        <w:ind w:firstLine="315" w:firstLineChars="150"/>
        <w:rPr>
          <w:rFonts w:ascii="宋体" w:hAnsi="宋体"/>
          <w:kern w:val="0"/>
          <w:szCs w:val="21"/>
        </w:rPr>
      </w:pPr>
      <w:r>
        <w:rPr>
          <w:rFonts w:hint="eastAsia" w:ascii="宋体" w:hAnsi="宋体"/>
          <w:kern w:val="0"/>
          <w:szCs w:val="21"/>
        </w:rPr>
        <w:t>*2.4内外圈材料采用</w:t>
      </w:r>
      <w:r>
        <w:rPr>
          <w:rFonts w:hint="eastAsia" w:ascii="宋体" w:hAnsi="宋体"/>
          <w:kern w:val="0"/>
          <w:szCs w:val="21"/>
          <w:lang w:eastAsia="zh-CN"/>
        </w:rPr>
        <w:t>不低于</w:t>
      </w:r>
      <w:r>
        <w:rPr>
          <w:rFonts w:hint="eastAsia" w:ascii="宋体" w:hAnsi="宋体"/>
          <w:kern w:val="0"/>
          <w:szCs w:val="21"/>
        </w:rPr>
        <w:t xml:space="preserve">20CrMnMoVA优质合金钢；异形块材料采用 </w:t>
      </w:r>
      <w:r>
        <w:rPr>
          <w:rFonts w:hint="eastAsia" w:ascii="宋体" w:hAnsi="宋体"/>
          <w:kern w:val="0"/>
          <w:szCs w:val="21"/>
          <w:lang w:eastAsia="zh-CN"/>
        </w:rPr>
        <w:t>不低于</w:t>
      </w:r>
      <w:r>
        <w:rPr>
          <w:rFonts w:hint="eastAsia" w:ascii="宋体" w:hAnsi="宋体"/>
          <w:kern w:val="0"/>
          <w:szCs w:val="21"/>
        </w:rPr>
        <w:t>GCr15SiMn优质合金钢。</w:t>
      </w:r>
    </w:p>
    <w:p>
      <w:pPr>
        <w:pStyle w:val="14"/>
        <w:spacing w:line="360" w:lineRule="auto"/>
        <w:ind w:firstLine="315" w:firstLineChars="150"/>
        <w:rPr>
          <w:rFonts w:hint="eastAsia" w:ascii="宋体" w:hAnsi="宋体"/>
          <w:kern w:val="0"/>
          <w:szCs w:val="21"/>
        </w:rPr>
      </w:pPr>
      <w:r>
        <w:rPr>
          <w:rFonts w:hint="eastAsia" w:ascii="宋体" w:hAnsi="宋体"/>
          <w:kern w:val="0"/>
          <w:szCs w:val="21"/>
        </w:rPr>
        <w:t>*2.5</w:t>
      </w:r>
      <w:r>
        <w:rPr>
          <w:rFonts w:hint="eastAsia" w:ascii="宋体" w:hAnsi="宋体"/>
          <w:szCs w:val="21"/>
        </w:rPr>
        <w:t>轴承品牌：</w:t>
      </w:r>
      <w:r>
        <w:rPr>
          <w:szCs w:val="21"/>
        </w:rPr>
        <w:t>SKF</w:t>
      </w:r>
      <w:r>
        <w:rPr>
          <w:rFonts w:hint="eastAsia" w:ascii="宋体" w:cs="宋体"/>
          <w:szCs w:val="21"/>
        </w:rPr>
        <w:t>、</w:t>
      </w:r>
      <w:r>
        <w:rPr>
          <w:szCs w:val="21"/>
        </w:rPr>
        <w:t>FAG</w:t>
      </w:r>
      <w:r>
        <w:rPr>
          <w:rFonts w:hint="eastAsia" w:ascii="宋体" w:cs="宋体"/>
          <w:szCs w:val="21"/>
        </w:rPr>
        <w:t>、</w:t>
      </w:r>
      <w:r>
        <w:rPr>
          <w:szCs w:val="21"/>
        </w:rPr>
        <w:t>TIMKEN</w:t>
      </w:r>
      <w:r>
        <w:rPr>
          <w:rFonts w:hint="eastAsia"/>
          <w:szCs w:val="21"/>
        </w:rPr>
        <w:t>、洛阳轴承集团有限公司</w:t>
      </w:r>
      <w:r>
        <w:rPr>
          <w:rFonts w:hint="eastAsia" w:ascii="宋体" w:cs="宋体"/>
          <w:szCs w:val="21"/>
        </w:rPr>
        <w:t>品牌产品</w:t>
      </w:r>
      <w:r>
        <w:rPr>
          <w:rFonts w:hint="eastAsia" w:ascii="宋体" w:hAnsi="宋体"/>
          <w:kern w:val="0"/>
          <w:szCs w:val="21"/>
        </w:rPr>
        <w:t>；</w:t>
      </w:r>
    </w:p>
    <w:p>
      <w:pPr>
        <w:pStyle w:val="14"/>
        <w:spacing w:line="360" w:lineRule="auto"/>
        <w:ind w:firstLine="315" w:firstLineChars="150"/>
        <w:rPr>
          <w:rFonts w:ascii="宋体" w:hAnsi="宋体"/>
          <w:kern w:val="0"/>
          <w:szCs w:val="21"/>
        </w:rPr>
      </w:pPr>
      <w:r>
        <w:rPr>
          <w:rFonts w:hint="eastAsia" w:ascii="宋体" w:hAnsi="宋体"/>
          <w:kern w:val="0"/>
          <w:szCs w:val="21"/>
        </w:rPr>
        <w:t>△2.6逆止器外露表面应涂有一层底漆。两层面漆；油漆干膜厚度不应小于75μm。</w:t>
      </w:r>
    </w:p>
    <w:p>
      <w:pPr>
        <w:pStyle w:val="14"/>
        <w:spacing w:line="360" w:lineRule="auto"/>
        <w:ind w:firstLine="525" w:firstLineChars="250"/>
        <w:rPr>
          <w:rFonts w:ascii="宋体" w:hAnsi="宋体"/>
          <w:kern w:val="0"/>
          <w:szCs w:val="21"/>
        </w:rPr>
      </w:pPr>
      <w:r>
        <w:rPr>
          <w:rFonts w:hint="eastAsia" w:ascii="宋体" w:hAnsi="宋体"/>
          <w:kern w:val="0"/>
          <w:szCs w:val="21"/>
        </w:rPr>
        <w:t>2.7轴孔为平键连接，平键应符合GB/T1095-2003的规定。</w:t>
      </w:r>
    </w:p>
    <w:p>
      <w:pPr>
        <w:pStyle w:val="14"/>
        <w:spacing w:line="360" w:lineRule="auto"/>
        <w:ind w:firstLine="525" w:firstLineChars="250"/>
        <w:rPr>
          <w:rFonts w:ascii="宋体" w:hAnsi="宋体"/>
          <w:kern w:val="0"/>
          <w:szCs w:val="21"/>
        </w:rPr>
      </w:pPr>
      <w:r>
        <w:rPr>
          <w:rFonts w:hint="eastAsia" w:ascii="宋体" w:hAnsi="宋体"/>
          <w:kern w:val="0"/>
          <w:szCs w:val="21"/>
        </w:rPr>
        <w:t>2.8</w:t>
      </w:r>
      <w:r>
        <w:rPr>
          <w:rFonts w:ascii="宋体" w:hAnsi="宋体"/>
          <w:kern w:val="0"/>
          <w:szCs w:val="21"/>
        </w:rPr>
        <w:t xml:space="preserve"> </w:t>
      </w:r>
      <w:r>
        <w:rPr>
          <w:rFonts w:hint="eastAsia" w:ascii="宋体" w:hAnsi="宋体"/>
          <w:kern w:val="0"/>
          <w:szCs w:val="21"/>
        </w:rPr>
        <w:t>逆止器的包装应符合GB/T13384-2008的规定，包装时内圈内控和销轴涂抹防锈油脂。</w:t>
      </w:r>
    </w:p>
    <w:p>
      <w:pPr>
        <w:pStyle w:val="14"/>
        <w:spacing w:line="360" w:lineRule="auto"/>
        <w:ind w:firstLine="315" w:firstLineChars="150"/>
        <w:rPr>
          <w:rFonts w:ascii="宋体" w:hAnsi="宋体"/>
          <w:kern w:val="0"/>
          <w:szCs w:val="21"/>
        </w:rPr>
      </w:pPr>
      <w:r>
        <w:rPr>
          <w:rFonts w:hint="eastAsia" w:ascii="宋体" w:hAnsi="宋体"/>
          <w:kern w:val="0"/>
          <w:szCs w:val="21"/>
        </w:rPr>
        <w:t>* 2.9按照配套尺寸要求现场测绘，保证逆止器能够与驱动滚筒配套使用。</w:t>
      </w:r>
    </w:p>
    <w:p>
      <w:pPr>
        <w:pStyle w:val="14"/>
        <w:spacing w:line="360" w:lineRule="auto"/>
        <w:ind w:firstLine="315" w:firstLineChars="150"/>
        <w:rPr>
          <w:rFonts w:ascii="宋体" w:hAnsi="宋体"/>
          <w:kern w:val="0"/>
          <w:szCs w:val="21"/>
        </w:rPr>
      </w:pPr>
      <w:r>
        <w:rPr>
          <w:rFonts w:hint="eastAsia" w:ascii="宋体" w:hAnsi="宋体"/>
          <w:kern w:val="0"/>
          <w:szCs w:val="21"/>
        </w:rPr>
        <w:t>* 2.10使用寿命不低于</w:t>
      </w:r>
      <w:r>
        <w:rPr>
          <w:rFonts w:hint="eastAsia" w:ascii="宋体" w:hAnsi="宋体"/>
          <w:kern w:val="0"/>
          <w:szCs w:val="21"/>
          <w:lang w:val="en-US" w:eastAsia="zh-CN"/>
        </w:rPr>
        <w:t>8年</w:t>
      </w:r>
      <w:r>
        <w:rPr>
          <w:rFonts w:hint="eastAsia" w:ascii="宋体" w:hAnsi="宋体"/>
          <w:kern w:val="0"/>
          <w:szCs w:val="21"/>
        </w:rPr>
        <w:t>。</w:t>
      </w:r>
      <w:r>
        <w:rPr>
          <w:rFonts w:hint="eastAsia" w:ascii="宋体" w:hAnsi="宋体"/>
          <w:kern w:val="0"/>
          <w:szCs w:val="21"/>
          <w:lang w:eastAsia="zh-CN"/>
        </w:rPr>
        <w:t>整机质保期为验收合格后</w:t>
      </w:r>
      <w:r>
        <w:rPr>
          <w:rFonts w:hint="eastAsia" w:ascii="宋体" w:hAnsi="宋体"/>
          <w:kern w:val="0"/>
          <w:szCs w:val="21"/>
          <w:lang w:val="en-US" w:eastAsia="zh-CN"/>
        </w:rPr>
        <w:t>18个月或投入使用1年。</w:t>
      </w:r>
    </w:p>
    <w:p>
      <w:pPr>
        <w:pStyle w:val="14"/>
        <w:spacing w:line="360" w:lineRule="auto"/>
        <w:ind w:firstLine="315" w:firstLineChars="150"/>
        <w:rPr>
          <w:rFonts w:ascii="宋体" w:hAnsi="宋体"/>
          <w:kern w:val="0"/>
          <w:szCs w:val="21"/>
        </w:rPr>
      </w:pPr>
      <w:r>
        <w:rPr>
          <w:rFonts w:hint="eastAsia" w:ascii="宋体" w:hAnsi="宋体"/>
          <w:kern w:val="0"/>
          <w:szCs w:val="21"/>
        </w:rPr>
        <w:t>△2.11逆止器的随行文件应包括产品合格证、使用说明书和装箱单。随行文件应装入塑料带密封后放入包装箱内。</w:t>
      </w:r>
    </w:p>
    <w:p>
      <w:pPr>
        <w:pStyle w:val="14"/>
        <w:spacing w:line="360" w:lineRule="auto"/>
        <w:ind w:firstLine="315" w:firstLineChars="150"/>
        <w:rPr>
          <w:rFonts w:ascii="宋体" w:hAnsi="宋体"/>
          <w:kern w:val="0"/>
          <w:szCs w:val="21"/>
        </w:rPr>
      </w:pPr>
      <w:r>
        <w:rPr>
          <w:rFonts w:hint="eastAsia" w:ascii="宋体" w:hAnsi="宋体"/>
          <w:kern w:val="0"/>
          <w:szCs w:val="21"/>
        </w:rPr>
        <w:t>* 2.12供货方需到现场进行指导安装。</w:t>
      </w:r>
    </w:p>
    <w:p>
      <w:pPr>
        <w:tabs>
          <w:tab w:val="left" w:pos="360"/>
        </w:tabs>
        <w:adjustRightInd w:val="0"/>
        <w:snapToGrid w:val="0"/>
        <w:spacing w:line="360" w:lineRule="auto"/>
        <w:rPr>
          <w:b/>
          <w:szCs w:val="21"/>
        </w:rPr>
      </w:pPr>
      <w:r>
        <w:rPr>
          <w:rFonts w:hint="eastAsia" w:ascii="宋体"/>
          <w:szCs w:val="21"/>
        </w:rPr>
        <w:t xml:space="preserve"> </w:t>
      </w:r>
      <w:r>
        <w:rPr>
          <w:b/>
          <w:szCs w:val="21"/>
        </w:rPr>
        <w:t>3</w:t>
      </w:r>
      <w:r>
        <w:rPr>
          <w:rFonts w:hint="eastAsia"/>
          <w:b/>
          <w:szCs w:val="21"/>
        </w:rPr>
        <w:t>. 招标人提出的特别技术要求</w:t>
      </w:r>
    </w:p>
    <w:p>
      <w:pPr>
        <w:pStyle w:val="14"/>
        <w:spacing w:line="360" w:lineRule="auto"/>
        <w:ind w:firstLine="315" w:firstLineChars="150"/>
        <w:rPr>
          <w:rFonts w:ascii="宋体" w:hAnsi="宋体"/>
          <w:kern w:val="0"/>
          <w:szCs w:val="21"/>
        </w:rPr>
      </w:pPr>
      <w:r>
        <w:rPr>
          <w:rFonts w:hint="eastAsia" w:ascii="宋体" w:hAnsi="宋体"/>
          <w:kern w:val="0"/>
          <w:szCs w:val="21"/>
        </w:rPr>
        <w:t>3.1、必须对标书的技术条款分项逐条解释并满足工作环境要求。</w:t>
      </w:r>
    </w:p>
    <w:p>
      <w:pPr>
        <w:pStyle w:val="14"/>
        <w:spacing w:line="360" w:lineRule="auto"/>
        <w:ind w:firstLine="315" w:firstLineChars="150"/>
        <w:rPr>
          <w:rFonts w:ascii="宋体" w:hAnsi="宋体"/>
          <w:kern w:val="0"/>
          <w:szCs w:val="21"/>
        </w:rPr>
      </w:pPr>
      <w:r>
        <w:rPr>
          <w:rFonts w:hint="eastAsia" w:ascii="宋体" w:hAnsi="宋体"/>
          <w:kern w:val="0"/>
          <w:szCs w:val="21"/>
        </w:rPr>
        <w:t>3.2、未说明事项必须符合国家相关标准。</w:t>
      </w:r>
    </w:p>
    <w:p>
      <w:pPr>
        <w:pStyle w:val="14"/>
        <w:spacing w:line="360" w:lineRule="auto"/>
        <w:ind w:firstLine="315" w:firstLineChars="150"/>
        <w:rPr>
          <w:rFonts w:ascii="宋体" w:hAnsi="宋体"/>
          <w:kern w:val="0"/>
          <w:szCs w:val="21"/>
        </w:rPr>
      </w:pPr>
      <w:r>
        <w:rPr>
          <w:rFonts w:hint="eastAsia" w:ascii="宋体" w:hAnsi="宋体"/>
          <w:kern w:val="0"/>
          <w:szCs w:val="21"/>
        </w:rPr>
        <w:t>*3.3、要求供货厂家</w:t>
      </w:r>
      <w:bookmarkStart w:id="11" w:name="_GoBack"/>
      <w:bookmarkEnd w:id="11"/>
      <w:r>
        <w:rPr>
          <w:rFonts w:hint="eastAsia" w:ascii="宋体" w:hAnsi="宋体"/>
          <w:kern w:val="0"/>
          <w:szCs w:val="21"/>
        </w:rPr>
        <w:t>投标时必须提供该型号逆止器的分项报价，分项报价要求包含力臂、轴承 、密封、油位计、通气滤清器等。</w:t>
      </w:r>
    </w:p>
    <w:p>
      <w:pPr>
        <w:pStyle w:val="15"/>
        <w:rPr>
          <w:rFonts w:ascii="Arial" w:hAnsi="Arial" w:eastAsia="宋体" w:cs="Times New Roman"/>
          <w:b/>
          <w:spacing w:val="-5"/>
          <w:kern w:val="0"/>
          <w:sz w:val="20"/>
          <w:szCs w:val="21"/>
        </w:rPr>
      </w:pPr>
      <w:r>
        <w:rPr>
          <w:rFonts w:hint="eastAsia" w:ascii="Arial" w:hAnsi="Arial" w:eastAsia="宋体" w:cs="Times New Roman"/>
          <w:b/>
          <w:spacing w:val="-5"/>
          <w:kern w:val="0"/>
          <w:sz w:val="20"/>
          <w:szCs w:val="21"/>
        </w:rPr>
        <w:t>4、标准</w:t>
      </w:r>
    </w:p>
    <w:p>
      <w:pPr>
        <w:pStyle w:val="14"/>
        <w:spacing w:line="360" w:lineRule="auto"/>
        <w:ind w:firstLine="315" w:firstLineChars="150"/>
        <w:rPr>
          <w:rFonts w:ascii="宋体" w:hAnsi="宋体"/>
          <w:kern w:val="0"/>
          <w:szCs w:val="21"/>
        </w:rPr>
      </w:pPr>
      <w:r>
        <w:rPr>
          <w:rFonts w:hint="eastAsia" w:ascii="宋体" w:hAnsi="宋体"/>
          <w:kern w:val="0"/>
          <w:szCs w:val="21"/>
        </w:rPr>
        <w:t>所供应的货物将按下列标准（推荐）进行设计和制造</w:t>
      </w:r>
    </w:p>
    <w:p>
      <w:pPr>
        <w:pStyle w:val="14"/>
        <w:spacing w:line="360" w:lineRule="auto"/>
        <w:ind w:firstLine="315" w:firstLineChars="150"/>
        <w:rPr>
          <w:rFonts w:ascii="宋体" w:hAnsi="宋体"/>
          <w:kern w:val="0"/>
          <w:szCs w:val="21"/>
        </w:rPr>
      </w:pPr>
      <w:r>
        <w:rPr>
          <w:rFonts w:hint="eastAsia" w:ascii="宋体" w:hAnsi="宋体"/>
          <w:kern w:val="0"/>
          <w:szCs w:val="21"/>
        </w:rPr>
        <w:t xml:space="preserve">      JBT7934-1999  《胀紧联结套 型式与基本尺寸》</w:t>
      </w:r>
    </w:p>
    <w:p>
      <w:pPr>
        <w:pStyle w:val="14"/>
        <w:spacing w:line="360" w:lineRule="auto"/>
        <w:ind w:firstLine="315" w:firstLineChars="150"/>
        <w:rPr>
          <w:rFonts w:ascii="宋体" w:hAnsi="宋体"/>
          <w:kern w:val="0"/>
          <w:szCs w:val="21"/>
        </w:rPr>
      </w:pPr>
      <w:r>
        <w:rPr>
          <w:rFonts w:hint="eastAsia" w:ascii="宋体" w:hAnsi="宋体"/>
          <w:kern w:val="0"/>
          <w:szCs w:val="21"/>
        </w:rPr>
        <w:t xml:space="preserve">      Q/ZJK02-2007《低速逆止器 》</w:t>
      </w:r>
    </w:p>
    <w:p>
      <w:pPr>
        <w:pStyle w:val="14"/>
        <w:spacing w:line="360" w:lineRule="auto"/>
        <w:ind w:firstLine="315" w:firstLineChars="150"/>
        <w:rPr>
          <w:rFonts w:ascii="宋体" w:hAnsi="宋体"/>
          <w:kern w:val="0"/>
          <w:szCs w:val="21"/>
        </w:rPr>
      </w:pPr>
      <w:r>
        <w:rPr>
          <w:rFonts w:hint="eastAsia" w:ascii="宋体" w:hAnsi="宋体"/>
          <w:kern w:val="0"/>
          <w:szCs w:val="21"/>
        </w:rPr>
        <w:t>若货物原产国的国家标准或目前使用的企业标准高于上述标准，同样适用。</w:t>
      </w:r>
    </w:p>
    <w:p>
      <w:pPr>
        <w:pStyle w:val="14"/>
        <w:spacing w:line="360" w:lineRule="auto"/>
        <w:ind w:firstLine="315" w:firstLineChars="150"/>
        <w:rPr>
          <w:rFonts w:ascii="宋体" w:hAnsi="宋体"/>
          <w:kern w:val="0"/>
          <w:szCs w:val="21"/>
        </w:rPr>
      </w:pPr>
      <w:r>
        <w:rPr>
          <w:rFonts w:hint="eastAsia" w:ascii="宋体" w:hAnsi="宋体"/>
          <w:kern w:val="0"/>
          <w:szCs w:val="21"/>
        </w:rPr>
        <w:t>2. 设备的设计与制造要求采用国际公制单位，个别部件采用英制单位应列出清单。</w:t>
      </w:r>
    </w:p>
    <w:p>
      <w:pPr>
        <w:pStyle w:val="14"/>
        <w:spacing w:line="360" w:lineRule="auto"/>
        <w:ind w:firstLine="315" w:firstLineChars="150"/>
        <w:rPr>
          <w:rFonts w:ascii="宋体" w:hAnsi="宋体"/>
          <w:kern w:val="0"/>
          <w:szCs w:val="21"/>
        </w:rPr>
      </w:pPr>
      <w:r>
        <w:rPr>
          <w:rFonts w:hint="eastAsia" w:ascii="宋体" w:hAnsi="宋体"/>
          <w:kern w:val="0"/>
          <w:szCs w:val="21"/>
        </w:rPr>
        <w:t>3. 防爆电气设备应按中国国家防爆标准或其它中国防爆检验部门认可的标准制造。</w:t>
      </w:r>
    </w:p>
    <w:p>
      <w:pPr>
        <w:pStyle w:val="14"/>
        <w:spacing w:line="360" w:lineRule="auto"/>
        <w:ind w:firstLine="315" w:firstLineChars="150"/>
        <w:rPr>
          <w:rFonts w:ascii="宋体" w:hAnsi="宋体"/>
          <w:kern w:val="0"/>
          <w:szCs w:val="21"/>
        </w:rPr>
      </w:pPr>
      <w:r>
        <w:rPr>
          <w:rFonts w:hint="eastAsia" w:ascii="宋体" w:hAnsi="宋体"/>
          <w:kern w:val="0"/>
          <w:szCs w:val="21"/>
        </w:rPr>
        <w:t>4. 上述标准均应为投标截止日时的最新有效版。</w:t>
      </w:r>
    </w:p>
    <w:p>
      <w:pPr>
        <w:adjustRightInd w:val="0"/>
        <w:snapToGrid w:val="0"/>
        <w:spacing w:line="360" w:lineRule="auto"/>
        <w:rPr>
          <w:rFonts w:ascii="宋体"/>
          <w:b/>
          <w:szCs w:val="21"/>
        </w:rPr>
      </w:pPr>
      <w:r>
        <w:rPr>
          <w:rFonts w:hint="eastAsia" w:ascii="宋体"/>
          <w:b/>
          <w:szCs w:val="21"/>
        </w:rPr>
        <w:t>5、需投标人提供的设备技术参数</w:t>
      </w:r>
    </w:p>
    <w:p>
      <w:pPr>
        <w:adjustRightInd w:val="0"/>
        <w:snapToGrid w:val="0"/>
        <w:spacing w:line="360" w:lineRule="auto"/>
        <w:ind w:left="680" w:leftChars="135" w:hanging="424" w:hangingChars="202"/>
        <w:rPr>
          <w:rFonts w:ascii="宋体" w:hAnsi="宋体"/>
          <w:spacing w:val="0"/>
          <w:sz w:val="21"/>
          <w:szCs w:val="21"/>
        </w:rPr>
      </w:pPr>
      <w:r>
        <w:rPr>
          <w:rFonts w:hint="eastAsia" w:ascii="宋体" w:hAnsi="宋体"/>
          <w:spacing w:val="0"/>
          <w:sz w:val="21"/>
          <w:szCs w:val="21"/>
        </w:rPr>
        <w:t>4.1型号：</w:t>
      </w:r>
      <w:r>
        <w:rPr>
          <w:rFonts w:hint="eastAsia" w:ascii="宋体" w:hAnsi="宋体"/>
          <w:spacing w:val="0"/>
          <w:sz w:val="21"/>
          <w:szCs w:val="21"/>
          <w:u w:val="single"/>
        </w:rPr>
        <w:t xml:space="preserve">       </w:t>
      </w:r>
      <w:r>
        <w:rPr>
          <w:rFonts w:hint="eastAsia" w:ascii="宋体" w:hAnsi="宋体"/>
          <w:spacing w:val="0"/>
          <w:sz w:val="21"/>
          <w:szCs w:val="21"/>
        </w:rPr>
        <w:t>；</w:t>
      </w:r>
    </w:p>
    <w:p>
      <w:pPr>
        <w:adjustRightInd w:val="0"/>
        <w:snapToGrid w:val="0"/>
        <w:spacing w:line="360" w:lineRule="auto"/>
        <w:ind w:left="680" w:leftChars="135" w:hanging="424" w:hangingChars="202"/>
        <w:rPr>
          <w:rFonts w:ascii="宋体" w:hAnsi="宋体"/>
          <w:spacing w:val="0"/>
          <w:sz w:val="21"/>
          <w:szCs w:val="21"/>
        </w:rPr>
      </w:pPr>
      <w:r>
        <w:rPr>
          <w:rFonts w:hint="eastAsia" w:ascii="宋体" w:hAnsi="宋体"/>
          <w:spacing w:val="0"/>
          <w:sz w:val="21"/>
          <w:szCs w:val="21"/>
        </w:rPr>
        <w:t>4.2额定逆止力矩</w:t>
      </w:r>
      <w:r>
        <w:rPr>
          <w:rFonts w:hint="eastAsia" w:ascii="宋体" w:hAnsi="宋体"/>
          <w:spacing w:val="0"/>
          <w:sz w:val="21"/>
          <w:szCs w:val="21"/>
          <w:u w:val="single"/>
        </w:rPr>
        <w:t>：       ；</w:t>
      </w:r>
    </w:p>
    <w:p>
      <w:pPr>
        <w:adjustRightInd w:val="0"/>
        <w:snapToGrid w:val="0"/>
        <w:spacing w:line="360" w:lineRule="auto"/>
        <w:ind w:left="680" w:leftChars="135" w:hanging="424" w:hangingChars="202"/>
        <w:rPr>
          <w:rFonts w:ascii="宋体" w:hAnsi="宋体"/>
          <w:spacing w:val="0"/>
          <w:sz w:val="21"/>
          <w:szCs w:val="21"/>
        </w:rPr>
      </w:pPr>
      <w:r>
        <w:rPr>
          <w:rFonts w:hint="eastAsia" w:ascii="宋体" w:hAnsi="宋体"/>
          <w:spacing w:val="0"/>
          <w:sz w:val="21"/>
          <w:szCs w:val="21"/>
        </w:rPr>
        <w:t>4.3内圈最高转速：</w:t>
      </w:r>
      <w:r>
        <w:rPr>
          <w:rFonts w:hint="eastAsia" w:ascii="宋体" w:hAnsi="宋体"/>
          <w:spacing w:val="0"/>
          <w:sz w:val="21"/>
          <w:szCs w:val="21"/>
          <w:u w:val="single"/>
        </w:rPr>
        <w:t xml:space="preserve">      </w:t>
      </w:r>
      <w:r>
        <w:rPr>
          <w:rFonts w:hint="eastAsia" w:ascii="宋体" w:hAnsi="宋体"/>
          <w:spacing w:val="0"/>
          <w:sz w:val="21"/>
          <w:szCs w:val="21"/>
        </w:rPr>
        <w:t>；</w:t>
      </w:r>
    </w:p>
    <w:p>
      <w:pPr>
        <w:adjustRightInd w:val="0"/>
        <w:snapToGrid w:val="0"/>
        <w:spacing w:line="360" w:lineRule="auto"/>
        <w:ind w:left="680" w:leftChars="135" w:hanging="424" w:hangingChars="202"/>
        <w:rPr>
          <w:rFonts w:ascii="宋体" w:hAnsi="宋体"/>
          <w:spacing w:val="0"/>
          <w:sz w:val="21"/>
          <w:szCs w:val="21"/>
        </w:rPr>
      </w:pPr>
      <w:r>
        <w:rPr>
          <w:rFonts w:hint="eastAsia" w:ascii="宋体" w:hAnsi="宋体"/>
          <w:spacing w:val="0"/>
          <w:sz w:val="21"/>
          <w:szCs w:val="21"/>
        </w:rPr>
        <w:t>4.4空转阻力矩：</w:t>
      </w:r>
      <w:r>
        <w:rPr>
          <w:rFonts w:hint="eastAsia" w:ascii="宋体" w:hAnsi="宋体"/>
          <w:spacing w:val="0"/>
          <w:sz w:val="21"/>
          <w:szCs w:val="21"/>
          <w:u w:val="single"/>
        </w:rPr>
        <w:t xml:space="preserve">      </w:t>
      </w:r>
      <w:r>
        <w:rPr>
          <w:rFonts w:hint="eastAsia" w:ascii="宋体" w:hAnsi="宋体"/>
          <w:spacing w:val="0"/>
          <w:sz w:val="21"/>
          <w:szCs w:val="21"/>
        </w:rPr>
        <w:t>；</w:t>
      </w:r>
    </w:p>
    <w:p>
      <w:pPr>
        <w:adjustRightInd w:val="0"/>
        <w:snapToGrid w:val="0"/>
        <w:spacing w:line="360" w:lineRule="auto"/>
        <w:ind w:left="680" w:leftChars="135" w:hanging="424" w:hangingChars="202"/>
        <w:rPr>
          <w:rFonts w:ascii="宋体" w:hAnsi="宋体"/>
          <w:spacing w:val="0"/>
          <w:sz w:val="21"/>
          <w:szCs w:val="21"/>
        </w:rPr>
      </w:pPr>
      <w:r>
        <w:rPr>
          <w:rFonts w:hint="eastAsia" w:ascii="宋体" w:hAnsi="宋体"/>
          <w:spacing w:val="0"/>
          <w:sz w:val="21"/>
          <w:szCs w:val="21"/>
        </w:rPr>
        <w:t>4.5孔径：</w:t>
      </w:r>
      <w:r>
        <w:rPr>
          <w:rFonts w:hint="eastAsia" w:ascii="宋体" w:hAnsi="宋体"/>
          <w:spacing w:val="0"/>
          <w:sz w:val="21"/>
          <w:szCs w:val="21"/>
          <w:u w:val="single"/>
        </w:rPr>
        <w:t xml:space="preserve">      </w:t>
      </w:r>
      <w:r>
        <w:rPr>
          <w:rFonts w:hint="eastAsia" w:ascii="宋体" w:hAnsi="宋体"/>
          <w:spacing w:val="0"/>
          <w:sz w:val="21"/>
          <w:szCs w:val="21"/>
        </w:rPr>
        <w:t>；</w:t>
      </w:r>
    </w:p>
    <w:p>
      <w:pPr>
        <w:adjustRightInd w:val="0"/>
        <w:snapToGrid w:val="0"/>
        <w:spacing w:line="360" w:lineRule="auto"/>
        <w:ind w:left="680" w:leftChars="135" w:hanging="424" w:hangingChars="202"/>
        <w:rPr>
          <w:rFonts w:ascii="宋体" w:hAnsi="宋体"/>
          <w:spacing w:val="0"/>
          <w:sz w:val="21"/>
          <w:szCs w:val="21"/>
        </w:rPr>
      </w:pPr>
      <w:r>
        <w:rPr>
          <w:rFonts w:hint="eastAsia" w:ascii="宋体" w:hAnsi="宋体"/>
          <w:spacing w:val="0"/>
          <w:sz w:val="21"/>
          <w:szCs w:val="21"/>
        </w:rPr>
        <w:t>4.6质量：</w:t>
      </w:r>
      <w:r>
        <w:rPr>
          <w:rFonts w:hint="eastAsia" w:ascii="宋体" w:hAnsi="宋体"/>
          <w:i/>
          <w:spacing w:val="0"/>
          <w:sz w:val="21"/>
          <w:szCs w:val="21"/>
          <w:u w:val="single"/>
        </w:rPr>
        <w:t xml:space="preserve">       </w:t>
      </w:r>
      <w:r>
        <w:rPr>
          <w:rFonts w:hint="eastAsia" w:ascii="宋体" w:hAnsi="宋体"/>
          <w:spacing w:val="0"/>
          <w:sz w:val="21"/>
          <w:szCs w:val="21"/>
        </w:rPr>
        <w:t>；</w:t>
      </w:r>
    </w:p>
    <w:p>
      <w:pPr>
        <w:adjustRightInd w:val="0"/>
        <w:snapToGrid w:val="0"/>
        <w:spacing w:line="360" w:lineRule="auto"/>
        <w:ind w:firstLine="271" w:firstLineChars="100"/>
        <w:jc w:val="center"/>
        <w:rPr>
          <w:rFonts w:ascii="宋体" w:hAnsi="宋体"/>
          <w:b/>
          <w:sz w:val="28"/>
          <w:szCs w:val="28"/>
        </w:rPr>
      </w:pPr>
      <w:r>
        <w:rPr>
          <w:rFonts w:hint="eastAsia" w:ascii="宋体" w:hAnsi="宋体"/>
          <w:b/>
          <w:sz w:val="28"/>
          <w:szCs w:val="28"/>
        </w:rPr>
        <w:t>第二节 备件和工具</w:t>
      </w:r>
    </w:p>
    <w:p>
      <w:pPr>
        <w:adjustRightInd w:val="0"/>
        <w:snapToGrid w:val="0"/>
        <w:spacing w:line="360" w:lineRule="auto"/>
        <w:ind w:firstLine="190" w:firstLineChars="100"/>
        <w:rPr>
          <w:rFonts w:ascii="宋体" w:hAnsi="宋体"/>
          <w:szCs w:val="21"/>
        </w:rPr>
      </w:pPr>
      <w:r>
        <w:rPr>
          <w:rFonts w:hint="eastAsia" w:ascii="宋体" w:hAnsi="宋体"/>
          <w:szCs w:val="21"/>
        </w:rPr>
        <w:t>1. 所有为设备的安装、试运行、质保期内的备件、消耗品，在设备交货时提供。推迟的交货期将按照设备推迟交货计算。</w:t>
      </w:r>
    </w:p>
    <w:p>
      <w:pPr>
        <w:adjustRightInd w:val="0"/>
        <w:snapToGrid w:val="0"/>
        <w:spacing w:line="360" w:lineRule="auto"/>
        <w:ind w:firstLine="190" w:firstLineChars="100"/>
        <w:rPr>
          <w:rFonts w:ascii="宋体" w:hAnsi="宋体"/>
          <w:szCs w:val="21"/>
        </w:rPr>
      </w:pPr>
      <w:r>
        <w:rPr>
          <w:rFonts w:hint="eastAsia" w:ascii="宋体" w:hAnsi="宋体"/>
          <w:szCs w:val="21"/>
        </w:rPr>
        <w:t>2. 中标方应提供完整备件手册、备件件号、数量、规格型号、，随同设备发货。</w:t>
      </w:r>
    </w:p>
    <w:p>
      <w:pPr>
        <w:adjustRightInd w:val="0"/>
        <w:snapToGrid w:val="0"/>
        <w:spacing w:line="360" w:lineRule="auto"/>
        <w:ind w:firstLine="190" w:firstLineChars="100"/>
        <w:rPr>
          <w:rFonts w:ascii="宋体" w:hAnsi="宋体"/>
          <w:szCs w:val="21"/>
        </w:rPr>
      </w:pPr>
      <w:r>
        <w:rPr>
          <w:rFonts w:hint="eastAsia" w:ascii="宋体" w:hAnsi="宋体"/>
          <w:szCs w:val="21"/>
        </w:rPr>
        <w:t>3. 中标方应保证所有零部件均有唯一编码，如属外购标准件，要求必须按照原厂家编码执行。</w:t>
      </w:r>
    </w:p>
    <w:p>
      <w:pPr>
        <w:adjustRightInd w:val="0"/>
        <w:snapToGrid w:val="0"/>
        <w:spacing w:line="360" w:lineRule="auto"/>
        <w:ind w:firstLine="190" w:firstLineChars="100"/>
        <w:rPr>
          <w:rFonts w:ascii="宋体" w:hAnsi="宋体"/>
          <w:szCs w:val="21"/>
        </w:rPr>
      </w:pPr>
      <w:r>
        <w:rPr>
          <w:rFonts w:hint="eastAsia" w:ascii="宋体" w:hAnsi="宋体"/>
          <w:szCs w:val="21"/>
        </w:rPr>
        <w:t>4. 中标方还应进一步提供设备上的所需的备件、易耗品及标准件的货源地，包括润滑油脂。</w:t>
      </w:r>
    </w:p>
    <w:p>
      <w:pPr>
        <w:adjustRightInd w:val="0"/>
        <w:snapToGrid w:val="0"/>
        <w:spacing w:line="360" w:lineRule="auto"/>
        <w:ind w:firstLine="190" w:firstLineChars="100"/>
        <w:rPr>
          <w:rFonts w:ascii="宋体" w:hAnsi="宋体"/>
          <w:szCs w:val="21"/>
        </w:rPr>
      </w:pPr>
      <w:r>
        <w:rPr>
          <w:rFonts w:hint="eastAsia" w:ascii="宋体" w:hAnsi="宋体"/>
          <w:szCs w:val="21"/>
        </w:rPr>
        <w:t>5. 设备采用的外购、外协件应提供原产地证明及检验合格证书。</w:t>
      </w:r>
    </w:p>
    <w:p>
      <w:pPr>
        <w:adjustRightInd w:val="0"/>
        <w:snapToGrid w:val="0"/>
        <w:spacing w:line="360" w:lineRule="auto"/>
        <w:ind w:firstLine="190" w:firstLineChars="100"/>
        <w:rPr>
          <w:rFonts w:ascii="宋体" w:hAnsi="宋体"/>
          <w:szCs w:val="21"/>
        </w:rPr>
      </w:pPr>
      <w:r>
        <w:rPr>
          <w:rFonts w:hint="eastAsia" w:ascii="宋体" w:hAnsi="宋体"/>
          <w:szCs w:val="21"/>
        </w:rPr>
        <w:t>6. 如因为中标人提供1年期备件明细不准确，导致招标人方误采购或按明细提供数量不足以满足生产需求，中标人应免费提供相应的备件。</w:t>
      </w:r>
    </w:p>
    <w:p>
      <w:pPr>
        <w:adjustRightInd w:val="0"/>
        <w:snapToGrid w:val="0"/>
        <w:spacing w:line="360" w:lineRule="auto"/>
        <w:ind w:firstLine="190" w:firstLineChars="100"/>
        <w:rPr>
          <w:rFonts w:ascii="宋体" w:hAnsi="宋体"/>
          <w:szCs w:val="21"/>
        </w:rPr>
      </w:pPr>
      <w:r>
        <w:rPr>
          <w:rFonts w:hint="eastAsia" w:ascii="宋体" w:hAnsi="宋体"/>
          <w:szCs w:val="21"/>
        </w:rPr>
        <w:t>7. 中标人应保证长期以最优惠的价格供给易损件和备件。如果备件发生设计变更，应将变更信息及时通知招标人。</w:t>
      </w:r>
    </w:p>
    <w:p>
      <w:pPr>
        <w:adjustRightInd w:val="0"/>
        <w:snapToGrid w:val="0"/>
        <w:spacing w:line="360" w:lineRule="auto"/>
        <w:ind w:firstLine="190" w:firstLineChars="100"/>
        <w:rPr>
          <w:rFonts w:ascii="宋体" w:hAnsi="宋体"/>
          <w:szCs w:val="21"/>
        </w:rPr>
      </w:pPr>
      <w:r>
        <w:rPr>
          <w:rFonts w:hint="eastAsia" w:ascii="宋体" w:hAnsi="宋体"/>
          <w:szCs w:val="21"/>
        </w:rPr>
        <w:t>8. 中标人备件价格在设备开始使用的3年内必须维持稳定。</w:t>
      </w:r>
    </w:p>
    <w:p>
      <w:pPr>
        <w:adjustRightInd w:val="0"/>
        <w:snapToGrid w:val="0"/>
        <w:spacing w:line="360" w:lineRule="auto"/>
        <w:ind w:firstLine="190" w:firstLineChars="100"/>
        <w:rPr>
          <w:rFonts w:ascii="宋体" w:hAnsi="宋体"/>
          <w:szCs w:val="21"/>
        </w:rPr>
      </w:pPr>
      <w:r>
        <w:rPr>
          <w:rFonts w:hint="eastAsia" w:ascii="宋体" w:hAnsi="宋体"/>
          <w:szCs w:val="21"/>
        </w:rPr>
        <w:t>9. 在5年内，因中标人技术升级导致部分备件不能提供时，中标人要免费为用户升级设备。</w:t>
      </w:r>
    </w:p>
    <w:p>
      <w:pPr>
        <w:adjustRightInd w:val="0"/>
        <w:snapToGrid w:val="0"/>
        <w:spacing w:line="360" w:lineRule="auto"/>
        <w:ind w:firstLine="190" w:firstLineChars="100"/>
        <w:rPr>
          <w:rFonts w:ascii="宋体" w:hAnsi="宋体"/>
          <w:szCs w:val="21"/>
        </w:rPr>
      </w:pPr>
      <w:r>
        <w:rPr>
          <w:rFonts w:hint="eastAsia" w:ascii="宋体" w:hAnsi="宋体"/>
          <w:szCs w:val="21"/>
        </w:rPr>
        <w:t>10. 5年后在备件停止生产的情况下，中标人应事先将要停止生产的计划通知招标人，使招标人有足够的时间采购所需的备件。</w:t>
      </w:r>
    </w:p>
    <w:p>
      <w:pPr>
        <w:adjustRightInd w:val="0"/>
        <w:snapToGrid w:val="0"/>
        <w:spacing w:line="360" w:lineRule="auto"/>
        <w:ind w:firstLine="190" w:firstLineChars="100"/>
        <w:rPr>
          <w:rFonts w:ascii="宋体" w:hAnsi="宋体"/>
          <w:szCs w:val="21"/>
        </w:rPr>
      </w:pPr>
      <w:r>
        <w:rPr>
          <w:rFonts w:hint="eastAsia" w:ascii="宋体" w:hAnsi="宋体"/>
          <w:szCs w:val="21"/>
        </w:rPr>
        <w:t>11. 5年后在备件停止生产后，如果招标人要求，中标人应免费向买方提供备件的蓝图、图纸和规格。</w:t>
      </w:r>
    </w:p>
    <w:p>
      <w:pPr>
        <w:adjustRightInd w:val="0"/>
        <w:snapToGrid w:val="0"/>
        <w:spacing w:line="360" w:lineRule="auto"/>
        <w:ind w:firstLine="190" w:firstLineChars="100"/>
        <w:rPr>
          <w:rFonts w:ascii="宋体" w:hAnsi="宋体"/>
          <w:szCs w:val="21"/>
        </w:rPr>
      </w:pPr>
    </w:p>
    <w:p>
      <w:pPr>
        <w:adjustRightInd w:val="0"/>
        <w:snapToGrid w:val="0"/>
        <w:spacing w:line="360" w:lineRule="auto"/>
        <w:rPr>
          <w:rFonts w:ascii="宋体" w:hAnsi="宋体"/>
          <w:szCs w:val="21"/>
        </w:rPr>
      </w:pPr>
    </w:p>
    <w:p>
      <w:pPr>
        <w:adjustRightInd w:val="0"/>
        <w:snapToGrid w:val="0"/>
        <w:spacing w:line="360" w:lineRule="auto"/>
        <w:ind w:firstLine="271" w:firstLineChars="100"/>
        <w:jc w:val="center"/>
        <w:rPr>
          <w:rFonts w:ascii="宋体" w:hAnsi="宋体"/>
          <w:b/>
          <w:sz w:val="28"/>
          <w:szCs w:val="28"/>
        </w:rPr>
      </w:pPr>
      <w:bookmarkStart w:id="6" w:name="_Toc357086144"/>
      <w:r>
        <w:rPr>
          <w:rFonts w:hint="eastAsia" w:ascii="宋体" w:hAnsi="宋体"/>
          <w:b/>
          <w:sz w:val="28"/>
          <w:szCs w:val="28"/>
        </w:rPr>
        <w:t>第三节 设备出厂前检验</w:t>
      </w:r>
      <w:bookmarkEnd w:id="6"/>
    </w:p>
    <w:p>
      <w:pPr>
        <w:adjustRightInd w:val="0"/>
        <w:snapToGrid w:val="0"/>
        <w:spacing w:line="360" w:lineRule="auto"/>
        <w:ind w:firstLine="190" w:firstLineChars="100"/>
        <w:rPr>
          <w:rFonts w:ascii="宋体" w:hAnsi="宋体"/>
          <w:szCs w:val="21"/>
        </w:rPr>
      </w:pPr>
    </w:p>
    <w:p>
      <w:pPr>
        <w:adjustRightInd w:val="0"/>
        <w:snapToGrid w:val="0"/>
        <w:spacing w:line="360" w:lineRule="auto"/>
        <w:ind w:firstLine="190" w:firstLineChars="100"/>
        <w:rPr>
          <w:rFonts w:ascii="宋体" w:hAnsi="宋体"/>
          <w:szCs w:val="21"/>
        </w:rPr>
      </w:pPr>
      <w:r>
        <w:rPr>
          <w:rFonts w:hint="eastAsia" w:ascii="宋体" w:hAnsi="宋体"/>
          <w:szCs w:val="21"/>
        </w:rPr>
        <w:t>1. 为了对合同设备及其相关设备生产期间的质量检验，招标人有权派人到中标人所在工厂进行检验。对于在中标人所在地的交通费用和为便于招标人质检要求，诸如必要的安全用具、办公用品、技术文件和图纸、核算数据、制造和检验标准及其它必备的检验数据应由中标人免费提供。</w:t>
      </w:r>
    </w:p>
    <w:p>
      <w:pPr>
        <w:adjustRightInd w:val="0"/>
        <w:snapToGrid w:val="0"/>
        <w:spacing w:line="360" w:lineRule="auto"/>
        <w:ind w:firstLine="190" w:firstLineChars="100"/>
        <w:rPr>
          <w:rFonts w:ascii="宋体" w:hAnsi="宋体"/>
          <w:szCs w:val="21"/>
        </w:rPr>
      </w:pPr>
      <w:r>
        <w:rPr>
          <w:rFonts w:hint="eastAsia" w:ascii="宋体" w:hAnsi="宋体"/>
          <w:szCs w:val="21"/>
        </w:rPr>
        <w:t>2. 在制造期间招标人的一切监理和质检活动所形成的书面资料均不作为中标人产品质量证明文件。在交货前招标人的质检，既不能免去合同中属于供货商质量担保期范围内的责任，也不能替代设备抵运招标人现场的质量检验。</w:t>
      </w:r>
    </w:p>
    <w:p>
      <w:pPr>
        <w:adjustRightInd w:val="0"/>
        <w:snapToGrid w:val="0"/>
        <w:spacing w:line="360" w:lineRule="auto"/>
        <w:ind w:firstLine="190" w:firstLineChars="100"/>
        <w:rPr>
          <w:rFonts w:ascii="宋体" w:hAnsi="宋体"/>
          <w:szCs w:val="21"/>
        </w:rPr>
      </w:pPr>
      <w:r>
        <w:rPr>
          <w:rFonts w:hint="eastAsia" w:ascii="宋体" w:hAnsi="宋体"/>
          <w:szCs w:val="21"/>
        </w:rPr>
        <w:t>3．在中检中质检团成员发现或提出的问题，双方应积极通过友好协商解决。</w:t>
      </w:r>
    </w:p>
    <w:p>
      <w:pPr>
        <w:adjustRightInd w:val="0"/>
        <w:snapToGrid w:val="0"/>
        <w:spacing w:line="360" w:lineRule="auto"/>
        <w:ind w:firstLine="190" w:firstLineChars="100"/>
        <w:rPr>
          <w:rFonts w:ascii="宋体" w:hAnsi="宋体"/>
          <w:szCs w:val="21"/>
        </w:rPr>
      </w:pPr>
      <w:r>
        <w:rPr>
          <w:rFonts w:hint="eastAsia" w:ascii="宋体" w:hAnsi="宋体"/>
          <w:szCs w:val="21"/>
        </w:rPr>
        <w:t>4. 设备在出厂前必须进行整体联合试运转，根据试运转时间确定招标人中检时间，联合试运转应在招标人中检人员监督下进行。</w:t>
      </w:r>
    </w:p>
    <w:p>
      <w:pPr>
        <w:adjustRightInd w:val="0"/>
        <w:snapToGrid w:val="0"/>
        <w:spacing w:line="360" w:lineRule="auto"/>
        <w:ind w:firstLine="190" w:firstLineChars="100"/>
        <w:rPr>
          <w:rFonts w:ascii="宋体" w:hAnsi="宋体"/>
          <w:szCs w:val="21"/>
        </w:rPr>
      </w:pPr>
      <w:r>
        <w:rPr>
          <w:rFonts w:hint="eastAsia" w:ascii="宋体" w:hAnsi="宋体"/>
          <w:szCs w:val="21"/>
        </w:rPr>
        <w:t>5. 在设备到达招标人现场后组装试运转中如出现问题，原因是中标人没有在出厂前进行设备整体联合试运转，因此推迟的时间将按照推迟交货期来计算。</w:t>
      </w:r>
    </w:p>
    <w:p>
      <w:pPr>
        <w:adjustRightInd w:val="0"/>
        <w:snapToGrid w:val="0"/>
        <w:spacing w:line="360" w:lineRule="auto"/>
        <w:ind w:firstLine="190" w:firstLineChars="100"/>
        <w:rPr>
          <w:rFonts w:ascii="宋体" w:hAnsi="宋体"/>
          <w:szCs w:val="21"/>
        </w:rPr>
      </w:pPr>
    </w:p>
    <w:p>
      <w:pPr>
        <w:adjustRightInd w:val="0"/>
        <w:snapToGrid w:val="0"/>
        <w:spacing w:line="360" w:lineRule="auto"/>
        <w:ind w:firstLine="190" w:firstLineChars="100"/>
        <w:jc w:val="center"/>
        <w:rPr>
          <w:rFonts w:ascii="宋体" w:hAnsi="宋体"/>
          <w:b/>
          <w:sz w:val="28"/>
          <w:szCs w:val="28"/>
        </w:rPr>
      </w:pPr>
      <w:r>
        <w:rPr>
          <w:rFonts w:hint="eastAsia" w:ascii="宋体" w:hAnsi="宋体"/>
          <w:szCs w:val="21"/>
        </w:rPr>
        <w:br w:type="page"/>
      </w:r>
      <w:bookmarkStart w:id="7" w:name="_Toc357086145"/>
      <w:r>
        <w:rPr>
          <w:rFonts w:hint="eastAsia" w:ascii="宋体" w:hAnsi="宋体"/>
          <w:b/>
          <w:sz w:val="28"/>
          <w:szCs w:val="28"/>
        </w:rPr>
        <w:t>第四节 技术服务</w:t>
      </w:r>
      <w:bookmarkEnd w:id="7"/>
    </w:p>
    <w:p>
      <w:pPr>
        <w:adjustRightInd w:val="0"/>
        <w:snapToGrid w:val="0"/>
        <w:spacing w:line="360" w:lineRule="auto"/>
        <w:jc w:val="center"/>
        <w:rPr>
          <w:rFonts w:ascii="宋体" w:hAnsi="宋体"/>
          <w:szCs w:val="21"/>
        </w:rPr>
      </w:pPr>
    </w:p>
    <w:p>
      <w:pPr>
        <w:adjustRightInd w:val="0"/>
        <w:snapToGrid w:val="0"/>
        <w:spacing w:beforeLines="50" w:line="360" w:lineRule="auto"/>
        <w:ind w:left="285" w:hanging="285" w:hangingChars="150"/>
        <w:rPr>
          <w:rFonts w:ascii="宋体" w:hAnsi="宋体"/>
          <w:szCs w:val="21"/>
        </w:rPr>
      </w:pPr>
      <w:r>
        <w:rPr>
          <w:rFonts w:hint="eastAsia" w:ascii="宋体" w:hAnsi="宋体"/>
          <w:szCs w:val="21"/>
        </w:rPr>
        <w:t>1. 中标人将派出有技术、有能力胜任的服务工程师到现场，提供有关安装管理、调试、空载测试、性能测试、试运转、维修及现场培训维修人员的服务。中标人服务工程师的主要责任与任务如下：</w:t>
      </w:r>
    </w:p>
    <w:p>
      <w:pPr>
        <w:adjustRightInd w:val="0"/>
        <w:snapToGrid w:val="0"/>
        <w:spacing w:beforeLines="50" w:line="360" w:lineRule="auto"/>
        <w:ind w:firstLine="525"/>
        <w:rPr>
          <w:rFonts w:ascii="宋体" w:hAnsi="宋体"/>
          <w:szCs w:val="21"/>
        </w:rPr>
      </w:pPr>
      <w:r>
        <w:rPr>
          <w:rFonts w:hint="eastAsia" w:ascii="宋体" w:hAnsi="宋体"/>
          <w:szCs w:val="21"/>
        </w:rPr>
        <w:t>——给招标人安装人员提供完整的技术指导。</w:t>
      </w:r>
    </w:p>
    <w:p>
      <w:pPr>
        <w:adjustRightInd w:val="0"/>
        <w:snapToGrid w:val="0"/>
        <w:spacing w:beforeLines="50" w:line="360" w:lineRule="auto"/>
        <w:ind w:firstLine="525"/>
        <w:rPr>
          <w:rFonts w:ascii="宋体" w:hAnsi="宋体"/>
          <w:szCs w:val="21"/>
        </w:rPr>
      </w:pPr>
      <w:r>
        <w:rPr>
          <w:rFonts w:hint="eastAsia" w:ascii="宋体" w:hAnsi="宋体"/>
          <w:szCs w:val="21"/>
        </w:rPr>
        <w:t>——指导招标人人员进行合同设备的试运转，运行测试和性能测试。</w:t>
      </w:r>
    </w:p>
    <w:p>
      <w:pPr>
        <w:adjustRightInd w:val="0"/>
        <w:snapToGrid w:val="0"/>
        <w:spacing w:beforeLines="50" w:line="360" w:lineRule="auto"/>
        <w:ind w:firstLine="525"/>
        <w:rPr>
          <w:rFonts w:ascii="宋体" w:hAnsi="宋体"/>
          <w:szCs w:val="21"/>
        </w:rPr>
      </w:pPr>
      <w:r>
        <w:rPr>
          <w:rFonts w:hint="eastAsia" w:ascii="宋体" w:hAnsi="宋体"/>
          <w:szCs w:val="21"/>
        </w:rPr>
        <w:t>——培训招标人人员。</w:t>
      </w:r>
    </w:p>
    <w:p>
      <w:pPr>
        <w:adjustRightInd w:val="0"/>
        <w:snapToGrid w:val="0"/>
        <w:spacing w:beforeLines="50" w:line="360" w:lineRule="auto"/>
        <w:ind w:firstLine="525"/>
        <w:rPr>
          <w:rFonts w:ascii="宋体" w:hAnsi="宋体"/>
          <w:szCs w:val="21"/>
        </w:rPr>
      </w:pPr>
      <w:r>
        <w:rPr>
          <w:rFonts w:hint="eastAsia" w:ascii="宋体" w:hAnsi="宋体"/>
          <w:szCs w:val="21"/>
        </w:rPr>
        <w:t>——设备投入使用后提供现场运行技术支持。</w:t>
      </w:r>
    </w:p>
    <w:p>
      <w:pPr>
        <w:adjustRightInd w:val="0"/>
        <w:snapToGrid w:val="0"/>
        <w:spacing w:beforeLines="50" w:line="360" w:lineRule="auto"/>
        <w:ind w:firstLine="525"/>
        <w:rPr>
          <w:rFonts w:ascii="宋体" w:hAnsi="宋体"/>
          <w:szCs w:val="21"/>
        </w:rPr>
      </w:pPr>
      <w:r>
        <w:rPr>
          <w:rFonts w:hint="eastAsia" w:ascii="宋体" w:hAnsi="宋体"/>
          <w:szCs w:val="21"/>
        </w:rPr>
        <w:t>——质保期内技术服务。</w:t>
      </w:r>
    </w:p>
    <w:p>
      <w:pPr>
        <w:adjustRightInd w:val="0"/>
        <w:snapToGrid w:val="0"/>
        <w:spacing w:beforeLines="50" w:line="360" w:lineRule="auto"/>
        <w:ind w:left="285" w:hanging="285" w:hangingChars="150"/>
        <w:rPr>
          <w:rFonts w:ascii="宋体" w:hAnsi="宋体"/>
          <w:szCs w:val="21"/>
        </w:rPr>
      </w:pPr>
      <w:r>
        <w:rPr>
          <w:rFonts w:hint="eastAsia" w:ascii="宋体" w:hAnsi="宋体"/>
          <w:szCs w:val="21"/>
        </w:rPr>
        <w:t>2. 安装前，应由中标人的技术服务人员给予招标人安装人员提供合同设备的装配介绍、讲课与培训；详细解释技术文件、图纸和操作手册以及设备运行和相关的预防措施等；回答和解决招标人人员提出的技术问题。中标人技术人员的指导必须是正确的，如果出现由于非正确技术指导而造成的损失，中标人将自出资金维修、更换或补偿损失部分。</w:t>
      </w:r>
    </w:p>
    <w:p>
      <w:pPr>
        <w:adjustRightInd w:val="0"/>
        <w:snapToGrid w:val="0"/>
        <w:spacing w:beforeLines="50" w:line="360" w:lineRule="auto"/>
        <w:ind w:left="285" w:hanging="285" w:hangingChars="150"/>
        <w:rPr>
          <w:rFonts w:ascii="宋体" w:hAnsi="宋体"/>
          <w:szCs w:val="21"/>
        </w:rPr>
      </w:pPr>
      <w:r>
        <w:rPr>
          <w:rFonts w:hint="eastAsia" w:ascii="宋体" w:hAnsi="宋体"/>
          <w:szCs w:val="21"/>
        </w:rPr>
        <w:t>3.中标人将提供所有的关于装配与组装所用的专用工具,例如:专用测试仪、测量仪和机械工具。</w:t>
      </w:r>
    </w:p>
    <w:p>
      <w:pPr>
        <w:adjustRightInd w:val="0"/>
        <w:snapToGrid w:val="0"/>
        <w:spacing w:beforeLines="50" w:line="360" w:lineRule="auto"/>
        <w:ind w:left="285" w:hanging="285" w:hangingChars="150"/>
        <w:rPr>
          <w:rFonts w:ascii="宋体" w:hAnsi="宋体"/>
          <w:szCs w:val="21"/>
        </w:rPr>
      </w:pPr>
      <w:r>
        <w:rPr>
          <w:rFonts w:hint="eastAsia" w:ascii="宋体" w:hAnsi="宋体"/>
          <w:szCs w:val="21"/>
        </w:rPr>
        <w:t>4.在现场举行由双方参加的会议，对所提供设备进行安装的准备工作进行讨论。</w:t>
      </w:r>
    </w:p>
    <w:p>
      <w:pPr>
        <w:adjustRightInd w:val="0"/>
        <w:snapToGrid w:val="0"/>
        <w:spacing w:beforeLines="50" w:line="360" w:lineRule="auto"/>
        <w:ind w:left="285" w:hanging="285" w:hangingChars="150"/>
        <w:rPr>
          <w:rFonts w:ascii="宋体" w:hAnsi="宋体"/>
          <w:szCs w:val="21"/>
        </w:rPr>
      </w:pPr>
      <w:r>
        <w:rPr>
          <w:rFonts w:hint="eastAsia" w:ascii="宋体" w:hAnsi="宋体"/>
          <w:szCs w:val="21"/>
        </w:rPr>
        <w:t>5. 对于安装指导、测试运转、性能测试、试运转和验收，包括招标人操作和维修人员的现场培训,中标人需免费提供。</w:t>
      </w:r>
    </w:p>
    <w:p>
      <w:pPr>
        <w:adjustRightInd w:val="0"/>
        <w:snapToGrid w:val="0"/>
        <w:spacing w:beforeLines="50" w:line="360" w:lineRule="auto"/>
        <w:ind w:left="285" w:hanging="285" w:hangingChars="150"/>
        <w:rPr>
          <w:rFonts w:ascii="宋体" w:hAnsi="宋体"/>
          <w:szCs w:val="21"/>
        </w:rPr>
      </w:pPr>
      <w:r>
        <w:rPr>
          <w:rFonts w:hint="eastAsia" w:ascii="宋体" w:hAnsi="宋体"/>
          <w:szCs w:val="21"/>
        </w:rPr>
        <w:t>6. 中标人应提供用于招标人自行培训人员需要使用的相关培训资料。</w:t>
      </w:r>
    </w:p>
    <w:p>
      <w:pPr>
        <w:adjustRightInd w:val="0"/>
        <w:snapToGrid w:val="0"/>
        <w:spacing w:beforeLines="50" w:line="360" w:lineRule="auto"/>
        <w:ind w:left="285" w:hanging="285" w:hangingChars="150"/>
        <w:rPr>
          <w:rFonts w:ascii="宋体" w:hAnsi="宋体"/>
          <w:szCs w:val="21"/>
        </w:rPr>
      </w:pPr>
      <w:r>
        <w:rPr>
          <w:rFonts w:hint="eastAsia" w:ascii="宋体" w:hAnsi="宋体"/>
          <w:szCs w:val="21"/>
        </w:rPr>
        <w:t>7. 设备过质保期后，在设备使用寿命内，如招标人需要，中标人应确保服务工程师到现场进行技术服务。</w:t>
      </w:r>
    </w:p>
    <w:p>
      <w:pPr>
        <w:adjustRightInd w:val="0"/>
        <w:snapToGrid w:val="0"/>
        <w:spacing w:beforeLines="50" w:line="360" w:lineRule="auto"/>
        <w:ind w:left="285" w:hanging="285" w:hangingChars="150"/>
        <w:rPr>
          <w:rFonts w:ascii="宋体" w:hAnsi="宋体"/>
          <w:szCs w:val="21"/>
        </w:rPr>
      </w:pPr>
      <w:r>
        <w:rPr>
          <w:rFonts w:hint="eastAsia" w:ascii="宋体" w:hAnsi="宋体"/>
          <w:szCs w:val="21"/>
        </w:rPr>
        <w:t>8. 设备第一次在招标人组装、试运转时中标人必须派设备制造工厂技术服务工程师在规定时间内到现场进行技术指导。因技术服务工程师未按时到达组装现场导致设备不能按期投入使用，延误时间按推迟交货期来计算。</w:t>
      </w:r>
    </w:p>
    <w:p>
      <w:pPr>
        <w:adjustRightInd w:val="0"/>
        <w:snapToGrid w:val="0"/>
        <w:spacing w:line="360" w:lineRule="auto"/>
        <w:ind w:firstLine="190" w:firstLineChars="100"/>
        <w:jc w:val="center"/>
        <w:rPr>
          <w:rFonts w:ascii="宋体" w:hAnsi="宋体"/>
          <w:b/>
          <w:sz w:val="28"/>
          <w:szCs w:val="28"/>
        </w:rPr>
      </w:pPr>
      <w:r>
        <w:rPr>
          <w:rFonts w:hint="eastAsia" w:ascii="宋体" w:hAnsi="宋体"/>
          <w:szCs w:val="21"/>
        </w:rPr>
        <w:br w:type="page"/>
      </w:r>
      <w:bookmarkStart w:id="8" w:name="_Toc357086146"/>
      <w:r>
        <w:rPr>
          <w:rFonts w:hint="eastAsia" w:ascii="宋体" w:hAnsi="宋体"/>
          <w:b/>
          <w:sz w:val="28"/>
          <w:szCs w:val="28"/>
        </w:rPr>
        <w:t>第五节  安装、检验、调试、试运行及验收</w:t>
      </w:r>
      <w:bookmarkEnd w:id="8"/>
    </w:p>
    <w:p>
      <w:pPr>
        <w:adjustRightInd w:val="0"/>
        <w:snapToGrid w:val="0"/>
        <w:spacing w:line="360" w:lineRule="auto"/>
        <w:ind w:firstLine="190" w:firstLineChars="100"/>
        <w:rPr>
          <w:rFonts w:ascii="宋体" w:hAnsi="宋体"/>
          <w:szCs w:val="21"/>
        </w:rPr>
      </w:pPr>
    </w:p>
    <w:p>
      <w:pPr>
        <w:adjustRightInd w:val="0"/>
        <w:snapToGrid w:val="0"/>
        <w:spacing w:line="360" w:lineRule="auto"/>
        <w:ind w:firstLine="190" w:firstLineChars="100"/>
        <w:rPr>
          <w:rFonts w:ascii="宋体" w:hAnsi="宋体"/>
          <w:szCs w:val="21"/>
        </w:rPr>
      </w:pPr>
      <w:r>
        <w:rPr>
          <w:rFonts w:hint="eastAsia" w:ascii="宋体" w:hAnsi="宋体"/>
          <w:szCs w:val="21"/>
        </w:rPr>
        <w:t>1. 在该附录中：</w:t>
      </w:r>
    </w:p>
    <w:p>
      <w:pPr>
        <w:adjustRightInd w:val="0"/>
        <w:snapToGrid w:val="0"/>
        <w:spacing w:line="360" w:lineRule="auto"/>
        <w:ind w:firstLine="190" w:firstLineChars="100"/>
        <w:rPr>
          <w:rFonts w:ascii="宋体" w:hAnsi="宋体"/>
          <w:szCs w:val="21"/>
        </w:rPr>
      </w:pPr>
      <w:r>
        <w:rPr>
          <w:rFonts w:hint="eastAsia" w:ascii="宋体" w:hAnsi="宋体"/>
          <w:szCs w:val="21"/>
        </w:rPr>
        <w:t>安装：意为招标人安装人员在中标人的服务工程人员的监督与指导下，将整套设备或一个系统安装起来。</w:t>
      </w:r>
    </w:p>
    <w:p>
      <w:pPr>
        <w:adjustRightInd w:val="0"/>
        <w:snapToGrid w:val="0"/>
        <w:spacing w:line="360" w:lineRule="auto"/>
        <w:ind w:firstLine="190" w:firstLineChars="100"/>
        <w:rPr>
          <w:rFonts w:ascii="宋体" w:hAnsi="宋体"/>
          <w:szCs w:val="21"/>
        </w:rPr>
      </w:pPr>
      <w:r>
        <w:rPr>
          <w:rFonts w:hint="eastAsia" w:ascii="宋体" w:hAnsi="宋体"/>
          <w:szCs w:val="21"/>
        </w:rPr>
        <w:t>试运转：即为在空载条件下测试该设备。</w:t>
      </w:r>
    </w:p>
    <w:p>
      <w:pPr>
        <w:adjustRightInd w:val="0"/>
        <w:snapToGrid w:val="0"/>
        <w:spacing w:line="360" w:lineRule="auto"/>
        <w:ind w:firstLine="190" w:firstLineChars="100"/>
        <w:rPr>
          <w:rFonts w:ascii="宋体" w:hAnsi="宋体"/>
          <w:szCs w:val="21"/>
        </w:rPr>
      </w:pPr>
      <w:r>
        <w:rPr>
          <w:rFonts w:hint="eastAsia" w:ascii="宋体" w:hAnsi="宋体"/>
          <w:szCs w:val="21"/>
        </w:rPr>
        <w:t xml:space="preserve">性能调试：即在它们的额定负载下测试设备，检查其是否能达到合同规定的所有技术性能。 </w:t>
      </w:r>
    </w:p>
    <w:p>
      <w:pPr>
        <w:adjustRightInd w:val="0"/>
        <w:snapToGrid w:val="0"/>
        <w:spacing w:line="360" w:lineRule="auto"/>
        <w:ind w:firstLine="190" w:firstLineChars="100"/>
        <w:rPr>
          <w:rFonts w:ascii="宋体" w:hAnsi="宋体"/>
          <w:szCs w:val="21"/>
        </w:rPr>
      </w:pPr>
      <w:r>
        <w:rPr>
          <w:rFonts w:hint="eastAsia" w:ascii="宋体" w:hAnsi="宋体"/>
          <w:szCs w:val="21"/>
        </w:rPr>
        <w:t>试运行：即为设备按照合同要求性能投入运转。</w:t>
      </w:r>
    </w:p>
    <w:p>
      <w:pPr>
        <w:adjustRightInd w:val="0"/>
        <w:snapToGrid w:val="0"/>
        <w:spacing w:line="360" w:lineRule="auto"/>
        <w:ind w:firstLine="190" w:firstLineChars="100"/>
        <w:rPr>
          <w:rFonts w:ascii="宋体" w:hAnsi="宋体"/>
          <w:szCs w:val="21"/>
        </w:rPr>
      </w:pPr>
      <w:r>
        <w:rPr>
          <w:rFonts w:hint="eastAsia" w:ascii="宋体" w:hAnsi="宋体"/>
          <w:szCs w:val="21"/>
        </w:rPr>
        <w:t>验收：即为该设备达到合同规定的试运转、性能调试和试运行技术要求后招标人正式接收。</w:t>
      </w:r>
    </w:p>
    <w:p>
      <w:pPr>
        <w:adjustRightInd w:val="0"/>
        <w:snapToGrid w:val="0"/>
        <w:spacing w:line="360" w:lineRule="auto"/>
        <w:ind w:firstLine="190" w:firstLineChars="100"/>
        <w:rPr>
          <w:rFonts w:ascii="宋体" w:hAnsi="宋体"/>
          <w:szCs w:val="21"/>
        </w:rPr>
      </w:pPr>
      <w:r>
        <w:rPr>
          <w:rFonts w:hint="eastAsia" w:ascii="宋体" w:hAnsi="宋体"/>
          <w:szCs w:val="21"/>
        </w:rPr>
        <w:t>2. 设备到货应随机提供出厂验收报告。</w:t>
      </w:r>
    </w:p>
    <w:p>
      <w:pPr>
        <w:adjustRightInd w:val="0"/>
        <w:snapToGrid w:val="0"/>
        <w:spacing w:line="360" w:lineRule="auto"/>
        <w:ind w:firstLine="190" w:firstLineChars="100"/>
        <w:rPr>
          <w:rFonts w:ascii="宋体" w:hAnsi="宋体"/>
          <w:szCs w:val="21"/>
        </w:rPr>
      </w:pPr>
      <w:r>
        <w:rPr>
          <w:rFonts w:hint="eastAsia" w:ascii="宋体" w:hAnsi="宋体"/>
          <w:szCs w:val="21"/>
        </w:rPr>
        <w:t>3． 在设备经过试运转、性能调试、试运行之后，双方对设备性能进行鉴定，符合合同要求，招标人出据验收证明并由中标人确认。验收标准为合同规定的要求和相关标准、中国国家标准、规范以及国际标准和双方认可的标准。</w:t>
      </w:r>
    </w:p>
    <w:p>
      <w:pPr>
        <w:adjustRightInd w:val="0"/>
        <w:snapToGrid w:val="0"/>
        <w:spacing w:line="360" w:lineRule="auto"/>
        <w:ind w:firstLine="190" w:firstLineChars="100"/>
        <w:rPr>
          <w:rFonts w:ascii="宋体" w:hAnsi="宋体"/>
          <w:szCs w:val="21"/>
        </w:rPr>
      </w:pPr>
      <w:r>
        <w:rPr>
          <w:rFonts w:hint="eastAsia" w:ascii="宋体" w:hAnsi="宋体"/>
          <w:szCs w:val="21"/>
        </w:rPr>
        <w:t>4、包装：必须按照双方约定的包装要求包装，如无约定的要按照中国国家标准、规范以及国际标准和双方认可的标准进行包装。</w:t>
      </w:r>
    </w:p>
    <w:p>
      <w:pPr>
        <w:adjustRightInd w:val="0"/>
        <w:snapToGrid w:val="0"/>
        <w:spacing w:line="360" w:lineRule="auto"/>
        <w:ind w:firstLine="190" w:firstLineChars="100"/>
        <w:rPr>
          <w:rFonts w:ascii="宋体" w:hAnsi="宋体"/>
          <w:szCs w:val="21"/>
        </w:rPr>
      </w:pPr>
    </w:p>
    <w:p>
      <w:pPr>
        <w:adjustRightInd w:val="0"/>
        <w:snapToGrid w:val="0"/>
        <w:spacing w:line="360" w:lineRule="auto"/>
        <w:ind w:firstLine="190" w:firstLineChars="100"/>
        <w:jc w:val="center"/>
        <w:rPr>
          <w:rFonts w:ascii="宋体" w:hAnsi="宋体"/>
          <w:b/>
          <w:sz w:val="28"/>
          <w:szCs w:val="28"/>
        </w:rPr>
      </w:pPr>
      <w:r>
        <w:rPr>
          <w:rFonts w:hint="eastAsia" w:ascii="宋体" w:hAnsi="宋体"/>
          <w:szCs w:val="21"/>
        </w:rPr>
        <w:br w:type="page"/>
      </w:r>
      <w:bookmarkStart w:id="9" w:name="_Toc357086147"/>
      <w:r>
        <w:rPr>
          <w:rFonts w:hint="eastAsia" w:ascii="宋体" w:hAnsi="宋体"/>
          <w:b/>
          <w:sz w:val="28"/>
          <w:szCs w:val="28"/>
        </w:rPr>
        <w:t>第六节 质量保证</w:t>
      </w:r>
      <w:bookmarkEnd w:id="9"/>
    </w:p>
    <w:p>
      <w:pPr>
        <w:adjustRightInd w:val="0"/>
        <w:snapToGrid w:val="0"/>
        <w:spacing w:line="360" w:lineRule="auto"/>
        <w:ind w:firstLine="190" w:firstLineChars="100"/>
        <w:rPr>
          <w:rFonts w:ascii="宋体" w:hAnsi="宋体"/>
          <w:szCs w:val="21"/>
        </w:rPr>
      </w:pPr>
    </w:p>
    <w:p>
      <w:pPr>
        <w:adjustRightInd w:val="0"/>
        <w:snapToGrid w:val="0"/>
        <w:spacing w:line="360" w:lineRule="auto"/>
        <w:ind w:firstLine="190" w:firstLineChars="100"/>
        <w:rPr>
          <w:rFonts w:ascii="宋体" w:hAnsi="宋体"/>
          <w:szCs w:val="21"/>
        </w:rPr>
      </w:pPr>
      <w:r>
        <w:rPr>
          <w:rFonts w:hint="eastAsia" w:ascii="宋体" w:hAnsi="宋体"/>
          <w:szCs w:val="21"/>
        </w:rPr>
        <w:t>1. 质保期应为设备安装运行后1年或到货验收合格后18个月，以先到为准。对由于设计或质量问题而引起的设备故障，中标方应进一步对此负责。专用合同条款对质保有特殊规定的从其规定。</w:t>
      </w:r>
    </w:p>
    <w:p>
      <w:pPr>
        <w:adjustRightInd w:val="0"/>
        <w:snapToGrid w:val="0"/>
        <w:spacing w:line="360" w:lineRule="auto"/>
        <w:ind w:firstLine="190" w:firstLineChars="100"/>
        <w:rPr>
          <w:rFonts w:ascii="宋体" w:hAnsi="宋体"/>
          <w:szCs w:val="21"/>
        </w:rPr>
      </w:pPr>
      <w:r>
        <w:rPr>
          <w:rFonts w:hint="eastAsia" w:ascii="宋体" w:hAnsi="宋体"/>
          <w:szCs w:val="21"/>
        </w:rPr>
        <w:t>2. 中标方应有质保期内的维修服务承诺，无偿更换零配件、部件承诺。</w:t>
      </w:r>
    </w:p>
    <w:p>
      <w:pPr>
        <w:adjustRightInd w:val="0"/>
        <w:snapToGrid w:val="0"/>
        <w:spacing w:line="360" w:lineRule="auto"/>
        <w:ind w:firstLine="190" w:firstLineChars="100"/>
        <w:rPr>
          <w:rFonts w:ascii="宋体" w:hAnsi="宋体"/>
          <w:szCs w:val="21"/>
        </w:rPr>
      </w:pPr>
      <w:r>
        <w:rPr>
          <w:rFonts w:hint="eastAsia" w:ascii="宋体" w:hAnsi="宋体"/>
          <w:szCs w:val="21"/>
        </w:rPr>
        <w:t>3. 中标方应有对设备大修周期、使用寿命及各主要部件的寿命承诺。</w:t>
      </w:r>
    </w:p>
    <w:p>
      <w:pPr>
        <w:adjustRightInd w:val="0"/>
        <w:snapToGrid w:val="0"/>
        <w:spacing w:line="360" w:lineRule="auto"/>
        <w:ind w:firstLine="190" w:firstLineChars="100"/>
        <w:rPr>
          <w:rFonts w:ascii="宋体" w:hAnsi="宋体"/>
          <w:szCs w:val="21"/>
        </w:rPr>
      </w:pPr>
    </w:p>
    <w:p>
      <w:pPr>
        <w:adjustRightInd w:val="0"/>
        <w:snapToGrid w:val="0"/>
        <w:spacing w:line="360" w:lineRule="auto"/>
        <w:ind w:firstLine="190" w:firstLineChars="100"/>
        <w:rPr>
          <w:rFonts w:ascii="宋体" w:hAnsi="宋体"/>
          <w:szCs w:val="21"/>
        </w:rPr>
      </w:pPr>
    </w:p>
    <w:p>
      <w:pPr>
        <w:adjustRightInd w:val="0"/>
        <w:snapToGrid w:val="0"/>
        <w:spacing w:line="360" w:lineRule="auto"/>
        <w:ind w:firstLine="190" w:firstLineChars="100"/>
        <w:jc w:val="center"/>
        <w:rPr>
          <w:rFonts w:ascii="宋体" w:hAnsi="宋体"/>
          <w:b/>
          <w:sz w:val="28"/>
          <w:szCs w:val="28"/>
        </w:rPr>
      </w:pPr>
      <w:r>
        <w:rPr>
          <w:rFonts w:hint="eastAsia" w:ascii="宋体" w:hAnsi="宋体"/>
          <w:szCs w:val="21"/>
        </w:rPr>
        <w:br w:type="page"/>
      </w:r>
      <w:bookmarkStart w:id="10" w:name="_Toc357086148"/>
      <w:r>
        <w:rPr>
          <w:rFonts w:hint="eastAsia" w:ascii="宋体" w:hAnsi="宋体"/>
          <w:b/>
          <w:sz w:val="28"/>
          <w:szCs w:val="28"/>
        </w:rPr>
        <w:t>第七节 技术资料和图纸</w:t>
      </w:r>
      <w:bookmarkEnd w:id="10"/>
    </w:p>
    <w:p>
      <w:pPr>
        <w:adjustRightInd w:val="0"/>
        <w:snapToGrid w:val="0"/>
        <w:spacing w:line="360" w:lineRule="auto"/>
        <w:ind w:firstLine="190" w:firstLineChars="100"/>
        <w:rPr>
          <w:rFonts w:ascii="宋体" w:hAnsi="宋体"/>
          <w:szCs w:val="21"/>
        </w:rPr>
      </w:pPr>
    </w:p>
    <w:p>
      <w:pPr>
        <w:adjustRightInd w:val="0"/>
        <w:snapToGrid w:val="0"/>
        <w:spacing w:line="360" w:lineRule="auto"/>
        <w:ind w:firstLine="190" w:firstLineChars="100"/>
        <w:rPr>
          <w:rFonts w:ascii="宋体" w:hAnsi="宋体"/>
          <w:szCs w:val="21"/>
        </w:rPr>
      </w:pPr>
      <w:r>
        <w:rPr>
          <w:rFonts w:hint="eastAsia" w:ascii="宋体" w:hAnsi="宋体"/>
          <w:szCs w:val="21"/>
        </w:rPr>
        <w:t>1. 中标人按规定给招标人提供全面的、详细的技术资料，设备使用手册、备件手册，随设备发货或日后提供的目录、图纸、图解说明或电路图必须是清晰易解的。操作手册和维修指南须通俗易懂。备件手册必须将每一部件细化到所有零件，所有零部件必须有统一的采购号或件号等唯一标识号，以便于招标人维护和采购备件。所有外协件的件号必须提供制造商原始件号。</w:t>
      </w:r>
    </w:p>
    <w:p>
      <w:pPr>
        <w:adjustRightInd w:val="0"/>
        <w:snapToGrid w:val="0"/>
        <w:spacing w:line="360" w:lineRule="auto"/>
        <w:ind w:firstLine="190" w:firstLineChars="100"/>
        <w:rPr>
          <w:rFonts w:ascii="宋体" w:hAnsi="宋体"/>
          <w:szCs w:val="21"/>
        </w:rPr>
      </w:pPr>
      <w:r>
        <w:rPr>
          <w:rFonts w:hint="eastAsia" w:ascii="宋体" w:hAnsi="宋体"/>
          <w:szCs w:val="21"/>
        </w:rPr>
        <w:t>2. 中标人按规定给招标人每台（套）设备提供份技术文件和图纸.要求的成套技术文件和图纸将随合同中设备一起发货，招标人有权针对培训目的而额外复制所提供的技术文件与图纸。</w:t>
      </w:r>
    </w:p>
    <w:p>
      <w:pPr>
        <w:adjustRightInd w:val="0"/>
        <w:snapToGrid w:val="0"/>
        <w:spacing w:line="360" w:lineRule="auto"/>
        <w:ind w:firstLine="190" w:firstLineChars="100"/>
        <w:rPr>
          <w:rFonts w:ascii="宋体" w:hAnsi="宋体"/>
          <w:szCs w:val="21"/>
        </w:rPr>
      </w:pPr>
      <w:r>
        <w:rPr>
          <w:rFonts w:hint="eastAsia" w:ascii="宋体" w:hAnsi="宋体"/>
          <w:szCs w:val="21"/>
        </w:rPr>
        <w:t>3. 如果中标人交付的技术文件和图纸不完整、丢失或损坏，中标人在接到招标人索要不完整、丢失或损坏部分的技术文件和图纸的通知后的30天内,应免费向招标人增补丢失或损坏部分的技术文件与图纸。</w:t>
      </w:r>
    </w:p>
    <w:p>
      <w:pPr>
        <w:adjustRightInd w:val="0"/>
        <w:snapToGrid w:val="0"/>
        <w:spacing w:line="360" w:lineRule="auto"/>
        <w:ind w:firstLine="190" w:firstLineChars="100"/>
        <w:rPr>
          <w:rFonts w:ascii="宋体" w:hAnsi="宋体"/>
          <w:szCs w:val="21"/>
        </w:rPr>
      </w:pPr>
      <w:r>
        <w:rPr>
          <w:rFonts w:hint="eastAsia" w:ascii="宋体" w:hAnsi="宋体"/>
          <w:szCs w:val="21"/>
        </w:rPr>
        <w:t>4. 中标人有义务对该设备的控制软件、管理软件进行免费升级换代。</w:t>
      </w:r>
    </w:p>
    <w:p>
      <w:pPr>
        <w:adjustRightInd w:val="0"/>
        <w:snapToGrid w:val="0"/>
        <w:spacing w:line="360" w:lineRule="auto"/>
        <w:ind w:firstLine="190" w:firstLineChars="100"/>
        <w:rPr>
          <w:rFonts w:ascii="宋体" w:hAnsi="宋体"/>
          <w:szCs w:val="21"/>
        </w:rPr>
      </w:pPr>
      <w:r>
        <w:rPr>
          <w:rFonts w:hint="eastAsia" w:ascii="宋体" w:hAnsi="宋体"/>
          <w:szCs w:val="21"/>
        </w:rPr>
        <w:t>5. 中标人定期对设备进行回访，并对用户提出的问题进行解决。</w:t>
      </w:r>
    </w:p>
    <w:p>
      <w:pPr>
        <w:adjustRightInd w:val="0"/>
        <w:snapToGrid w:val="0"/>
        <w:spacing w:line="360" w:lineRule="auto"/>
        <w:ind w:firstLine="190" w:firstLineChars="100"/>
        <w:rPr>
          <w:rFonts w:ascii="宋体" w:hAnsi="宋体"/>
          <w:szCs w:val="21"/>
        </w:rPr>
      </w:pPr>
      <w:r>
        <w:rPr>
          <w:rFonts w:hint="eastAsia" w:ascii="宋体" w:hAnsi="宋体"/>
          <w:szCs w:val="21"/>
        </w:rPr>
        <w:t>6. 中标人要提供下列相关的技术资料及图纸：</w:t>
      </w:r>
    </w:p>
    <w:p>
      <w:pPr>
        <w:adjustRightInd w:val="0"/>
        <w:snapToGrid w:val="0"/>
        <w:spacing w:line="360" w:lineRule="auto"/>
        <w:ind w:firstLine="190" w:firstLineChars="100"/>
        <w:rPr>
          <w:rFonts w:ascii="宋体" w:hAnsi="宋体"/>
          <w:szCs w:val="21"/>
        </w:rPr>
      </w:pPr>
      <w:r>
        <w:rPr>
          <w:rFonts w:hint="eastAsia" w:ascii="宋体" w:hAnsi="宋体"/>
          <w:szCs w:val="21"/>
        </w:rPr>
        <w:t>总图及安装基础图</w:t>
      </w:r>
    </w:p>
    <w:p>
      <w:pPr>
        <w:adjustRightInd w:val="0"/>
        <w:snapToGrid w:val="0"/>
        <w:spacing w:line="360" w:lineRule="auto"/>
        <w:ind w:firstLine="190" w:firstLineChars="100"/>
        <w:rPr>
          <w:rFonts w:ascii="宋体" w:hAnsi="宋体"/>
          <w:szCs w:val="21"/>
        </w:rPr>
      </w:pPr>
      <w:r>
        <w:rPr>
          <w:rFonts w:hint="eastAsia" w:ascii="宋体" w:hAnsi="宋体"/>
          <w:szCs w:val="21"/>
        </w:rPr>
        <w:t>制造标准</w:t>
      </w:r>
    </w:p>
    <w:p>
      <w:pPr>
        <w:adjustRightInd w:val="0"/>
        <w:snapToGrid w:val="0"/>
        <w:spacing w:line="360" w:lineRule="auto"/>
        <w:ind w:firstLine="190" w:firstLineChars="100"/>
        <w:rPr>
          <w:rFonts w:ascii="宋体" w:hAnsi="宋体"/>
          <w:szCs w:val="21"/>
        </w:rPr>
      </w:pPr>
      <w:r>
        <w:rPr>
          <w:rFonts w:hint="eastAsia" w:ascii="宋体" w:hAnsi="宋体"/>
          <w:szCs w:val="21"/>
        </w:rPr>
        <w:t>完整的技术特征及说明书</w:t>
      </w:r>
    </w:p>
    <w:p>
      <w:pPr>
        <w:adjustRightInd w:val="0"/>
        <w:snapToGrid w:val="0"/>
        <w:spacing w:line="360" w:lineRule="auto"/>
        <w:ind w:firstLine="190" w:firstLineChars="100"/>
        <w:rPr>
          <w:rFonts w:ascii="宋体" w:hAnsi="宋体"/>
          <w:szCs w:val="21"/>
        </w:rPr>
      </w:pPr>
      <w:r>
        <w:rPr>
          <w:rFonts w:hint="eastAsia" w:ascii="宋体" w:hAnsi="宋体"/>
          <w:szCs w:val="21"/>
        </w:rPr>
        <w:t>全部机电图纸、材料清册、所有设备产品检验合格证及出厂日期。</w:t>
      </w:r>
    </w:p>
    <w:p>
      <w:pPr>
        <w:adjustRightInd w:val="0"/>
        <w:snapToGrid w:val="0"/>
        <w:spacing w:line="360" w:lineRule="auto"/>
        <w:ind w:firstLine="190" w:firstLineChars="100"/>
        <w:rPr>
          <w:rFonts w:ascii="宋体" w:hAnsi="宋体"/>
          <w:szCs w:val="21"/>
        </w:rPr>
      </w:pPr>
      <w:r>
        <w:rPr>
          <w:rFonts w:hint="eastAsia" w:ascii="宋体" w:hAnsi="宋体"/>
          <w:szCs w:val="21"/>
        </w:rPr>
        <w:t>7. 技术资料与设备同属合同供货范围，如不能按照上述条款交货，将按照推迟合同交货期执行。</w:t>
      </w:r>
    </w:p>
    <w:p/>
    <w:sectPr>
      <w:footerReference r:id="rId5" w:type="first"/>
      <w:headerReference r:id="rId3" w:type="default"/>
      <w:footerReference r:id="rId4" w:type="default"/>
      <w:pgSz w:w="11906" w:h="16838"/>
      <w:pgMar w:top="1440" w:right="1800" w:bottom="1440"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仿宋_GB2312">
    <w:altName w:val="仿宋"/>
    <w:panose1 w:val="00000000000000000000"/>
    <w:charset w:val="86"/>
    <w:family w:val="auto"/>
    <w:pitch w:val="default"/>
    <w:sig w:usb0="00000000" w:usb1="00000000" w:usb2="00000010" w:usb3="00000000" w:csb0="00040000" w:csb1="00000000"/>
  </w:font>
  <w:font w:name="AdobeHeitiStd-Regular">
    <w:altName w:val="宋体"/>
    <w:panose1 w:val="00000000000000000000"/>
    <w:charset w:val="86"/>
    <w:family w:val="auto"/>
    <w:pitch w:val="default"/>
    <w:sig w:usb0="00000000" w:usb1="00000000" w:usb2="00000010" w:usb3="00000000" w:csb0="00040000" w:csb1="00000000"/>
  </w:font>
  <w:font w:name="新宋体">
    <w:panose1 w:val="02010609030101010101"/>
    <w:charset w:val="86"/>
    <w:family w:val="modern"/>
    <w:pitch w:val="default"/>
    <w:sig w:usb0="000000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850" w:firstLineChars="500"/>
    </w:pPr>
    <w:r>
      <w:rPr>
        <w:rFonts w:hint="eastAsia"/>
      </w:rPr>
      <w:t xml:space="preserve">                                                                      </w:t>
    </w:r>
  </w:p>
  <w:p>
    <w:pPr>
      <w:pStyle w:val="4"/>
      <w:jc w:val="center"/>
    </w:pPr>
    <w:r>
      <w:rPr>
        <w:rFonts w:hint="eastAsia"/>
        <w:szCs w:val="21"/>
      </w:rPr>
      <w:t xml:space="preserve">第 </w:t>
    </w:r>
    <w:r>
      <w:rPr>
        <w:szCs w:val="21"/>
      </w:rPr>
      <w:fldChar w:fldCharType="begin"/>
    </w:r>
    <w:r>
      <w:rPr>
        <w:szCs w:val="21"/>
      </w:rPr>
      <w:instrText xml:space="preserve"> PAGE </w:instrText>
    </w:r>
    <w:r>
      <w:rPr>
        <w:szCs w:val="21"/>
      </w:rPr>
      <w:fldChar w:fldCharType="separate"/>
    </w:r>
    <w:r>
      <w:rPr>
        <w:szCs w:val="21"/>
      </w:rPr>
      <w:t>5</w:t>
    </w:r>
    <w:r>
      <w:rPr>
        <w:szCs w:val="21"/>
      </w:rPr>
      <w:fldChar w:fldCharType="end"/>
    </w:r>
    <w:r>
      <w:rPr>
        <w:rFonts w:hint="eastAsia"/>
        <w:szCs w:val="21"/>
      </w:rPr>
      <w:t xml:space="preserve"> 页 共 </w:t>
    </w:r>
    <w:r>
      <w:rPr>
        <w:szCs w:val="21"/>
      </w:rPr>
      <w:fldChar w:fldCharType="begin"/>
    </w:r>
    <w:r>
      <w:rPr>
        <w:szCs w:val="21"/>
      </w:rPr>
      <w:instrText xml:space="preserve"> NUMPAGES </w:instrText>
    </w:r>
    <w:r>
      <w:rPr>
        <w:szCs w:val="21"/>
      </w:rPr>
      <w:fldChar w:fldCharType="separate"/>
    </w:r>
    <w:r>
      <w:rPr>
        <w:szCs w:val="21"/>
      </w:rPr>
      <w:t>9</w:t>
    </w:r>
    <w:r>
      <w:rPr>
        <w:szCs w:val="21"/>
      </w:rPr>
      <w:fldChar w:fldCharType="end"/>
    </w:r>
    <w:r>
      <w:rPr>
        <w:rFonts w:hint="eastAsia"/>
        <w:szCs w:val="21"/>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rPr>
        <w:szCs w:val="21"/>
      </w:rPr>
    </w:pPr>
  </w:p>
  <w:p>
    <w:pPr>
      <w:pStyle w:val="4"/>
      <w:jc w:val="center"/>
    </w:pPr>
    <w:r>
      <w:rPr>
        <w:rFonts w:hint="eastAsia"/>
        <w:szCs w:val="21"/>
      </w:rPr>
      <w:t xml:space="preserve">第 </w:t>
    </w:r>
    <w:r>
      <w:rPr>
        <w:szCs w:val="21"/>
      </w:rPr>
      <w:fldChar w:fldCharType="begin"/>
    </w:r>
    <w:r>
      <w:rPr>
        <w:szCs w:val="21"/>
      </w:rPr>
      <w:instrText xml:space="preserve"> PAGE </w:instrText>
    </w:r>
    <w:r>
      <w:rPr>
        <w:szCs w:val="21"/>
      </w:rPr>
      <w:fldChar w:fldCharType="separate"/>
    </w:r>
    <w:r>
      <w:rPr>
        <w:szCs w:val="21"/>
      </w:rPr>
      <w:t>1</w:t>
    </w:r>
    <w:r>
      <w:rPr>
        <w:szCs w:val="21"/>
      </w:rPr>
      <w:fldChar w:fldCharType="end"/>
    </w:r>
    <w:r>
      <w:rPr>
        <w:rFonts w:hint="eastAsia"/>
        <w:szCs w:val="21"/>
      </w:rPr>
      <w:t xml:space="preserve"> 页 共 </w:t>
    </w:r>
    <w:r>
      <w:rPr>
        <w:szCs w:val="21"/>
      </w:rPr>
      <w:fldChar w:fldCharType="begin"/>
    </w:r>
    <w:r>
      <w:rPr>
        <w:szCs w:val="21"/>
      </w:rPr>
      <w:instrText xml:space="preserve"> NUMPAGES </w:instrText>
    </w:r>
    <w:r>
      <w:rPr>
        <w:szCs w:val="21"/>
      </w:rPr>
      <w:fldChar w:fldCharType="separate"/>
    </w:r>
    <w:r>
      <w:rPr>
        <w:szCs w:val="21"/>
      </w:rPr>
      <w:t>9</w:t>
    </w:r>
    <w:r>
      <w:rPr>
        <w:szCs w:val="21"/>
      </w:rPr>
      <w:fldChar w:fldCharType="end"/>
    </w:r>
    <w:r>
      <w:rPr>
        <w:rFonts w:hint="eastAsia"/>
        <w:szCs w:val="21"/>
      </w:rPr>
      <w:t xml:space="preserve"> 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E26872"/>
    <w:multiLevelType w:val="multilevel"/>
    <w:tmpl w:val="5AE26872"/>
    <w:lvl w:ilvl="0" w:tentative="0">
      <w:start w:val="1"/>
      <w:numFmt w:val="decimal"/>
      <w:lvlText w:val="%1."/>
      <w:lvlJc w:val="left"/>
      <w:pPr>
        <w:ind w:left="360" w:hanging="360"/>
      </w:pPr>
      <w:rPr>
        <w:rFonts w:hint="default" w:ascii="宋体" w:hAnsi="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A1D49"/>
    <w:rsid w:val="00113494"/>
    <w:rsid w:val="00116E40"/>
    <w:rsid w:val="001D768C"/>
    <w:rsid w:val="002D31AD"/>
    <w:rsid w:val="002E4A7C"/>
    <w:rsid w:val="003C02E7"/>
    <w:rsid w:val="004E1E4A"/>
    <w:rsid w:val="00683538"/>
    <w:rsid w:val="00821987"/>
    <w:rsid w:val="00871FD5"/>
    <w:rsid w:val="008A0254"/>
    <w:rsid w:val="00983C8C"/>
    <w:rsid w:val="00B375DF"/>
    <w:rsid w:val="00BA1D49"/>
    <w:rsid w:val="00C8635A"/>
    <w:rsid w:val="00D370CE"/>
    <w:rsid w:val="00D97974"/>
    <w:rsid w:val="00DD767F"/>
    <w:rsid w:val="00FA7081"/>
    <w:rsid w:val="18182D35"/>
    <w:rsid w:val="19EC4774"/>
    <w:rsid w:val="293F6BB4"/>
    <w:rsid w:val="2EF92EDF"/>
    <w:rsid w:val="330C4148"/>
    <w:rsid w:val="39DD075B"/>
    <w:rsid w:val="486D4A38"/>
    <w:rsid w:val="57E45419"/>
    <w:rsid w:val="646C206F"/>
    <w:rsid w:val="75173CC3"/>
    <w:rsid w:val="7E9C20A1"/>
    <w:rsid w:val="7F12656C"/>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Arial" w:hAnsi="Arial" w:eastAsia="宋体" w:cs="Times New Roman"/>
      <w:spacing w:val="-5"/>
      <w:lang w:val="en-US" w:eastAsia="zh-CN" w:bidi="ar-SA"/>
    </w:rPr>
  </w:style>
  <w:style w:type="paragraph" w:styleId="2">
    <w:name w:val="heading 2"/>
    <w:basedOn w:val="1"/>
    <w:next w:val="1"/>
    <w:link w:val="1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6">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3">
    <w:name w:val="Body Text"/>
    <w:basedOn w:val="1"/>
    <w:link w:val="10"/>
    <w:qFormat/>
    <w:uiPriority w:val="0"/>
    <w:pPr>
      <w:spacing w:after="120"/>
    </w:pPr>
    <w:rPr>
      <w:rFonts w:eastAsiaTheme="minorEastAsia"/>
      <w:kern w:val="2"/>
      <w:sz w:val="21"/>
      <w:szCs w:val="22"/>
    </w:rPr>
  </w:style>
  <w:style w:type="paragraph" w:styleId="4">
    <w:name w:val="footer"/>
    <w:basedOn w:val="1"/>
    <w:link w:val="9"/>
    <w:unhideWhenUsed/>
    <w:qFormat/>
    <w:uiPriority w:val="0"/>
    <w:pPr>
      <w:tabs>
        <w:tab w:val="center" w:pos="4153"/>
        <w:tab w:val="right" w:pos="8306"/>
      </w:tabs>
      <w:snapToGrid w:val="0"/>
      <w:jc w:val="left"/>
    </w:pPr>
    <w:rPr>
      <w:sz w:val="18"/>
      <w:szCs w:val="18"/>
    </w:rPr>
  </w:style>
  <w:style w:type="paragraph" w:styleId="5">
    <w:name w:val="header"/>
    <w:basedOn w:val="1"/>
    <w:link w:val="8"/>
    <w:unhideWhenUsed/>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6"/>
    <w:link w:val="5"/>
    <w:qFormat/>
    <w:uiPriority w:val="0"/>
    <w:rPr>
      <w:sz w:val="18"/>
      <w:szCs w:val="18"/>
    </w:rPr>
  </w:style>
  <w:style w:type="character" w:customStyle="1" w:styleId="9">
    <w:name w:val="页脚 Char"/>
    <w:basedOn w:val="6"/>
    <w:link w:val="4"/>
    <w:qFormat/>
    <w:uiPriority w:val="0"/>
    <w:rPr>
      <w:sz w:val="18"/>
      <w:szCs w:val="18"/>
    </w:rPr>
  </w:style>
  <w:style w:type="character" w:customStyle="1" w:styleId="10">
    <w:name w:val="正文文本 Char"/>
    <w:link w:val="3"/>
    <w:qFormat/>
    <w:uiPriority w:val="0"/>
    <w:rPr>
      <w:rFonts w:ascii="Arial" w:hAnsi="Arial" w:cs="Times New Roman"/>
      <w:spacing w:val="-5"/>
    </w:rPr>
  </w:style>
  <w:style w:type="paragraph" w:customStyle="1" w:styleId="11">
    <w:name w:val="普通 (Web)"/>
    <w:qFormat/>
    <w:uiPriority w:val="0"/>
    <w:pPr>
      <w:spacing w:before="100" w:after="100"/>
    </w:pPr>
    <w:rPr>
      <w:rFonts w:ascii="宋体" w:hAnsi="Times New Roman" w:eastAsia="宋体" w:cs="Times New Roman"/>
      <w:sz w:val="24"/>
      <w:lang w:val="en-US" w:eastAsia="zh-CN" w:bidi="ar-SA"/>
    </w:rPr>
  </w:style>
  <w:style w:type="paragraph" w:customStyle="1" w:styleId="12">
    <w:name w:val="列出段落1"/>
    <w:qFormat/>
    <w:uiPriority w:val="0"/>
    <w:pPr>
      <w:widowControl w:val="0"/>
      <w:ind w:firstLine="200" w:firstLineChars="200"/>
      <w:jc w:val="both"/>
    </w:pPr>
    <w:rPr>
      <w:rFonts w:ascii="Calibri" w:hAnsi="Calibri" w:eastAsia="宋体" w:cs="Times New Roman"/>
      <w:kern w:val="2"/>
      <w:sz w:val="21"/>
      <w:szCs w:val="22"/>
      <w:lang w:val="en-US" w:eastAsia="zh-CN" w:bidi="ar-SA"/>
    </w:rPr>
  </w:style>
  <w:style w:type="character" w:customStyle="1" w:styleId="13">
    <w:name w:val="正文文本 Char1"/>
    <w:basedOn w:val="6"/>
    <w:semiHidden/>
    <w:qFormat/>
    <w:uiPriority w:val="99"/>
    <w:rPr>
      <w:rFonts w:ascii="Arial" w:hAnsi="Arial" w:eastAsia="宋体" w:cs="Times New Roman"/>
      <w:spacing w:val="-5"/>
      <w:kern w:val="0"/>
      <w:sz w:val="20"/>
      <w:szCs w:val="20"/>
    </w:rPr>
  </w:style>
  <w:style w:type="paragraph" w:customStyle="1" w:styleId="14">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
    <w:name w:val="样式 标题 2 + Times New Roman 四号 非加粗 段前: 5 磅 段后: 0 磅 行距: 固定值 20..."/>
    <w:basedOn w:val="2"/>
    <w:qFormat/>
    <w:uiPriority w:val="0"/>
    <w:pPr>
      <w:widowControl w:val="0"/>
      <w:spacing w:before="100" w:after="0" w:line="400" w:lineRule="exact"/>
    </w:pPr>
    <w:rPr>
      <w:rFonts w:ascii="Times New Roman" w:hAnsi="Times New Roman" w:eastAsia="黑体" w:cs="宋体"/>
      <w:b w:val="0"/>
      <w:bCs w:val="0"/>
      <w:spacing w:val="0"/>
      <w:kern w:val="2"/>
      <w:sz w:val="28"/>
      <w:szCs w:val="20"/>
    </w:rPr>
  </w:style>
  <w:style w:type="character" w:customStyle="1" w:styleId="16">
    <w:name w:val="标题 2 Char"/>
    <w:basedOn w:val="6"/>
    <w:link w:val="2"/>
    <w:semiHidden/>
    <w:qFormat/>
    <w:uiPriority w:val="9"/>
    <w:rPr>
      <w:rFonts w:asciiTheme="majorHAnsi" w:hAnsiTheme="majorHAnsi" w:eastAsiaTheme="majorEastAsia" w:cstheme="majorBidi"/>
      <w:b/>
      <w:bCs/>
      <w:spacing w:val="-5"/>
      <w:kern w:val="0"/>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673</Words>
  <Characters>3838</Characters>
  <Lines>31</Lines>
  <Paragraphs>9</Paragraphs>
  <TotalTime>0</TotalTime>
  <ScaleCrop>false</ScaleCrop>
  <LinksUpToDate>false</LinksUpToDate>
  <CharactersWithSpaces>4502</CharactersWithSpaces>
  <Application>WPS Office_10.8.0.5874_F1E327BC-269C-435d-A152-05C5408002CA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2017-02-09T03:25:00Z</dcterms:created>
  <dc:creator>lenovo</dc:creator>
  <cp:lastModifiedBy>yhn</cp:lastModifiedBy>
  <cp:lastPrinted>2017-02-09T02:22:00Z</cp:lastPrinted>
  <dcterms:modified xsi:type="dcterms:W3CDTF">2017-03-06T00:44:14Z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2052-10.8.0.5874</vt:lpwstr>
  </property>
</Properties>
</file>