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24"/>
        </w:rPr>
      </w:pPr>
      <w:bookmarkStart w:id="0" w:name="_GoBack"/>
      <w:bookmarkEnd w:id="0"/>
      <w:r>
        <w:rPr>
          <w:rFonts w:hint="eastAsia" w:ascii="宋体" w:hAnsi="宋体"/>
          <w:b/>
          <w:sz w:val="24"/>
        </w:rPr>
        <w:t>计算机软件购置技术标书审批表</w:t>
      </w:r>
    </w:p>
    <w:p>
      <w:pPr>
        <w:spacing w:line="360" w:lineRule="auto"/>
        <w:ind w:right="150"/>
        <w:jc w:val="right"/>
        <w:rPr>
          <w:rFonts w:ascii="宋体" w:hAnsi="宋体"/>
          <w:color w:val="000000"/>
          <w:sz w:val="24"/>
        </w:rPr>
      </w:pPr>
      <w:r>
        <w:rPr>
          <w:rFonts w:hint="eastAsia" w:ascii="宋体" w:hAnsi="宋体"/>
          <w:color w:val="000000"/>
          <w:sz w:val="24"/>
        </w:rPr>
        <w:t>2017年2月6日</w:t>
      </w:r>
    </w:p>
    <w:tbl>
      <w:tblPr>
        <w:tblStyle w:val="9"/>
        <w:tblW w:w="8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4"/>
        <w:gridCol w:w="1242"/>
        <w:gridCol w:w="2708"/>
        <w:gridCol w:w="1791"/>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61" w:hRule="atLeast"/>
          <w:jc w:val="center"/>
        </w:trPr>
        <w:tc>
          <w:tcPr>
            <w:tcW w:w="1916" w:type="dxa"/>
            <w:gridSpan w:val="2"/>
            <w:vAlign w:val="center"/>
          </w:tcPr>
          <w:p>
            <w:pPr>
              <w:jc w:val="center"/>
              <w:rPr>
                <w:rFonts w:ascii="宋体" w:hAnsi="宋体"/>
                <w:szCs w:val="21"/>
              </w:rPr>
            </w:pPr>
            <w:r>
              <w:rPr>
                <w:rFonts w:hint="eastAsia" w:ascii="宋体" w:hAnsi="宋体"/>
                <w:szCs w:val="21"/>
              </w:rPr>
              <w:t>计算机软件 名称</w:t>
            </w:r>
          </w:p>
        </w:tc>
        <w:tc>
          <w:tcPr>
            <w:tcW w:w="2708" w:type="dxa"/>
            <w:vAlign w:val="center"/>
          </w:tcPr>
          <w:p>
            <w:pPr>
              <w:jc w:val="center"/>
              <w:rPr>
                <w:rFonts w:ascii="宋体" w:hAnsi="宋体"/>
                <w:szCs w:val="21"/>
              </w:rPr>
            </w:pPr>
            <w:r>
              <w:rPr>
                <w:rFonts w:hint="eastAsia" w:ascii="宋体" w:hAnsi="宋体"/>
                <w:szCs w:val="21"/>
              </w:rPr>
              <w:t>应用开发平台</w:t>
            </w:r>
          </w:p>
        </w:tc>
        <w:tc>
          <w:tcPr>
            <w:tcW w:w="1791" w:type="dxa"/>
            <w:vAlign w:val="center"/>
          </w:tcPr>
          <w:p>
            <w:pPr>
              <w:jc w:val="center"/>
              <w:rPr>
                <w:rFonts w:ascii="宋体" w:hAnsi="宋体"/>
                <w:szCs w:val="21"/>
              </w:rPr>
            </w:pPr>
            <w:r>
              <w:rPr>
                <w:rFonts w:hint="eastAsia" w:ascii="宋体" w:hAnsi="宋体"/>
                <w:szCs w:val="21"/>
              </w:rPr>
              <w:t>购置数量</w:t>
            </w:r>
          </w:p>
        </w:tc>
        <w:tc>
          <w:tcPr>
            <w:tcW w:w="1845" w:type="dxa"/>
            <w:vAlign w:val="center"/>
          </w:tcPr>
          <w:p>
            <w:pPr>
              <w:ind w:firstLine="315" w:firstLineChars="150"/>
              <w:jc w:val="center"/>
              <w:rPr>
                <w:rFonts w:ascii="宋体" w:hAnsi="宋体"/>
                <w:szCs w:val="21"/>
              </w:rPr>
            </w:pPr>
            <w:r>
              <w:rPr>
                <w:rFonts w:hint="eastAsia" w:ascii="宋体" w:hAnsi="宋体"/>
                <w:szCs w:val="21"/>
                <w:lang w:val="en-US" w:eastAsia="zh-CN"/>
              </w:rPr>
              <w:t>1</w:t>
            </w:r>
            <w:r>
              <w:rPr>
                <w:rFonts w:hint="eastAsia" w:ascii="宋体" w:hAnsi="宋体"/>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jc w:val="center"/>
        </w:trPr>
        <w:tc>
          <w:tcPr>
            <w:tcW w:w="1916" w:type="dxa"/>
            <w:gridSpan w:val="2"/>
            <w:vAlign w:val="center"/>
          </w:tcPr>
          <w:p>
            <w:pPr>
              <w:jc w:val="center"/>
              <w:rPr>
                <w:rFonts w:ascii="宋体" w:hAnsi="宋体"/>
                <w:szCs w:val="21"/>
              </w:rPr>
            </w:pPr>
            <w:r>
              <w:rPr>
                <w:rFonts w:hint="eastAsia" w:ascii="宋体" w:hAnsi="宋体"/>
                <w:szCs w:val="21"/>
              </w:rPr>
              <w:t>计划来源</w:t>
            </w:r>
          </w:p>
        </w:tc>
        <w:tc>
          <w:tcPr>
            <w:tcW w:w="6344" w:type="dxa"/>
            <w:gridSpan w:val="3"/>
            <w:vAlign w:val="center"/>
          </w:tcPr>
          <w:p>
            <w:pPr>
              <w:jc w:val="center"/>
              <w:rPr>
                <w:rFonts w:ascii="宋体" w:hAnsi="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jc w:val="center"/>
        </w:trPr>
        <w:tc>
          <w:tcPr>
            <w:tcW w:w="1916" w:type="dxa"/>
            <w:gridSpan w:val="2"/>
            <w:vAlign w:val="center"/>
          </w:tcPr>
          <w:p>
            <w:pPr>
              <w:jc w:val="center"/>
              <w:rPr>
                <w:rFonts w:ascii="宋体" w:hAnsi="宋体"/>
                <w:szCs w:val="21"/>
              </w:rPr>
            </w:pPr>
            <w:r>
              <w:rPr>
                <w:rFonts w:hint="eastAsia" w:ascii="宋体" w:hAnsi="宋体"/>
                <w:szCs w:val="21"/>
              </w:rPr>
              <w:t>描述</w:t>
            </w:r>
          </w:p>
        </w:tc>
        <w:tc>
          <w:tcPr>
            <w:tcW w:w="6344" w:type="dxa"/>
            <w:gridSpan w:val="3"/>
            <w:vAlign w:val="center"/>
          </w:tcPr>
          <w:p>
            <w:pPr>
              <w:ind w:firstLine="420" w:firstLineChars="200"/>
              <w:jc w:val="left"/>
            </w:pPr>
            <w:r>
              <w:t>开发平台是全球领先的SOA应用平台</w:t>
            </w:r>
            <w:r>
              <w:rPr>
                <w:rFonts w:hint="eastAsia"/>
              </w:rPr>
              <w:t>，</w:t>
            </w:r>
            <w:r>
              <w:t>基于J2EE、Eclipse等开放的技术和平台，采用先进的SOA架构和标准规范，</w:t>
            </w:r>
            <w:r>
              <w:rPr>
                <w:rFonts w:hint="eastAsia"/>
              </w:rPr>
              <w:t>并且</w:t>
            </w:r>
            <w:r>
              <w:t>可以通过构件化、图形化、一体化的平台产品为我们提供完整的覆盖SOA应用全生命周期的支撑，从设计、开发、调试和部署，到运行、维护、管控和治理。</w:t>
            </w:r>
          </w:p>
          <w:p>
            <w:pPr>
              <w:ind w:firstLine="420" w:firstLineChars="200"/>
              <w:jc w:val="left"/>
              <w:rPr>
                <w:rFonts w:ascii="宋体" w:hAnsi="宋体"/>
                <w:color w:val="FF0000"/>
                <w:szCs w:val="21"/>
              </w:rPr>
            </w:pPr>
            <w:r>
              <w:t>平台可以把构件技术、可视化技术、图形化技术与SCA、SDO等SOA技术标准完美结合起来，提供从设计开发和调试部署，到运行维护和管控治理的覆盖SOA应用全生命周期的平台支撑。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30" w:hRule="atLeast"/>
          <w:jc w:val="center"/>
        </w:trPr>
        <w:tc>
          <w:tcPr>
            <w:tcW w:w="1916" w:type="dxa"/>
            <w:gridSpan w:val="2"/>
            <w:vAlign w:val="center"/>
          </w:tcPr>
          <w:p>
            <w:pPr>
              <w:jc w:val="center"/>
              <w:rPr>
                <w:rFonts w:ascii="宋体" w:hAnsi="宋体"/>
                <w:szCs w:val="21"/>
              </w:rPr>
            </w:pPr>
            <w:r>
              <w:rPr>
                <w:rFonts w:hint="eastAsia" w:ascii="宋体" w:hAnsi="宋体"/>
                <w:szCs w:val="21"/>
              </w:rPr>
              <w:t>主要技术参数</w:t>
            </w:r>
          </w:p>
        </w:tc>
        <w:tc>
          <w:tcPr>
            <w:tcW w:w="6344" w:type="dxa"/>
            <w:gridSpan w:val="3"/>
            <w:vAlign w:val="center"/>
          </w:tcPr>
          <w:p>
            <w:pPr>
              <w:widowControl/>
              <w:adjustRightInd w:val="0"/>
              <w:spacing w:line="360" w:lineRule="auto"/>
              <w:ind w:left="420"/>
              <w:rPr>
                <w:rFonts w:ascii="宋体" w:hAnsi="宋体"/>
                <w:szCs w:val="21"/>
                <w:u w:val="single"/>
              </w:rPr>
            </w:pPr>
            <w:r>
              <w:rPr>
                <w:rFonts w:hint="eastAsia" w:ascii="宋体" w:hAnsi="宋体"/>
                <w:szCs w:val="21"/>
              </w:rPr>
              <w:t>1、软件授权方式：</w:t>
            </w:r>
            <w:r>
              <w:rPr>
                <w:rFonts w:hint="eastAsia" w:ascii="宋体" w:hAnsi="宋体"/>
                <w:szCs w:val="21"/>
                <w:u w:val="single"/>
              </w:rPr>
              <w:t xml:space="preserve"> 按企业授权，要求提供原厂商授权函；</w:t>
            </w:r>
          </w:p>
          <w:p>
            <w:pPr>
              <w:widowControl/>
              <w:adjustRightInd w:val="0"/>
              <w:spacing w:line="360" w:lineRule="auto"/>
              <w:ind w:left="420"/>
              <w:rPr>
                <w:rFonts w:ascii="宋体" w:hAnsi="宋体"/>
                <w:szCs w:val="21"/>
              </w:rPr>
            </w:pPr>
            <w:r>
              <w:rPr>
                <w:rFonts w:hint="eastAsia" w:ascii="宋体" w:hAnsi="宋体"/>
                <w:szCs w:val="21"/>
              </w:rPr>
              <w:t>2、购买许可数：</w:t>
            </w:r>
            <w:r>
              <w:rPr>
                <w:rFonts w:hint="eastAsia" w:ascii="宋体" w:hAnsi="宋体"/>
                <w:szCs w:val="21"/>
                <w:u w:val="single"/>
              </w:rPr>
              <w:t xml:space="preserve"> </w:t>
            </w:r>
            <w:r>
              <w:rPr>
                <w:rFonts w:hint="eastAsia" w:ascii="宋体" w:hAnsi="宋体"/>
                <w:szCs w:val="21"/>
                <w:u w:val="single"/>
                <w:lang w:val="en-US" w:eastAsia="zh-CN"/>
              </w:rPr>
              <w:t>1；</w:t>
            </w:r>
          </w:p>
          <w:p>
            <w:pPr>
              <w:widowControl/>
              <w:adjustRightInd w:val="0"/>
              <w:spacing w:line="360" w:lineRule="auto"/>
              <w:ind w:left="420"/>
              <w:rPr>
                <w:rFonts w:ascii="宋体" w:hAnsi="宋体"/>
                <w:szCs w:val="21"/>
                <w:u w:val="single"/>
              </w:rPr>
            </w:pPr>
            <w:r>
              <w:rPr>
                <w:rFonts w:hint="eastAsia" w:ascii="宋体" w:hAnsi="宋体"/>
                <w:szCs w:val="21"/>
              </w:rPr>
              <w:t>3、质保期：</w:t>
            </w:r>
            <w:r>
              <w:rPr>
                <w:rFonts w:hint="eastAsia" w:ascii="宋体" w:hAnsi="宋体"/>
                <w:szCs w:val="21"/>
                <w:u w:val="single"/>
              </w:rPr>
              <w:t xml:space="preserve"> 一次购买无限期使用；</w:t>
            </w:r>
          </w:p>
          <w:p>
            <w:pPr>
              <w:widowControl/>
              <w:adjustRightInd w:val="0"/>
              <w:spacing w:line="360" w:lineRule="auto"/>
              <w:ind w:left="420"/>
              <w:rPr>
                <w:rFonts w:ascii="宋体" w:hAnsi="宋体"/>
                <w:szCs w:val="21"/>
                <w:u w:val="single"/>
              </w:rPr>
            </w:pPr>
            <w:r>
              <w:rPr>
                <w:rFonts w:hint="eastAsia" w:ascii="宋体" w:hAnsi="宋体"/>
                <w:szCs w:val="21"/>
              </w:rPr>
              <w:t>4、售后及质保：</w:t>
            </w:r>
            <w:r>
              <w:rPr>
                <w:rFonts w:hint="eastAsia" w:ascii="宋体" w:hAnsi="宋体"/>
                <w:szCs w:val="21"/>
                <w:u w:val="single"/>
              </w:rPr>
              <w:t>一年内免费补丁和升级服务；提供三年内远程7×8小时远程技术支持；</w:t>
            </w:r>
          </w:p>
          <w:p>
            <w:pPr>
              <w:widowControl/>
              <w:adjustRightInd w:val="0"/>
              <w:spacing w:line="360" w:lineRule="auto"/>
              <w:ind w:left="420"/>
              <w:rPr>
                <w:rFonts w:ascii="宋体" w:hAnsi="宋体"/>
                <w:szCs w:val="21"/>
                <w:u w:val="single"/>
              </w:rPr>
            </w:pPr>
            <w:r>
              <w:rPr>
                <w:rFonts w:hint="eastAsia" w:ascii="宋体" w:hAnsi="宋体"/>
                <w:szCs w:val="21"/>
              </w:rPr>
              <w:t>5、培训：</w:t>
            </w:r>
            <w:r>
              <w:rPr>
                <w:rFonts w:hint="eastAsia" w:ascii="宋体" w:hAnsi="宋体"/>
                <w:szCs w:val="21"/>
                <w:u w:val="single"/>
              </w:rPr>
              <w:t>提供至少5天的免费培训，并保证培训质量；</w:t>
            </w:r>
          </w:p>
          <w:p>
            <w:pPr>
              <w:widowControl/>
              <w:adjustRightInd w:val="0"/>
              <w:spacing w:line="360" w:lineRule="auto"/>
              <w:ind w:left="420"/>
              <w:rPr>
                <w:rFonts w:ascii="宋体" w:hAnsi="宋体"/>
                <w:szCs w:val="21"/>
              </w:rPr>
            </w:pPr>
            <w:r>
              <w:rPr>
                <w:rFonts w:hint="eastAsia" w:ascii="宋体" w:hAnsi="宋体"/>
                <w:szCs w:val="21"/>
              </w:rPr>
              <w:t>6、安装调试：</w:t>
            </w:r>
            <w:r>
              <w:rPr>
                <w:rFonts w:hint="eastAsia" w:ascii="宋体" w:hAnsi="宋体"/>
                <w:szCs w:val="21"/>
                <w:u w:val="single"/>
              </w:rPr>
              <w:t>提供该软件的安装和调试和硬件环境的安装部署</w:t>
            </w:r>
            <w:r>
              <w:rPr>
                <w:rFonts w:hint="eastAsia" w:ascii="宋体" w:hAnsi="宋体"/>
                <w:szCs w:val="21"/>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115" w:hRule="atLeast"/>
          <w:jc w:val="center"/>
        </w:trPr>
        <w:tc>
          <w:tcPr>
            <w:tcW w:w="1916" w:type="dxa"/>
            <w:gridSpan w:val="2"/>
            <w:vAlign w:val="center"/>
          </w:tcPr>
          <w:p>
            <w:pPr>
              <w:jc w:val="center"/>
              <w:rPr>
                <w:rFonts w:ascii="宋体" w:hAnsi="宋体"/>
                <w:szCs w:val="21"/>
              </w:rPr>
            </w:pPr>
            <w:r>
              <w:rPr>
                <w:rFonts w:hint="eastAsia" w:ascii="宋体" w:hAnsi="宋体"/>
                <w:szCs w:val="21"/>
              </w:rPr>
              <w:t>项目提报单位</w:t>
            </w:r>
          </w:p>
        </w:tc>
        <w:tc>
          <w:tcPr>
            <w:tcW w:w="6344" w:type="dxa"/>
            <w:gridSpan w:val="3"/>
            <w:vAlign w:val="center"/>
          </w:tcPr>
          <w:p>
            <w:pPr>
              <w:jc w:val="center"/>
              <w:rPr>
                <w:rFonts w:ascii="宋体" w:hAnsi="宋体"/>
                <w:szCs w:val="21"/>
              </w:rPr>
            </w:pPr>
            <w:r>
              <w:rPr>
                <w:rFonts w:hint="eastAsia" w:ascii="宋体" w:hAnsi="宋体"/>
                <w:szCs w:val="21"/>
              </w:rPr>
              <w:t>神东信息管理中心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21" w:hRule="atLeast"/>
          <w:jc w:val="center"/>
        </w:trPr>
        <w:tc>
          <w:tcPr>
            <w:tcW w:w="674" w:type="dxa"/>
            <w:vMerge w:val="restart"/>
            <w:shd w:val="clear" w:color="auto" w:fill="auto"/>
            <w:vAlign w:val="center"/>
          </w:tcPr>
          <w:p>
            <w:pPr>
              <w:jc w:val="center"/>
              <w:rPr>
                <w:rFonts w:ascii="宋体" w:hAnsi="宋体"/>
                <w:szCs w:val="21"/>
              </w:rPr>
            </w:pPr>
            <w:r>
              <w:rPr>
                <w:rFonts w:hint="eastAsia" w:ascii="宋体" w:hAnsi="宋体"/>
                <w:szCs w:val="21"/>
              </w:rPr>
              <w:t>信息管理</w:t>
            </w:r>
          </w:p>
          <w:p>
            <w:pPr>
              <w:jc w:val="center"/>
              <w:rPr>
                <w:rFonts w:ascii="宋体" w:hAnsi="宋体"/>
                <w:szCs w:val="21"/>
              </w:rPr>
            </w:pPr>
            <w:r>
              <w:rPr>
                <w:rFonts w:hint="eastAsia" w:ascii="宋体" w:hAnsi="宋体"/>
                <w:szCs w:val="21"/>
              </w:rPr>
              <w:t>中心</w:t>
            </w:r>
          </w:p>
        </w:tc>
        <w:tc>
          <w:tcPr>
            <w:tcW w:w="1242" w:type="dxa"/>
            <w:shd w:val="clear" w:color="auto" w:fill="auto"/>
            <w:vAlign w:val="center"/>
          </w:tcPr>
          <w:p>
            <w:pPr>
              <w:jc w:val="center"/>
              <w:rPr>
                <w:rFonts w:ascii="宋体" w:hAnsi="宋体"/>
                <w:szCs w:val="21"/>
              </w:rPr>
            </w:pPr>
            <w:r>
              <w:rPr>
                <w:rFonts w:hint="eastAsia" w:ascii="宋体" w:hAnsi="宋体"/>
                <w:szCs w:val="21"/>
              </w:rPr>
              <w:t>技术办</w:t>
            </w:r>
          </w:p>
        </w:tc>
        <w:tc>
          <w:tcPr>
            <w:tcW w:w="6344" w:type="dxa"/>
            <w:gridSpan w:val="3"/>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63" w:hRule="atLeast"/>
          <w:jc w:val="center"/>
        </w:trPr>
        <w:tc>
          <w:tcPr>
            <w:tcW w:w="674" w:type="dxa"/>
            <w:vMerge w:val="continue"/>
            <w:shd w:val="clear" w:color="auto" w:fill="auto"/>
            <w:vAlign w:val="center"/>
          </w:tcPr>
          <w:p>
            <w:pPr>
              <w:rPr>
                <w:rFonts w:ascii="宋体" w:hAnsi="宋体"/>
                <w:szCs w:val="21"/>
              </w:rPr>
            </w:pPr>
          </w:p>
        </w:tc>
        <w:tc>
          <w:tcPr>
            <w:tcW w:w="1242" w:type="dxa"/>
            <w:shd w:val="clear" w:color="auto" w:fill="auto"/>
            <w:vAlign w:val="center"/>
          </w:tcPr>
          <w:p>
            <w:pPr>
              <w:jc w:val="center"/>
              <w:rPr>
                <w:rFonts w:ascii="宋体" w:hAnsi="宋体"/>
                <w:szCs w:val="21"/>
              </w:rPr>
            </w:pPr>
            <w:r>
              <w:rPr>
                <w:rFonts w:hint="eastAsia" w:ascii="宋体" w:hAnsi="宋体"/>
                <w:szCs w:val="21"/>
              </w:rPr>
              <w:t>分管领导</w:t>
            </w:r>
          </w:p>
        </w:tc>
        <w:tc>
          <w:tcPr>
            <w:tcW w:w="6344" w:type="dxa"/>
            <w:gridSpan w:val="3"/>
            <w:vAlign w:val="center"/>
          </w:tcPr>
          <w:p>
            <w:pPr>
              <w:jc w:val="center"/>
              <w:rPr>
                <w:rFonts w:ascii="宋体" w:hAnsi="宋体"/>
                <w:szCs w:val="21"/>
              </w:rPr>
            </w:pPr>
          </w:p>
        </w:tc>
      </w:tr>
    </w:tbl>
    <w:p>
      <w:pPr>
        <w:spacing w:line="360" w:lineRule="auto"/>
        <w:jc w:val="center"/>
        <w:rPr>
          <w:rFonts w:hint="eastAsia" w:ascii="宋体" w:hAnsi="宋体"/>
          <w:b/>
          <w:sz w:val="24"/>
        </w:rPr>
      </w:pPr>
    </w:p>
    <w:p>
      <w:pPr>
        <w:spacing w:line="360" w:lineRule="auto"/>
        <w:jc w:val="center"/>
        <w:rPr>
          <w:rFonts w:hint="eastAsia" w:ascii="宋体" w:hAnsi="宋体"/>
          <w:b/>
          <w:sz w:val="24"/>
        </w:rPr>
      </w:pPr>
    </w:p>
    <w:p>
      <w:pPr>
        <w:spacing w:line="360" w:lineRule="auto"/>
        <w:jc w:val="center"/>
        <w:rPr>
          <w:rFonts w:ascii="宋体" w:hAnsi="宋体"/>
          <w:b/>
          <w:sz w:val="24"/>
        </w:rPr>
      </w:pPr>
      <w:r>
        <w:rPr>
          <w:rFonts w:hint="eastAsia" w:ascii="宋体" w:hAnsi="宋体"/>
          <w:b/>
          <w:sz w:val="24"/>
        </w:rPr>
        <w:t>第一节计算机软件</w:t>
      </w:r>
    </w:p>
    <w:p>
      <w:pPr>
        <w:spacing w:line="360" w:lineRule="auto"/>
        <w:jc w:val="center"/>
        <w:rPr>
          <w:rFonts w:ascii="宋体" w:hAnsi="宋体"/>
          <w:b/>
          <w:sz w:val="24"/>
        </w:rPr>
      </w:pPr>
      <w:r>
        <w:rPr>
          <w:rFonts w:hint="eastAsia" w:ascii="宋体" w:hAnsi="宋体"/>
          <w:b/>
          <w:sz w:val="24"/>
        </w:rPr>
        <w:t>(1)货物需求一览表</w:t>
      </w:r>
    </w:p>
    <w:tbl>
      <w:tblPr>
        <w:tblStyle w:val="9"/>
        <w:tblW w:w="8335" w:type="dxa"/>
        <w:jc w:val="center"/>
        <w:tblInd w:w="0" w:type="dxa"/>
        <w:tblLayout w:type="fixed"/>
        <w:tblCellMar>
          <w:top w:w="0" w:type="dxa"/>
          <w:left w:w="108" w:type="dxa"/>
          <w:bottom w:w="0" w:type="dxa"/>
          <w:right w:w="108" w:type="dxa"/>
        </w:tblCellMar>
      </w:tblPr>
      <w:tblGrid>
        <w:gridCol w:w="749"/>
        <w:gridCol w:w="1557"/>
        <w:gridCol w:w="1542"/>
        <w:gridCol w:w="642"/>
        <w:gridCol w:w="642"/>
        <w:gridCol w:w="1809"/>
        <w:gridCol w:w="1394"/>
      </w:tblGrid>
      <w:tr>
        <w:tblPrEx>
          <w:tblLayout w:type="fixed"/>
          <w:tblCellMar>
            <w:top w:w="0" w:type="dxa"/>
            <w:left w:w="108" w:type="dxa"/>
            <w:bottom w:w="0" w:type="dxa"/>
            <w:right w:w="108" w:type="dxa"/>
          </w:tblCellMar>
        </w:tblPrEx>
        <w:trPr>
          <w:trHeight w:val="39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序号</w:t>
            </w:r>
          </w:p>
        </w:tc>
        <w:tc>
          <w:tcPr>
            <w:tcW w:w="1557"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名称</w:t>
            </w:r>
          </w:p>
        </w:tc>
        <w:tc>
          <w:tcPr>
            <w:tcW w:w="15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规格型号</w:t>
            </w:r>
          </w:p>
        </w:tc>
        <w:tc>
          <w:tcPr>
            <w:tcW w:w="6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单位</w:t>
            </w:r>
          </w:p>
        </w:tc>
        <w:tc>
          <w:tcPr>
            <w:tcW w:w="6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数量</w:t>
            </w:r>
          </w:p>
        </w:tc>
        <w:tc>
          <w:tcPr>
            <w:tcW w:w="1809"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交货时间</w:t>
            </w:r>
          </w:p>
        </w:tc>
        <w:tc>
          <w:tcPr>
            <w:tcW w:w="13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使用单位</w:t>
            </w: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应用开发平台</w:t>
            </w: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1</w:t>
            </w: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FF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r>
              <w:rPr>
                <w:rFonts w:hint="eastAsia" w:ascii="宋体" w:hAnsi="宋体"/>
                <w:color w:val="000000"/>
                <w:szCs w:val="21"/>
              </w:rPr>
              <w:t>神东信息管理中心</w:t>
            </w:r>
          </w:p>
        </w:tc>
      </w:tr>
      <w:tr>
        <w:tblPrEx>
          <w:tblLayout w:type="fixed"/>
          <w:tblCellMar>
            <w:top w:w="0" w:type="dxa"/>
            <w:left w:w="108" w:type="dxa"/>
            <w:bottom w:w="0" w:type="dxa"/>
            <w:right w:w="108" w:type="dxa"/>
          </w:tblCellMar>
        </w:tblPrEx>
        <w:trPr>
          <w:trHeight w:val="39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1557"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single" w:color="auto" w:sz="4" w:space="0"/>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single" w:color="auto" w:sz="4" w:space="0"/>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single" w:color="auto" w:sz="4" w:space="0"/>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4</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5</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315" w:firstLineChars="150"/>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ind w:firstLine="210" w:firstLineChars="100"/>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ind w:firstLine="210" w:firstLineChars="100"/>
              <w:rPr>
                <w:rFonts w:ascii="宋体" w:hAnsi="宋体"/>
                <w:color w:val="000000"/>
                <w:szCs w:val="21"/>
              </w:rPr>
            </w:pPr>
          </w:p>
        </w:tc>
      </w:tr>
    </w:tbl>
    <w:p>
      <w:pPr>
        <w:spacing w:line="360" w:lineRule="auto"/>
        <w:ind w:firstLine="2891"/>
        <w:jc w:val="both"/>
        <w:rPr>
          <w:rFonts w:ascii="宋体" w:hAnsi="宋体"/>
          <w:b/>
          <w:sz w:val="24"/>
        </w:rPr>
      </w:pPr>
      <w:r>
        <w:rPr>
          <w:rFonts w:hint="eastAsia" w:ascii="宋体" w:hAnsi="宋体"/>
          <w:b/>
          <w:sz w:val="24"/>
        </w:rPr>
        <w:t>（2）分项报价表</w:t>
      </w:r>
    </w:p>
    <w:tbl>
      <w:tblPr>
        <w:tblStyle w:val="9"/>
        <w:tblW w:w="82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299"/>
        <w:gridCol w:w="705"/>
        <w:gridCol w:w="852"/>
        <w:gridCol w:w="849"/>
        <w:gridCol w:w="597"/>
        <w:gridCol w:w="1045"/>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b/>
                <w:szCs w:val="21"/>
              </w:rPr>
            </w:pPr>
            <w:r>
              <w:rPr>
                <w:rFonts w:hint="eastAsia" w:ascii="宋体" w:hAnsi="宋体"/>
                <w:b/>
                <w:szCs w:val="21"/>
              </w:rPr>
              <w:t>序号</w:t>
            </w:r>
          </w:p>
        </w:tc>
        <w:tc>
          <w:tcPr>
            <w:tcW w:w="2299" w:type="dxa"/>
            <w:vAlign w:val="center"/>
          </w:tcPr>
          <w:p>
            <w:pPr>
              <w:jc w:val="center"/>
              <w:rPr>
                <w:rFonts w:ascii="宋体" w:hAnsi="宋体"/>
                <w:b/>
                <w:szCs w:val="21"/>
              </w:rPr>
            </w:pPr>
            <w:r>
              <w:rPr>
                <w:rFonts w:hint="eastAsia" w:ascii="宋体" w:hAnsi="宋体"/>
                <w:b/>
                <w:szCs w:val="21"/>
              </w:rPr>
              <w:t>名　称</w:t>
            </w:r>
          </w:p>
        </w:tc>
        <w:tc>
          <w:tcPr>
            <w:tcW w:w="705" w:type="dxa"/>
            <w:vAlign w:val="center"/>
          </w:tcPr>
          <w:p>
            <w:pPr>
              <w:jc w:val="center"/>
              <w:rPr>
                <w:rFonts w:ascii="宋体" w:hAnsi="宋体"/>
                <w:b/>
                <w:szCs w:val="21"/>
              </w:rPr>
            </w:pPr>
            <w:r>
              <w:rPr>
                <w:rFonts w:hint="eastAsia" w:ascii="宋体" w:hAnsi="宋体"/>
                <w:b/>
                <w:szCs w:val="21"/>
              </w:rPr>
              <w:t>单位</w:t>
            </w:r>
          </w:p>
        </w:tc>
        <w:tc>
          <w:tcPr>
            <w:tcW w:w="852" w:type="dxa"/>
            <w:vAlign w:val="center"/>
          </w:tcPr>
          <w:p>
            <w:pPr>
              <w:jc w:val="center"/>
              <w:rPr>
                <w:rFonts w:ascii="宋体" w:hAnsi="宋体"/>
                <w:b/>
                <w:szCs w:val="21"/>
              </w:rPr>
            </w:pPr>
            <w:r>
              <w:rPr>
                <w:rFonts w:hint="eastAsia" w:ascii="宋体" w:hAnsi="宋体"/>
                <w:b/>
                <w:szCs w:val="21"/>
              </w:rPr>
              <w:t>数量</w:t>
            </w:r>
          </w:p>
        </w:tc>
        <w:tc>
          <w:tcPr>
            <w:tcW w:w="849" w:type="dxa"/>
            <w:vAlign w:val="center"/>
          </w:tcPr>
          <w:p>
            <w:pPr>
              <w:jc w:val="center"/>
              <w:rPr>
                <w:rFonts w:ascii="宋体" w:hAnsi="宋体"/>
                <w:b/>
                <w:szCs w:val="21"/>
              </w:rPr>
            </w:pPr>
            <w:r>
              <w:rPr>
                <w:rFonts w:hint="eastAsia" w:ascii="宋体" w:hAnsi="宋体"/>
                <w:b/>
                <w:szCs w:val="21"/>
              </w:rPr>
              <w:t>单价（元）</w:t>
            </w:r>
          </w:p>
        </w:tc>
        <w:tc>
          <w:tcPr>
            <w:tcW w:w="597" w:type="dxa"/>
            <w:vAlign w:val="center"/>
          </w:tcPr>
          <w:p>
            <w:pPr>
              <w:jc w:val="center"/>
              <w:rPr>
                <w:rFonts w:ascii="宋体" w:hAnsi="宋体"/>
                <w:b/>
                <w:szCs w:val="21"/>
              </w:rPr>
            </w:pPr>
            <w:r>
              <w:rPr>
                <w:rFonts w:hint="eastAsia" w:ascii="宋体" w:hAnsi="宋体"/>
                <w:b/>
                <w:szCs w:val="21"/>
              </w:rPr>
              <w:t>总计</w:t>
            </w:r>
          </w:p>
        </w:tc>
        <w:tc>
          <w:tcPr>
            <w:tcW w:w="1045" w:type="dxa"/>
            <w:vAlign w:val="center"/>
          </w:tcPr>
          <w:p>
            <w:pPr>
              <w:jc w:val="center"/>
              <w:rPr>
                <w:rFonts w:ascii="宋体" w:hAnsi="宋体"/>
                <w:b/>
                <w:szCs w:val="21"/>
              </w:rPr>
            </w:pPr>
            <w:r>
              <w:rPr>
                <w:rFonts w:hint="eastAsia" w:ascii="宋体" w:hAnsi="宋体"/>
                <w:b/>
                <w:szCs w:val="21"/>
              </w:rPr>
              <w:t>重要程度</w:t>
            </w:r>
          </w:p>
        </w:tc>
        <w:tc>
          <w:tcPr>
            <w:tcW w:w="1045" w:type="dxa"/>
            <w:vAlign w:val="center"/>
          </w:tcPr>
          <w:p>
            <w:pPr>
              <w:jc w:val="center"/>
              <w:rPr>
                <w:rFonts w:ascii="宋体" w:hAnsi="宋体"/>
                <w:b/>
                <w:szCs w:val="21"/>
              </w:rPr>
            </w:pPr>
            <w:r>
              <w:rPr>
                <w:rFonts w:hint="eastAsia" w:ascii="宋体" w:hAnsi="宋体"/>
                <w:b/>
                <w:szCs w:val="21"/>
              </w:rPr>
              <w:t>易损等级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1</w:t>
            </w:r>
          </w:p>
        </w:tc>
        <w:tc>
          <w:tcPr>
            <w:tcW w:w="2299" w:type="dxa"/>
            <w:vAlign w:val="center"/>
          </w:tcPr>
          <w:p>
            <w:pPr>
              <w:rPr>
                <w:rFonts w:ascii="宋体" w:hAnsi="宋体"/>
                <w:b/>
                <w:color w:val="000000"/>
                <w:szCs w:val="21"/>
              </w:rPr>
            </w:pPr>
          </w:p>
        </w:tc>
        <w:tc>
          <w:tcPr>
            <w:tcW w:w="705" w:type="dxa"/>
            <w:vAlign w:val="center"/>
          </w:tcPr>
          <w:p>
            <w:pPr>
              <w:jc w:val="center"/>
              <w:rPr>
                <w:rFonts w:ascii="宋体" w:hAnsi="宋体"/>
                <w:b/>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2</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3</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4</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widowControl/>
              <w:adjustRightInd w:val="0"/>
              <w:rPr>
                <w:rFonts w:ascii="宋体" w:hAnsi="宋体"/>
                <w:color w:val="000000"/>
                <w:szCs w:val="21"/>
              </w:rPr>
            </w:pPr>
          </w:p>
        </w:tc>
        <w:tc>
          <w:tcPr>
            <w:tcW w:w="2299" w:type="dxa"/>
            <w:vAlign w:val="center"/>
          </w:tcPr>
          <w:p>
            <w:pPr>
              <w:widowControl/>
              <w:adjustRightInd w:val="0"/>
              <w:rPr>
                <w:rFonts w:ascii="宋体" w:hAnsi="宋体"/>
                <w:color w:val="000000"/>
                <w:szCs w:val="21"/>
              </w:rPr>
            </w:pPr>
          </w:p>
        </w:tc>
        <w:tc>
          <w:tcPr>
            <w:tcW w:w="705" w:type="dxa"/>
            <w:vAlign w:val="center"/>
          </w:tcPr>
          <w:p>
            <w:pPr>
              <w:widowControl/>
              <w:adjustRightInd w:val="0"/>
              <w:rPr>
                <w:rFonts w:ascii="宋体" w:hAnsi="宋体"/>
                <w:color w:val="000000"/>
                <w:szCs w:val="21"/>
              </w:rPr>
            </w:pPr>
          </w:p>
        </w:tc>
        <w:tc>
          <w:tcPr>
            <w:tcW w:w="852" w:type="dxa"/>
            <w:vAlign w:val="center"/>
          </w:tcPr>
          <w:p>
            <w:pPr>
              <w:widowControl/>
              <w:adjustRightInd w:val="0"/>
              <w:rPr>
                <w:rFonts w:ascii="宋体" w:hAnsi="宋体"/>
                <w:color w:val="000000"/>
                <w:szCs w:val="21"/>
              </w:rPr>
            </w:pPr>
          </w:p>
        </w:tc>
        <w:tc>
          <w:tcPr>
            <w:tcW w:w="849" w:type="dxa"/>
            <w:vAlign w:val="center"/>
          </w:tcPr>
          <w:p>
            <w:pPr>
              <w:widowControl/>
              <w:adjustRightInd w:val="0"/>
              <w:rPr>
                <w:rFonts w:ascii="宋体" w:hAnsi="宋体"/>
                <w:color w:val="000000"/>
                <w:szCs w:val="21"/>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bl>
    <w:p>
      <w:pPr>
        <w:spacing w:line="360" w:lineRule="auto"/>
        <w:jc w:val="center"/>
        <w:rPr>
          <w:rFonts w:hint="eastAsia" w:ascii="宋体" w:hAnsi="宋体"/>
          <w:b/>
          <w:sz w:val="24"/>
        </w:rPr>
      </w:pPr>
    </w:p>
    <w:p>
      <w:pPr>
        <w:spacing w:line="360" w:lineRule="auto"/>
        <w:jc w:val="center"/>
        <w:rPr>
          <w:rFonts w:ascii="宋体" w:hAnsi="宋体"/>
          <w:b/>
          <w:sz w:val="24"/>
        </w:rPr>
      </w:pPr>
      <w:r>
        <w:rPr>
          <w:rFonts w:hint="eastAsia" w:ascii="宋体" w:hAnsi="宋体"/>
          <w:b/>
          <w:sz w:val="24"/>
        </w:rPr>
        <w:t>第二节工作环境</w:t>
      </w:r>
    </w:p>
    <w:p>
      <w:pPr>
        <w:spacing w:line="360" w:lineRule="auto"/>
        <w:ind w:firstLine="480" w:firstLineChars="200"/>
        <w:rPr>
          <w:rFonts w:ascii="宋体" w:hAnsi="宋体"/>
          <w:sz w:val="24"/>
        </w:rPr>
      </w:pPr>
      <w:r>
        <w:rPr>
          <w:rFonts w:hint="eastAsia" w:ascii="宋体" w:hAnsi="宋体"/>
          <w:sz w:val="24"/>
        </w:rPr>
        <w:t>1、 软件工作环境：</w:t>
      </w:r>
    </w:p>
    <w:p>
      <w:pPr>
        <w:ind w:firstLine="480" w:firstLineChars="200"/>
        <w:rPr>
          <w:rFonts w:ascii="宋体" w:hAnsi="宋体"/>
          <w:sz w:val="24"/>
          <w:u w:val="single"/>
        </w:rPr>
      </w:pPr>
      <w:r>
        <w:rPr>
          <w:rFonts w:hint="eastAsia" w:ascii="宋体" w:hAnsi="宋体"/>
          <w:sz w:val="24"/>
        </w:rPr>
        <w:t>1.1、使用环境：</w:t>
      </w:r>
      <w:r>
        <w:rPr>
          <w:rFonts w:hint="eastAsia" w:ascii="宋体" w:hAnsi="宋体"/>
          <w:sz w:val="24"/>
          <w:u w:val="single"/>
        </w:rPr>
        <w:t>企业局域网办公环境。</w:t>
      </w:r>
    </w:p>
    <w:p>
      <w:pPr>
        <w:spacing w:line="360" w:lineRule="auto"/>
        <w:ind w:firstLine="480" w:firstLineChars="200"/>
        <w:rPr>
          <w:rFonts w:ascii="宋体" w:hAnsi="宋体"/>
          <w:sz w:val="24"/>
        </w:rPr>
      </w:pPr>
      <w:r>
        <w:rPr>
          <w:rFonts w:hint="eastAsia" w:ascii="宋体" w:hAnsi="宋体"/>
          <w:sz w:val="24"/>
        </w:rPr>
        <w:t>1.2、安装地点及用途：</w:t>
      </w:r>
      <w:r>
        <w:rPr>
          <w:rFonts w:hint="eastAsia" w:ascii="宋体" w:hAnsi="宋体"/>
          <w:sz w:val="24"/>
          <w:u w:val="single"/>
        </w:rPr>
        <w:t xml:space="preserve">   陕西神木大柳塔神东信息管理中心/神东安全监测联网管理平台</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2.设计和制造标准</w:t>
      </w:r>
    </w:p>
    <w:p>
      <w:pPr>
        <w:pStyle w:val="13"/>
        <w:tabs>
          <w:tab w:val="left" w:pos="550"/>
        </w:tabs>
        <w:spacing w:before="0" w:after="0" w:line="360" w:lineRule="auto"/>
        <w:ind w:firstLine="480" w:firstLineChars="200"/>
        <w:rPr>
          <w:rFonts w:hAnsi="宋体"/>
          <w:szCs w:val="24"/>
        </w:rPr>
      </w:pPr>
      <w:r>
        <w:rPr>
          <w:rFonts w:hint="eastAsia" w:hAnsi="宋体"/>
          <w:szCs w:val="24"/>
        </w:rPr>
        <w:t>计算机软件产品规范:     SJ/T 标准/ISO标准/GB国标</w:t>
      </w:r>
    </w:p>
    <w:p>
      <w:pPr>
        <w:pStyle w:val="13"/>
        <w:tabs>
          <w:tab w:val="left" w:pos="550"/>
        </w:tabs>
        <w:spacing w:before="0" w:after="0" w:line="360" w:lineRule="auto"/>
        <w:ind w:firstLine="480" w:firstLineChars="200"/>
        <w:rPr>
          <w:rFonts w:hAnsi="宋体"/>
          <w:szCs w:val="24"/>
        </w:rPr>
      </w:pPr>
      <w:r>
        <w:rPr>
          <w:rFonts w:hint="eastAsia" w:hAnsi="宋体"/>
          <w:szCs w:val="24"/>
        </w:rPr>
        <w:t>SJ/T 11235-2001         软件能力成熟度模型（CMM）</w:t>
      </w:r>
    </w:p>
    <w:p>
      <w:pPr>
        <w:pStyle w:val="13"/>
        <w:tabs>
          <w:tab w:val="left" w:pos="550"/>
        </w:tabs>
        <w:spacing w:before="0" w:after="0" w:line="360" w:lineRule="auto"/>
        <w:ind w:firstLine="480" w:firstLineChars="200"/>
        <w:rPr>
          <w:rFonts w:hAnsi="宋体"/>
          <w:szCs w:val="24"/>
        </w:rPr>
      </w:pPr>
      <w:r>
        <w:rPr>
          <w:rFonts w:hint="eastAsia" w:hAnsi="宋体"/>
          <w:szCs w:val="24"/>
        </w:rPr>
        <w:t>ISO/IEC 12207-1995      信息技术 软件生存周期过程</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 8567-88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计算机软件产品实施文件编制指南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 9385-88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计算机软件需求说明编制指南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 9386-88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计算机软件测试文件编制规范</w:t>
      </w:r>
    </w:p>
    <w:p>
      <w:pPr>
        <w:pStyle w:val="13"/>
        <w:tabs>
          <w:tab w:val="left" w:pos="550"/>
        </w:tabs>
        <w:spacing w:before="0" w:after="0" w:line="360" w:lineRule="auto"/>
        <w:ind w:firstLine="480" w:firstLineChars="200"/>
        <w:rPr>
          <w:rFonts w:hAnsi="宋体"/>
          <w:szCs w:val="24"/>
        </w:rPr>
      </w:pPr>
      <w:r>
        <w:rPr>
          <w:rFonts w:hint="eastAsia" w:hAnsi="宋体"/>
          <w:szCs w:val="24"/>
        </w:rPr>
        <w:t>GB/T 11457-1995</w:t>
      </w:r>
      <w:r>
        <w:rPr>
          <w:rFonts w:hint="eastAsia" w:hAnsi="宋体"/>
          <w:szCs w:val="24"/>
        </w:rPr>
        <w:tab/>
      </w:r>
      <w:r>
        <w:rPr>
          <w:rFonts w:hint="eastAsia" w:hAnsi="宋体"/>
          <w:szCs w:val="24"/>
        </w:rPr>
        <w:t xml:space="preserve">       软件工程术语</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12504-90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计算机软件质量标准保证计划规范</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12505-90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计算机软件配置管理计划规范</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14079-93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计算机软件维护指南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14394-93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计算机软件可靠性和可维护性管理</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15532-95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计算机软件单元测试</w:t>
      </w:r>
    </w:p>
    <w:p>
      <w:pPr>
        <w:pStyle w:val="13"/>
        <w:tabs>
          <w:tab w:val="left" w:pos="550"/>
        </w:tabs>
        <w:spacing w:before="0" w:after="0" w:line="360" w:lineRule="auto"/>
        <w:ind w:firstLine="480" w:firstLineChars="200"/>
        <w:rPr>
          <w:rFonts w:hAnsi="宋体"/>
          <w:szCs w:val="24"/>
        </w:rPr>
      </w:pPr>
      <w:r>
        <w:rPr>
          <w:rFonts w:hint="eastAsia" w:hAnsi="宋体"/>
          <w:szCs w:val="24"/>
        </w:rPr>
        <w:t>GB/T 16260-1996（ISO/IEC 9126.1991） 信息技术 软件产品质量特性及其使用指南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17544-1998 </w:t>
      </w:r>
      <w:r>
        <w:rPr>
          <w:rFonts w:hint="eastAsia" w:hAnsi="宋体"/>
          <w:szCs w:val="24"/>
        </w:rPr>
        <w:tab/>
      </w:r>
      <w:r>
        <w:rPr>
          <w:rFonts w:hint="eastAsia" w:hAnsi="宋体"/>
          <w:szCs w:val="24"/>
        </w:rPr>
        <w:t xml:space="preserve">   信息技术软件包质量要求和测试</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18905.1-2002 </w:t>
      </w:r>
      <w:r>
        <w:rPr>
          <w:rFonts w:hint="eastAsia" w:hAnsi="宋体"/>
          <w:szCs w:val="24"/>
        </w:rPr>
        <w:tab/>
      </w:r>
      <w:r>
        <w:rPr>
          <w:rFonts w:hint="eastAsia" w:hAnsi="宋体"/>
          <w:szCs w:val="24"/>
        </w:rPr>
        <w:tab/>
      </w:r>
      <w:r>
        <w:rPr>
          <w:rFonts w:hint="eastAsia" w:hAnsi="宋体"/>
          <w:szCs w:val="24"/>
        </w:rPr>
        <w:t xml:space="preserve">软件工程产品评价 </w:t>
      </w:r>
    </w:p>
    <w:p>
      <w:pPr>
        <w:pStyle w:val="13"/>
        <w:tabs>
          <w:tab w:val="left" w:pos="550"/>
        </w:tabs>
        <w:spacing w:before="0" w:after="0" w:line="360" w:lineRule="auto"/>
        <w:ind w:firstLine="480" w:firstLineChars="200"/>
        <w:rPr>
          <w:rFonts w:hAnsi="宋体"/>
          <w:szCs w:val="24"/>
        </w:rPr>
      </w:pPr>
      <w:r>
        <w:rPr>
          <w:rFonts w:hint="eastAsia" w:hAnsi="宋体"/>
          <w:szCs w:val="24"/>
        </w:rPr>
        <w:t>GB/T 18905.6-2002      软件工程产品评价若货物原产国的国家标准或目前使用的企业标准高于上述标准，同样适用。</w:t>
      </w:r>
    </w:p>
    <w:p>
      <w:pPr>
        <w:spacing w:line="360" w:lineRule="auto"/>
        <w:jc w:val="center"/>
        <w:rPr>
          <w:rFonts w:ascii="宋体" w:hAnsi="宋体"/>
          <w:b/>
          <w:sz w:val="24"/>
        </w:rPr>
      </w:pPr>
      <w:r>
        <w:rPr>
          <w:rFonts w:hint="eastAsia" w:ascii="宋体" w:hAnsi="宋体"/>
          <w:b/>
          <w:sz w:val="24"/>
        </w:rPr>
        <w:t>第三节 技术要求</w:t>
      </w:r>
    </w:p>
    <w:p>
      <w:pPr>
        <w:spacing w:line="360" w:lineRule="auto"/>
        <w:ind w:firstLine="480" w:firstLineChars="200"/>
        <w:rPr>
          <w:rFonts w:ascii="宋体" w:hAnsi="宋体"/>
          <w:sz w:val="24"/>
        </w:rPr>
      </w:pPr>
      <w:r>
        <w:rPr>
          <w:rFonts w:ascii="宋体" w:hAnsi="宋体"/>
          <w:sz w:val="24"/>
        </w:rPr>
        <w:t>1.</w:t>
      </w:r>
      <w:r>
        <w:rPr>
          <w:rFonts w:hint="eastAsia" w:ascii="宋体" w:hAnsi="宋体"/>
          <w:sz w:val="24"/>
        </w:rPr>
        <w:t xml:space="preserve"> 技术参数及要求</w:t>
      </w:r>
    </w:p>
    <w:p>
      <w:pPr>
        <w:spacing w:line="360" w:lineRule="auto"/>
        <w:ind w:firstLine="480" w:firstLineChars="200"/>
        <w:rPr>
          <w:rFonts w:ascii="宋体" w:hAnsi="宋体"/>
          <w:sz w:val="24"/>
        </w:rPr>
      </w:pPr>
      <w:r>
        <w:rPr>
          <w:rFonts w:hint="eastAsia" w:ascii="宋体" w:hAnsi="宋体"/>
          <w:sz w:val="24"/>
        </w:rPr>
        <w:t>1.1购买数量：</w:t>
      </w:r>
      <w:r>
        <w:rPr>
          <w:rFonts w:hint="eastAsia" w:ascii="宋体" w:hAnsi="宋体"/>
          <w:sz w:val="24"/>
          <w:u w:val="single"/>
        </w:rPr>
        <w:t xml:space="preserve"> </w:t>
      </w:r>
      <w:r>
        <w:rPr>
          <w:rFonts w:hint="eastAsia" w:ascii="宋体" w:hAnsi="宋体"/>
          <w:sz w:val="24"/>
          <w:u w:val="single"/>
          <w:lang w:val="en-US" w:eastAsia="zh-CN"/>
        </w:rPr>
        <w:t>1套</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1.2软件版本：</w:t>
      </w:r>
      <w:r>
        <w:rPr>
          <w:rFonts w:hint="eastAsia" w:ascii="宋体" w:hAnsi="宋体"/>
          <w:sz w:val="24"/>
          <w:u w:val="single"/>
        </w:rPr>
        <w:t xml:space="preserve"> v7.5x</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1.3版本号：</w:t>
      </w:r>
      <w:r>
        <w:rPr>
          <w:rFonts w:hint="eastAsia" w:ascii="宋体" w:hAnsi="宋体"/>
          <w:sz w:val="24"/>
          <w:u w:val="single"/>
        </w:rPr>
        <w:t>7.5.x</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1.4包装说明：</w:t>
      </w:r>
      <w:r>
        <w:rPr>
          <w:rFonts w:hint="eastAsia" w:ascii="宋体" w:hAnsi="宋体"/>
          <w:sz w:val="24"/>
          <w:u w:val="single"/>
        </w:rPr>
        <w:t xml:space="preserve">    彩盒光盘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1.5适应硬件环境：</w:t>
      </w:r>
      <w:r>
        <w:rPr>
          <w:rFonts w:hint="eastAsia" w:ascii="宋体" w:hAnsi="宋体"/>
          <w:sz w:val="24"/>
          <w:u w:val="single"/>
        </w:rPr>
        <w:t xml:space="preserve">    x86服务器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1.6使用软件环境：</w:t>
      </w:r>
      <w:r>
        <w:rPr>
          <w:rFonts w:hint="eastAsia" w:ascii="宋体" w:hAnsi="宋体"/>
          <w:sz w:val="24"/>
          <w:u w:val="single"/>
        </w:rPr>
        <w:t xml:space="preserve">    Windows/Linux（32bit  /64bit）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1.7许可数量：</w:t>
      </w:r>
      <w:r>
        <w:rPr>
          <w:rFonts w:hint="eastAsia" w:ascii="宋体" w:hAnsi="宋体"/>
          <w:sz w:val="24"/>
          <w:u w:val="single"/>
          <w:lang w:val="en-US" w:eastAsia="zh-CN"/>
        </w:rPr>
        <w:t xml:space="preserve"> 1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1.8语言版本：</w:t>
      </w:r>
      <w:r>
        <w:rPr>
          <w:rFonts w:hint="eastAsia" w:ascii="宋体" w:hAnsi="宋体"/>
          <w:sz w:val="24"/>
          <w:u w:val="single"/>
        </w:rPr>
        <w:t xml:space="preserve">    中英文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2、技术性能要求</w:t>
      </w:r>
    </w:p>
    <w:p>
      <w:pPr>
        <w:spacing w:line="360" w:lineRule="auto"/>
        <w:ind w:firstLine="480" w:firstLineChars="200"/>
        <w:jc w:val="left"/>
        <w:rPr>
          <w:rFonts w:ascii="宋体" w:hAnsi="宋体"/>
          <w:sz w:val="24"/>
        </w:rPr>
      </w:pPr>
      <w:r>
        <w:rPr>
          <w:rFonts w:ascii="宋体" w:hAnsi="宋体"/>
          <w:sz w:val="24"/>
        </w:rPr>
        <w:t>开发平台是全球领先的SOA应用平台</w:t>
      </w:r>
      <w:r>
        <w:rPr>
          <w:rFonts w:hint="eastAsia" w:ascii="宋体" w:hAnsi="宋体"/>
          <w:sz w:val="24"/>
        </w:rPr>
        <w:t>，</w:t>
      </w:r>
      <w:r>
        <w:rPr>
          <w:rFonts w:ascii="宋体" w:hAnsi="宋体"/>
          <w:sz w:val="24"/>
        </w:rPr>
        <w:t>基于J2EE、Eclipse等开放的技术和平台，采用先进的SOA架构和标准规范，</w:t>
      </w:r>
      <w:r>
        <w:rPr>
          <w:rFonts w:hint="eastAsia" w:ascii="宋体" w:hAnsi="宋体"/>
          <w:sz w:val="24"/>
        </w:rPr>
        <w:t>并且</w:t>
      </w:r>
      <w:r>
        <w:rPr>
          <w:rFonts w:ascii="宋体" w:hAnsi="宋体"/>
          <w:sz w:val="24"/>
        </w:rPr>
        <w:t>可以通过构件化、图形化、一体化的平台产品为我们提供完整的覆盖SOA应用全生命周期的支撑，从设计、开发、调试和部署，到运行、维护、管控和治理。平台可以把构件技术、可视化技术、图形化技术与SCA、SDO等SOA技术标准完美结合起来，提供从设计开发和调试部署，到运行维护和管控治理的覆盖SOA应用全生命周期的平台支撑。采用了先进的SOA体系架构和标准规范，实现了业务层面的构件化模型，技术层面的标准化架构和管理层面的规范化框架</w:t>
      </w:r>
      <w:r>
        <w:rPr>
          <w:rFonts w:hint="eastAsia" w:ascii="宋体" w:hAnsi="宋体"/>
          <w:sz w:val="24"/>
        </w:rPr>
        <w:t>。</w:t>
      </w:r>
    </w:p>
    <w:p>
      <w:pPr>
        <w:spacing w:line="360" w:lineRule="auto"/>
        <w:ind w:firstLine="480" w:firstLineChars="200"/>
        <w:jc w:val="left"/>
        <w:outlineLvl w:val="0"/>
        <w:rPr>
          <w:rFonts w:ascii="宋体" w:hAnsi="宋体"/>
          <w:sz w:val="24"/>
        </w:rPr>
      </w:pPr>
      <w:r>
        <w:rPr>
          <w:rFonts w:hint="eastAsia" w:ascii="宋体" w:hAnsi="宋体"/>
          <w:sz w:val="24"/>
        </w:rPr>
        <w:t>2.1</w:t>
      </w:r>
      <w:r>
        <w:rPr>
          <w:rFonts w:ascii="宋体" w:hAnsi="宋体"/>
          <w:sz w:val="24"/>
        </w:rPr>
        <w:t>总体要求</w:t>
      </w:r>
    </w:p>
    <w:p>
      <w:pPr>
        <w:spacing w:line="360" w:lineRule="auto"/>
        <w:ind w:firstLine="480" w:firstLineChars="200"/>
        <w:jc w:val="left"/>
        <w:rPr>
          <w:rFonts w:ascii="宋体" w:hAnsi="宋体"/>
          <w:sz w:val="24"/>
        </w:rPr>
      </w:pPr>
      <w:r>
        <w:rPr>
          <w:rFonts w:hint="eastAsia" w:ascii="宋体" w:hAnsi="宋体"/>
          <w:sz w:val="24"/>
        </w:rPr>
        <w:t>2.1.1</w:t>
      </w:r>
      <w:r>
        <w:rPr>
          <w:rFonts w:ascii="宋体" w:hAnsi="宋体"/>
          <w:sz w:val="24"/>
        </w:rPr>
        <w:t>系统充分考虑软、硬件平台的开发性和网络层、业务层的开放性，采用国际通用的技术标准</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2.1.2</w:t>
      </w:r>
      <w:r>
        <w:rPr>
          <w:rFonts w:ascii="宋体" w:hAnsi="宋体"/>
          <w:sz w:val="24"/>
        </w:rPr>
        <w:t>投标人提供的软件版本</w:t>
      </w:r>
      <w:r>
        <w:rPr>
          <w:rFonts w:hint="eastAsia" w:ascii="宋体" w:hAnsi="宋体"/>
          <w:sz w:val="24"/>
        </w:rPr>
        <w:t>必须满足</w:t>
      </w:r>
      <w:r>
        <w:rPr>
          <w:rFonts w:ascii="宋体" w:hAnsi="宋体"/>
          <w:sz w:val="24"/>
        </w:rPr>
        <w:t>标书中所要求的功能和性能。须详细说明其他实现方式及所需设备数量及与招标需求一致的维保服务，一并列入报价一览表及分项报价表</w:t>
      </w:r>
      <w:r>
        <w:rPr>
          <w:rFonts w:hint="eastAsia" w:ascii="宋体" w:hAnsi="宋体"/>
          <w:sz w:val="24"/>
        </w:rPr>
        <w:t>；</w:t>
      </w:r>
    </w:p>
    <w:p>
      <w:pPr>
        <w:spacing w:line="360" w:lineRule="auto"/>
        <w:ind w:firstLine="480" w:firstLineChars="200"/>
        <w:rPr>
          <w:rFonts w:ascii="宋体" w:hAnsi="宋体"/>
          <w:color w:val="000000"/>
          <w:sz w:val="24"/>
        </w:rPr>
      </w:pPr>
      <w:r>
        <w:rPr>
          <w:rFonts w:hint="eastAsia" w:ascii="宋体" w:hAnsi="宋体"/>
          <w:sz w:val="24"/>
        </w:rPr>
        <w:t>*2.1.3、原厂商要求，需提供国家版权局计算机软件著作权登记证书影印件并加盖厂</w:t>
      </w:r>
      <w:r>
        <w:rPr>
          <w:rFonts w:hint="eastAsia" w:ascii="宋体" w:hAnsi="宋体"/>
          <w:color w:val="000000"/>
          <w:sz w:val="24"/>
        </w:rPr>
        <w:t>家公章。原厂商是OASIS（全球SOA标准制定与采纳组织）成员，并提供成员证明材料。</w:t>
      </w:r>
    </w:p>
    <w:p>
      <w:pPr>
        <w:spacing w:line="360" w:lineRule="auto"/>
        <w:ind w:firstLine="480" w:firstLineChars="200"/>
        <w:outlineLvl w:val="0"/>
        <w:rPr>
          <w:rFonts w:ascii="宋体" w:hAnsi="宋体"/>
          <w:sz w:val="24"/>
        </w:rPr>
      </w:pPr>
      <w:r>
        <w:rPr>
          <w:rFonts w:hint="eastAsia" w:ascii="宋体" w:hAnsi="宋体"/>
          <w:sz w:val="24"/>
        </w:rPr>
        <w:t>2.2开发环境要求</w:t>
      </w:r>
    </w:p>
    <w:p>
      <w:pPr>
        <w:spacing w:line="360" w:lineRule="auto"/>
        <w:ind w:firstLine="480" w:firstLineChars="200"/>
        <w:jc w:val="left"/>
        <w:rPr>
          <w:rFonts w:ascii="宋体" w:hAnsi="宋体"/>
          <w:sz w:val="24"/>
        </w:rPr>
      </w:pPr>
      <w:r>
        <w:rPr>
          <w:rFonts w:hint="eastAsia" w:ascii="宋体" w:hAnsi="宋体"/>
          <w:sz w:val="24"/>
        </w:rPr>
        <w:t>*2.2.1提供</w:t>
      </w:r>
      <w:r>
        <w:rPr>
          <w:rFonts w:ascii="宋体" w:hAnsi="宋体"/>
          <w:sz w:val="24"/>
        </w:rPr>
        <w:t>基于SOA的集成开发平台，实现对SOA应用从开发、调试、部署、到发布和管理的一体化支持</w:t>
      </w:r>
      <w:r>
        <w:rPr>
          <w:rFonts w:hint="eastAsia" w:ascii="宋体" w:hAnsi="宋体"/>
          <w:sz w:val="24"/>
        </w:rPr>
        <w:t>；可分为技术平台、业务平台，支持开发人员、运维人员的设计、开发以及业务化调整；</w:t>
      </w:r>
    </w:p>
    <w:p>
      <w:pPr>
        <w:spacing w:line="360" w:lineRule="auto"/>
        <w:ind w:firstLine="480" w:firstLineChars="200"/>
        <w:jc w:val="left"/>
        <w:rPr>
          <w:rFonts w:ascii="宋体" w:hAnsi="宋体"/>
          <w:sz w:val="24"/>
        </w:rPr>
      </w:pPr>
      <w:r>
        <w:rPr>
          <w:rFonts w:hint="eastAsia" w:ascii="宋体" w:hAnsi="宋体"/>
          <w:sz w:val="24"/>
        </w:rPr>
        <w:t>*2.2.2</w:t>
      </w:r>
      <w:r>
        <w:rPr>
          <w:rFonts w:ascii="宋体" w:hAnsi="宋体"/>
          <w:sz w:val="24"/>
        </w:rPr>
        <w:t>支持面向服务体系架构（SOA），能够提供国内大型应用案例。全面支持面向SOA框架内SCA，SDO工业标准</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2.2.3</w:t>
      </w:r>
      <w:r>
        <w:rPr>
          <w:rFonts w:ascii="宋体" w:hAnsi="宋体"/>
          <w:sz w:val="24"/>
        </w:rPr>
        <w:t>提供完整的集成的可视化开发环境</w:t>
      </w:r>
      <w:r>
        <w:rPr>
          <w:rFonts w:hint="eastAsia" w:ascii="宋体" w:hAnsi="宋体"/>
          <w:sz w:val="24"/>
        </w:rPr>
        <w:t>，</w:t>
      </w:r>
      <w:r>
        <w:rPr>
          <w:rFonts w:ascii="宋体" w:hAnsi="宋体"/>
          <w:sz w:val="24"/>
        </w:rPr>
        <w:t>通过拖、拉、拽方式将与业务无关的通用构件进行图形化的组装</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2.2.4</w:t>
      </w:r>
      <w:r>
        <w:rPr>
          <w:rFonts w:ascii="宋体" w:hAnsi="宋体"/>
          <w:sz w:val="24"/>
        </w:rPr>
        <w:t>提供强大的向导开发功能，支持协同开发</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*2.2.5</w:t>
      </w:r>
      <w:r>
        <w:rPr>
          <w:rFonts w:ascii="宋体" w:hAnsi="宋体"/>
          <w:sz w:val="24"/>
        </w:rPr>
        <w:t>图形化的构件组装，实现免代码开发，图形化的构件组装只需要从构件库中拖拉构件，并对构件进行连线，配置相应的参数即可</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2.2.6</w:t>
      </w:r>
      <w:r>
        <w:rPr>
          <w:rFonts w:ascii="宋体" w:hAnsi="宋体"/>
          <w:sz w:val="24"/>
        </w:rPr>
        <w:t>提供对数据构件、页面构件、业务构件等软件开发常用构件和模块的快速可视化开发、调试、发布和管理，支持构件和模块的组合和复用</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2.2.7</w:t>
      </w:r>
      <w:r>
        <w:rPr>
          <w:rFonts w:ascii="宋体" w:hAnsi="宋体"/>
          <w:sz w:val="24"/>
        </w:rPr>
        <w:t>提供</w:t>
      </w:r>
      <w:r>
        <w:rPr>
          <w:rFonts w:hint="eastAsia" w:ascii="宋体" w:hAnsi="宋体"/>
          <w:sz w:val="24"/>
        </w:rPr>
        <w:t>基于JQuery的</w:t>
      </w:r>
      <w:r>
        <w:rPr>
          <w:rFonts w:ascii="宋体" w:hAnsi="宋体"/>
          <w:sz w:val="24"/>
        </w:rPr>
        <w:t>UI组件，实现高性能、跨浏览器、美观、中国式的表格（列锁定、行合并）</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*2.2.8提供导出项目的开发文档，以构件为单元生成详细设计文档。（提供本功能截图）；</w:t>
      </w:r>
    </w:p>
    <w:p>
      <w:pPr>
        <w:spacing w:line="360" w:lineRule="auto"/>
        <w:ind w:firstLine="480" w:firstLineChars="200"/>
        <w:jc w:val="left"/>
        <w:rPr>
          <w:rFonts w:ascii="宋体" w:hAnsi="宋体"/>
          <w:sz w:val="24"/>
        </w:rPr>
      </w:pPr>
      <w:r>
        <w:rPr>
          <w:rFonts w:hint="eastAsia" w:ascii="宋体" w:hAnsi="宋体"/>
          <w:sz w:val="24"/>
        </w:rPr>
        <w:t>2.2.9提供导出项目的</w:t>
      </w:r>
      <w:r>
        <w:rPr>
          <w:rFonts w:ascii="宋体" w:hAnsi="宋体"/>
          <w:sz w:val="24"/>
        </w:rPr>
        <w:t>项目质量管控</w:t>
      </w:r>
      <w:r>
        <w:rPr>
          <w:rFonts w:hint="eastAsia" w:ascii="宋体" w:hAnsi="宋体"/>
          <w:sz w:val="24"/>
        </w:rPr>
        <w:t>统计</w:t>
      </w:r>
      <w:r>
        <w:rPr>
          <w:rFonts w:ascii="宋体" w:hAnsi="宋体"/>
          <w:sz w:val="24"/>
        </w:rPr>
        <w:t>报告</w:t>
      </w:r>
      <w:r>
        <w:rPr>
          <w:rFonts w:hint="eastAsia" w:ascii="宋体" w:hAnsi="宋体"/>
          <w:sz w:val="24"/>
        </w:rPr>
        <w:t>，支持项目经理进行代码走查，检查是否按照项目制定的开发规范；</w:t>
      </w:r>
    </w:p>
    <w:p>
      <w:pPr>
        <w:spacing w:line="360" w:lineRule="auto"/>
        <w:ind w:firstLine="480" w:firstLineChars="200"/>
        <w:jc w:val="left"/>
        <w:rPr>
          <w:rFonts w:ascii="宋体" w:hAnsi="宋体"/>
          <w:sz w:val="24"/>
        </w:rPr>
      </w:pPr>
      <w:r>
        <w:rPr>
          <w:rFonts w:hint="eastAsia" w:ascii="宋体" w:hAnsi="宋体"/>
          <w:sz w:val="24"/>
        </w:rPr>
        <w:t>*2.2.10提供</w:t>
      </w:r>
      <w:r>
        <w:rPr>
          <w:rFonts w:ascii="宋体" w:hAnsi="宋体"/>
          <w:sz w:val="24"/>
        </w:rPr>
        <w:t>丰富的基础构件</w:t>
      </w:r>
      <w:r>
        <w:rPr>
          <w:rFonts w:hint="eastAsia" w:ascii="宋体" w:hAnsi="宋体"/>
          <w:sz w:val="24"/>
        </w:rPr>
        <w:t>，如：</w:t>
      </w:r>
      <w:r>
        <w:rPr>
          <w:rFonts w:ascii="宋体" w:hAnsi="宋体"/>
          <w:sz w:val="24"/>
        </w:rPr>
        <w:t>基础运算构件库、基础业务构件库、资源访问构件</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2.3运行环境要求</w:t>
      </w:r>
    </w:p>
    <w:p>
      <w:pPr>
        <w:spacing w:line="360" w:lineRule="auto"/>
        <w:ind w:firstLine="480" w:firstLineChars="200"/>
        <w:jc w:val="left"/>
        <w:rPr>
          <w:rFonts w:ascii="宋体" w:hAnsi="宋体"/>
          <w:sz w:val="24"/>
        </w:rPr>
      </w:pPr>
      <w:r>
        <w:rPr>
          <w:rFonts w:hint="eastAsia" w:ascii="宋体" w:hAnsi="宋体"/>
          <w:sz w:val="24"/>
        </w:rPr>
        <w:t>2.3.1</w:t>
      </w:r>
      <w:r>
        <w:rPr>
          <w:rFonts w:ascii="宋体" w:hAnsi="宋体"/>
          <w:sz w:val="24"/>
        </w:rPr>
        <w:t>提供完整Portal产品功能，包括SSO、Portal服务器以及可配置的门户界面框架</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2.3.2</w:t>
      </w:r>
      <w:r>
        <w:rPr>
          <w:rFonts w:ascii="宋体" w:hAnsi="宋体"/>
          <w:sz w:val="24"/>
        </w:rPr>
        <w:t>支持构件动态加载与远程加载</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2.3.3支持</w:t>
      </w:r>
      <w:r>
        <w:rPr>
          <w:rFonts w:ascii="宋体" w:hAnsi="宋体"/>
          <w:sz w:val="24"/>
        </w:rPr>
        <w:t>实现了在线表单、在线流程设计、开放的组织架构（基于Party设计模式）、精细化权限控制模型（支持表单、流程、按钮、数据行、列）</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2.3.4</w:t>
      </w:r>
      <w:r>
        <w:rPr>
          <w:rFonts w:ascii="宋体" w:hAnsi="宋体"/>
          <w:sz w:val="24"/>
        </w:rPr>
        <w:t>支持负载均衡</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2.3.5</w:t>
      </w:r>
      <w:r>
        <w:rPr>
          <w:rFonts w:ascii="宋体" w:hAnsi="宋体"/>
          <w:sz w:val="24"/>
        </w:rPr>
        <w:t>支持集群处理</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2.3.6</w:t>
      </w:r>
      <w:r>
        <w:rPr>
          <w:rFonts w:ascii="宋体" w:hAnsi="宋体"/>
          <w:sz w:val="24"/>
        </w:rPr>
        <w:t>支持缓存优化</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2.3.7</w:t>
      </w:r>
      <w:r>
        <w:rPr>
          <w:rFonts w:ascii="宋体" w:hAnsi="宋体"/>
          <w:sz w:val="24"/>
        </w:rPr>
        <w:t>支持安全管理</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*2.3.8</w:t>
      </w:r>
      <w:r>
        <w:rPr>
          <w:rFonts w:ascii="宋体" w:hAnsi="宋体"/>
          <w:sz w:val="24"/>
        </w:rPr>
        <w:t>支持目前通用的J2EE应用服务器，包括IBM WebSpere，Oracle WebLogic Server、JBoss、Tomcat等</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2.3.9提供开源的组织机构与权限管理功能。</w:t>
      </w:r>
    </w:p>
    <w:p>
      <w:pPr>
        <w:spacing w:line="360" w:lineRule="auto"/>
        <w:ind w:firstLine="480" w:firstLineChars="200"/>
        <w:jc w:val="left"/>
        <w:outlineLvl w:val="0"/>
        <w:rPr>
          <w:rFonts w:ascii="宋体" w:hAnsi="宋体"/>
          <w:sz w:val="24"/>
        </w:rPr>
      </w:pPr>
      <w:r>
        <w:rPr>
          <w:rFonts w:hint="eastAsia" w:ascii="宋体" w:hAnsi="宋体"/>
          <w:sz w:val="24"/>
        </w:rPr>
        <w:t>2.4</w:t>
      </w:r>
      <w:r>
        <w:rPr>
          <w:rFonts w:ascii="Tahoma" w:hAnsi="宋体" w:cs="Tahoma"/>
          <w:szCs w:val="21"/>
        </w:rPr>
        <w:t>系统管理</w:t>
      </w:r>
      <w:r>
        <w:rPr>
          <w:rFonts w:hint="eastAsia" w:ascii="Tahoma" w:hAnsi="宋体" w:cs="Tahoma"/>
          <w:szCs w:val="21"/>
        </w:rPr>
        <w:t>要求</w:t>
      </w:r>
    </w:p>
    <w:p>
      <w:pPr>
        <w:spacing w:line="360" w:lineRule="auto"/>
        <w:ind w:firstLine="480" w:firstLineChars="200"/>
        <w:jc w:val="left"/>
        <w:rPr>
          <w:rFonts w:ascii="宋体" w:hAnsi="宋体"/>
          <w:sz w:val="24"/>
        </w:rPr>
      </w:pPr>
      <w:r>
        <w:rPr>
          <w:rFonts w:hint="eastAsia" w:ascii="宋体" w:hAnsi="宋体"/>
          <w:sz w:val="24"/>
        </w:rPr>
        <w:t>2.4.1</w:t>
      </w:r>
      <w:r>
        <w:rPr>
          <w:rFonts w:ascii="宋体" w:hAnsi="宋体"/>
          <w:sz w:val="24"/>
        </w:rPr>
        <w:t>支持系统日志</w:t>
      </w:r>
      <w:r>
        <w:rPr>
          <w:rFonts w:hint="eastAsia" w:ascii="宋体" w:hAnsi="宋体"/>
          <w:sz w:val="24"/>
        </w:rPr>
        <w:t>，支持</w:t>
      </w:r>
      <w:r>
        <w:rPr>
          <w:rFonts w:ascii="宋体" w:hAnsi="宋体"/>
          <w:sz w:val="24"/>
        </w:rPr>
        <w:t>日志监控、审计</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2.4.2</w:t>
      </w:r>
      <w:r>
        <w:rPr>
          <w:rFonts w:ascii="宋体" w:hAnsi="宋体"/>
          <w:sz w:val="24"/>
        </w:rPr>
        <w:t>支持系统设置和系统配置，配置系统运行时的参数：数据库、应用服务器、日志配置等</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*2.4.3</w:t>
      </w:r>
      <w:r>
        <w:rPr>
          <w:rFonts w:ascii="宋体" w:hAnsi="宋体"/>
          <w:sz w:val="24"/>
        </w:rPr>
        <w:t>具备系统性能与监控管理功能，实时监控系统运行性能状况，进行运行情况统计。提供业务构件的调用频次、时间、访问量统计</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2.4.4</w:t>
      </w:r>
      <w:r>
        <w:rPr>
          <w:rFonts w:ascii="宋体" w:hAnsi="宋体"/>
          <w:sz w:val="24"/>
        </w:rPr>
        <w:t>提供多维度、多级别日志体系，支持以服务为粒度的日志配置</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*2.4.5</w:t>
      </w:r>
      <w:r>
        <w:rPr>
          <w:rFonts w:ascii="宋体" w:hAnsi="宋体"/>
          <w:sz w:val="24"/>
        </w:rPr>
        <w:t>在线管理监控，可以实时对数据库链接与访问情况进行监控，对服务的调用情况进行监控，对页面的访问情况进行监控，对后台业务逻辑的运行情况进行监控</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*2.4.6</w:t>
      </w:r>
      <w:r>
        <w:rPr>
          <w:rFonts w:ascii="宋体" w:hAnsi="宋体"/>
          <w:sz w:val="24"/>
        </w:rPr>
        <w:t>离线管理监控，可以根据系统日志记录分析出系统在某时间段处理的逻辑数量、最大并发数、最大用户数、空闲内容、最慢的逻辑排名等信息，并能够自动生成相关图表显示某时间段内系统的健康状况</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2.5</w:t>
      </w:r>
      <w:r>
        <w:rPr>
          <w:rFonts w:hint="eastAsia" w:ascii="宋体" w:hAnsi="宋体" w:cs="宋体"/>
          <w:sz w:val="24"/>
        </w:rPr>
        <w:t>流程要求</w:t>
      </w:r>
    </w:p>
    <w:p>
      <w:pPr>
        <w:spacing w:line="360" w:lineRule="auto"/>
        <w:ind w:firstLine="480" w:firstLineChars="200"/>
        <w:jc w:val="left"/>
        <w:rPr>
          <w:rFonts w:ascii="宋体" w:hAnsi="宋体"/>
          <w:sz w:val="24"/>
        </w:rPr>
      </w:pPr>
      <w:r>
        <w:rPr>
          <w:rFonts w:hint="eastAsia" w:ascii="宋体" w:hAnsi="宋体"/>
          <w:sz w:val="24"/>
        </w:rPr>
        <w:t>*2.5.1支持面向技术人员的技术化建模。应能提供IDE工具，进行图形化、可视化的流程设计，通过拖放等方式快速绘制和修改流程。包括定义业务流程的各个环节和流转规则；进行流程定义所有属性的编辑，而无须手工编辑模型文件；支持业务流程模板创建及使用等；</w:t>
      </w:r>
    </w:p>
    <w:p>
      <w:pPr>
        <w:spacing w:line="360" w:lineRule="auto"/>
        <w:ind w:firstLine="480" w:firstLineChars="200"/>
        <w:jc w:val="left"/>
        <w:rPr>
          <w:rFonts w:ascii="宋体" w:hAnsi="宋体"/>
          <w:sz w:val="24"/>
        </w:rPr>
      </w:pPr>
      <w:r>
        <w:rPr>
          <w:rFonts w:hint="eastAsia" w:ascii="宋体" w:hAnsi="宋体"/>
          <w:sz w:val="24"/>
        </w:rPr>
        <w:t>*2.5.2支持面向业务分析人员的业务化建模。应能提供基于WEB浏览器的线上图形化业务建模工具，方便业务人员进行业务分析和流程定制调整；建模工具明显是面向业务分析人员，无须理解技术概念；</w:t>
      </w:r>
    </w:p>
    <w:p>
      <w:pPr>
        <w:spacing w:line="360" w:lineRule="auto"/>
        <w:ind w:firstLine="480" w:firstLineChars="200"/>
        <w:jc w:val="left"/>
        <w:rPr>
          <w:rFonts w:ascii="宋体" w:hAnsi="宋体"/>
          <w:sz w:val="24"/>
        </w:rPr>
      </w:pPr>
      <w:r>
        <w:rPr>
          <w:rFonts w:hint="eastAsia" w:ascii="宋体" w:hAnsi="宋体"/>
          <w:sz w:val="24"/>
        </w:rPr>
        <w:t>2.5.3提供全面的业务流程控制和业务活动控制功能。支持完整的业务流程节点类型，包括但不限于可使用外部参数/数据、流程/活动/角色区分、分支和循环等、流程分支并行及并行路径的融合、子流程/嵌套流程、两个业务流程间的同步或异步交互操作等；应支持业务角色人工触发、时间规则、基于事件规则、基于异常、管理员对流程运行实例进行挂起/恢复/终止等人工干预等方式实现业务流程实例触发与跳转；应可以设置业务流程每个环节的处理时限、提供业务流程的超时处理；支持流程、活动的启动规则或条件，支持基于各种策略的流程回退模式，支持流程提交后收回，支持自由流；</w:t>
      </w:r>
    </w:p>
    <w:p>
      <w:pPr>
        <w:spacing w:line="360" w:lineRule="auto"/>
        <w:ind w:firstLine="480" w:firstLineChars="200"/>
        <w:jc w:val="left"/>
        <w:rPr>
          <w:rFonts w:ascii="宋体" w:hAnsi="宋体"/>
          <w:sz w:val="24"/>
        </w:rPr>
      </w:pPr>
      <w:r>
        <w:rPr>
          <w:rFonts w:hint="eastAsia" w:ascii="宋体" w:hAnsi="宋体"/>
          <w:sz w:val="24"/>
        </w:rPr>
        <w:t>2.5.4支持外部数据同步获取工作日历；提供业务日历，可以针对流程、活动来设定特定的工作日历，比如工作日、节假日、以及各种自定义的工作与非工作时间设定，同时也能将它与工作绩效及任务有效关联起来；应提供基于企业组织模型中各成员（部门、角色、岗位、人员）个性化配置工作日历的能力，工作日历应与流程中的超时和预警策略能够无缝结合并相互作用；</w:t>
      </w:r>
    </w:p>
    <w:p>
      <w:pPr>
        <w:spacing w:line="360" w:lineRule="auto"/>
        <w:ind w:firstLine="480" w:firstLineChars="200"/>
        <w:jc w:val="left"/>
        <w:rPr>
          <w:rFonts w:ascii="宋体" w:hAnsi="宋体"/>
          <w:sz w:val="24"/>
        </w:rPr>
      </w:pPr>
      <w:r>
        <w:rPr>
          <w:rFonts w:hint="eastAsia" w:ascii="宋体" w:hAnsi="宋体"/>
          <w:sz w:val="24"/>
        </w:rPr>
        <w:t>*2.5.5支持流程的版本管理；支持流程的版本升级，支持国内流程管理特色（例如：一刀切、分水岭等）；</w:t>
      </w:r>
    </w:p>
    <w:p>
      <w:pPr>
        <w:spacing w:line="360" w:lineRule="auto"/>
        <w:ind w:firstLine="480" w:firstLineChars="200"/>
        <w:jc w:val="left"/>
        <w:rPr>
          <w:rFonts w:ascii="宋体" w:hAnsi="宋体"/>
          <w:sz w:val="24"/>
        </w:rPr>
      </w:pPr>
      <w:r>
        <w:rPr>
          <w:rFonts w:hint="eastAsia" w:ascii="宋体" w:hAnsi="宋体"/>
          <w:sz w:val="24"/>
        </w:rPr>
        <w:t>2.5.6支持流程补偿和容错等机制，例如：支持无需文件系统日志文件来保存补偿处理信息，完全通过实现机制的良好设计和无状态的中间层架构保证补偿记录的安全；要求详细说明流程补偿和容错的实现方案；</w:t>
      </w:r>
    </w:p>
    <w:p>
      <w:pPr>
        <w:spacing w:line="360" w:lineRule="auto"/>
        <w:ind w:firstLine="480" w:firstLineChars="200"/>
        <w:jc w:val="left"/>
        <w:rPr>
          <w:rFonts w:ascii="宋体" w:hAnsi="宋体"/>
          <w:sz w:val="24"/>
        </w:rPr>
      </w:pPr>
      <w:r>
        <w:rPr>
          <w:rFonts w:hint="eastAsia" w:ascii="宋体" w:hAnsi="宋体"/>
          <w:sz w:val="24"/>
        </w:rPr>
        <w:t>2.5.7提供基于Web的流程追踪和监控工具；能统计流程状态实时查询（各流程正在运行、已完成、已终止的实例数量）；活动状态实时查询（各活动等待处理、已完成、已终止的实例数量）；流程平均历时统计、活动平均历时统计；统计某个业务流程模型下业务流程实例每个节点的所有工作负载等；</w:t>
      </w:r>
    </w:p>
    <w:p>
      <w:pPr>
        <w:spacing w:line="360" w:lineRule="auto"/>
        <w:ind w:firstLine="480" w:firstLineChars="200"/>
        <w:jc w:val="left"/>
        <w:rPr>
          <w:rFonts w:ascii="宋体" w:hAnsi="宋体"/>
          <w:sz w:val="24"/>
        </w:rPr>
      </w:pPr>
      <w:r>
        <w:rPr>
          <w:rFonts w:hint="eastAsia" w:ascii="宋体" w:hAnsi="宋体"/>
          <w:sz w:val="24"/>
        </w:rPr>
        <w:t>*2.5.8提供图形化的规则定义工具；业务规则引擎支持与流程无缝集成，流程建模中提供业务规则的活动节点；流程在运行过程中，业务规则可以在线修改，即时生效，不需要流程重启和系统停机；</w:t>
      </w:r>
    </w:p>
    <w:p>
      <w:pPr>
        <w:spacing w:line="360" w:lineRule="auto"/>
        <w:ind w:firstLine="480" w:firstLineChars="200"/>
        <w:jc w:val="left"/>
        <w:rPr>
          <w:rFonts w:ascii="宋体" w:hAnsi="宋体"/>
          <w:sz w:val="24"/>
        </w:rPr>
      </w:pPr>
      <w:r>
        <w:rPr>
          <w:rFonts w:hint="eastAsia" w:ascii="宋体" w:hAnsi="宋体"/>
          <w:sz w:val="24"/>
        </w:rPr>
        <w:t>2.5.9支持内嵌流程执行路径的图形化展示功能（流程地图），用户可以直接查看所有流程的图形化执行路径；</w:t>
      </w:r>
    </w:p>
    <w:p>
      <w:pPr>
        <w:spacing w:line="360" w:lineRule="auto"/>
        <w:ind w:firstLine="480" w:firstLineChars="200"/>
        <w:jc w:val="left"/>
        <w:rPr>
          <w:rFonts w:ascii="宋体" w:hAnsi="宋体"/>
          <w:sz w:val="24"/>
        </w:rPr>
      </w:pPr>
      <w:r>
        <w:rPr>
          <w:rFonts w:hint="eastAsia" w:ascii="宋体" w:hAnsi="宋体"/>
          <w:sz w:val="24"/>
        </w:rPr>
        <w:t>2.5.10提供多租户模型的支持；</w:t>
      </w:r>
    </w:p>
    <w:p>
      <w:pPr>
        <w:spacing w:line="360" w:lineRule="auto"/>
        <w:ind w:firstLine="480" w:firstLineChars="200"/>
        <w:jc w:val="left"/>
        <w:rPr>
          <w:rFonts w:ascii="宋体" w:hAnsi="宋体"/>
          <w:sz w:val="24"/>
        </w:rPr>
      </w:pPr>
      <w:r>
        <w:rPr>
          <w:rFonts w:hint="eastAsia" w:ascii="宋体" w:hAnsi="宋体"/>
          <w:sz w:val="24"/>
        </w:rPr>
        <w:t>2.5.11支持流程分域管理：即分布式流程管理，支持集团统一流程定义和维护，以及分省个性流程定义和维护；集团、省分维护界面清晰；</w:t>
      </w:r>
    </w:p>
    <w:p>
      <w:pPr>
        <w:spacing w:line="360" w:lineRule="auto"/>
        <w:ind w:firstLine="480" w:firstLineChars="200"/>
        <w:jc w:val="left"/>
        <w:rPr>
          <w:rFonts w:ascii="宋体" w:hAnsi="宋体"/>
          <w:sz w:val="24"/>
        </w:rPr>
      </w:pPr>
      <w:r>
        <w:rPr>
          <w:rFonts w:hint="eastAsia" w:ascii="宋体" w:hAnsi="宋体"/>
          <w:sz w:val="24"/>
        </w:rPr>
        <w:t>2.5.12支持完全内嵌的审计记录功能，无需其他工具和额外开发即可实现审计信息保存到数据库，所有类型的流程、流程信息都可以保存到数据库中；</w:t>
      </w:r>
    </w:p>
    <w:p>
      <w:pPr>
        <w:spacing w:line="360" w:lineRule="auto"/>
        <w:ind w:firstLine="480" w:firstLineChars="200"/>
        <w:jc w:val="left"/>
        <w:rPr>
          <w:rFonts w:ascii="宋体" w:hAnsi="宋体"/>
          <w:sz w:val="24"/>
        </w:rPr>
      </w:pPr>
      <w:r>
        <w:rPr>
          <w:rFonts w:hint="eastAsia" w:ascii="宋体" w:hAnsi="宋体"/>
          <w:sz w:val="24"/>
        </w:rPr>
        <w:t>*2.5.13支持与主流数据库的集成，例如Oracle，DB2，MySQL等；支持与第三方LDAP的集成（例如组织信息等）；平台自身可被第三方SOA平台集成的能力（例如流程服务化能力、流程状态图可嵌入能力等）；</w:t>
      </w:r>
    </w:p>
    <w:p>
      <w:pPr>
        <w:spacing w:line="360" w:lineRule="auto"/>
        <w:ind w:firstLine="480" w:firstLineChars="200"/>
        <w:jc w:val="left"/>
        <w:rPr>
          <w:rFonts w:ascii="宋体" w:hAnsi="宋体"/>
          <w:sz w:val="24"/>
        </w:rPr>
      </w:pPr>
      <w:r>
        <w:rPr>
          <w:rFonts w:hint="eastAsia" w:ascii="宋体" w:hAnsi="宋体"/>
          <w:sz w:val="24"/>
        </w:rPr>
        <w:t>*2.5.14支持分布式事务，能解决业务应用与流程引擎分布式部署的情况下，导致业务应用和流程引擎事务不一致问题；</w:t>
      </w:r>
    </w:p>
    <w:p>
      <w:pPr>
        <w:spacing w:line="360" w:lineRule="auto"/>
        <w:ind w:firstLine="480" w:firstLineChars="200"/>
        <w:jc w:val="left"/>
        <w:rPr>
          <w:rFonts w:ascii="宋体" w:hAnsi="宋体"/>
          <w:sz w:val="24"/>
        </w:rPr>
      </w:pPr>
      <w:r>
        <w:rPr>
          <w:rFonts w:hint="eastAsia" w:ascii="宋体" w:hAnsi="宋体"/>
          <w:sz w:val="24"/>
        </w:rPr>
        <w:t>*2.5.15流程引擎提供一种新的基于“任务池”的任务申领模式，支持高并发、高效的领取同质的任务能力，如：支持多队列高效领取、支持跨池领取、支持超时回收任务、支持宕机接管任务；</w:t>
      </w:r>
    </w:p>
    <w:p>
      <w:pPr>
        <w:spacing w:line="360" w:lineRule="auto"/>
        <w:ind w:firstLine="480" w:firstLineChars="200"/>
        <w:jc w:val="left"/>
        <w:rPr>
          <w:rFonts w:ascii="宋体" w:hAnsi="宋体"/>
          <w:sz w:val="24"/>
        </w:rPr>
      </w:pPr>
      <w:r>
        <w:rPr>
          <w:rFonts w:hint="eastAsia" w:ascii="宋体" w:hAnsi="宋体"/>
          <w:sz w:val="24"/>
        </w:rPr>
        <w:t>2.5.16流程引擎应该包含丰富的API，提供包含的API列表，应包含但不限于：流程管理API：流程实例化、流程实例查询、流程流转监控-图形化等；人工任务管理API：任务管理、待办查询等。</w:t>
      </w:r>
    </w:p>
    <w:p>
      <w:pPr>
        <w:spacing w:line="360" w:lineRule="auto"/>
        <w:ind w:firstLine="480" w:firstLineChars="200"/>
        <w:outlineLvl w:val="0"/>
        <w:rPr>
          <w:rFonts w:ascii="宋体" w:hAnsi="宋体"/>
          <w:sz w:val="24"/>
        </w:rPr>
      </w:pPr>
      <w:r>
        <w:rPr>
          <w:rFonts w:hint="eastAsia" w:ascii="宋体" w:hAnsi="宋体"/>
          <w:sz w:val="24"/>
        </w:rPr>
        <w:t>2.6</w:t>
      </w:r>
      <w:r>
        <w:rPr>
          <w:rFonts w:hint="eastAsia" w:ascii="宋体" w:hAnsi="宋体" w:cs="宋体"/>
        </w:rPr>
        <w:t>授权与售后要求</w:t>
      </w:r>
    </w:p>
    <w:p>
      <w:pPr>
        <w:spacing w:line="360" w:lineRule="auto"/>
        <w:ind w:firstLine="480" w:firstLineChars="200"/>
        <w:jc w:val="left"/>
        <w:rPr>
          <w:rFonts w:ascii="宋体" w:hAnsi="宋体"/>
          <w:sz w:val="24"/>
        </w:rPr>
      </w:pPr>
      <w:r>
        <w:rPr>
          <w:rFonts w:hint="eastAsia" w:ascii="宋体" w:hAnsi="宋体"/>
          <w:sz w:val="24"/>
        </w:rPr>
        <w:t>2.6.1能提供本地化的现场技术支持服务，解决项目实施中存在的技术问题；</w:t>
      </w:r>
    </w:p>
    <w:p>
      <w:pPr>
        <w:spacing w:line="360" w:lineRule="auto"/>
        <w:ind w:firstLine="480" w:firstLineChars="200"/>
        <w:jc w:val="left"/>
        <w:rPr>
          <w:rFonts w:ascii="宋体" w:hAnsi="宋体"/>
          <w:sz w:val="24"/>
        </w:rPr>
      </w:pPr>
      <w:r>
        <w:rPr>
          <w:rFonts w:hint="eastAsia" w:ascii="宋体" w:hAnsi="宋体"/>
          <w:sz w:val="24"/>
        </w:rPr>
        <w:t>*2.6.2要求提供一年原厂技术支持与售后服务，提供原厂商正式服务承诺函；要求提供原厂商产品授权证明；正式供货时要求提供原厂商出具的出货证明；</w:t>
      </w:r>
    </w:p>
    <w:p>
      <w:pPr>
        <w:spacing w:line="360" w:lineRule="auto"/>
        <w:ind w:firstLine="480" w:firstLineChars="200"/>
        <w:jc w:val="left"/>
        <w:rPr>
          <w:rFonts w:ascii="宋体" w:hAnsi="宋体"/>
          <w:sz w:val="24"/>
        </w:rPr>
      </w:pPr>
      <w:r>
        <w:rPr>
          <w:rFonts w:hint="eastAsia" w:ascii="宋体" w:hAnsi="宋体"/>
          <w:sz w:val="24"/>
        </w:rPr>
        <w:t>2.6.3提供三年内7×8小时远程技术支持。</w:t>
      </w:r>
    </w:p>
    <w:p>
      <w:pPr>
        <w:spacing w:line="360" w:lineRule="auto"/>
        <w:ind w:firstLine="480" w:firstLineChars="200"/>
        <w:outlineLvl w:val="0"/>
        <w:rPr>
          <w:rFonts w:ascii="宋体" w:hAnsi="宋体"/>
          <w:sz w:val="24"/>
        </w:rPr>
      </w:pPr>
      <w:r>
        <w:rPr>
          <w:rFonts w:hint="eastAsia" w:ascii="宋体" w:hAnsi="宋体"/>
          <w:sz w:val="24"/>
        </w:rPr>
        <w:t>3.特殊技术要求</w:t>
      </w:r>
    </w:p>
    <w:p>
      <w:pPr>
        <w:spacing w:line="360" w:lineRule="auto"/>
        <w:ind w:firstLine="480" w:firstLineChars="200"/>
        <w:rPr>
          <w:rFonts w:ascii="宋体" w:hAnsi="宋体"/>
          <w:sz w:val="24"/>
        </w:rPr>
      </w:pPr>
      <w:r>
        <w:rPr>
          <w:rFonts w:hint="eastAsia" w:ascii="宋体" w:hAnsi="宋体"/>
          <w:sz w:val="24"/>
        </w:rPr>
        <w:t>*3.1一年原厂商</w:t>
      </w:r>
      <w:r>
        <w:rPr>
          <w:rFonts w:ascii="宋体" w:hAnsi="宋体"/>
          <w:sz w:val="24"/>
        </w:rPr>
        <w:t>7</w:t>
      </w:r>
      <w:r>
        <w:rPr>
          <w:rFonts w:hint="eastAsia" w:ascii="宋体" w:hAnsi="宋体"/>
          <w:sz w:val="24"/>
        </w:rPr>
        <w:t>×</w:t>
      </w:r>
      <w:r>
        <w:rPr>
          <w:rFonts w:ascii="宋体" w:hAnsi="宋体"/>
          <w:sz w:val="24"/>
        </w:rPr>
        <w:t>24</w:t>
      </w:r>
      <w:r>
        <w:rPr>
          <w:rFonts w:hint="eastAsia" w:ascii="宋体" w:hAnsi="宋体"/>
          <w:sz w:val="24"/>
        </w:rPr>
        <w:t>小时技术服务</w:t>
      </w:r>
      <w:r>
        <w:rPr>
          <w:rFonts w:ascii="宋体" w:hAnsi="宋体"/>
          <w:sz w:val="24"/>
        </w:rPr>
        <w:t xml:space="preserve"> </w:t>
      </w:r>
      <w:r>
        <w:rPr>
          <w:rFonts w:hint="eastAsia" w:ascii="宋体" w:hAnsi="宋体"/>
          <w:sz w:val="24"/>
        </w:rPr>
        <w:t>，免费维护期自双方代表在产品终验验收单上签字之日起计算；</w:t>
      </w:r>
    </w:p>
    <w:p>
      <w:pPr>
        <w:spacing w:line="360" w:lineRule="auto"/>
        <w:ind w:firstLine="480" w:firstLineChars="200"/>
        <w:rPr>
          <w:rFonts w:ascii="宋体" w:hAnsi="宋体"/>
          <w:sz w:val="24"/>
        </w:rPr>
      </w:pPr>
      <w:r>
        <w:rPr>
          <w:rFonts w:hint="eastAsia" w:ascii="宋体" w:hAnsi="宋体"/>
          <w:sz w:val="24"/>
        </w:rPr>
        <w:t>*3.2需要提供原厂商授权；</w:t>
      </w:r>
    </w:p>
    <w:p>
      <w:pPr>
        <w:spacing w:line="360" w:lineRule="auto"/>
        <w:ind w:firstLine="480" w:firstLineChars="200"/>
        <w:rPr>
          <w:rFonts w:ascii="宋体" w:hAnsi="宋体"/>
          <w:sz w:val="24"/>
        </w:rPr>
      </w:pPr>
      <w:r>
        <w:rPr>
          <w:rFonts w:hint="eastAsia" w:ascii="宋体" w:hAnsi="宋体"/>
          <w:sz w:val="24"/>
        </w:rPr>
        <w:t>*3.3</w:t>
      </w:r>
      <w:r>
        <w:rPr>
          <w:rFonts w:ascii="宋体" w:hAnsi="宋体"/>
          <w:sz w:val="24"/>
        </w:rPr>
        <w:t>设备质保、补丁更新等服务必须由原厂商提供；</w:t>
      </w:r>
    </w:p>
    <w:p>
      <w:pPr>
        <w:spacing w:line="360" w:lineRule="auto"/>
        <w:ind w:firstLine="480" w:firstLineChars="200"/>
        <w:rPr>
          <w:rFonts w:ascii="宋体" w:hAnsi="宋体"/>
          <w:sz w:val="24"/>
        </w:rPr>
      </w:pPr>
      <w:r>
        <w:rPr>
          <w:rFonts w:hint="eastAsia" w:ascii="宋体" w:hAnsi="宋体"/>
          <w:sz w:val="24"/>
        </w:rPr>
        <w:t>△3.4中标方负责计算机软件安装所必须的硬件上架安装，核心存储及其存储交换机级联配置，网络配置；</w:t>
      </w:r>
    </w:p>
    <w:p>
      <w:pPr>
        <w:spacing w:line="360" w:lineRule="auto"/>
        <w:ind w:firstLine="480" w:firstLineChars="200"/>
        <w:rPr>
          <w:rFonts w:ascii="宋体" w:hAnsi="宋体"/>
          <w:sz w:val="24"/>
        </w:rPr>
      </w:pPr>
      <w:r>
        <w:rPr>
          <w:rFonts w:hint="eastAsia" w:ascii="宋体" w:hAnsi="宋体"/>
          <w:sz w:val="24"/>
        </w:rPr>
        <w:t>*3.5根据甲方要求进行软件系统安装部署和管理配置；</w:t>
      </w:r>
    </w:p>
    <w:p>
      <w:pPr>
        <w:spacing w:line="360" w:lineRule="auto"/>
        <w:ind w:firstLine="480" w:firstLineChars="200"/>
        <w:rPr>
          <w:rFonts w:ascii="宋体" w:hAnsi="宋体"/>
          <w:sz w:val="24"/>
        </w:rPr>
      </w:pPr>
      <w:r>
        <w:rPr>
          <w:rFonts w:hint="eastAsia" w:ascii="宋体" w:hAnsi="宋体"/>
          <w:sz w:val="24"/>
        </w:rPr>
        <w:t>*3.6安装调试完毕后，应向招标方提交详细的《安装计划》、《安装文档》、《测试文档》等；</w:t>
      </w:r>
    </w:p>
    <w:p>
      <w:pPr>
        <w:spacing w:line="360" w:lineRule="auto"/>
        <w:ind w:firstLine="480" w:firstLineChars="200"/>
        <w:rPr>
          <w:rFonts w:ascii="宋体" w:hAnsi="宋体"/>
          <w:sz w:val="24"/>
        </w:rPr>
      </w:pPr>
      <w:r>
        <w:rPr>
          <w:rFonts w:hint="eastAsia" w:ascii="宋体" w:hAnsi="宋体"/>
          <w:sz w:val="24"/>
        </w:rPr>
        <w:t>*3.7安装完成后，负责向招标方进行现场培训、测试；</w:t>
      </w:r>
    </w:p>
    <w:p>
      <w:pPr>
        <w:spacing w:line="360" w:lineRule="auto"/>
        <w:ind w:firstLine="480" w:firstLineChars="200"/>
        <w:rPr>
          <w:rFonts w:ascii="宋体" w:hAnsi="宋体"/>
          <w:sz w:val="24"/>
        </w:rPr>
      </w:pPr>
      <w:r>
        <w:rPr>
          <w:rFonts w:hint="eastAsia" w:ascii="宋体" w:hAnsi="宋体"/>
          <w:sz w:val="24"/>
        </w:rPr>
        <w:t>*3.8在质保期内的中标方免费提供软件升级服务，</w:t>
      </w:r>
      <w:r>
        <w:rPr>
          <w:rFonts w:ascii="宋体" w:hAnsi="宋体"/>
          <w:sz w:val="24"/>
        </w:rPr>
        <w:t xml:space="preserve">协助实施系统性能优化和功能调整服务； </w:t>
      </w:r>
    </w:p>
    <w:p>
      <w:pPr>
        <w:spacing w:line="360" w:lineRule="auto"/>
        <w:ind w:firstLine="480" w:firstLineChars="200"/>
        <w:rPr>
          <w:rFonts w:ascii="宋体" w:hAnsi="宋体"/>
          <w:sz w:val="24"/>
        </w:rPr>
      </w:pPr>
      <w:r>
        <w:rPr>
          <w:rFonts w:hint="eastAsia" w:ascii="宋体" w:hAnsi="宋体"/>
          <w:sz w:val="24"/>
        </w:rPr>
        <w:t>3.9</w:t>
      </w:r>
      <w:r>
        <w:rPr>
          <w:rFonts w:ascii="宋体" w:hAnsi="宋体"/>
          <w:sz w:val="24"/>
        </w:rPr>
        <w:t>对于涉及关键业务的故障，须在接到招标人报修电话后30分钟内响应，并在2小时内到达招标人现场提供维护服务；</w:t>
      </w:r>
    </w:p>
    <w:p>
      <w:pPr>
        <w:spacing w:line="360" w:lineRule="auto"/>
        <w:ind w:firstLine="480" w:firstLineChars="200"/>
        <w:rPr>
          <w:rFonts w:ascii="宋体" w:hAnsi="宋体"/>
          <w:sz w:val="24"/>
        </w:rPr>
      </w:pPr>
      <w:r>
        <w:rPr>
          <w:rFonts w:hint="eastAsia" w:ascii="宋体" w:hAnsi="宋体"/>
          <w:sz w:val="24"/>
        </w:rPr>
        <w:t>*3.10</w:t>
      </w:r>
      <w:r>
        <w:rPr>
          <w:rFonts w:ascii="宋体" w:hAnsi="宋体"/>
          <w:sz w:val="24"/>
        </w:rPr>
        <w:t>对于涉及非关键业务的故障，须在接到招标人报修电话后1小时内响应，并在4小时内到达招标人现场提供维护服务</w:t>
      </w:r>
      <w:r>
        <w:rPr>
          <w:rFonts w:hint="eastAsia" w:ascii="宋体" w:hAnsi="宋体"/>
          <w:sz w:val="24"/>
        </w:rPr>
        <w:t>,</w:t>
      </w:r>
      <w:r>
        <w:rPr>
          <w:rFonts w:ascii="宋体" w:hAnsi="宋体"/>
          <w:sz w:val="24"/>
        </w:rPr>
        <w:t>排除故障时间应在8小时以内；</w:t>
      </w:r>
    </w:p>
    <w:p>
      <w:pPr>
        <w:spacing w:line="360" w:lineRule="auto"/>
        <w:ind w:firstLine="480" w:firstLineChars="200"/>
        <w:rPr>
          <w:rFonts w:ascii="宋体" w:hAnsi="宋体"/>
          <w:sz w:val="24"/>
        </w:rPr>
      </w:pPr>
      <w:r>
        <w:rPr>
          <w:rFonts w:hint="eastAsia" w:ascii="宋体" w:hAnsi="宋体"/>
          <w:sz w:val="24"/>
        </w:rPr>
        <w:t>*3.11</w:t>
      </w:r>
      <w:r>
        <w:rPr>
          <w:rFonts w:ascii="宋体" w:hAnsi="宋体"/>
          <w:sz w:val="24"/>
        </w:rPr>
        <w:t>对于重大问题，根据招标人需要能保证7×24小时不间断现场维护；</w:t>
      </w:r>
    </w:p>
    <w:p>
      <w:pPr>
        <w:spacing w:line="360" w:lineRule="auto"/>
        <w:ind w:firstLine="480" w:firstLineChars="200"/>
        <w:rPr>
          <w:rFonts w:ascii="宋体" w:hAnsi="宋体"/>
          <w:sz w:val="24"/>
        </w:rPr>
      </w:pPr>
      <w:r>
        <w:rPr>
          <w:rFonts w:hint="eastAsia" w:ascii="宋体" w:hAnsi="宋体"/>
          <w:sz w:val="24"/>
        </w:rPr>
        <w:t>*3.12</w:t>
      </w:r>
      <w:r>
        <w:rPr>
          <w:rFonts w:ascii="宋体" w:hAnsi="宋体"/>
          <w:sz w:val="24"/>
        </w:rPr>
        <w:t>提供日常系统管理方面的电话咨询服务，解决或解答日常运作、安装等问题，对于电话无法解决的问题，应提供现场问题分析解决服务，快速判断并解决系统相关问题；</w:t>
      </w:r>
    </w:p>
    <w:p>
      <w:pPr>
        <w:spacing w:line="360" w:lineRule="auto"/>
        <w:ind w:firstLine="480" w:firstLineChars="200"/>
        <w:rPr>
          <w:rFonts w:ascii="宋体" w:hAnsi="宋体"/>
          <w:sz w:val="24"/>
        </w:rPr>
      </w:pPr>
      <w:r>
        <w:rPr>
          <w:rFonts w:hint="eastAsia" w:ascii="宋体" w:hAnsi="宋体"/>
          <w:sz w:val="24"/>
        </w:rPr>
        <w:t>*3.13</w:t>
      </w:r>
      <w:r>
        <w:rPr>
          <w:rFonts w:ascii="宋体" w:hAnsi="宋体"/>
          <w:sz w:val="24"/>
        </w:rPr>
        <w:t>提供与产品相关软件补丁、设备驱动等升级提醒、实施服务；对于可能会对有关系统、应用或业务造成影响的设备软硬件问题，如软硬件的缺陷、隐患等，需尽早通知招标人，并提供解决方案建议书，并经过招标人评估同意后，负责进行测试和实施，并保证期间系统正常运行，保证不会对招标人生产系统造成不良影响。保证：（1）软件升级完全符合强制性的国家技术质量规范和合同规定的质量、规格、性能和技术规范等的要求；（2）对软件升级提供正确安装、正常运转和保养服务；（3）软件升级程序安装完毕后正式使用前应由招标人进行验收，如验收时发现该软件功能存在瑕疵，或不符合招标人实际需求，应按照原被保设备维保要求进行无偿予以更换，如因此导致招标人损失的，应负责赔偿；（4）对由于软件升级的缺陷而发生的招标人系统或设备故障的，负责赔偿招标人由此导致的损失；</w:t>
      </w:r>
    </w:p>
    <w:p>
      <w:pPr>
        <w:spacing w:line="360" w:lineRule="auto"/>
        <w:ind w:firstLine="480" w:firstLineChars="200"/>
        <w:rPr>
          <w:rFonts w:ascii="宋体" w:hAnsi="宋体"/>
          <w:sz w:val="24"/>
        </w:rPr>
      </w:pPr>
      <w:r>
        <w:rPr>
          <w:rFonts w:hint="eastAsia" w:ascii="宋体" w:hAnsi="宋体"/>
          <w:sz w:val="24"/>
        </w:rPr>
        <w:t>*3.14</w:t>
      </w:r>
      <w:r>
        <w:rPr>
          <w:rFonts w:ascii="宋体" w:hAnsi="宋体"/>
          <w:sz w:val="24"/>
        </w:rPr>
        <w:t>提供安全技术和动态通告服务，重大安全信息随时通知服务，并根据客户的网络系统软硬件组成，及时提出适合用户环境的安全信息与安全建议；</w:t>
      </w:r>
    </w:p>
    <w:p>
      <w:pPr>
        <w:spacing w:line="360" w:lineRule="auto"/>
        <w:ind w:firstLine="480" w:firstLineChars="200"/>
        <w:rPr>
          <w:rFonts w:ascii="宋体" w:hAnsi="宋体"/>
          <w:sz w:val="24"/>
        </w:rPr>
      </w:pPr>
      <w:r>
        <w:rPr>
          <w:rFonts w:hint="eastAsia" w:ascii="宋体" w:hAnsi="宋体"/>
          <w:sz w:val="24"/>
        </w:rPr>
        <w:t>*3.15</w:t>
      </w:r>
      <w:r>
        <w:rPr>
          <w:rFonts w:ascii="宋体" w:hAnsi="宋体"/>
          <w:sz w:val="24"/>
        </w:rPr>
        <w:t xml:space="preserve">提供系统相关环境的重新搭建服务； </w:t>
      </w:r>
    </w:p>
    <w:p>
      <w:pPr>
        <w:spacing w:line="360" w:lineRule="auto"/>
        <w:ind w:firstLine="480" w:firstLineChars="200"/>
        <w:rPr>
          <w:rFonts w:ascii="宋体" w:hAnsi="宋体"/>
          <w:sz w:val="24"/>
        </w:rPr>
      </w:pPr>
      <w:r>
        <w:rPr>
          <w:rFonts w:hint="eastAsia" w:ascii="宋体" w:hAnsi="宋体"/>
          <w:sz w:val="24"/>
        </w:rPr>
        <w:t>*3.16</w:t>
      </w:r>
      <w:r>
        <w:rPr>
          <w:rFonts w:ascii="宋体" w:hAnsi="宋体"/>
          <w:sz w:val="24"/>
        </w:rPr>
        <w:t xml:space="preserve">提供系统迁移和调整过程中与系统相关的支持服务；根据实际需求进行硬件设备的物理移机服务，保障设备移机前后的正常运行； </w:t>
      </w:r>
    </w:p>
    <w:p>
      <w:pPr>
        <w:spacing w:line="360" w:lineRule="auto"/>
        <w:ind w:firstLine="480" w:firstLineChars="200"/>
        <w:rPr>
          <w:rFonts w:ascii="宋体" w:hAnsi="宋体"/>
          <w:sz w:val="24"/>
        </w:rPr>
      </w:pPr>
      <w:r>
        <w:rPr>
          <w:rFonts w:hint="eastAsia" w:ascii="宋体" w:hAnsi="宋体"/>
          <w:sz w:val="24"/>
        </w:rPr>
        <w:t>*3.17如计算机软件授权许可绑定硬件，当需要将计算机软件迁离原宿主计算机，迁入新宿主计算机，软件原厂商免费提供计算机软件的授权许可；</w:t>
      </w:r>
    </w:p>
    <w:p>
      <w:pPr>
        <w:spacing w:line="360" w:lineRule="auto"/>
        <w:ind w:firstLine="480" w:firstLineChars="200"/>
        <w:rPr>
          <w:rFonts w:ascii="宋体" w:hAnsi="宋体"/>
          <w:sz w:val="24"/>
        </w:rPr>
      </w:pPr>
      <w:r>
        <w:rPr>
          <w:rFonts w:hint="eastAsia" w:ascii="宋体" w:hAnsi="宋体"/>
          <w:sz w:val="24"/>
        </w:rPr>
        <w:t>*3.18</w:t>
      </w:r>
      <w:r>
        <w:rPr>
          <w:rFonts w:ascii="宋体" w:hAnsi="宋体"/>
          <w:sz w:val="24"/>
        </w:rPr>
        <w:t>协助应用相关保障支持或专项提出的与系统相关的实施调整；</w:t>
      </w:r>
    </w:p>
    <w:p>
      <w:pPr>
        <w:spacing w:line="360" w:lineRule="auto"/>
        <w:ind w:firstLine="480" w:firstLineChars="200"/>
        <w:rPr>
          <w:rFonts w:ascii="宋体" w:hAnsi="宋体"/>
          <w:sz w:val="24"/>
        </w:rPr>
      </w:pPr>
      <w:r>
        <w:rPr>
          <w:rFonts w:hint="eastAsia" w:ascii="宋体" w:hAnsi="宋体"/>
          <w:sz w:val="24"/>
        </w:rPr>
        <w:t>3.19提供至少5天的免费产品使用培训，并保证培训质量</w:t>
      </w:r>
      <w:r>
        <w:rPr>
          <w:rFonts w:ascii="宋体" w:hAnsi="宋体"/>
          <w:sz w:val="24"/>
        </w:rPr>
        <w:t>；</w:t>
      </w:r>
    </w:p>
    <w:p>
      <w:pPr>
        <w:spacing w:line="360" w:lineRule="auto"/>
        <w:ind w:firstLine="480" w:firstLineChars="200"/>
        <w:rPr>
          <w:rFonts w:ascii="宋体" w:hAnsi="宋体"/>
          <w:sz w:val="24"/>
        </w:rPr>
      </w:pPr>
      <w:r>
        <w:rPr>
          <w:rFonts w:hint="eastAsia" w:ascii="宋体" w:hAnsi="宋体"/>
          <w:sz w:val="24"/>
        </w:rPr>
        <w:t>3.20一次购买无限期使用；</w:t>
      </w:r>
    </w:p>
    <w:p>
      <w:pPr>
        <w:spacing w:line="360" w:lineRule="auto"/>
        <w:ind w:firstLine="480" w:firstLineChars="200"/>
        <w:rPr>
          <w:rFonts w:ascii="宋体" w:hAnsi="宋体"/>
          <w:sz w:val="24"/>
        </w:rPr>
      </w:pPr>
      <w:r>
        <w:rPr>
          <w:rFonts w:hint="eastAsia" w:ascii="宋体" w:hAnsi="宋体"/>
          <w:sz w:val="24"/>
        </w:rPr>
        <w:t>3.21一年内免费补丁和升级服务。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58E"/>
    <w:rsid w:val="00015E8F"/>
    <w:rsid w:val="000207DA"/>
    <w:rsid w:val="000258EB"/>
    <w:rsid w:val="00032DA1"/>
    <w:rsid w:val="000337A6"/>
    <w:rsid w:val="00042577"/>
    <w:rsid w:val="00050553"/>
    <w:rsid w:val="00052D38"/>
    <w:rsid w:val="00056B3C"/>
    <w:rsid w:val="000573F0"/>
    <w:rsid w:val="00057F18"/>
    <w:rsid w:val="00074683"/>
    <w:rsid w:val="00085DE5"/>
    <w:rsid w:val="00086866"/>
    <w:rsid w:val="00086BA9"/>
    <w:rsid w:val="00095136"/>
    <w:rsid w:val="000A1A08"/>
    <w:rsid w:val="000A1A12"/>
    <w:rsid w:val="000A2806"/>
    <w:rsid w:val="000A73DB"/>
    <w:rsid w:val="000B66B8"/>
    <w:rsid w:val="000C5EC4"/>
    <w:rsid w:val="000D2332"/>
    <w:rsid w:val="000D338B"/>
    <w:rsid w:val="000D66FC"/>
    <w:rsid w:val="000F1792"/>
    <w:rsid w:val="000F50D6"/>
    <w:rsid w:val="00104C99"/>
    <w:rsid w:val="0010764C"/>
    <w:rsid w:val="00107682"/>
    <w:rsid w:val="0013447E"/>
    <w:rsid w:val="00137286"/>
    <w:rsid w:val="001449E0"/>
    <w:rsid w:val="001455CA"/>
    <w:rsid w:val="00161324"/>
    <w:rsid w:val="00170FF4"/>
    <w:rsid w:val="00192B91"/>
    <w:rsid w:val="00194EE2"/>
    <w:rsid w:val="001A4A92"/>
    <w:rsid w:val="001A657F"/>
    <w:rsid w:val="001B7B75"/>
    <w:rsid w:val="001C3A1A"/>
    <w:rsid w:val="001D326E"/>
    <w:rsid w:val="001E32ED"/>
    <w:rsid w:val="001E6579"/>
    <w:rsid w:val="00202A82"/>
    <w:rsid w:val="002041D2"/>
    <w:rsid w:val="00207FB8"/>
    <w:rsid w:val="00210A66"/>
    <w:rsid w:val="00223044"/>
    <w:rsid w:val="00223107"/>
    <w:rsid w:val="00240E2F"/>
    <w:rsid w:val="00244DA2"/>
    <w:rsid w:val="00270998"/>
    <w:rsid w:val="002824C8"/>
    <w:rsid w:val="0028295A"/>
    <w:rsid w:val="00283C52"/>
    <w:rsid w:val="00285448"/>
    <w:rsid w:val="00287681"/>
    <w:rsid w:val="0029288D"/>
    <w:rsid w:val="00294502"/>
    <w:rsid w:val="002A2495"/>
    <w:rsid w:val="002A573A"/>
    <w:rsid w:val="002B2EC3"/>
    <w:rsid w:val="002B3951"/>
    <w:rsid w:val="002B77A8"/>
    <w:rsid w:val="002C2F6F"/>
    <w:rsid w:val="002C3407"/>
    <w:rsid w:val="002E0030"/>
    <w:rsid w:val="002E5EDB"/>
    <w:rsid w:val="0031355E"/>
    <w:rsid w:val="0032217D"/>
    <w:rsid w:val="00331C44"/>
    <w:rsid w:val="00344045"/>
    <w:rsid w:val="00355580"/>
    <w:rsid w:val="00365935"/>
    <w:rsid w:val="00371F56"/>
    <w:rsid w:val="00372633"/>
    <w:rsid w:val="00382FE9"/>
    <w:rsid w:val="0038370E"/>
    <w:rsid w:val="003862C8"/>
    <w:rsid w:val="00395D41"/>
    <w:rsid w:val="003A4180"/>
    <w:rsid w:val="003A5983"/>
    <w:rsid w:val="003A6192"/>
    <w:rsid w:val="003B42C3"/>
    <w:rsid w:val="003D6FCF"/>
    <w:rsid w:val="003E0052"/>
    <w:rsid w:val="003E164B"/>
    <w:rsid w:val="003F0DEC"/>
    <w:rsid w:val="003F62F1"/>
    <w:rsid w:val="003F715F"/>
    <w:rsid w:val="004030C6"/>
    <w:rsid w:val="004108FF"/>
    <w:rsid w:val="00417EBE"/>
    <w:rsid w:val="00436BC4"/>
    <w:rsid w:val="0043797B"/>
    <w:rsid w:val="00440441"/>
    <w:rsid w:val="00442CCA"/>
    <w:rsid w:val="00471B44"/>
    <w:rsid w:val="0048219B"/>
    <w:rsid w:val="0048712C"/>
    <w:rsid w:val="0048732B"/>
    <w:rsid w:val="00491ADA"/>
    <w:rsid w:val="00494979"/>
    <w:rsid w:val="004A3546"/>
    <w:rsid w:val="004A6E43"/>
    <w:rsid w:val="004B2063"/>
    <w:rsid w:val="004B4CF4"/>
    <w:rsid w:val="004C276F"/>
    <w:rsid w:val="004C7E16"/>
    <w:rsid w:val="004D0FBA"/>
    <w:rsid w:val="004E5D96"/>
    <w:rsid w:val="004F306E"/>
    <w:rsid w:val="0050042F"/>
    <w:rsid w:val="005064DC"/>
    <w:rsid w:val="00507421"/>
    <w:rsid w:val="005212E5"/>
    <w:rsid w:val="005241BF"/>
    <w:rsid w:val="0053357D"/>
    <w:rsid w:val="00553514"/>
    <w:rsid w:val="00554842"/>
    <w:rsid w:val="0056389A"/>
    <w:rsid w:val="00583815"/>
    <w:rsid w:val="0058663C"/>
    <w:rsid w:val="00595B5D"/>
    <w:rsid w:val="005A05B1"/>
    <w:rsid w:val="005A7C39"/>
    <w:rsid w:val="005C43F3"/>
    <w:rsid w:val="005C45B3"/>
    <w:rsid w:val="005D302B"/>
    <w:rsid w:val="005D4701"/>
    <w:rsid w:val="005D5C8D"/>
    <w:rsid w:val="005E2E0F"/>
    <w:rsid w:val="005E7CB9"/>
    <w:rsid w:val="005F0E8A"/>
    <w:rsid w:val="0060053B"/>
    <w:rsid w:val="00604516"/>
    <w:rsid w:val="006153A8"/>
    <w:rsid w:val="0061751A"/>
    <w:rsid w:val="00621562"/>
    <w:rsid w:val="00621FFB"/>
    <w:rsid w:val="00623135"/>
    <w:rsid w:val="006234D5"/>
    <w:rsid w:val="00652FB7"/>
    <w:rsid w:val="006623D7"/>
    <w:rsid w:val="00670BA8"/>
    <w:rsid w:val="00677797"/>
    <w:rsid w:val="00684266"/>
    <w:rsid w:val="006B3594"/>
    <w:rsid w:val="006D0E54"/>
    <w:rsid w:val="006D23E6"/>
    <w:rsid w:val="006E5177"/>
    <w:rsid w:val="006F030B"/>
    <w:rsid w:val="006F1D29"/>
    <w:rsid w:val="006F2A74"/>
    <w:rsid w:val="0070216A"/>
    <w:rsid w:val="007121E8"/>
    <w:rsid w:val="00714B4E"/>
    <w:rsid w:val="00720681"/>
    <w:rsid w:val="00734279"/>
    <w:rsid w:val="007370F3"/>
    <w:rsid w:val="0074088F"/>
    <w:rsid w:val="00740D2B"/>
    <w:rsid w:val="007421D2"/>
    <w:rsid w:val="00743F8C"/>
    <w:rsid w:val="00747D76"/>
    <w:rsid w:val="0075646A"/>
    <w:rsid w:val="00761B67"/>
    <w:rsid w:val="00762AAB"/>
    <w:rsid w:val="007639AF"/>
    <w:rsid w:val="007760BF"/>
    <w:rsid w:val="00782581"/>
    <w:rsid w:val="00790E45"/>
    <w:rsid w:val="00794B32"/>
    <w:rsid w:val="007A5B57"/>
    <w:rsid w:val="007A79B4"/>
    <w:rsid w:val="007B07E9"/>
    <w:rsid w:val="007B4B96"/>
    <w:rsid w:val="007D2E94"/>
    <w:rsid w:val="007D5469"/>
    <w:rsid w:val="007F2348"/>
    <w:rsid w:val="00800E89"/>
    <w:rsid w:val="00821282"/>
    <w:rsid w:val="008248AA"/>
    <w:rsid w:val="0082612E"/>
    <w:rsid w:val="008336A6"/>
    <w:rsid w:val="0084039A"/>
    <w:rsid w:val="0084084C"/>
    <w:rsid w:val="00842AA8"/>
    <w:rsid w:val="00851B2F"/>
    <w:rsid w:val="008622D2"/>
    <w:rsid w:val="00874D67"/>
    <w:rsid w:val="00895E27"/>
    <w:rsid w:val="008A5B75"/>
    <w:rsid w:val="008B3E8D"/>
    <w:rsid w:val="008C7AD8"/>
    <w:rsid w:val="008D42E1"/>
    <w:rsid w:val="008D5387"/>
    <w:rsid w:val="008E037E"/>
    <w:rsid w:val="008F1042"/>
    <w:rsid w:val="008F52A6"/>
    <w:rsid w:val="00924F56"/>
    <w:rsid w:val="00932FF6"/>
    <w:rsid w:val="00936086"/>
    <w:rsid w:val="009400AB"/>
    <w:rsid w:val="00951DA1"/>
    <w:rsid w:val="00983DD8"/>
    <w:rsid w:val="0099483C"/>
    <w:rsid w:val="009975C1"/>
    <w:rsid w:val="009B0817"/>
    <w:rsid w:val="009C0057"/>
    <w:rsid w:val="009C3941"/>
    <w:rsid w:val="009E492B"/>
    <w:rsid w:val="009F4FF0"/>
    <w:rsid w:val="009F5838"/>
    <w:rsid w:val="00A11EFB"/>
    <w:rsid w:val="00A14AAE"/>
    <w:rsid w:val="00A37F06"/>
    <w:rsid w:val="00A5156E"/>
    <w:rsid w:val="00A5158E"/>
    <w:rsid w:val="00A64B43"/>
    <w:rsid w:val="00A70F5F"/>
    <w:rsid w:val="00A872D7"/>
    <w:rsid w:val="00AA68D1"/>
    <w:rsid w:val="00AA7790"/>
    <w:rsid w:val="00AD533C"/>
    <w:rsid w:val="00AF5E7D"/>
    <w:rsid w:val="00B01342"/>
    <w:rsid w:val="00B018D8"/>
    <w:rsid w:val="00B026C0"/>
    <w:rsid w:val="00B059B6"/>
    <w:rsid w:val="00B17011"/>
    <w:rsid w:val="00B25398"/>
    <w:rsid w:val="00B32A3F"/>
    <w:rsid w:val="00B4692E"/>
    <w:rsid w:val="00B620C7"/>
    <w:rsid w:val="00B83302"/>
    <w:rsid w:val="00B8588B"/>
    <w:rsid w:val="00B859EB"/>
    <w:rsid w:val="00B85ADE"/>
    <w:rsid w:val="00B948F7"/>
    <w:rsid w:val="00B96F31"/>
    <w:rsid w:val="00BD577E"/>
    <w:rsid w:val="00BD6DD2"/>
    <w:rsid w:val="00BE6EE2"/>
    <w:rsid w:val="00BF39A7"/>
    <w:rsid w:val="00BF4CE1"/>
    <w:rsid w:val="00C02029"/>
    <w:rsid w:val="00C0694B"/>
    <w:rsid w:val="00C104CD"/>
    <w:rsid w:val="00C15AE0"/>
    <w:rsid w:val="00C268EF"/>
    <w:rsid w:val="00C3283E"/>
    <w:rsid w:val="00C45230"/>
    <w:rsid w:val="00C548C9"/>
    <w:rsid w:val="00C75766"/>
    <w:rsid w:val="00C8328A"/>
    <w:rsid w:val="00C92160"/>
    <w:rsid w:val="00CA3367"/>
    <w:rsid w:val="00CA556F"/>
    <w:rsid w:val="00CB61E7"/>
    <w:rsid w:val="00CC283C"/>
    <w:rsid w:val="00CC3C44"/>
    <w:rsid w:val="00CE7EE0"/>
    <w:rsid w:val="00D03A4D"/>
    <w:rsid w:val="00D108FC"/>
    <w:rsid w:val="00D10E84"/>
    <w:rsid w:val="00D251EE"/>
    <w:rsid w:val="00D26C6D"/>
    <w:rsid w:val="00D273A2"/>
    <w:rsid w:val="00D335A1"/>
    <w:rsid w:val="00D40E94"/>
    <w:rsid w:val="00D43D59"/>
    <w:rsid w:val="00D72C96"/>
    <w:rsid w:val="00D72E31"/>
    <w:rsid w:val="00D74152"/>
    <w:rsid w:val="00D75581"/>
    <w:rsid w:val="00D827A8"/>
    <w:rsid w:val="00D834CB"/>
    <w:rsid w:val="00D84F9A"/>
    <w:rsid w:val="00D87B66"/>
    <w:rsid w:val="00D94315"/>
    <w:rsid w:val="00DA5CF5"/>
    <w:rsid w:val="00DA6CF1"/>
    <w:rsid w:val="00DB0E2E"/>
    <w:rsid w:val="00DC336B"/>
    <w:rsid w:val="00DE5473"/>
    <w:rsid w:val="00DF1D95"/>
    <w:rsid w:val="00DF43A1"/>
    <w:rsid w:val="00DF7AD0"/>
    <w:rsid w:val="00DF7B7E"/>
    <w:rsid w:val="00E0565B"/>
    <w:rsid w:val="00E162AC"/>
    <w:rsid w:val="00E27238"/>
    <w:rsid w:val="00E32FEF"/>
    <w:rsid w:val="00E3399C"/>
    <w:rsid w:val="00E349EE"/>
    <w:rsid w:val="00E364D7"/>
    <w:rsid w:val="00EA238D"/>
    <w:rsid w:val="00EA5202"/>
    <w:rsid w:val="00EA6FD2"/>
    <w:rsid w:val="00EC74AA"/>
    <w:rsid w:val="00ED2D59"/>
    <w:rsid w:val="00ED3869"/>
    <w:rsid w:val="00ED7F76"/>
    <w:rsid w:val="00EE0CEB"/>
    <w:rsid w:val="00EF1018"/>
    <w:rsid w:val="00EF64BF"/>
    <w:rsid w:val="00F10BF4"/>
    <w:rsid w:val="00F12C36"/>
    <w:rsid w:val="00F40243"/>
    <w:rsid w:val="00F4452B"/>
    <w:rsid w:val="00F45B85"/>
    <w:rsid w:val="00F51E46"/>
    <w:rsid w:val="00F531E7"/>
    <w:rsid w:val="00F551F1"/>
    <w:rsid w:val="00F77399"/>
    <w:rsid w:val="00F8462F"/>
    <w:rsid w:val="00F8507B"/>
    <w:rsid w:val="00F86013"/>
    <w:rsid w:val="00F86B2D"/>
    <w:rsid w:val="00FA0966"/>
    <w:rsid w:val="00FB466C"/>
    <w:rsid w:val="00FC2998"/>
    <w:rsid w:val="00FC2D06"/>
    <w:rsid w:val="00FC3E26"/>
    <w:rsid w:val="00FE467B"/>
    <w:rsid w:val="00FF2639"/>
    <w:rsid w:val="00FF3262"/>
    <w:rsid w:val="0ED40CE5"/>
    <w:rsid w:val="14E86CFF"/>
    <w:rsid w:val="35FA1347"/>
    <w:rsid w:val="4212175F"/>
    <w:rsid w:val="46DB05D3"/>
    <w:rsid w:val="673F34F9"/>
    <w:rsid w:val="716A2E6B"/>
    <w:rsid w:val="71880D3E"/>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4"/>
    <w:unhideWhenUsed/>
    <w:qFormat/>
    <w:uiPriority w:val="99"/>
    <w:rPr>
      <w:rFonts w:ascii="宋体"/>
      <w:sz w:val="18"/>
      <w:szCs w:val="18"/>
    </w:rPr>
  </w:style>
  <w:style w:type="paragraph" w:styleId="3">
    <w:name w:val="Plain Text"/>
    <w:basedOn w:val="1"/>
    <w:link w:val="12"/>
    <w:qFormat/>
    <w:uiPriority w:val="0"/>
    <w:rPr>
      <w:rFonts w:ascii="宋体" w:hAnsi="Courier New" w:cs="Courier New"/>
      <w:szCs w:val="21"/>
    </w:rPr>
  </w:style>
  <w:style w:type="paragraph" w:styleId="4">
    <w:name w:val="Balloon Text"/>
    <w:basedOn w:val="1"/>
    <w:link w:val="15"/>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10">
    <w:name w:val="页眉 Char"/>
    <w:basedOn w:val="8"/>
    <w:link w:val="6"/>
    <w:qFormat/>
    <w:uiPriority w:val="99"/>
    <w:rPr>
      <w:sz w:val="18"/>
      <w:szCs w:val="18"/>
    </w:rPr>
  </w:style>
  <w:style w:type="character" w:customStyle="1" w:styleId="11">
    <w:name w:val="页脚 Char"/>
    <w:basedOn w:val="8"/>
    <w:link w:val="5"/>
    <w:qFormat/>
    <w:uiPriority w:val="99"/>
    <w:rPr>
      <w:sz w:val="18"/>
      <w:szCs w:val="18"/>
    </w:rPr>
  </w:style>
  <w:style w:type="character" w:customStyle="1" w:styleId="12">
    <w:name w:val="纯文本 Char"/>
    <w:basedOn w:val="8"/>
    <w:link w:val="3"/>
    <w:qFormat/>
    <w:uiPriority w:val="0"/>
    <w:rPr>
      <w:rFonts w:ascii="宋体" w:hAnsi="Courier New" w:eastAsia="宋体" w:cs="Courier New"/>
      <w:szCs w:val="21"/>
    </w:rPr>
  </w:style>
  <w:style w:type="paragraph" w:customStyle="1" w:styleId="13">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4">
    <w:name w:val="文档结构图 Char"/>
    <w:basedOn w:val="8"/>
    <w:link w:val="2"/>
    <w:semiHidden/>
    <w:qFormat/>
    <w:uiPriority w:val="99"/>
    <w:rPr>
      <w:rFonts w:ascii="宋体" w:hAnsi="Times New Roman" w:eastAsia="宋体" w:cs="Times New Roman"/>
      <w:sz w:val="18"/>
      <w:szCs w:val="18"/>
    </w:rPr>
  </w:style>
  <w:style w:type="character" w:customStyle="1" w:styleId="15">
    <w:name w:val="批注框文本 Char"/>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81B95-B00A-4B11-A813-E317B485770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936</Words>
  <Characters>5337</Characters>
  <Lines>44</Lines>
  <Paragraphs>12</Paragraphs>
  <ScaleCrop>false</ScaleCrop>
  <LinksUpToDate>false</LinksUpToDate>
  <CharactersWithSpaces>6261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2017-02-06T00:16:00Z</dcterms:created>
  <dc:creator>王彦斌</dc:creator>
  <cp:lastModifiedBy>Administrator</cp:lastModifiedBy>
  <dcterms:modified xsi:type="dcterms:W3CDTF">2017-06-21T06:41:43Z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