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rFonts w:ascii="宋体" w:hAnsi="宋体"/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物资购置技术标书审批表</w:t>
      </w:r>
    </w:p>
    <w:p>
      <w:pPr>
        <w:ind w:right="150"/>
        <w:jc w:val="right"/>
        <w:rPr>
          <w:rFonts w:ascii="宋体" w:hAnsi="宋体"/>
          <w:color w:val="000000"/>
          <w:sz w:val="30"/>
          <w:szCs w:val="30"/>
        </w:rPr>
      </w:pPr>
      <w:r>
        <w:rPr>
          <w:rFonts w:ascii="宋体" w:hAnsi="宋体"/>
          <w:color w:val="000000"/>
          <w:sz w:val="30"/>
          <w:szCs w:val="30"/>
        </w:rPr>
        <w:t>201</w:t>
      </w:r>
      <w:r>
        <w:rPr>
          <w:rFonts w:hint="eastAsia" w:ascii="宋体" w:hAnsi="宋体"/>
          <w:color w:val="000000"/>
          <w:sz w:val="30"/>
          <w:szCs w:val="30"/>
        </w:rPr>
        <w:t>7年5月1</w:t>
      </w:r>
      <w:r>
        <w:rPr>
          <w:rFonts w:hint="eastAsia" w:ascii="宋体" w:hAnsi="宋体"/>
          <w:color w:val="000000"/>
          <w:sz w:val="30"/>
          <w:szCs w:val="30"/>
          <w:lang w:val="en-US" w:eastAsia="zh-CN"/>
        </w:rPr>
        <w:t>1</w:t>
      </w:r>
      <w:r>
        <w:rPr>
          <w:rFonts w:hint="eastAsia" w:ascii="宋体" w:hAnsi="宋体"/>
          <w:color w:val="000000"/>
          <w:sz w:val="30"/>
          <w:szCs w:val="30"/>
        </w:rPr>
        <w:t>日</w:t>
      </w:r>
    </w:p>
    <w:tbl>
      <w:tblPr>
        <w:tblStyle w:val="20"/>
        <w:tblW w:w="9288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1559"/>
        <w:gridCol w:w="2830"/>
        <w:gridCol w:w="1990"/>
        <w:gridCol w:w="2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6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物资名称</w:t>
            </w:r>
          </w:p>
        </w:tc>
        <w:tc>
          <w:tcPr>
            <w:tcW w:w="2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hAnsi="宋体"/>
                <w:sz w:val="24"/>
                <w:szCs w:val="24"/>
              </w:rPr>
              <w:t>自移机尾调高油缸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48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购置数量</w:t>
            </w:r>
          </w:p>
        </w:tc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1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8"/>
                <w:szCs w:val="28"/>
              </w:rPr>
              <w:t>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计划来源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6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主要技术参数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详见标书</w:t>
            </w:r>
            <w:bookmarkStart w:id="11" w:name="_GoBack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24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项目提报单位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设备维修中心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87" w:hRule="atLeast"/>
        </w:trPr>
        <w:tc>
          <w:tcPr>
            <w:tcW w:w="86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设备维修中心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技术部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</w:trPr>
        <w:tc>
          <w:tcPr>
            <w:tcW w:w="86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分管领导</w:t>
            </w:r>
          </w:p>
        </w:tc>
        <w:tc>
          <w:tcPr>
            <w:tcW w:w="68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numPr>
          <w:ilvl w:val="4"/>
          <w:numId w:val="1"/>
        </w:numPr>
        <w:spacing w:beforeLines="100" w:line="500" w:lineRule="exac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（1）货物需求一览表</w:t>
      </w:r>
    </w:p>
    <w:tbl>
      <w:tblPr>
        <w:tblStyle w:val="20"/>
        <w:tblW w:w="9269" w:type="dxa"/>
        <w:tblInd w:w="-4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268"/>
        <w:gridCol w:w="1701"/>
        <w:gridCol w:w="709"/>
        <w:gridCol w:w="701"/>
        <w:gridCol w:w="1545"/>
        <w:gridCol w:w="162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交货时间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使用单位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自移机尾调高油缸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OLE_LINK9"/>
            <w:r>
              <w:rPr>
                <w:rFonts w:hint="eastAsia" w:ascii="宋体" w:hAnsi="宋体"/>
                <w:sz w:val="24"/>
                <w:szCs w:val="24"/>
              </w:rPr>
              <w:t>φ200/φ140 -400mm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根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2017年8月30日</w:t>
            </w: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维修中心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kern w:val="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随机附件及工具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套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质保期内备品备件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exact"/>
              <w:ind w:right="-827" w:rightChars="-394" w:firstLine="360" w:firstLineChars="15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批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rPr>
                <w:rFonts w:hAnsi="宋体"/>
                <w:b/>
                <w:kern w:val="0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随机技术资料与质检资料（纸质和电子版、光盘）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套/台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/>
                <w:color w:val="FF0000"/>
                <w:sz w:val="24"/>
                <w:szCs w:val="24"/>
              </w:rPr>
            </w:pP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20"/>
        <w:tblpPr w:leftFromText="180" w:rightFromText="180" w:vertAnchor="text" w:horzAnchor="margin" w:tblpXSpec="center" w:tblpY="1115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2751"/>
        <w:gridCol w:w="771"/>
        <w:gridCol w:w="709"/>
        <w:gridCol w:w="1045"/>
        <w:gridCol w:w="656"/>
        <w:gridCol w:w="1276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名　称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数量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单价（元）</w:t>
            </w: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总计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重要程度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易损等级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自移机尾调高油缸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根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A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主要包括：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缸体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1.2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活塞杆组件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1.3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导向套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1.4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活塞组件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导向套密封组件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1.6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活塞密封组件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1.7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绝对型行程监测装置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套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1.8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其他</w:t>
            </w: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  <w:highlight w:val="none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1.9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1.10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1.11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1.12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697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1.13</w:t>
            </w:r>
          </w:p>
        </w:tc>
        <w:tc>
          <w:tcPr>
            <w:tcW w:w="2751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71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04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65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Ansi="宋体"/>
                <w:sz w:val="24"/>
                <w:szCs w:val="24"/>
              </w:rPr>
            </w:pPr>
          </w:p>
        </w:tc>
      </w:tr>
    </w:tbl>
    <w:p>
      <w:pPr>
        <w:spacing w:beforeLines="100"/>
        <w:jc w:val="center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（2）分项报价表</w:t>
      </w:r>
    </w:p>
    <w:p>
      <w:pPr>
        <w:ind w:left="960" w:right="-380" w:rightChars="-181" w:hanging="960" w:hangingChars="400"/>
        <w:rPr>
          <w:rFonts w:ascii="宋体" w:hAnsi="宋体"/>
          <w:sz w:val="24"/>
          <w:szCs w:val="24"/>
        </w:rPr>
      </w:pPr>
    </w:p>
    <w:p>
      <w:pPr>
        <w:ind w:left="960" w:right="-380" w:rightChars="-181" w:hanging="960" w:hangingChars="4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说明：1、重要程度分为</w:t>
      </w:r>
      <w:r>
        <w:rPr>
          <w:rFonts w:hint="eastAsia" w:ascii="宋体" w:hAnsi="宋体"/>
          <w:bCs/>
          <w:sz w:val="24"/>
          <w:szCs w:val="24"/>
        </w:rPr>
        <w:t>A、B、C三级，A为极重要关键件；B为一般重要件；C为普通件。</w:t>
      </w:r>
    </w:p>
    <w:p>
      <w:pPr>
        <w:ind w:left="960" w:right="-380" w:rightChars="-181" w:hanging="960" w:hangingChars="400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bCs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2、</w:t>
      </w:r>
      <w:r>
        <w:rPr>
          <w:rFonts w:hint="eastAsia" w:ascii="宋体" w:hAnsi="宋体"/>
          <w:bCs/>
          <w:sz w:val="24"/>
          <w:szCs w:val="24"/>
        </w:rPr>
        <w:t>易损等级分为1，2，3三级，1级为易损件；2为周期损耗件（定期需更换的备件）；3为非</w:t>
      </w:r>
      <w:r>
        <w:rPr>
          <w:rFonts w:hint="eastAsia" w:ascii="宋体" w:hAnsi="宋体"/>
          <w:b/>
          <w:bCs/>
          <w:sz w:val="24"/>
          <w:szCs w:val="24"/>
        </w:rPr>
        <w:t>常规</w:t>
      </w:r>
      <w:r>
        <w:rPr>
          <w:rFonts w:hint="eastAsia" w:ascii="宋体" w:hAnsi="宋体"/>
          <w:bCs/>
          <w:sz w:val="24"/>
          <w:szCs w:val="24"/>
        </w:rPr>
        <w:t>损耗件。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3、分项报价表中分项报价合计价格与投标报价设备总价格必须一致。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</w:p>
    <w:p>
      <w:pPr>
        <w:adjustRightInd w:val="0"/>
        <w:snapToGrid w:val="0"/>
        <w:spacing w:line="500" w:lineRule="exact"/>
        <w:jc w:val="center"/>
        <w:rPr>
          <w:rFonts w:ascii="宋体" w:hAnsi="宋体"/>
          <w:sz w:val="24"/>
          <w:szCs w:val="24"/>
        </w:rPr>
      </w:pPr>
    </w:p>
    <w:p>
      <w:pPr>
        <w:spacing w:line="500" w:lineRule="exact"/>
        <w:ind w:firstLine="3410" w:firstLineChars="1421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第二节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技术</w:t>
      </w:r>
      <w:r>
        <w:rPr>
          <w:rFonts w:hint="eastAsia" w:ascii="宋体" w:hAnsi="宋体"/>
          <w:b/>
          <w:sz w:val="24"/>
          <w:szCs w:val="24"/>
          <w:lang w:eastAsia="zh-CN"/>
        </w:rPr>
        <w:t>参数及</w:t>
      </w:r>
      <w:r>
        <w:rPr>
          <w:rFonts w:hint="eastAsia" w:ascii="宋体" w:hAnsi="宋体"/>
          <w:b/>
          <w:sz w:val="24"/>
          <w:szCs w:val="24"/>
        </w:rPr>
        <w:t>要求</w:t>
      </w:r>
    </w:p>
    <w:p>
      <w:pPr>
        <w:adjustRightInd w:val="0"/>
        <w:snapToGrid w:val="0"/>
        <w:spacing w:line="500" w:lineRule="exact"/>
        <w:jc w:val="center"/>
        <w:rPr>
          <w:rFonts w:ascii="宋体" w:hAnsi="宋体"/>
          <w:b/>
          <w:sz w:val="24"/>
          <w:szCs w:val="24"/>
        </w:rPr>
      </w:pP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设备工作环境：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最高温度：+25℃。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最低温度：-30℃  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年平均气温：+15℃  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环境相对湿度：≤97％。</w:t>
      </w:r>
    </w:p>
    <w:p>
      <w:pPr>
        <w:spacing w:after="120" w:line="5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地震烈度：7级。</w:t>
      </w:r>
    </w:p>
    <w:p>
      <w:pPr>
        <w:spacing w:after="120" w:line="50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海拔高度：≤1400m。</w:t>
      </w:r>
    </w:p>
    <w:p>
      <w:pPr>
        <w:spacing w:after="120" w:line="500" w:lineRule="exact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使用地点：神东井下各顺槽工作面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hAnsi="宋体"/>
          <w:sz w:val="24"/>
          <w:szCs w:val="24"/>
        </w:rPr>
        <w:t>自移机尾调高油缸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2.1、型号：</w:t>
      </w:r>
      <w:bookmarkStart w:id="1" w:name="OLE_LINK1"/>
      <w:r>
        <w:rPr>
          <w:rFonts w:hint="eastAsia" w:ascii="宋体" w:hAnsi="宋体"/>
          <w:sz w:val="24"/>
          <w:szCs w:val="24"/>
        </w:rPr>
        <w:t>φ</w:t>
      </w:r>
      <w:bookmarkEnd w:id="1"/>
      <w:r>
        <w:rPr>
          <w:rFonts w:hint="eastAsia" w:ascii="宋体" w:hAnsi="宋体"/>
          <w:sz w:val="24"/>
          <w:szCs w:val="24"/>
        </w:rPr>
        <w:t>200/φ140-400mm。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*2.2、材质：油缸金属材料要求不低于</w:t>
      </w:r>
      <w:r>
        <w:rPr>
          <w:rFonts w:hint="eastAsia" w:ascii="宋体" w:hAnsi="宋体"/>
          <w:sz w:val="24"/>
          <w:szCs w:val="24"/>
          <w:lang w:val="en-US" w:eastAsia="zh-CN"/>
        </w:rPr>
        <w:t>27</w:t>
      </w:r>
      <w:r>
        <w:rPr>
          <w:rFonts w:hint="eastAsia" w:ascii="宋体" w:hAnsi="宋体"/>
          <w:sz w:val="24"/>
          <w:szCs w:val="24"/>
        </w:rPr>
        <w:t>CrMnSi，导向套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  <w:lang w:val="en-US" w:eastAsia="zh-CN"/>
        </w:rPr>
        <w:t>活塞</w:t>
      </w:r>
      <w:r>
        <w:rPr>
          <w:rFonts w:hint="eastAsia" w:ascii="宋体" w:hAnsi="宋体"/>
          <w:sz w:val="24"/>
          <w:szCs w:val="24"/>
        </w:rPr>
        <w:t>电镀工艺采用镀铜</w:t>
      </w:r>
      <w:bookmarkStart w:id="2" w:name="OLE_LINK6"/>
      <w:r>
        <w:rPr>
          <w:rFonts w:hint="eastAsia" w:ascii="宋体" w:hAnsi="宋体"/>
          <w:sz w:val="24"/>
          <w:szCs w:val="24"/>
        </w:rPr>
        <w:t>或抗腐蚀性更好的工艺</w:t>
      </w:r>
      <w:bookmarkEnd w:id="2"/>
      <w:r>
        <w:rPr>
          <w:rFonts w:hint="eastAsia" w:ascii="宋体" w:hAnsi="宋体"/>
          <w:sz w:val="24"/>
          <w:szCs w:val="24"/>
        </w:rPr>
        <w:t>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2.3、额定工作压力：31.5Mpa。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*2.4、额定推力：不低于 990 kN。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*2.5、额定拉力：不低于 505 kN。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2.6、油缸内径：</w:t>
      </w:r>
      <w:bookmarkStart w:id="3" w:name="OLE_LINK2"/>
      <w:r>
        <w:rPr>
          <w:rFonts w:hint="eastAsia" w:ascii="宋体" w:hAnsi="宋体"/>
          <w:sz w:val="24"/>
          <w:szCs w:val="24"/>
        </w:rPr>
        <w:t>φ200</w:t>
      </w:r>
      <w:bookmarkEnd w:id="3"/>
      <w:r>
        <w:rPr>
          <w:rFonts w:hint="eastAsia" w:ascii="宋体" w:hAnsi="宋体"/>
          <w:sz w:val="24"/>
          <w:szCs w:val="24"/>
        </w:rPr>
        <w:t xml:space="preserve">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4" w:name="OLE_LINK3"/>
      <w:r>
        <w:rPr>
          <w:rFonts w:hint="eastAsia" w:ascii="宋体" w:hAnsi="宋体"/>
          <w:sz w:val="24"/>
          <w:szCs w:val="24"/>
        </w:rPr>
        <w:t>2.7</w:t>
      </w:r>
      <w:bookmarkEnd w:id="4"/>
      <w:r>
        <w:rPr>
          <w:rFonts w:hint="eastAsia" w:ascii="宋体" w:hAnsi="宋体"/>
          <w:sz w:val="24"/>
          <w:szCs w:val="24"/>
        </w:rPr>
        <w:t>、活塞杆直径：</w:t>
      </w:r>
      <w:bookmarkStart w:id="5" w:name="OLE_LINK4"/>
      <w:r>
        <w:rPr>
          <w:rFonts w:hint="eastAsia" w:ascii="宋体" w:hAnsi="宋体"/>
          <w:sz w:val="24"/>
          <w:szCs w:val="24"/>
        </w:rPr>
        <w:t>φ</w:t>
      </w:r>
      <w:bookmarkEnd w:id="5"/>
      <w:r>
        <w:rPr>
          <w:rFonts w:hint="eastAsia" w:ascii="宋体" w:hAnsi="宋体"/>
          <w:sz w:val="24"/>
          <w:szCs w:val="24"/>
        </w:rPr>
        <w:t>140 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2.8、缸体外径：不</w:t>
      </w:r>
      <w:r>
        <w:rPr>
          <w:rFonts w:hint="eastAsia" w:ascii="宋体" w:hAnsi="宋体"/>
          <w:sz w:val="24"/>
          <w:szCs w:val="24"/>
          <w:lang w:val="en-US" w:eastAsia="zh-CN"/>
        </w:rPr>
        <w:t>小</w:t>
      </w:r>
      <w:r>
        <w:rPr>
          <w:rFonts w:hint="eastAsia" w:ascii="宋体" w:hAnsi="宋体"/>
          <w:sz w:val="24"/>
          <w:szCs w:val="24"/>
        </w:rPr>
        <w:t>于 φ2</w:t>
      </w:r>
      <w:r>
        <w:rPr>
          <w:rFonts w:hint="eastAsia" w:ascii="宋体" w:hAnsi="宋体"/>
          <w:sz w:val="24"/>
          <w:szCs w:val="24"/>
          <w:lang w:val="en-US" w:eastAsia="zh-CN"/>
        </w:rPr>
        <w:t>45</w:t>
      </w:r>
      <w:r>
        <w:rPr>
          <w:rFonts w:hint="eastAsia" w:ascii="宋体" w:hAnsi="宋体"/>
          <w:sz w:val="24"/>
          <w:szCs w:val="24"/>
        </w:rPr>
        <w:t xml:space="preserve"> mm  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*2.9、油缸行程：不</w:t>
      </w:r>
      <w:r>
        <w:rPr>
          <w:rFonts w:hint="eastAsia" w:ascii="宋体" w:hAnsi="宋体"/>
          <w:sz w:val="24"/>
          <w:szCs w:val="24"/>
          <w:lang w:val="en-US" w:eastAsia="zh-CN"/>
        </w:rPr>
        <w:t>小</w:t>
      </w:r>
      <w:r>
        <w:rPr>
          <w:rFonts w:hint="eastAsia" w:ascii="宋体" w:hAnsi="宋体"/>
          <w:sz w:val="24"/>
          <w:szCs w:val="24"/>
        </w:rPr>
        <w:t>于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400 mm。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2.10、进回液接头：DN10  接头。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2.11、工作介质：乳化液。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95%的水与5%的乳化油配比</w:t>
      </w:r>
      <w:r>
        <w:rPr>
          <w:rFonts w:hint="eastAsia" w:ascii="宋体" w:hAnsi="宋体"/>
          <w:sz w:val="24"/>
          <w:szCs w:val="24"/>
          <w:lang w:eastAsia="zh-CN"/>
        </w:rPr>
        <w:t>）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</w:rPr>
        <w:t>、两端耳子：采用单耳结构，</w:t>
      </w:r>
      <w:r>
        <w:rPr>
          <w:rFonts w:hint="eastAsia" w:ascii="宋体" w:hAnsi="宋体"/>
          <w:sz w:val="24"/>
          <w:szCs w:val="24"/>
          <w:lang w:val="en-US" w:eastAsia="zh-CN"/>
        </w:rPr>
        <w:t>厚度不小于 70mm ，尺寸参考示意图，并不小于 示意图尺寸,带有润滑注脂装置。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</w:rPr>
        <w:t>*2.1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</w:rPr>
        <w:t>、两端耳子安装销孔直径：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不小于</w:t>
      </w:r>
      <w:r>
        <w:rPr>
          <w:rFonts w:hint="eastAsia" w:ascii="宋体" w:hAnsi="宋体"/>
          <w:sz w:val="24"/>
          <w:szCs w:val="24"/>
          <w:highlight w:val="none"/>
        </w:rPr>
        <w:t>φ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80 mm 尺寸参考示意图，</w:t>
      </w:r>
      <w:r>
        <w:rPr>
          <w:rFonts w:hint="eastAsia" w:ascii="宋体" w:hAnsi="宋体"/>
          <w:sz w:val="24"/>
          <w:szCs w:val="24"/>
          <w:highlight w:val="none"/>
        </w:rPr>
        <w:t xml:space="preserve"> 并满足油缸自身推拉力。</w:t>
      </w:r>
    </w:p>
    <w:p>
      <w:pPr>
        <w:spacing w:line="360" w:lineRule="auto"/>
        <w:rPr>
          <w:rFonts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trike w:val="0"/>
          <w:sz w:val="24"/>
          <w:szCs w:val="24"/>
        </w:rPr>
        <w:t>*2.1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trike w:val="0"/>
          <w:sz w:val="24"/>
          <w:szCs w:val="24"/>
        </w:rPr>
        <w:t xml:space="preserve">、耳子安装销孔中心与缸体或活塞杆距离：不低于 </w:t>
      </w:r>
      <w:r>
        <w:rPr>
          <w:rFonts w:hint="eastAsia" w:ascii="宋体" w:hAnsi="宋体"/>
          <w:strike w:val="0"/>
          <w:sz w:val="24"/>
          <w:szCs w:val="24"/>
          <w:lang w:val="en-US" w:eastAsia="zh-CN"/>
        </w:rPr>
        <w:t>10</w:t>
      </w:r>
      <w:r>
        <w:rPr>
          <w:rFonts w:hint="eastAsia" w:ascii="宋体" w:hAnsi="宋体"/>
          <w:strike w:val="0"/>
          <w:sz w:val="24"/>
          <w:szCs w:val="24"/>
        </w:rPr>
        <w:t>0 mm</w:t>
      </w:r>
      <w:r>
        <w:rPr>
          <w:rFonts w:hint="eastAsia" w:ascii="宋体" w:hAnsi="宋体"/>
          <w:strike w:val="0"/>
          <w:sz w:val="24"/>
          <w:szCs w:val="24"/>
          <w:lang w:eastAsia="zh-CN"/>
        </w:rPr>
        <w:t>；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尺寸参考示意图，</w:t>
      </w:r>
      <w:r>
        <w:rPr>
          <w:rFonts w:hint="eastAsia" w:ascii="宋体" w:hAnsi="宋体"/>
          <w:sz w:val="24"/>
          <w:szCs w:val="24"/>
          <w:highlight w:val="none"/>
        </w:rPr>
        <w:t xml:space="preserve"> 并满足油缸自身推拉力。</w:t>
      </w:r>
    </w:p>
    <w:p>
      <w:pPr>
        <w:spacing w:line="360" w:lineRule="auto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*2.15、最小安装范围：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1075</w:t>
      </w:r>
      <w:r>
        <w:rPr>
          <w:rFonts w:hint="eastAsia" w:ascii="宋体" w:hAnsi="宋体"/>
          <w:sz w:val="24"/>
          <w:szCs w:val="24"/>
          <w:highlight w:val="none"/>
        </w:rPr>
        <w:t>-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116</w:t>
      </w:r>
      <w:r>
        <w:rPr>
          <w:rFonts w:hint="eastAsia" w:ascii="宋体" w:hAnsi="宋体"/>
          <w:sz w:val="24"/>
          <w:szCs w:val="24"/>
          <w:highlight w:val="none"/>
        </w:rPr>
        <w:t>0mm 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*2.16、进回液接口：集中设置在缸体上并采用90° 与 活塞杆运动方向平行设计。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bookmarkStart w:id="6" w:name="OLE_LINK5"/>
      <w:r>
        <w:rPr>
          <w:rFonts w:hint="eastAsia" w:ascii="宋体" w:hAnsi="宋体"/>
          <w:sz w:val="24"/>
          <w:szCs w:val="24"/>
        </w:rPr>
        <w:t>*2.17、活塞杆组件：活塞杆组件应与传感器设置相配合，</w:t>
      </w:r>
      <w:r>
        <w:rPr>
          <w:rFonts w:hint="eastAsia" w:ascii="宋体" w:hAnsi="宋体"/>
          <w:sz w:val="24"/>
          <w:szCs w:val="24"/>
          <w:lang w:val="en-US" w:eastAsia="zh-CN"/>
        </w:rPr>
        <w:t>外表面采取喷涂陶瓷工艺，并满足配套绝对型行程监测装置，底层厚度为60-100um，表层厚度不小于200um,涂层表面硬度不小于 750HV.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*2.18、</w:t>
      </w:r>
      <w:r>
        <w:rPr>
          <w:rFonts w:hint="eastAsia" w:ascii="宋体" w:hAnsi="宋体"/>
          <w:sz w:val="24"/>
          <w:szCs w:val="24"/>
          <w:lang w:val="en-US" w:eastAsia="zh-CN"/>
        </w:rPr>
        <w:t>绝对型行程监测装置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lang w:val="en-US" w:eastAsia="zh-CN"/>
        </w:rPr>
        <w:t>配套于</w:t>
      </w:r>
      <w:r>
        <w:rPr>
          <w:rFonts w:hint="eastAsia" w:ascii="宋体" w:hAnsi="宋体"/>
          <w:sz w:val="24"/>
          <w:szCs w:val="24"/>
        </w:rPr>
        <w:t>活塞杆</w:t>
      </w:r>
      <w:r>
        <w:rPr>
          <w:rFonts w:hint="eastAsia" w:ascii="宋体" w:hAnsi="宋体"/>
          <w:sz w:val="24"/>
          <w:szCs w:val="24"/>
          <w:lang w:val="en-US" w:eastAsia="zh-CN"/>
        </w:rPr>
        <w:t>表面涂层，并采取绝对算法；活塞杆任意位置输出唯一数据，与运行状态前后数据无关；采用硬件逻辑，抗干扰能力、恢复数据极强；即得位置显示，无断电时间限制；防护等级 IP68，满足长期泡水要求</w:t>
      </w:r>
      <w:r>
        <w:rPr>
          <w:rFonts w:hint="eastAsia" w:ascii="宋体" w:hAnsi="宋体"/>
          <w:sz w:val="24"/>
          <w:szCs w:val="24"/>
        </w:rPr>
        <w:t>防爆等级：全行程监测</w:t>
      </w:r>
      <w:r>
        <w:rPr>
          <w:rFonts w:hint="eastAsia" w:ascii="宋体" w:hAnsi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  <w:szCs w:val="24"/>
        </w:rPr>
        <w:t>反馈精度</w:t>
      </w:r>
      <w:r>
        <w:rPr>
          <w:rFonts w:hint="eastAsia" w:ascii="宋体" w:hAnsi="宋体"/>
          <w:sz w:val="24"/>
          <w:szCs w:val="24"/>
          <w:lang w:val="en-US" w:eastAsia="zh-CN"/>
        </w:rPr>
        <w:t>±1</w:t>
      </w:r>
      <w:r>
        <w:rPr>
          <w:rFonts w:hint="eastAsia" w:ascii="宋体" w:hAnsi="宋体"/>
          <w:sz w:val="24"/>
          <w:szCs w:val="24"/>
        </w:rPr>
        <w:t>mm 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*2.1</w:t>
      </w:r>
      <w:bookmarkEnd w:id="6"/>
      <w:r>
        <w:rPr>
          <w:rFonts w:hint="eastAsia" w:ascii="宋体" w:hAnsi="宋体"/>
          <w:sz w:val="24"/>
          <w:szCs w:val="24"/>
        </w:rPr>
        <w:t>9、工作寿命：不低于循环次数40000次。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bookmarkStart w:id="7" w:name="OLE_LINK7"/>
      <w:r>
        <w:rPr>
          <w:rFonts w:hint="eastAsia" w:ascii="宋体" w:hAnsi="宋体"/>
          <w:sz w:val="24"/>
          <w:szCs w:val="24"/>
        </w:rPr>
        <w:t>*2.</w:t>
      </w:r>
      <w:bookmarkEnd w:id="7"/>
      <w:r>
        <w:rPr>
          <w:rFonts w:hint="eastAsia" w:ascii="宋体" w:hAnsi="宋体"/>
          <w:sz w:val="24"/>
          <w:szCs w:val="24"/>
        </w:rPr>
        <w:t>20、油缸</w:t>
      </w:r>
      <w:r>
        <w:rPr>
          <w:rFonts w:ascii="宋体" w:hAnsi="宋体"/>
          <w:sz w:val="24"/>
          <w:szCs w:val="24"/>
        </w:rPr>
        <w:t>到货应随机提供出厂验收报告。</w:t>
      </w:r>
      <w:r>
        <w:rPr>
          <w:rFonts w:hint="eastAsia" w:ascii="宋体" w:hAnsi="宋体"/>
          <w:sz w:val="24"/>
          <w:szCs w:val="24"/>
        </w:rPr>
        <w:t>要求杆腔试验压力 不低于 47.25MPa，无杆腔试验压力 不低于 47.25MPa。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*2.21、</w:t>
      </w:r>
      <w:r>
        <w:rPr>
          <w:rFonts w:ascii="宋体" w:hAnsi="宋体"/>
          <w:sz w:val="24"/>
          <w:szCs w:val="24"/>
        </w:rPr>
        <w:t>在</w:t>
      </w:r>
      <w:r>
        <w:rPr>
          <w:rFonts w:hint="eastAsia" w:ascii="宋体" w:hAnsi="宋体"/>
          <w:sz w:val="24"/>
          <w:szCs w:val="24"/>
        </w:rPr>
        <w:t>油缸</w:t>
      </w:r>
      <w:r>
        <w:rPr>
          <w:rFonts w:ascii="宋体" w:hAnsi="宋体"/>
          <w:sz w:val="24"/>
          <w:szCs w:val="24"/>
        </w:rPr>
        <w:t>经过安装测试、试运行之后，买卖双方对</w:t>
      </w:r>
      <w:r>
        <w:rPr>
          <w:rFonts w:hint="eastAsia" w:ascii="宋体" w:hAnsi="宋体"/>
          <w:sz w:val="24"/>
          <w:szCs w:val="24"/>
        </w:rPr>
        <w:t>材料</w:t>
      </w:r>
      <w:r>
        <w:rPr>
          <w:rFonts w:ascii="宋体" w:hAnsi="宋体"/>
          <w:sz w:val="24"/>
          <w:szCs w:val="24"/>
        </w:rPr>
        <w:t>性能进行鉴定，符合合同要求，买方出据验收证明并由中标方确认。验收标准为合同规定的要求和相关标准、中国国家标准、规范和双方认可的标准。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2.22、</w:t>
      </w:r>
      <w:r>
        <w:rPr>
          <w:rFonts w:ascii="宋体" w:hAnsi="宋体"/>
          <w:sz w:val="24"/>
          <w:szCs w:val="24"/>
        </w:rPr>
        <w:t>质保期为最终验收合格后1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ascii="宋体" w:hAnsi="宋体"/>
          <w:sz w:val="24"/>
          <w:szCs w:val="24"/>
        </w:rPr>
        <w:t>个月</w:t>
      </w:r>
      <w:r>
        <w:rPr>
          <w:rFonts w:hint="eastAsia" w:ascii="宋体" w:hAnsi="宋体"/>
          <w:sz w:val="24"/>
          <w:szCs w:val="24"/>
          <w:lang w:eastAsia="zh-CN"/>
        </w:rPr>
        <w:t>或投入使用</w:t>
      </w:r>
      <w:r>
        <w:rPr>
          <w:rFonts w:hint="eastAsia" w:ascii="宋体" w:hAnsi="宋体"/>
          <w:sz w:val="24"/>
          <w:szCs w:val="24"/>
          <w:lang w:val="en-US" w:eastAsia="zh-CN"/>
        </w:rPr>
        <w:t>1年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对由于设计或质量问题而引起的故障，中标方应</w:t>
      </w:r>
      <w:r>
        <w:rPr>
          <w:rFonts w:hint="eastAsia" w:ascii="宋体" w:hAnsi="宋体"/>
          <w:sz w:val="24"/>
          <w:szCs w:val="24"/>
        </w:rPr>
        <w:t>全权</w:t>
      </w:r>
      <w:r>
        <w:rPr>
          <w:rFonts w:ascii="宋体" w:hAnsi="宋体"/>
          <w:sz w:val="24"/>
          <w:szCs w:val="24"/>
        </w:rPr>
        <w:t>对此负责。</w:t>
      </w:r>
    </w:p>
    <w:p>
      <w:pPr>
        <w:adjustRightInd w:val="0"/>
        <w:snapToGri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*</w:t>
      </w:r>
      <w:r>
        <w:rPr>
          <w:rFonts w:hint="eastAsia" w:ascii="宋体" w:hAnsi="宋体"/>
          <w:sz w:val="24"/>
          <w:szCs w:val="24"/>
        </w:rPr>
        <w:t>2.23、维修：质保期内</w:t>
      </w:r>
      <w:r>
        <w:rPr>
          <w:rFonts w:ascii="宋体" w:hAnsi="宋体"/>
          <w:sz w:val="24"/>
          <w:szCs w:val="24"/>
        </w:rPr>
        <w:t>出现故障</w:t>
      </w:r>
      <w:r>
        <w:rPr>
          <w:rFonts w:hint="eastAsia" w:ascii="宋体" w:hAnsi="宋体"/>
          <w:sz w:val="24"/>
          <w:szCs w:val="24"/>
        </w:rPr>
        <w:t>，卖方在按到用户通知后，24小时内响应，48小时到现场排除故障，若一周内不能排除故障，则质保期顺延。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△2.23、</w:t>
      </w:r>
      <w:r>
        <w:rPr>
          <w:rFonts w:ascii="宋体" w:hAnsi="宋体"/>
          <w:sz w:val="24"/>
          <w:szCs w:val="24"/>
        </w:rPr>
        <w:t>中标方定期对</w:t>
      </w:r>
      <w:r>
        <w:rPr>
          <w:rFonts w:hint="eastAsia" w:ascii="宋体" w:hAnsi="宋体"/>
          <w:sz w:val="24"/>
          <w:szCs w:val="24"/>
        </w:rPr>
        <w:t>油缸</w:t>
      </w:r>
      <w:r>
        <w:rPr>
          <w:rFonts w:ascii="宋体" w:hAnsi="宋体"/>
          <w:sz w:val="24"/>
          <w:szCs w:val="24"/>
        </w:rPr>
        <w:t>进行回访，并对用户提出的问题</w:t>
      </w:r>
      <w:r>
        <w:rPr>
          <w:rFonts w:hint="eastAsia" w:ascii="宋体" w:hAnsi="宋体"/>
          <w:sz w:val="24"/>
          <w:szCs w:val="24"/>
        </w:rPr>
        <w:t>在七个工作日内</w:t>
      </w:r>
      <w:r>
        <w:rPr>
          <w:rFonts w:ascii="宋体" w:hAnsi="宋体"/>
          <w:sz w:val="24"/>
          <w:szCs w:val="24"/>
        </w:rPr>
        <w:t>进行解决。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3、特殊技术要求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3.1、必须对所有技术条款逐条解释并满足使用环境。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3.2、标书中未提及的技术要求必须符合国家的相关要求。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3.3、上表分项报价合计价格与投标报价总价格必须一致。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3.4、厂家配套6套图纸及技术资料，随带所有合格证等，（所有资料要求装订成册，光盘一份），长期售后服务。</w:t>
      </w:r>
    </w:p>
    <w:p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*3.5</w:t>
      </w:r>
      <w:r>
        <w:fldChar w:fldCharType="begin"/>
      </w:r>
      <w:r>
        <w:instrText xml:space="preserve"> HYPERLINK "mailto:厂家要在到货后7个工作日内将油缸图册电子版发至邮箱260354@qq.com" </w:instrText>
      </w:r>
      <w:r>
        <w:fldChar w:fldCharType="separate"/>
      </w:r>
      <w:r>
        <w:rPr>
          <w:rStyle w:val="15"/>
          <w:rFonts w:hint="eastAsia" w:ascii="宋体" w:hAnsi="宋体"/>
          <w:color w:val="auto"/>
          <w:sz w:val="24"/>
          <w:szCs w:val="24"/>
        </w:rPr>
        <w:t>厂家要中标后15个工作日内将油缸设计图纸于甲方核实，确定最终设计尺寸。电子版发至邮箱260354@qq.co</w:t>
      </w:r>
      <w:bookmarkStart w:id="8" w:name="_Hlt408679763"/>
      <w:bookmarkEnd w:id="8"/>
      <w:bookmarkStart w:id="9" w:name="_Hlt408679764"/>
      <w:bookmarkEnd w:id="9"/>
      <w:bookmarkStart w:id="10" w:name="_Hlt408679762"/>
      <w:bookmarkEnd w:id="10"/>
      <w:r>
        <w:rPr>
          <w:rStyle w:val="15"/>
          <w:rFonts w:hint="eastAsia" w:ascii="宋体" w:hAnsi="宋体"/>
          <w:color w:val="auto"/>
          <w:sz w:val="24"/>
          <w:szCs w:val="24"/>
        </w:rPr>
        <w:t>m</w:t>
      </w:r>
      <w:r>
        <w:rPr>
          <w:rStyle w:val="15"/>
          <w:rFonts w:hint="eastAsia" w:ascii="宋体" w:hAnsi="宋体"/>
          <w:color w:val="auto"/>
          <w:sz w:val="24"/>
          <w:szCs w:val="24"/>
        </w:rPr>
        <w:fldChar w:fldCharType="end"/>
      </w:r>
    </w:p>
    <w:p>
      <w:pPr>
        <w:spacing w:line="360" w:lineRule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附件：油缸示意图。</w:t>
      </w:r>
    </w:p>
    <w:p>
      <w:pPr>
        <w:spacing w:line="360" w:lineRule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  <w:lang w:eastAsia="zh-CN"/>
        </w:rPr>
        <w:drawing>
          <wp:inline distT="0" distB="0" distL="114300" distR="114300">
            <wp:extent cx="4696460" cy="7202170"/>
            <wp:effectExtent l="0" t="0" r="8890" b="17780"/>
            <wp:docPr id="1" name="图片 1" descr="调高油缸示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调高油缸示意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64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onospace">
    <w:altName w:val="GENIS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GENISO">
    <w:panose1 w:val="02000400000000000000"/>
    <w:charset w:val="00"/>
    <w:family w:val="auto"/>
    <w:pitch w:val="default"/>
    <w:sig w:usb0="00000003" w:usb1="00000000" w:usb2="00000040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lvl w:ilvl="0" w:tentative="0">
      <w:start w:val="1"/>
      <w:numFmt w:val="decimal"/>
      <w:lvlText w:val="%1."/>
      <w:lvlJc w:val="left"/>
      <w:pPr>
        <w:tabs>
          <w:tab w:val="left" w:pos="840"/>
        </w:tabs>
        <w:ind w:left="1180" w:hanging="340"/>
      </w:pPr>
      <w:rPr>
        <w:rFonts w:hint="eastAsia"/>
      </w:rPr>
    </w:lvl>
    <w:lvl w:ilvl="1" w:tentative="0">
      <w:start w:val="1"/>
      <w:numFmt w:val="decimal"/>
      <w:lvlText w:val="%2)"/>
      <w:lvlJc w:val="left"/>
      <w:pPr>
        <w:tabs>
          <w:tab w:val="left" w:pos="1680"/>
        </w:tabs>
        <w:ind w:left="1680" w:hanging="4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2520"/>
        </w:tabs>
        <w:ind w:left="2520" w:hanging="84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580"/>
        </w:tabs>
        <w:ind w:left="2580" w:hanging="420"/>
      </w:pPr>
    </w:lvl>
    <w:lvl w:ilvl="4" w:tentative="0">
      <w:start w:val="1"/>
      <w:numFmt w:val="japaneseCounting"/>
      <w:lvlText w:val="第%5节"/>
      <w:lvlJc w:val="left"/>
      <w:pPr>
        <w:tabs>
          <w:tab w:val="left" w:pos="3480"/>
        </w:tabs>
        <w:ind w:left="3480" w:hanging="9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3360"/>
        </w:tabs>
        <w:ind w:left="33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780"/>
        </w:tabs>
        <w:ind w:left="37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200"/>
        </w:tabs>
        <w:ind w:left="42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620"/>
        </w:tabs>
        <w:ind w:left="46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0F18"/>
    <w:rsid w:val="00012A59"/>
    <w:rsid w:val="00023F85"/>
    <w:rsid w:val="00026C21"/>
    <w:rsid w:val="00047A5D"/>
    <w:rsid w:val="000552EE"/>
    <w:rsid w:val="00056D4F"/>
    <w:rsid w:val="00095DF4"/>
    <w:rsid w:val="000E3F62"/>
    <w:rsid w:val="000F5DD9"/>
    <w:rsid w:val="000F6C6B"/>
    <w:rsid w:val="001408C2"/>
    <w:rsid w:val="00172A27"/>
    <w:rsid w:val="001915B3"/>
    <w:rsid w:val="00194619"/>
    <w:rsid w:val="001B2985"/>
    <w:rsid w:val="001C35E2"/>
    <w:rsid w:val="001D1269"/>
    <w:rsid w:val="001E18B8"/>
    <w:rsid w:val="002138C2"/>
    <w:rsid w:val="00214BC0"/>
    <w:rsid w:val="00227759"/>
    <w:rsid w:val="002544FD"/>
    <w:rsid w:val="00286416"/>
    <w:rsid w:val="002B0F73"/>
    <w:rsid w:val="002F1A00"/>
    <w:rsid w:val="00320A49"/>
    <w:rsid w:val="00335750"/>
    <w:rsid w:val="00341184"/>
    <w:rsid w:val="00355B7C"/>
    <w:rsid w:val="003728FA"/>
    <w:rsid w:val="00385679"/>
    <w:rsid w:val="003861A3"/>
    <w:rsid w:val="003901B1"/>
    <w:rsid w:val="00390D26"/>
    <w:rsid w:val="003A7129"/>
    <w:rsid w:val="003C4524"/>
    <w:rsid w:val="003E1FDF"/>
    <w:rsid w:val="003E5549"/>
    <w:rsid w:val="00400B85"/>
    <w:rsid w:val="00404863"/>
    <w:rsid w:val="00424427"/>
    <w:rsid w:val="00470C94"/>
    <w:rsid w:val="00475400"/>
    <w:rsid w:val="0048408A"/>
    <w:rsid w:val="00492393"/>
    <w:rsid w:val="004B2321"/>
    <w:rsid w:val="004C1A61"/>
    <w:rsid w:val="004C2CCA"/>
    <w:rsid w:val="004E149F"/>
    <w:rsid w:val="0050320A"/>
    <w:rsid w:val="00513611"/>
    <w:rsid w:val="00515A76"/>
    <w:rsid w:val="00555B7F"/>
    <w:rsid w:val="00590376"/>
    <w:rsid w:val="005B5E95"/>
    <w:rsid w:val="005C2C72"/>
    <w:rsid w:val="006023B6"/>
    <w:rsid w:val="00621C03"/>
    <w:rsid w:val="006345C4"/>
    <w:rsid w:val="00643266"/>
    <w:rsid w:val="006A36EC"/>
    <w:rsid w:val="006E5DC6"/>
    <w:rsid w:val="007000FA"/>
    <w:rsid w:val="007350D3"/>
    <w:rsid w:val="00743735"/>
    <w:rsid w:val="007F5A29"/>
    <w:rsid w:val="0081413E"/>
    <w:rsid w:val="00817EF4"/>
    <w:rsid w:val="00820C4A"/>
    <w:rsid w:val="008379AB"/>
    <w:rsid w:val="0085039E"/>
    <w:rsid w:val="00862641"/>
    <w:rsid w:val="00863145"/>
    <w:rsid w:val="00891EDC"/>
    <w:rsid w:val="008A3806"/>
    <w:rsid w:val="008B5BD8"/>
    <w:rsid w:val="008C21E9"/>
    <w:rsid w:val="008E35E4"/>
    <w:rsid w:val="0090419E"/>
    <w:rsid w:val="00915FF1"/>
    <w:rsid w:val="009207F9"/>
    <w:rsid w:val="009209B5"/>
    <w:rsid w:val="0098080E"/>
    <w:rsid w:val="009A3513"/>
    <w:rsid w:val="009B1A52"/>
    <w:rsid w:val="009D0B72"/>
    <w:rsid w:val="00A00351"/>
    <w:rsid w:val="00A46762"/>
    <w:rsid w:val="00AA0489"/>
    <w:rsid w:val="00AA2BA5"/>
    <w:rsid w:val="00AB5031"/>
    <w:rsid w:val="00AD7EA3"/>
    <w:rsid w:val="00B60B22"/>
    <w:rsid w:val="00B830A9"/>
    <w:rsid w:val="00BB3086"/>
    <w:rsid w:val="00BC6E23"/>
    <w:rsid w:val="00C363BA"/>
    <w:rsid w:val="00C43F69"/>
    <w:rsid w:val="00C50C92"/>
    <w:rsid w:val="00C5127C"/>
    <w:rsid w:val="00C65EC6"/>
    <w:rsid w:val="00C91856"/>
    <w:rsid w:val="00C96641"/>
    <w:rsid w:val="00C9708D"/>
    <w:rsid w:val="00CA0B56"/>
    <w:rsid w:val="00CB3831"/>
    <w:rsid w:val="00CB7B5D"/>
    <w:rsid w:val="00CC0DD6"/>
    <w:rsid w:val="00CD48C7"/>
    <w:rsid w:val="00CE0084"/>
    <w:rsid w:val="00CF6AA2"/>
    <w:rsid w:val="00D27C8D"/>
    <w:rsid w:val="00D41D80"/>
    <w:rsid w:val="00DB1E43"/>
    <w:rsid w:val="00DC4232"/>
    <w:rsid w:val="00DE04D5"/>
    <w:rsid w:val="00DE4E73"/>
    <w:rsid w:val="00DF2F38"/>
    <w:rsid w:val="00E0225F"/>
    <w:rsid w:val="00E1747B"/>
    <w:rsid w:val="00E4205C"/>
    <w:rsid w:val="00E80B38"/>
    <w:rsid w:val="00EC18A5"/>
    <w:rsid w:val="00EC6AFB"/>
    <w:rsid w:val="00F0157C"/>
    <w:rsid w:val="00F0581D"/>
    <w:rsid w:val="00F245DC"/>
    <w:rsid w:val="00F36F4F"/>
    <w:rsid w:val="00F51B0E"/>
    <w:rsid w:val="00F850A6"/>
    <w:rsid w:val="00FB63FE"/>
    <w:rsid w:val="00FD146A"/>
    <w:rsid w:val="00FE3F5A"/>
    <w:rsid w:val="02721C52"/>
    <w:rsid w:val="05017399"/>
    <w:rsid w:val="0A4C52EA"/>
    <w:rsid w:val="0A9845BB"/>
    <w:rsid w:val="0AB058DB"/>
    <w:rsid w:val="0D8D35E1"/>
    <w:rsid w:val="10614DC7"/>
    <w:rsid w:val="12EE2498"/>
    <w:rsid w:val="15AF75AB"/>
    <w:rsid w:val="17C8603D"/>
    <w:rsid w:val="19E40C49"/>
    <w:rsid w:val="1FF404CE"/>
    <w:rsid w:val="24065B96"/>
    <w:rsid w:val="24213BCC"/>
    <w:rsid w:val="25961FEB"/>
    <w:rsid w:val="26212DCC"/>
    <w:rsid w:val="278044AC"/>
    <w:rsid w:val="31C209BE"/>
    <w:rsid w:val="326D78D8"/>
    <w:rsid w:val="339935C6"/>
    <w:rsid w:val="3765218C"/>
    <w:rsid w:val="3A80131A"/>
    <w:rsid w:val="3D3337E2"/>
    <w:rsid w:val="40EB6475"/>
    <w:rsid w:val="41046ADB"/>
    <w:rsid w:val="421B55AC"/>
    <w:rsid w:val="449A5DB0"/>
    <w:rsid w:val="44AD4965"/>
    <w:rsid w:val="45F3173D"/>
    <w:rsid w:val="473A4C3F"/>
    <w:rsid w:val="47A026A2"/>
    <w:rsid w:val="487D5668"/>
    <w:rsid w:val="4AAD61FC"/>
    <w:rsid w:val="4C0D2635"/>
    <w:rsid w:val="4CCC3149"/>
    <w:rsid w:val="50FB45DF"/>
    <w:rsid w:val="546C1EC0"/>
    <w:rsid w:val="55CE710A"/>
    <w:rsid w:val="5A037A09"/>
    <w:rsid w:val="5D0F10D7"/>
    <w:rsid w:val="5D733841"/>
    <w:rsid w:val="644450A1"/>
    <w:rsid w:val="65682F7E"/>
    <w:rsid w:val="68DA2FAF"/>
    <w:rsid w:val="69A543C6"/>
    <w:rsid w:val="6A2E26FF"/>
    <w:rsid w:val="6A8A77D0"/>
    <w:rsid w:val="6B0A5042"/>
    <w:rsid w:val="6FF54A00"/>
    <w:rsid w:val="70162123"/>
    <w:rsid w:val="7260242F"/>
    <w:rsid w:val="7304075B"/>
    <w:rsid w:val="77640FC7"/>
    <w:rsid w:val="77CC68C2"/>
    <w:rsid w:val="78D44560"/>
    <w:rsid w:val="7DCF1EA4"/>
    <w:rsid w:val="7EE54BEA"/>
    <w:rsid w:val="7FCE754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2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unhideWhenUsed/>
    <w:qFormat/>
    <w:uiPriority w:val="1"/>
  </w:style>
  <w:style w:type="table" w:default="1" w:styleId="20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24"/>
    <w:qFormat/>
    <w:uiPriority w:val="0"/>
    <w:rPr>
      <w:rFonts w:ascii="宋体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Normal (Web)"/>
    <w:basedOn w:val="1"/>
    <w:qFormat/>
    <w:uiPriority w:val="0"/>
    <w:pPr>
      <w:jc w:val="left"/>
    </w:pPr>
    <w:rPr>
      <w:kern w:val="0"/>
      <w:sz w:val="24"/>
    </w:rPr>
  </w:style>
  <w:style w:type="character" w:styleId="9">
    <w:name w:val="Strong"/>
    <w:qFormat/>
    <w:uiPriority w:val="22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FollowedHyperlink"/>
    <w:basedOn w:val="8"/>
    <w:qFormat/>
    <w:uiPriority w:val="0"/>
    <w:rPr>
      <w:color w:val="338DE6"/>
      <w:u w:val="none"/>
    </w:rPr>
  </w:style>
  <w:style w:type="character" w:styleId="12">
    <w:name w:val="Emphasis"/>
    <w:basedOn w:val="8"/>
    <w:qFormat/>
    <w:uiPriority w:val="0"/>
    <w:rPr>
      <w:color w:val="CC0000"/>
    </w:rPr>
  </w:style>
  <w:style w:type="character" w:styleId="13">
    <w:name w:val="HTML Definition"/>
    <w:basedOn w:val="8"/>
    <w:qFormat/>
    <w:uiPriority w:val="0"/>
  </w:style>
  <w:style w:type="character" w:styleId="14">
    <w:name w:val="HTML Variable"/>
    <w:basedOn w:val="8"/>
    <w:qFormat/>
    <w:uiPriority w:val="0"/>
  </w:style>
  <w:style w:type="character" w:styleId="15">
    <w:name w:val="Hyperlink"/>
    <w:basedOn w:val="8"/>
    <w:qFormat/>
    <w:uiPriority w:val="0"/>
    <w:rPr>
      <w:color w:val="338DE6"/>
      <w:u w:val="none"/>
    </w:rPr>
  </w:style>
  <w:style w:type="character" w:styleId="16">
    <w:name w:val="HTML Code"/>
    <w:basedOn w:val="8"/>
    <w:qFormat/>
    <w:uiPriority w:val="0"/>
    <w:rPr>
      <w:rFonts w:ascii="monospace" w:hAnsi="monospace" w:eastAsia="monospace" w:cs="monospace"/>
      <w:sz w:val="21"/>
      <w:szCs w:val="21"/>
    </w:rPr>
  </w:style>
  <w:style w:type="character" w:styleId="17">
    <w:name w:val="HTML Cite"/>
    <w:basedOn w:val="8"/>
    <w:qFormat/>
    <w:uiPriority w:val="0"/>
    <w:rPr>
      <w:color w:val="008000"/>
    </w:rPr>
  </w:style>
  <w:style w:type="character" w:styleId="18">
    <w:name w:val="HTML Keyboard"/>
    <w:basedOn w:val="8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19">
    <w:name w:val="HTML Sample"/>
    <w:basedOn w:val="8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customStyle="1" w:styleId="21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">
    <w:name w:val="fontborder"/>
    <w:basedOn w:val="8"/>
    <w:qFormat/>
    <w:uiPriority w:val="0"/>
    <w:rPr>
      <w:bdr w:val="single" w:color="000000" w:sz="6" w:space="0"/>
    </w:rPr>
  </w:style>
  <w:style w:type="character" w:customStyle="1" w:styleId="23">
    <w:name w:val="fontstrikethrough"/>
    <w:basedOn w:val="8"/>
    <w:qFormat/>
    <w:uiPriority w:val="0"/>
    <w:rPr>
      <w:strike/>
    </w:rPr>
  </w:style>
  <w:style w:type="character" w:customStyle="1" w:styleId="24">
    <w:name w:val="纯文本 Char"/>
    <w:link w:val="4"/>
    <w:qFormat/>
    <w:uiPriority w:val="0"/>
    <w:rPr>
      <w:rFonts w:ascii="宋体"/>
      <w:kern w:val="2"/>
      <w:sz w:val="21"/>
    </w:rPr>
  </w:style>
  <w:style w:type="character" w:customStyle="1" w:styleId="25">
    <w:name w:val="标题 3 Char"/>
    <w:link w:val="3"/>
    <w:semiHidden/>
    <w:qFormat/>
    <w:uiPriority w:val="0"/>
    <w:rPr>
      <w:b/>
      <w:bCs/>
      <w:kern w:val="2"/>
      <w:sz w:val="32"/>
      <w:szCs w:val="32"/>
    </w:rPr>
  </w:style>
  <w:style w:type="character" w:customStyle="1" w:styleId="26">
    <w:name w:val="op_dict3_lineone_result_tip"/>
    <w:basedOn w:val="8"/>
    <w:qFormat/>
    <w:uiPriority w:val="0"/>
    <w:rPr>
      <w:color w:val="999999"/>
    </w:rPr>
  </w:style>
  <w:style w:type="paragraph" w:customStyle="1" w:styleId="27">
    <w:name w:val="样式 标题 2 + Times New Roman 四号 非加粗 段前: 5 磅 段后: 0 磅 行距: 固定值 20..."/>
    <w:basedOn w:val="2"/>
    <w:qFormat/>
    <w:uiPriority w:val="0"/>
    <w:pPr>
      <w:spacing w:before="100" w:after="0" w:line="400" w:lineRule="exact"/>
    </w:pPr>
    <w:rPr>
      <w:rFonts w:ascii="Times New Roman" w:hAnsi="Times New Roman" w:cs="宋体"/>
      <w:b w:val="0"/>
      <w:bCs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309</Words>
  <Characters>1764</Characters>
  <Lines>14</Lines>
  <Paragraphs>4</Paragraphs>
  <ScaleCrop>false</ScaleCrop>
  <LinksUpToDate>false</LinksUpToDate>
  <CharactersWithSpaces>2069</CharactersWithSpaces>
  <Application>WPS Office_10.8.0.5874_F1E327BC-269C-435d-A152-05C5408002CA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2017-05-09T13:09:00Z</dcterms:created>
  <dc:creator>User</dc:creator>
  <cp:lastModifiedBy>yhn</cp:lastModifiedBy>
  <dcterms:modified xsi:type="dcterms:W3CDTF">2017-06-13T14:58:46Z</dcterms:modified>
  <dc:title>设备购置技术标书审批表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2052-10.8.0.5874</vt:lpwstr>
  </property>
</Properties>
</file>