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仿宋" w:hAnsi="仿宋" w:eastAsia="仿宋"/>
          <w:b/>
          <w:bCs/>
          <w:sz w:val="28"/>
          <w:szCs w:val="28"/>
        </w:rPr>
      </w:pPr>
      <w:bookmarkStart w:id="0" w:name="_Toc357082526"/>
      <w:bookmarkStart w:id="1" w:name="_Toc356204538"/>
      <w:r>
        <w:rPr>
          <w:rFonts w:hint="eastAsia" w:ascii="仿宋" w:hAnsi="仿宋" w:eastAsia="仿宋"/>
          <w:b/>
          <w:bCs/>
          <w:sz w:val="28"/>
          <w:szCs w:val="28"/>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第一节  供货范围、技术规格、参数与要求</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第二节  备件和工具</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第三节  设备出厂前检验</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第四节  技术服务</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第五节  安装、检验、调试、试运行及验收</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第六节  质量保证</w:t>
      </w:r>
    </w:p>
    <w:p>
      <w:pPr>
        <w:tabs>
          <w:tab w:val="left" w:pos="2340"/>
        </w:tabs>
        <w:spacing w:line="480" w:lineRule="auto"/>
        <w:ind w:left="630" w:leftChars="300" w:firstLine="280" w:firstLineChars="100"/>
        <w:jc w:val="left"/>
        <w:rPr>
          <w:rFonts w:ascii="仿宋" w:hAnsi="仿宋" w:eastAsia="仿宋"/>
          <w:sz w:val="28"/>
          <w:szCs w:val="28"/>
        </w:rPr>
      </w:pPr>
      <w:r>
        <w:rPr>
          <w:rFonts w:hint="eastAsia" w:ascii="仿宋" w:hAnsi="仿宋" w:eastAsia="仿宋"/>
          <w:sz w:val="28"/>
          <w:szCs w:val="28"/>
        </w:rPr>
        <w:t>第七节  技术资料和图纸</w:t>
      </w:r>
    </w:p>
    <w:p>
      <w:pPr>
        <w:pStyle w:val="15"/>
        <w:jc w:val="center"/>
      </w:pPr>
    </w:p>
    <w:p/>
    <w:p>
      <w:pPr>
        <w:pStyle w:val="15"/>
        <w:jc w:val="center"/>
      </w:pPr>
    </w:p>
    <w:p>
      <w:pPr>
        <w:pStyle w:val="15"/>
        <w:jc w:val="center"/>
        <w:rPr>
          <w:rFonts w:ascii="仿宋" w:hAnsi="仿宋" w:eastAsia="仿宋"/>
          <w:b/>
          <w:szCs w:val="28"/>
        </w:rPr>
      </w:pPr>
      <w:r>
        <w:br w:type="page"/>
      </w:r>
      <w:r>
        <w:rPr>
          <w:rFonts w:hint="eastAsia" w:ascii="仿宋" w:hAnsi="仿宋" w:eastAsia="仿宋"/>
          <w:b/>
          <w:szCs w:val="28"/>
        </w:rPr>
        <w:t>第一节供货范围、技术规格、参数与要求</w:t>
      </w:r>
      <w:bookmarkEnd w:id="0"/>
      <w:bookmarkEnd w:id="1"/>
    </w:p>
    <w:p>
      <w:pPr>
        <w:adjustRightInd w:val="0"/>
        <w:snapToGrid w:val="0"/>
        <w:spacing w:before="312" w:beforeLines="100" w:after="312" w:afterLines="100" w:line="360" w:lineRule="auto"/>
        <w:ind w:left="2568" w:leftChars="-5" w:hanging="2578" w:hangingChars="1070"/>
        <w:rPr>
          <w:rFonts w:ascii="仿宋" w:hAnsi="仿宋" w:eastAsia="仿宋"/>
          <w:b/>
          <w:sz w:val="24"/>
        </w:rPr>
      </w:pPr>
      <w:r>
        <w:rPr>
          <w:rFonts w:hint="eastAsia" w:ascii="仿宋" w:hAnsi="仿宋" w:eastAsia="仿宋"/>
          <w:b/>
          <w:sz w:val="24"/>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304"/>
        <w:gridCol w:w="1560"/>
        <w:gridCol w:w="992"/>
        <w:gridCol w:w="709"/>
        <w:gridCol w:w="1275"/>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3"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序</w:t>
            </w:r>
            <w:r>
              <w:rPr>
                <w:rFonts w:hint="eastAsia" w:ascii="仿宋" w:hAnsi="仿宋" w:eastAsia="仿宋"/>
              </w:rPr>
              <w:t>号</w:t>
            </w:r>
          </w:p>
        </w:tc>
        <w:tc>
          <w:tcPr>
            <w:tcW w:w="230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名称</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规格型号</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单位</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数量</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1</w:t>
            </w:r>
          </w:p>
        </w:tc>
        <w:tc>
          <w:tcPr>
            <w:tcW w:w="230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szCs w:val="21"/>
              </w:rPr>
              <w:t>矿用隔爆型移动变电站</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KBSGZY-</w:t>
            </w:r>
            <w:r>
              <w:rPr>
                <w:rFonts w:hint="eastAsia" w:ascii="仿宋" w:hAnsi="仿宋" w:eastAsia="仿宋"/>
              </w:rPr>
              <w:t>315</w:t>
            </w:r>
            <w:r>
              <w:rPr>
                <w:rFonts w:ascii="仿宋" w:hAnsi="仿宋" w:eastAsia="仿宋"/>
              </w:rPr>
              <w:t>/10/1.2/0.693</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仿宋" w:hAnsi="仿宋" w:eastAsia="仿宋"/>
                <w:lang w:val="en-US" w:eastAsia="zh-CN"/>
              </w:rPr>
            </w:pPr>
            <w:r>
              <w:rPr>
                <w:rFonts w:hint="eastAsia" w:ascii="仿宋" w:hAnsi="仿宋" w:eastAsia="仿宋"/>
                <w:lang w:val="en-US" w:eastAsia="zh-CN"/>
              </w:rPr>
              <w:t>1</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230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szCs w:val="21"/>
              </w:rPr>
            </w:pPr>
            <w:r>
              <w:rPr>
                <w:rFonts w:hint="eastAsia" w:ascii="仿宋" w:hAnsi="仿宋" w:eastAsia="仿宋"/>
                <w:szCs w:val="21"/>
              </w:rPr>
              <w:t>每台</w:t>
            </w:r>
            <w:r>
              <w:rPr>
                <w:rFonts w:ascii="仿宋" w:hAnsi="仿宋" w:eastAsia="仿宋"/>
                <w:szCs w:val="21"/>
              </w:rPr>
              <w:t>包括</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1</w:t>
            </w:r>
            <w:r>
              <w:rPr>
                <w:rFonts w:ascii="仿宋" w:hAnsi="仿宋" w:eastAsia="仿宋"/>
              </w:rPr>
              <w:t>.1</w:t>
            </w:r>
          </w:p>
        </w:tc>
        <w:tc>
          <w:tcPr>
            <w:tcW w:w="230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szCs w:val="21"/>
              </w:rPr>
            </w:pPr>
            <w:r>
              <w:rPr>
                <w:rFonts w:hint="eastAsia" w:ascii="仿宋" w:hAnsi="仿宋" w:eastAsia="仿宋"/>
                <w:szCs w:val="21"/>
              </w:rPr>
              <w:t>矿用隔爆型干式变压器</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1</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1</w:t>
            </w:r>
            <w:r>
              <w:rPr>
                <w:rFonts w:ascii="仿宋" w:hAnsi="仿宋" w:eastAsia="仿宋"/>
              </w:rPr>
              <w:t>.2</w:t>
            </w:r>
          </w:p>
        </w:tc>
        <w:tc>
          <w:tcPr>
            <w:tcW w:w="230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szCs w:val="21"/>
              </w:rPr>
            </w:pPr>
            <w:r>
              <w:rPr>
                <w:rFonts w:hint="eastAsia" w:ascii="仿宋" w:hAnsi="仿宋" w:eastAsia="仿宋"/>
                <w:szCs w:val="21"/>
              </w:rPr>
              <w:t>矿用隔爆型变电站用高压配电装置</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1</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1</w:t>
            </w:r>
            <w:r>
              <w:rPr>
                <w:rFonts w:ascii="仿宋" w:hAnsi="仿宋" w:eastAsia="仿宋"/>
              </w:rPr>
              <w:t>.</w:t>
            </w:r>
            <w:r>
              <w:rPr>
                <w:rFonts w:hint="eastAsia" w:ascii="仿宋" w:hAnsi="仿宋" w:eastAsia="仿宋"/>
              </w:rPr>
              <w:t>3</w:t>
            </w:r>
          </w:p>
        </w:tc>
        <w:tc>
          <w:tcPr>
            <w:tcW w:w="230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szCs w:val="21"/>
              </w:rPr>
            </w:pPr>
            <w:r>
              <w:rPr>
                <w:rFonts w:hint="eastAsia" w:ascii="仿宋" w:hAnsi="仿宋" w:eastAsia="仿宋"/>
                <w:szCs w:val="21"/>
              </w:rPr>
              <w:t>矿用隔爆型变电站用低压保护箱</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仿宋" w:hAnsi="仿宋" w:eastAsia="仿宋"/>
                <w:lang w:val="en-US" w:eastAsia="zh-CN"/>
              </w:rPr>
            </w:pPr>
            <w:r>
              <w:rPr>
                <w:rFonts w:hint="eastAsia" w:ascii="仿宋" w:hAnsi="仿宋" w:eastAsia="仿宋"/>
                <w:lang w:val="en-US" w:eastAsia="zh-CN"/>
              </w:rPr>
              <w:t>1</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2</w:t>
            </w:r>
          </w:p>
        </w:tc>
        <w:tc>
          <w:tcPr>
            <w:tcW w:w="230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szCs w:val="21"/>
              </w:rPr>
              <w:t>附属设备</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3</w:t>
            </w:r>
          </w:p>
        </w:tc>
        <w:tc>
          <w:tcPr>
            <w:tcW w:w="230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专用工具</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批</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hint="eastAsia" w:ascii="仿宋" w:hAnsi="仿宋" w:eastAsia="仿宋"/>
              </w:rPr>
              <w:t>4</w:t>
            </w:r>
          </w:p>
        </w:tc>
        <w:tc>
          <w:tcPr>
            <w:tcW w:w="230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技术资料</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r>
              <w:rPr>
                <w:rFonts w:ascii="仿宋" w:hAnsi="仿宋" w:eastAsia="仿宋"/>
              </w:rPr>
              <w:t>套</w:t>
            </w:r>
            <w:r>
              <w:rPr>
                <w:rFonts w:hint="eastAsia" w:ascii="仿宋" w:hAnsi="仿宋" w:eastAsia="仿宋"/>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hAnsi="仿宋" w:eastAsia="仿宋"/>
              </w:rPr>
            </w:pPr>
          </w:p>
        </w:tc>
      </w:tr>
    </w:tbl>
    <w:p>
      <w:pPr>
        <w:adjustRightInd w:val="0"/>
        <w:snapToGrid w:val="0"/>
        <w:spacing w:before="312" w:beforeLines="100" w:line="360" w:lineRule="auto"/>
        <w:jc w:val="center"/>
        <w:rPr>
          <w:rFonts w:ascii="仿宋" w:hAnsi="仿宋" w:eastAsia="仿宋"/>
          <w:b/>
          <w:sz w:val="24"/>
        </w:rPr>
      </w:pPr>
      <w:r>
        <w:rPr>
          <w:rFonts w:hint="eastAsia" w:ascii="仿宋" w:hAnsi="仿宋" w:eastAsia="仿宋"/>
          <w:b/>
          <w:bCs/>
          <w:sz w:val="24"/>
        </w:rPr>
        <w:t>分项报价表</w:t>
      </w:r>
    </w:p>
    <w:tbl>
      <w:tblPr>
        <w:tblStyle w:val="1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2287"/>
        <w:gridCol w:w="980"/>
        <w:gridCol w:w="1633"/>
        <w:gridCol w:w="1306"/>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80"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序号</w:t>
            </w:r>
          </w:p>
        </w:tc>
        <w:tc>
          <w:tcPr>
            <w:tcW w:w="2287"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名称</w:t>
            </w:r>
          </w:p>
        </w:tc>
        <w:tc>
          <w:tcPr>
            <w:tcW w:w="980"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单位</w:t>
            </w:r>
          </w:p>
        </w:tc>
        <w:tc>
          <w:tcPr>
            <w:tcW w:w="1633"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数量</w:t>
            </w:r>
          </w:p>
        </w:tc>
        <w:tc>
          <w:tcPr>
            <w:tcW w:w="1306"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单价（元）</w:t>
            </w:r>
          </w:p>
        </w:tc>
        <w:tc>
          <w:tcPr>
            <w:tcW w:w="1336" w:type="dxa"/>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矿用隔爆型干式变压器</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台</w:t>
            </w:r>
          </w:p>
        </w:tc>
        <w:tc>
          <w:tcPr>
            <w:tcW w:w="1633" w:type="dxa"/>
            <w:vAlign w:val="center"/>
          </w:tcPr>
          <w:p>
            <w:pPr>
              <w:widowControl/>
              <w:jc w:val="center"/>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1</w:t>
            </w:r>
            <w:bookmarkStart w:id="8" w:name="_GoBack"/>
            <w:bookmarkEnd w:id="8"/>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每台包括</w:t>
            </w:r>
          </w:p>
        </w:tc>
        <w:tc>
          <w:tcPr>
            <w:tcW w:w="980" w:type="dxa"/>
            <w:vAlign w:val="center"/>
          </w:tcPr>
          <w:p>
            <w:pPr>
              <w:widowControl/>
              <w:jc w:val="center"/>
              <w:rPr>
                <w:rFonts w:ascii="仿宋" w:hAnsi="仿宋" w:eastAsia="仿宋" w:cs="宋体"/>
                <w:kern w:val="0"/>
                <w:szCs w:val="21"/>
              </w:rPr>
            </w:pP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.1</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防爆壳体</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个</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.2</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高压侧接线装置</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.3</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低压侧接线装置</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.4</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高压侧绕组</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.5</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低压侧绕组</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.6</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铁芯</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w:t>
            </w:r>
            <w:r>
              <w:rPr>
                <w:rFonts w:hint="eastAsia" w:ascii="仿宋" w:hAnsi="仿宋" w:eastAsia="仿宋" w:cs="宋体"/>
                <w:kern w:val="0"/>
                <w:szCs w:val="21"/>
              </w:rPr>
              <w:t>.7</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高压侧绕组引出电缆</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1.8</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低压绕组引出铜排</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80" w:type="dxa"/>
            <w:vAlign w:val="center"/>
          </w:tcPr>
          <w:p>
            <w:pPr>
              <w:spacing w:line="400" w:lineRule="exact"/>
              <w:jc w:val="center"/>
              <w:rPr>
                <w:rFonts w:ascii="仿宋" w:hAnsi="仿宋" w:eastAsia="仿宋"/>
                <w:szCs w:val="21"/>
              </w:rPr>
            </w:pPr>
            <w:r>
              <w:rPr>
                <w:rFonts w:ascii="仿宋" w:hAnsi="仿宋" w:eastAsia="仿宋"/>
                <w:szCs w:val="21"/>
              </w:rPr>
              <w:t>2</w:t>
            </w:r>
          </w:p>
        </w:tc>
        <w:tc>
          <w:tcPr>
            <w:tcW w:w="2287" w:type="dxa"/>
            <w:vAlign w:val="center"/>
          </w:tcPr>
          <w:p>
            <w:pPr>
              <w:spacing w:line="400" w:lineRule="exact"/>
              <w:jc w:val="center"/>
              <w:rPr>
                <w:rFonts w:ascii="仿宋" w:hAnsi="仿宋" w:eastAsia="仿宋"/>
                <w:b/>
                <w:szCs w:val="21"/>
              </w:rPr>
            </w:pPr>
            <w:r>
              <w:rPr>
                <w:rFonts w:hint="eastAsia" w:ascii="仿宋" w:hAnsi="仿宋" w:eastAsia="仿宋"/>
                <w:szCs w:val="21"/>
              </w:rPr>
              <w:t>矿用隔爆型变电站用高压配电装置</w:t>
            </w:r>
          </w:p>
        </w:tc>
        <w:tc>
          <w:tcPr>
            <w:tcW w:w="980" w:type="dxa"/>
            <w:vAlign w:val="center"/>
          </w:tcPr>
          <w:p>
            <w:pPr>
              <w:spacing w:line="400" w:lineRule="exact"/>
              <w:jc w:val="center"/>
              <w:rPr>
                <w:rFonts w:ascii="仿宋" w:hAnsi="仿宋" w:eastAsia="仿宋"/>
                <w:b/>
                <w:szCs w:val="21"/>
              </w:rPr>
            </w:pPr>
            <w:r>
              <w:rPr>
                <w:rFonts w:hint="eastAsia" w:ascii="仿宋" w:hAnsi="仿宋" w:eastAsia="仿宋"/>
                <w:szCs w:val="21"/>
              </w:rPr>
              <w:t>台</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spacing w:line="400" w:lineRule="exact"/>
              <w:jc w:val="center"/>
              <w:rPr>
                <w:rFonts w:ascii="仿宋" w:hAnsi="仿宋" w:eastAsia="仿宋"/>
                <w:szCs w:val="21"/>
              </w:rPr>
            </w:pPr>
          </w:p>
        </w:tc>
        <w:tc>
          <w:tcPr>
            <w:tcW w:w="2287" w:type="dxa"/>
            <w:vAlign w:val="center"/>
          </w:tcPr>
          <w:p>
            <w:pPr>
              <w:spacing w:line="400" w:lineRule="exact"/>
              <w:jc w:val="center"/>
              <w:rPr>
                <w:rFonts w:ascii="仿宋" w:hAnsi="仿宋" w:eastAsia="仿宋"/>
                <w:szCs w:val="21"/>
              </w:rPr>
            </w:pPr>
            <w:r>
              <w:rPr>
                <w:rFonts w:hint="eastAsia" w:ascii="仿宋" w:hAnsi="仿宋" w:eastAsia="仿宋"/>
                <w:szCs w:val="21"/>
              </w:rPr>
              <w:t>每台包括</w:t>
            </w:r>
          </w:p>
        </w:tc>
        <w:tc>
          <w:tcPr>
            <w:tcW w:w="980" w:type="dxa"/>
            <w:vAlign w:val="center"/>
          </w:tcPr>
          <w:p>
            <w:pPr>
              <w:spacing w:line="400" w:lineRule="exact"/>
              <w:jc w:val="center"/>
              <w:rPr>
                <w:rFonts w:ascii="仿宋" w:hAnsi="仿宋" w:eastAsia="仿宋"/>
                <w:szCs w:val="21"/>
              </w:rPr>
            </w:pP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spacing w:line="400" w:lineRule="exact"/>
              <w:jc w:val="center"/>
              <w:rPr>
                <w:rFonts w:ascii="仿宋" w:hAnsi="仿宋" w:eastAsia="仿宋"/>
                <w:szCs w:val="21"/>
              </w:rPr>
            </w:pPr>
            <w:r>
              <w:rPr>
                <w:rFonts w:ascii="仿宋" w:hAnsi="仿宋" w:eastAsia="仿宋"/>
                <w:szCs w:val="21"/>
              </w:rPr>
              <w:t>2</w:t>
            </w:r>
            <w:r>
              <w:rPr>
                <w:rFonts w:hint="eastAsia" w:ascii="仿宋" w:hAnsi="仿宋" w:eastAsia="仿宋"/>
                <w:szCs w:val="21"/>
              </w:rPr>
              <w:t>.1</w:t>
            </w:r>
          </w:p>
        </w:tc>
        <w:tc>
          <w:tcPr>
            <w:tcW w:w="2287" w:type="dxa"/>
            <w:vAlign w:val="center"/>
          </w:tcPr>
          <w:p>
            <w:pPr>
              <w:pStyle w:val="28"/>
              <w:jc w:val="center"/>
              <w:rPr>
                <w:rFonts w:ascii="仿宋" w:hAnsi="仿宋" w:eastAsia="仿宋"/>
              </w:rPr>
            </w:pPr>
            <w:r>
              <w:rPr>
                <w:rFonts w:hint="eastAsia" w:ascii="仿宋" w:hAnsi="仿宋" w:eastAsia="仿宋"/>
              </w:rPr>
              <w:t>真空断路器</w:t>
            </w:r>
          </w:p>
        </w:tc>
        <w:tc>
          <w:tcPr>
            <w:tcW w:w="980" w:type="dxa"/>
            <w:vAlign w:val="center"/>
          </w:tcPr>
          <w:p>
            <w:pPr>
              <w:pStyle w:val="28"/>
              <w:jc w:val="center"/>
              <w:rPr>
                <w:rFonts w:ascii="仿宋" w:hAnsi="仿宋" w:eastAsia="仿宋"/>
              </w:rPr>
            </w:pPr>
            <w:r>
              <w:rPr>
                <w:rFonts w:hint="eastAsia" w:ascii="仿宋" w:hAnsi="仿宋" w:eastAsia="仿宋"/>
              </w:rPr>
              <w:t>套</w:t>
            </w:r>
          </w:p>
        </w:tc>
        <w:tc>
          <w:tcPr>
            <w:tcW w:w="1633" w:type="dxa"/>
            <w:vAlign w:val="center"/>
          </w:tcPr>
          <w:p>
            <w:pPr>
              <w:pStyle w:val="28"/>
              <w:jc w:val="center"/>
              <w:rPr>
                <w:rFonts w:ascii="仿宋" w:hAnsi="仿宋" w:eastAsia="仿宋"/>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spacing w:line="400" w:lineRule="exact"/>
              <w:jc w:val="center"/>
              <w:rPr>
                <w:rFonts w:ascii="仿宋" w:hAnsi="仿宋" w:eastAsia="仿宋"/>
                <w:szCs w:val="21"/>
              </w:rPr>
            </w:pPr>
            <w:r>
              <w:rPr>
                <w:rFonts w:ascii="仿宋" w:hAnsi="仿宋" w:eastAsia="仿宋"/>
                <w:szCs w:val="21"/>
              </w:rPr>
              <w:t>2</w:t>
            </w:r>
            <w:r>
              <w:rPr>
                <w:rFonts w:hint="eastAsia" w:ascii="仿宋" w:hAnsi="仿宋" w:eastAsia="仿宋"/>
                <w:szCs w:val="21"/>
              </w:rPr>
              <w:t>.2</w:t>
            </w:r>
          </w:p>
        </w:tc>
        <w:tc>
          <w:tcPr>
            <w:tcW w:w="2287" w:type="dxa"/>
            <w:vAlign w:val="center"/>
          </w:tcPr>
          <w:p>
            <w:pPr>
              <w:pStyle w:val="28"/>
              <w:jc w:val="center"/>
              <w:rPr>
                <w:rFonts w:ascii="仿宋" w:hAnsi="仿宋" w:eastAsia="仿宋"/>
              </w:rPr>
            </w:pPr>
            <w:r>
              <w:rPr>
                <w:rFonts w:hint="eastAsia" w:ascii="仿宋" w:hAnsi="仿宋" w:eastAsia="仿宋"/>
              </w:rPr>
              <w:t>隔离刀闸</w:t>
            </w:r>
          </w:p>
        </w:tc>
        <w:tc>
          <w:tcPr>
            <w:tcW w:w="980" w:type="dxa"/>
            <w:vAlign w:val="center"/>
          </w:tcPr>
          <w:p>
            <w:pPr>
              <w:pStyle w:val="28"/>
              <w:jc w:val="center"/>
              <w:rPr>
                <w:rFonts w:ascii="仿宋" w:hAnsi="仿宋" w:eastAsia="仿宋"/>
              </w:rPr>
            </w:pPr>
            <w:r>
              <w:rPr>
                <w:rFonts w:hint="eastAsia" w:ascii="仿宋" w:hAnsi="仿宋" w:eastAsia="仿宋"/>
              </w:rPr>
              <w:t>个</w:t>
            </w:r>
          </w:p>
        </w:tc>
        <w:tc>
          <w:tcPr>
            <w:tcW w:w="1633" w:type="dxa"/>
            <w:vAlign w:val="center"/>
          </w:tcPr>
          <w:p>
            <w:pPr>
              <w:pStyle w:val="28"/>
              <w:jc w:val="center"/>
              <w:rPr>
                <w:rFonts w:ascii="仿宋" w:hAnsi="仿宋" w:eastAsia="仿宋"/>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spacing w:line="400" w:lineRule="exact"/>
              <w:jc w:val="center"/>
              <w:rPr>
                <w:rFonts w:ascii="仿宋" w:hAnsi="仿宋" w:eastAsia="仿宋"/>
                <w:szCs w:val="21"/>
              </w:rPr>
            </w:pPr>
            <w:r>
              <w:rPr>
                <w:rFonts w:ascii="仿宋" w:hAnsi="仿宋" w:eastAsia="仿宋"/>
                <w:szCs w:val="21"/>
              </w:rPr>
              <w:t>2</w:t>
            </w:r>
            <w:r>
              <w:rPr>
                <w:rFonts w:hint="eastAsia" w:ascii="仿宋" w:hAnsi="仿宋" w:eastAsia="仿宋"/>
                <w:szCs w:val="21"/>
              </w:rPr>
              <w:t>.3</w:t>
            </w:r>
          </w:p>
        </w:tc>
        <w:tc>
          <w:tcPr>
            <w:tcW w:w="2287" w:type="dxa"/>
            <w:vAlign w:val="center"/>
          </w:tcPr>
          <w:p>
            <w:pPr>
              <w:pStyle w:val="28"/>
              <w:jc w:val="center"/>
              <w:rPr>
                <w:rFonts w:ascii="仿宋" w:hAnsi="仿宋" w:eastAsia="仿宋"/>
              </w:rPr>
            </w:pPr>
            <w:r>
              <w:rPr>
                <w:rFonts w:hint="eastAsia" w:ascii="仿宋" w:hAnsi="仿宋" w:eastAsia="仿宋"/>
              </w:rPr>
              <w:t>电流互感器</w:t>
            </w:r>
          </w:p>
        </w:tc>
        <w:tc>
          <w:tcPr>
            <w:tcW w:w="980" w:type="dxa"/>
            <w:vAlign w:val="center"/>
          </w:tcPr>
          <w:p>
            <w:pPr>
              <w:pStyle w:val="28"/>
              <w:jc w:val="center"/>
              <w:rPr>
                <w:rFonts w:ascii="仿宋" w:hAnsi="仿宋" w:eastAsia="仿宋"/>
              </w:rPr>
            </w:pPr>
            <w:r>
              <w:rPr>
                <w:rFonts w:hint="eastAsia" w:ascii="仿宋" w:hAnsi="仿宋" w:eastAsia="仿宋"/>
              </w:rPr>
              <w:t>套</w:t>
            </w:r>
          </w:p>
        </w:tc>
        <w:tc>
          <w:tcPr>
            <w:tcW w:w="1633" w:type="dxa"/>
            <w:vAlign w:val="center"/>
          </w:tcPr>
          <w:p>
            <w:pPr>
              <w:pStyle w:val="28"/>
              <w:jc w:val="center"/>
              <w:rPr>
                <w:rFonts w:ascii="仿宋" w:hAnsi="仿宋" w:eastAsia="仿宋"/>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spacing w:line="400" w:lineRule="exact"/>
              <w:jc w:val="center"/>
              <w:rPr>
                <w:rFonts w:ascii="仿宋" w:hAnsi="仿宋" w:eastAsia="仿宋"/>
                <w:szCs w:val="21"/>
              </w:rPr>
            </w:pPr>
            <w:r>
              <w:rPr>
                <w:rFonts w:ascii="仿宋" w:hAnsi="仿宋" w:eastAsia="仿宋"/>
                <w:szCs w:val="21"/>
              </w:rPr>
              <w:t>2</w:t>
            </w:r>
            <w:r>
              <w:rPr>
                <w:rFonts w:hint="eastAsia" w:ascii="仿宋" w:hAnsi="仿宋" w:eastAsia="仿宋"/>
                <w:szCs w:val="21"/>
              </w:rPr>
              <w:t>.4</w:t>
            </w:r>
          </w:p>
        </w:tc>
        <w:tc>
          <w:tcPr>
            <w:tcW w:w="2287" w:type="dxa"/>
            <w:vAlign w:val="center"/>
          </w:tcPr>
          <w:p>
            <w:pPr>
              <w:pStyle w:val="28"/>
              <w:jc w:val="center"/>
              <w:rPr>
                <w:rFonts w:ascii="仿宋" w:hAnsi="仿宋" w:eastAsia="仿宋"/>
              </w:rPr>
            </w:pPr>
            <w:r>
              <w:rPr>
                <w:rFonts w:hint="eastAsia" w:ascii="仿宋" w:hAnsi="仿宋" w:eastAsia="仿宋"/>
              </w:rPr>
              <w:t>电压互感器</w:t>
            </w:r>
          </w:p>
        </w:tc>
        <w:tc>
          <w:tcPr>
            <w:tcW w:w="980" w:type="dxa"/>
            <w:vAlign w:val="center"/>
          </w:tcPr>
          <w:p>
            <w:pPr>
              <w:pStyle w:val="28"/>
              <w:jc w:val="center"/>
              <w:rPr>
                <w:rFonts w:ascii="仿宋" w:hAnsi="仿宋" w:eastAsia="仿宋"/>
              </w:rPr>
            </w:pPr>
            <w:r>
              <w:rPr>
                <w:rFonts w:hint="eastAsia" w:ascii="仿宋" w:hAnsi="仿宋" w:eastAsia="仿宋"/>
              </w:rPr>
              <w:t>套</w:t>
            </w:r>
          </w:p>
        </w:tc>
        <w:tc>
          <w:tcPr>
            <w:tcW w:w="1633" w:type="dxa"/>
            <w:vAlign w:val="center"/>
          </w:tcPr>
          <w:p>
            <w:pPr>
              <w:pStyle w:val="28"/>
              <w:jc w:val="center"/>
              <w:rPr>
                <w:rFonts w:ascii="仿宋" w:hAnsi="仿宋" w:eastAsia="仿宋"/>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spacing w:line="400" w:lineRule="exact"/>
              <w:jc w:val="center"/>
              <w:rPr>
                <w:rFonts w:ascii="仿宋" w:hAnsi="仿宋" w:eastAsia="仿宋"/>
                <w:szCs w:val="21"/>
              </w:rPr>
            </w:pPr>
            <w:r>
              <w:rPr>
                <w:rFonts w:ascii="仿宋" w:hAnsi="仿宋" w:eastAsia="仿宋"/>
                <w:szCs w:val="21"/>
              </w:rPr>
              <w:t>2</w:t>
            </w:r>
            <w:r>
              <w:rPr>
                <w:rFonts w:hint="eastAsia" w:ascii="仿宋" w:hAnsi="仿宋" w:eastAsia="仿宋"/>
                <w:szCs w:val="21"/>
              </w:rPr>
              <w:t>.5</w:t>
            </w:r>
          </w:p>
        </w:tc>
        <w:tc>
          <w:tcPr>
            <w:tcW w:w="2287" w:type="dxa"/>
            <w:vAlign w:val="center"/>
          </w:tcPr>
          <w:p>
            <w:pPr>
              <w:pStyle w:val="28"/>
              <w:jc w:val="center"/>
              <w:rPr>
                <w:rFonts w:ascii="仿宋" w:hAnsi="仿宋" w:eastAsia="仿宋"/>
              </w:rPr>
            </w:pPr>
            <w:r>
              <w:rPr>
                <w:rFonts w:hint="eastAsia" w:ascii="仿宋" w:hAnsi="仿宋" w:eastAsia="仿宋"/>
              </w:rPr>
              <w:t>高压电网保护器</w:t>
            </w:r>
          </w:p>
        </w:tc>
        <w:tc>
          <w:tcPr>
            <w:tcW w:w="980" w:type="dxa"/>
            <w:vAlign w:val="center"/>
          </w:tcPr>
          <w:p>
            <w:pPr>
              <w:pStyle w:val="28"/>
              <w:jc w:val="center"/>
              <w:rPr>
                <w:rFonts w:ascii="仿宋" w:hAnsi="仿宋" w:eastAsia="仿宋"/>
              </w:rPr>
            </w:pPr>
            <w:r>
              <w:rPr>
                <w:rFonts w:hint="eastAsia" w:ascii="仿宋" w:hAnsi="仿宋" w:eastAsia="仿宋"/>
              </w:rPr>
              <w:t>个</w:t>
            </w:r>
          </w:p>
        </w:tc>
        <w:tc>
          <w:tcPr>
            <w:tcW w:w="1633" w:type="dxa"/>
            <w:vAlign w:val="center"/>
          </w:tcPr>
          <w:p>
            <w:pPr>
              <w:pStyle w:val="28"/>
              <w:jc w:val="center"/>
              <w:rPr>
                <w:rFonts w:ascii="仿宋" w:hAnsi="仿宋" w:eastAsia="仿宋"/>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spacing w:line="400" w:lineRule="exact"/>
              <w:jc w:val="center"/>
              <w:rPr>
                <w:rFonts w:ascii="仿宋" w:hAnsi="仿宋" w:eastAsia="仿宋"/>
                <w:szCs w:val="21"/>
              </w:rPr>
            </w:pPr>
            <w:r>
              <w:rPr>
                <w:rFonts w:ascii="仿宋" w:hAnsi="仿宋" w:eastAsia="仿宋"/>
                <w:szCs w:val="21"/>
              </w:rPr>
              <w:t>2</w:t>
            </w:r>
            <w:r>
              <w:rPr>
                <w:rFonts w:hint="eastAsia" w:ascii="仿宋" w:hAnsi="仿宋" w:eastAsia="仿宋"/>
                <w:szCs w:val="21"/>
              </w:rPr>
              <w:t>.6</w:t>
            </w:r>
          </w:p>
        </w:tc>
        <w:tc>
          <w:tcPr>
            <w:tcW w:w="2287" w:type="dxa"/>
            <w:vAlign w:val="center"/>
          </w:tcPr>
          <w:p>
            <w:pPr>
              <w:pStyle w:val="28"/>
              <w:jc w:val="center"/>
              <w:rPr>
                <w:rFonts w:ascii="仿宋" w:hAnsi="仿宋" w:eastAsia="仿宋"/>
              </w:rPr>
            </w:pPr>
            <w:r>
              <w:rPr>
                <w:rFonts w:hint="eastAsia" w:ascii="仿宋" w:hAnsi="仿宋" w:eastAsia="仿宋"/>
              </w:rPr>
              <w:t>连接母线</w:t>
            </w:r>
          </w:p>
        </w:tc>
        <w:tc>
          <w:tcPr>
            <w:tcW w:w="980" w:type="dxa"/>
            <w:vAlign w:val="center"/>
          </w:tcPr>
          <w:p>
            <w:pPr>
              <w:pStyle w:val="28"/>
              <w:jc w:val="center"/>
              <w:rPr>
                <w:rFonts w:ascii="仿宋" w:hAnsi="仿宋" w:eastAsia="仿宋"/>
              </w:rPr>
            </w:pPr>
            <w:r>
              <w:rPr>
                <w:rFonts w:hint="eastAsia" w:ascii="仿宋" w:hAnsi="仿宋" w:eastAsia="仿宋"/>
              </w:rPr>
              <w:t>个</w:t>
            </w:r>
          </w:p>
        </w:tc>
        <w:tc>
          <w:tcPr>
            <w:tcW w:w="1633" w:type="dxa"/>
            <w:vAlign w:val="center"/>
          </w:tcPr>
          <w:p>
            <w:pPr>
              <w:pStyle w:val="28"/>
              <w:jc w:val="center"/>
              <w:rPr>
                <w:rFonts w:ascii="仿宋" w:hAnsi="仿宋" w:eastAsia="仿宋"/>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exact"/>
          <w:jc w:val="center"/>
        </w:trPr>
        <w:tc>
          <w:tcPr>
            <w:tcW w:w="980" w:type="dxa"/>
            <w:vAlign w:val="center"/>
          </w:tcPr>
          <w:p>
            <w:pPr>
              <w:spacing w:line="400" w:lineRule="exact"/>
              <w:jc w:val="center"/>
              <w:rPr>
                <w:rFonts w:ascii="仿宋" w:hAnsi="仿宋" w:eastAsia="仿宋"/>
                <w:szCs w:val="21"/>
              </w:rPr>
            </w:pPr>
            <w:r>
              <w:rPr>
                <w:rFonts w:hint="eastAsia" w:ascii="仿宋" w:hAnsi="仿宋" w:eastAsia="仿宋"/>
                <w:szCs w:val="21"/>
              </w:rPr>
              <w:t>3</w:t>
            </w:r>
          </w:p>
        </w:tc>
        <w:tc>
          <w:tcPr>
            <w:tcW w:w="2287" w:type="dxa"/>
            <w:vAlign w:val="center"/>
          </w:tcPr>
          <w:p>
            <w:pPr>
              <w:pStyle w:val="28"/>
              <w:jc w:val="center"/>
              <w:rPr>
                <w:rFonts w:ascii="仿宋" w:hAnsi="仿宋" w:eastAsia="仿宋"/>
              </w:rPr>
            </w:pPr>
            <w:r>
              <w:rPr>
                <w:rFonts w:hint="eastAsia" w:ascii="仿宋" w:hAnsi="仿宋" w:eastAsia="仿宋"/>
                <w:szCs w:val="21"/>
              </w:rPr>
              <w:t>矿用隔爆型变电站用低压保护箱</w:t>
            </w:r>
          </w:p>
        </w:tc>
        <w:tc>
          <w:tcPr>
            <w:tcW w:w="980" w:type="dxa"/>
            <w:vAlign w:val="center"/>
          </w:tcPr>
          <w:p>
            <w:pPr>
              <w:pStyle w:val="28"/>
              <w:jc w:val="center"/>
              <w:rPr>
                <w:rFonts w:ascii="仿宋" w:hAnsi="仿宋" w:eastAsia="仿宋"/>
              </w:rPr>
            </w:pPr>
            <w:r>
              <w:rPr>
                <w:rFonts w:hint="eastAsia" w:ascii="仿宋" w:hAnsi="仿宋" w:eastAsia="仿宋"/>
              </w:rPr>
              <w:t>台</w:t>
            </w:r>
          </w:p>
        </w:tc>
        <w:tc>
          <w:tcPr>
            <w:tcW w:w="1633" w:type="dxa"/>
            <w:vAlign w:val="center"/>
          </w:tcPr>
          <w:p>
            <w:pPr>
              <w:pStyle w:val="28"/>
              <w:jc w:val="center"/>
              <w:rPr>
                <w:rFonts w:ascii="仿宋" w:hAnsi="仿宋" w:eastAsia="仿宋"/>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jc w:val="center"/>
        </w:trPr>
        <w:tc>
          <w:tcPr>
            <w:tcW w:w="980" w:type="dxa"/>
            <w:vAlign w:val="center"/>
          </w:tcPr>
          <w:p>
            <w:pPr>
              <w:spacing w:line="400" w:lineRule="exact"/>
              <w:jc w:val="center"/>
              <w:rPr>
                <w:rFonts w:ascii="仿宋" w:hAnsi="仿宋" w:eastAsia="仿宋"/>
                <w:szCs w:val="21"/>
              </w:rPr>
            </w:pPr>
          </w:p>
        </w:tc>
        <w:tc>
          <w:tcPr>
            <w:tcW w:w="2287" w:type="dxa"/>
            <w:vAlign w:val="center"/>
          </w:tcPr>
          <w:p>
            <w:pPr>
              <w:pStyle w:val="28"/>
              <w:jc w:val="center"/>
              <w:rPr>
                <w:rFonts w:ascii="仿宋" w:hAnsi="仿宋" w:eastAsia="仿宋"/>
                <w:szCs w:val="21"/>
              </w:rPr>
            </w:pPr>
            <w:r>
              <w:rPr>
                <w:rFonts w:hint="eastAsia" w:ascii="仿宋" w:hAnsi="仿宋" w:eastAsia="仿宋"/>
                <w:szCs w:val="21"/>
              </w:rPr>
              <w:t>每台包括</w:t>
            </w:r>
          </w:p>
        </w:tc>
        <w:tc>
          <w:tcPr>
            <w:tcW w:w="980" w:type="dxa"/>
            <w:vAlign w:val="center"/>
          </w:tcPr>
          <w:p>
            <w:pPr>
              <w:pStyle w:val="28"/>
              <w:jc w:val="center"/>
              <w:rPr>
                <w:rFonts w:ascii="仿宋" w:hAnsi="仿宋" w:eastAsia="仿宋"/>
              </w:rPr>
            </w:pPr>
          </w:p>
        </w:tc>
        <w:tc>
          <w:tcPr>
            <w:tcW w:w="1633" w:type="dxa"/>
            <w:vAlign w:val="center"/>
          </w:tcPr>
          <w:p>
            <w:pPr>
              <w:pStyle w:val="28"/>
              <w:jc w:val="center"/>
              <w:rPr>
                <w:rFonts w:ascii="仿宋" w:hAnsi="仿宋" w:eastAsia="仿宋"/>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3.1</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漏电检测单元</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widowControl/>
              <w:jc w:val="center"/>
              <w:rPr>
                <w:rFonts w:ascii="仿宋" w:hAnsi="仿宋" w:eastAsia="仿宋" w:cs="宋体"/>
                <w:kern w:val="0"/>
                <w:szCs w:val="21"/>
              </w:rPr>
            </w:pPr>
            <w:r>
              <w:rPr>
                <w:rFonts w:ascii="仿宋" w:hAnsi="仿宋" w:eastAsia="仿宋" w:cs="宋体"/>
                <w:kern w:val="0"/>
                <w:szCs w:val="21"/>
              </w:rPr>
              <w:t>3.2</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导电铜板</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3.3</w:t>
            </w: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连接</w:t>
            </w:r>
            <w:r>
              <w:rPr>
                <w:rFonts w:ascii="仿宋" w:hAnsi="仿宋" w:eastAsia="仿宋" w:cs="宋体"/>
                <w:kern w:val="0"/>
                <w:szCs w:val="21"/>
              </w:rPr>
              <w:t>母线</w:t>
            </w:r>
          </w:p>
        </w:tc>
        <w:tc>
          <w:tcPr>
            <w:tcW w:w="9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套</w:t>
            </w: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80" w:type="dxa"/>
            <w:vAlign w:val="center"/>
          </w:tcPr>
          <w:p>
            <w:pPr>
              <w:widowControl/>
              <w:jc w:val="center"/>
              <w:rPr>
                <w:rFonts w:ascii="仿宋" w:hAnsi="仿宋" w:eastAsia="仿宋" w:cs="宋体"/>
                <w:kern w:val="0"/>
                <w:szCs w:val="21"/>
              </w:rPr>
            </w:pPr>
          </w:p>
        </w:tc>
        <w:tc>
          <w:tcPr>
            <w:tcW w:w="228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合计</w:t>
            </w:r>
          </w:p>
        </w:tc>
        <w:tc>
          <w:tcPr>
            <w:tcW w:w="980" w:type="dxa"/>
            <w:vAlign w:val="center"/>
          </w:tcPr>
          <w:p>
            <w:pPr>
              <w:widowControl/>
              <w:jc w:val="center"/>
              <w:rPr>
                <w:rFonts w:ascii="仿宋" w:hAnsi="仿宋" w:eastAsia="仿宋" w:cs="宋体"/>
                <w:kern w:val="0"/>
                <w:szCs w:val="21"/>
              </w:rPr>
            </w:pPr>
          </w:p>
        </w:tc>
        <w:tc>
          <w:tcPr>
            <w:tcW w:w="1633" w:type="dxa"/>
            <w:vAlign w:val="center"/>
          </w:tcPr>
          <w:p>
            <w:pPr>
              <w:widowControl/>
              <w:jc w:val="center"/>
              <w:rPr>
                <w:rFonts w:ascii="仿宋" w:hAnsi="仿宋" w:eastAsia="仿宋" w:cs="宋体"/>
                <w:kern w:val="0"/>
                <w:szCs w:val="21"/>
              </w:rPr>
            </w:pPr>
          </w:p>
        </w:tc>
        <w:tc>
          <w:tcPr>
            <w:tcW w:w="1306" w:type="dxa"/>
            <w:vAlign w:val="center"/>
          </w:tcPr>
          <w:p>
            <w:pPr>
              <w:widowControl/>
              <w:jc w:val="center"/>
              <w:rPr>
                <w:rFonts w:ascii="仿宋" w:hAnsi="仿宋" w:eastAsia="仿宋" w:cs="宋体"/>
                <w:kern w:val="0"/>
                <w:szCs w:val="21"/>
              </w:rPr>
            </w:pPr>
          </w:p>
        </w:tc>
        <w:tc>
          <w:tcPr>
            <w:tcW w:w="1336" w:type="dxa"/>
            <w:vAlign w:val="center"/>
          </w:tcPr>
          <w:p>
            <w:pPr>
              <w:widowControl/>
              <w:jc w:val="center"/>
              <w:rPr>
                <w:rFonts w:ascii="仿宋" w:hAnsi="仿宋" w:eastAsia="仿宋" w:cs="宋体"/>
                <w:kern w:val="0"/>
                <w:szCs w:val="21"/>
              </w:rPr>
            </w:pPr>
          </w:p>
        </w:tc>
      </w:tr>
    </w:tbl>
    <w:p>
      <w:pPr>
        <w:adjustRightInd w:val="0"/>
        <w:snapToGrid w:val="0"/>
        <w:spacing w:before="312" w:beforeLines="100" w:after="312" w:afterLines="100" w:line="360" w:lineRule="auto"/>
        <w:rPr>
          <w:rFonts w:ascii="仿宋" w:hAnsi="仿宋" w:eastAsia="仿宋"/>
          <w:b/>
          <w:sz w:val="24"/>
        </w:rPr>
      </w:pPr>
      <w:r>
        <w:rPr>
          <w:rFonts w:hint="eastAsia" w:ascii="仿宋" w:hAnsi="仿宋" w:eastAsia="仿宋"/>
          <w:b/>
          <w:sz w:val="24"/>
        </w:rPr>
        <w:t>二、工作环境</w:t>
      </w:r>
    </w:p>
    <w:p>
      <w:pPr>
        <w:adjustRightInd w:val="0"/>
        <w:snapToGrid w:val="0"/>
        <w:spacing w:line="360" w:lineRule="auto"/>
        <w:rPr>
          <w:rFonts w:ascii="仿宋" w:hAnsi="仿宋" w:eastAsia="仿宋"/>
          <w:sz w:val="24"/>
        </w:rPr>
      </w:pPr>
      <w:r>
        <w:rPr>
          <w:rFonts w:hint="eastAsia" w:ascii="仿宋" w:hAnsi="仿宋" w:eastAsia="仿宋"/>
          <w:sz w:val="24"/>
        </w:rPr>
        <w:t>1. 工作环境</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在有沼气及煤尘爆炸性混合气体的矿井中使用，</w:t>
      </w:r>
      <w:r>
        <w:rPr>
          <w:rFonts w:ascii="仿宋" w:hAnsi="仿宋" w:eastAsia="仿宋"/>
          <w:sz w:val="24"/>
        </w:rPr>
        <w:t>顶板有淋水，底板有渗水</w:t>
      </w:r>
      <w:r>
        <w:rPr>
          <w:rFonts w:hint="eastAsia" w:ascii="仿宋" w:hAnsi="仿宋" w:eastAsia="仿宋"/>
          <w:sz w:val="24"/>
        </w:rPr>
        <w:t>。</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最高温度：+40℃</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最低温度：-30℃</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年平均气温：+15℃</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环境相对湿度：0.95</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地震烈度：7级</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海拔高度：≤1400m</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有/无强烈颠簸、震动：无</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与垂直面的倾斜度不超过：±14°</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有/无足以腐蚀金属和破坏绝缘的气体和蒸汽：无</w:t>
      </w:r>
    </w:p>
    <w:p>
      <w:pPr>
        <w:adjustRightInd w:val="0"/>
        <w:snapToGrid w:val="0"/>
        <w:spacing w:line="360" w:lineRule="auto"/>
        <w:rPr>
          <w:rFonts w:ascii="仿宋" w:hAnsi="仿宋" w:eastAsia="仿宋"/>
          <w:sz w:val="24"/>
        </w:rPr>
      </w:pPr>
      <w:r>
        <w:rPr>
          <w:rFonts w:ascii="仿宋" w:hAnsi="仿宋" w:eastAsia="仿宋"/>
          <w:sz w:val="24"/>
        </w:rPr>
        <w:t>2</w:t>
      </w:r>
      <w:r>
        <w:rPr>
          <w:rFonts w:hint="eastAsia" w:ascii="仿宋" w:hAnsi="仿宋" w:eastAsia="仿宋"/>
          <w:sz w:val="24"/>
        </w:rPr>
        <w:t>. 安装地点</w:t>
      </w:r>
      <w:r>
        <w:rPr>
          <w:rFonts w:ascii="仿宋" w:hAnsi="仿宋" w:eastAsia="仿宋"/>
          <w:sz w:val="24"/>
        </w:rPr>
        <w:t>和用途</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安装</w:t>
      </w:r>
      <w:r>
        <w:rPr>
          <w:rFonts w:ascii="仿宋" w:hAnsi="仿宋" w:eastAsia="仿宋"/>
          <w:sz w:val="24"/>
        </w:rPr>
        <w:t>地点</w:t>
      </w:r>
      <w:r>
        <w:rPr>
          <w:rFonts w:hint="eastAsia" w:ascii="仿宋" w:hAnsi="仿宋" w:eastAsia="仿宋"/>
          <w:sz w:val="24"/>
        </w:rPr>
        <w:t>：煤矿井下</w:t>
      </w:r>
    </w:p>
    <w:p>
      <w:pPr>
        <w:adjustRightInd w:val="0"/>
        <w:snapToGrid w:val="0"/>
        <w:spacing w:line="360" w:lineRule="auto"/>
        <w:ind w:left="768" w:leftChars="135" w:hanging="485" w:hangingChars="202"/>
        <w:rPr>
          <w:rFonts w:ascii="仿宋" w:hAnsi="仿宋" w:eastAsia="仿宋"/>
          <w:sz w:val="24"/>
        </w:rPr>
      </w:pPr>
      <w:r>
        <w:rPr>
          <w:rFonts w:hint="eastAsia" w:ascii="仿宋" w:hAnsi="仿宋" w:eastAsia="仿宋"/>
          <w:sz w:val="24"/>
        </w:rPr>
        <w:t>用途：供电</w:t>
      </w:r>
    </w:p>
    <w:p>
      <w:pPr>
        <w:adjustRightInd w:val="0"/>
        <w:snapToGrid w:val="0"/>
        <w:spacing w:before="312" w:beforeLines="100" w:after="312" w:afterLines="100" w:line="360" w:lineRule="auto"/>
        <w:rPr>
          <w:rFonts w:ascii="仿宋" w:hAnsi="仿宋" w:eastAsia="仿宋"/>
          <w:b/>
          <w:sz w:val="24"/>
        </w:rPr>
      </w:pPr>
      <w:r>
        <w:rPr>
          <w:rFonts w:hint="eastAsia" w:ascii="仿宋" w:hAnsi="仿宋" w:eastAsia="仿宋"/>
          <w:b/>
          <w:sz w:val="24"/>
        </w:rPr>
        <w:t>三、技术参数及要求</w:t>
      </w:r>
    </w:p>
    <w:p>
      <w:pPr>
        <w:spacing w:line="360" w:lineRule="auto"/>
        <w:rPr>
          <w:rFonts w:ascii="仿宋" w:hAnsi="仿宋" w:eastAsia="仿宋"/>
          <w:b/>
          <w:sz w:val="24"/>
        </w:rPr>
      </w:pPr>
      <w:r>
        <w:rPr>
          <w:rFonts w:ascii="仿宋" w:hAnsi="仿宋" w:eastAsia="仿宋"/>
          <w:b/>
          <w:sz w:val="24"/>
        </w:rPr>
        <w:t>1.</w:t>
      </w:r>
      <w:r>
        <w:rPr>
          <w:rFonts w:hint="eastAsia" w:ascii="仿宋" w:hAnsi="仿宋" w:eastAsia="仿宋"/>
          <w:b/>
          <w:sz w:val="24"/>
        </w:rPr>
        <w:t>矿用隔爆型移动变电站型号：</w:t>
      </w:r>
      <w:r>
        <w:rPr>
          <w:rFonts w:hint="eastAsia" w:ascii="仿宋" w:hAnsi="仿宋" w:eastAsia="仿宋"/>
          <w:sz w:val="24"/>
        </w:rPr>
        <w:t>KBSGZY-315/10/1.2/0.693</w:t>
      </w:r>
    </w:p>
    <w:p>
      <w:pPr>
        <w:spacing w:line="360" w:lineRule="auto"/>
        <w:rPr>
          <w:rFonts w:ascii="仿宋" w:hAnsi="仿宋" w:eastAsia="仿宋"/>
          <w:b/>
          <w:sz w:val="24"/>
        </w:rPr>
      </w:pPr>
      <w:r>
        <w:rPr>
          <w:rFonts w:ascii="仿宋" w:hAnsi="仿宋" w:eastAsia="仿宋"/>
          <w:b/>
          <w:sz w:val="24"/>
        </w:rPr>
        <w:t>2.</w:t>
      </w:r>
      <w:r>
        <w:rPr>
          <w:rFonts w:hint="eastAsia" w:ascii="仿宋" w:hAnsi="仿宋" w:eastAsia="仿宋"/>
          <w:b/>
          <w:sz w:val="24"/>
        </w:rPr>
        <w:t>干式</w:t>
      </w:r>
      <w:r>
        <w:rPr>
          <w:rFonts w:ascii="仿宋" w:hAnsi="仿宋" w:eastAsia="仿宋"/>
          <w:b/>
          <w:sz w:val="24"/>
        </w:rPr>
        <w:t>变压器技术参数</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1 结构形式：变压器壳体为长方形或圆筒形，顶盖采用瓦楞散热结构，提高散热效果，壳体外表顶层温度不超过100℃。</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w:t>
      </w:r>
      <w:r>
        <w:rPr>
          <w:rFonts w:ascii="仿宋" w:hAnsi="仿宋" w:eastAsia="仿宋"/>
          <w:sz w:val="24"/>
        </w:rPr>
        <w:t xml:space="preserve">2  </w:t>
      </w:r>
      <w:r>
        <w:rPr>
          <w:rFonts w:hint="eastAsia" w:ascii="仿宋" w:hAnsi="仿宋" w:eastAsia="仿宋"/>
          <w:sz w:val="24"/>
        </w:rPr>
        <w:t>额定电压：一次电压: 10 kV；二次电压:1.2/0.693 kV</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.3最高工作电压：12 kV，高压调压范围：±</w:t>
      </w:r>
      <w:r>
        <w:rPr>
          <w:rFonts w:ascii="仿宋" w:hAnsi="仿宋" w:eastAsia="仿宋"/>
          <w:sz w:val="24"/>
        </w:rPr>
        <w:t>2*2.5%</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.4 额定容量：315KVA</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.5 额定频率：50Hz</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.6 接线组别：Yy0（</w:t>
      </w:r>
      <w:r>
        <w:rPr>
          <w:rFonts w:ascii="仿宋" w:hAnsi="仿宋" w:eastAsia="仿宋"/>
          <w:sz w:val="24"/>
        </w:rPr>
        <w:t>d</w:t>
      </w:r>
      <w:r>
        <w:rPr>
          <w:rFonts w:hint="eastAsia" w:ascii="仿宋" w:hAnsi="仿宋" w:eastAsia="仿宋"/>
          <w:sz w:val="24"/>
        </w:rPr>
        <w:t>11）</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.7 短路阻抗：≤4.0%</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.8 空载损耗：≤ 1300W</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.9 负载损耗：≤ 2500W</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.10 空载电流：≤ 1.8%</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.11 绝缘材料耐温等级：不低于</w:t>
      </w:r>
      <w:r>
        <w:rPr>
          <w:rFonts w:ascii="仿宋" w:hAnsi="仿宋" w:eastAsia="仿宋"/>
          <w:sz w:val="24"/>
        </w:rPr>
        <w:t>H</w:t>
      </w:r>
      <w:r>
        <w:rPr>
          <w:rFonts w:hint="eastAsia" w:ascii="仿宋" w:hAnsi="仿宋" w:eastAsia="仿宋"/>
          <w:sz w:val="24"/>
        </w:rPr>
        <w:t>级</w:t>
      </w:r>
    </w:p>
    <w:p>
      <w:pPr>
        <w:adjustRightInd w:val="0"/>
        <w:snapToGrid w:val="0"/>
        <w:spacing w:line="360" w:lineRule="auto"/>
        <w:ind w:firstLine="240" w:firstLineChars="100"/>
        <w:rPr>
          <w:rFonts w:ascii="仿宋" w:hAnsi="仿宋" w:eastAsia="仿宋"/>
          <w:sz w:val="24"/>
        </w:rPr>
      </w:pPr>
      <w:r>
        <w:rPr>
          <w:rFonts w:ascii="仿宋" w:hAnsi="仿宋" w:eastAsia="仿宋"/>
          <w:sz w:val="24"/>
        </w:rPr>
        <w:t>2</w:t>
      </w:r>
      <w:r>
        <w:rPr>
          <w:rFonts w:hint="eastAsia" w:ascii="仿宋" w:hAnsi="仿宋" w:eastAsia="仿宋"/>
          <w:sz w:val="24"/>
        </w:rPr>
        <w:t>.12 冷却方式：ANAN</w:t>
      </w:r>
    </w:p>
    <w:p>
      <w:pPr>
        <w:spacing w:line="360" w:lineRule="auto"/>
        <w:rPr>
          <w:rFonts w:ascii="仿宋" w:hAnsi="仿宋" w:eastAsia="仿宋"/>
          <w:b/>
          <w:sz w:val="24"/>
        </w:rPr>
      </w:pPr>
      <w:r>
        <w:rPr>
          <w:rFonts w:ascii="仿宋" w:hAnsi="仿宋" w:eastAsia="仿宋"/>
          <w:b/>
          <w:sz w:val="24"/>
        </w:rPr>
        <w:t>3.</w:t>
      </w:r>
      <w:r>
        <w:rPr>
          <w:rFonts w:hint="eastAsia" w:ascii="仿宋" w:hAnsi="仿宋" w:eastAsia="仿宋"/>
          <w:b/>
          <w:sz w:val="24"/>
        </w:rPr>
        <w:t>配套隔爆高压配电装置技术参数</w:t>
      </w:r>
    </w:p>
    <w:p>
      <w:pPr>
        <w:adjustRightInd w:val="0"/>
        <w:snapToGrid w:val="0"/>
        <w:spacing w:line="360" w:lineRule="auto"/>
        <w:ind w:firstLine="240" w:firstLineChars="100"/>
        <w:rPr>
          <w:rFonts w:ascii="仿宋" w:hAnsi="仿宋" w:eastAsia="仿宋"/>
          <w:sz w:val="24"/>
        </w:rPr>
      </w:pPr>
      <w:r>
        <w:rPr>
          <w:rFonts w:ascii="仿宋" w:hAnsi="仿宋" w:eastAsia="仿宋"/>
          <w:sz w:val="24"/>
        </w:rPr>
        <w:t>3</w:t>
      </w:r>
      <w:r>
        <w:rPr>
          <w:rFonts w:hint="eastAsia" w:ascii="仿宋" w:hAnsi="仿宋" w:eastAsia="仿宋"/>
          <w:sz w:val="24"/>
        </w:rPr>
        <w:t>.1额定电压：10KV</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*3.2 最高工作电压：12KV</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*3.</w:t>
      </w:r>
      <w:r>
        <w:rPr>
          <w:rFonts w:ascii="仿宋" w:hAnsi="仿宋" w:eastAsia="仿宋"/>
          <w:sz w:val="24"/>
        </w:rPr>
        <w:t xml:space="preserve">3 </w:t>
      </w:r>
      <w:r>
        <w:rPr>
          <w:rFonts w:hint="eastAsia" w:ascii="仿宋" w:hAnsi="仿宋" w:eastAsia="仿宋"/>
          <w:sz w:val="24"/>
        </w:rPr>
        <w:t xml:space="preserve"> 额定电流：630A</w:t>
      </w:r>
    </w:p>
    <w:p>
      <w:pPr>
        <w:adjustRightInd w:val="0"/>
        <w:snapToGrid w:val="0"/>
        <w:spacing w:line="360" w:lineRule="auto"/>
        <w:ind w:firstLine="240" w:firstLineChars="100"/>
        <w:rPr>
          <w:rFonts w:ascii="仿宋" w:hAnsi="仿宋" w:eastAsia="仿宋"/>
          <w:sz w:val="24"/>
        </w:rPr>
      </w:pPr>
      <w:r>
        <w:rPr>
          <w:rFonts w:hint="eastAsia" w:ascii="仿宋" w:hAnsi="仿宋" w:eastAsia="仿宋"/>
          <w:sz w:val="24"/>
        </w:rPr>
        <w:t>3.</w:t>
      </w:r>
      <w:r>
        <w:rPr>
          <w:rFonts w:ascii="仿宋" w:hAnsi="仿宋" w:eastAsia="仿宋"/>
          <w:sz w:val="24"/>
        </w:rPr>
        <w:t xml:space="preserve">4 </w:t>
      </w:r>
      <w:r>
        <w:rPr>
          <w:rFonts w:hint="eastAsia" w:ascii="仿宋" w:hAnsi="仿宋" w:eastAsia="仿宋"/>
          <w:sz w:val="24"/>
        </w:rPr>
        <w:t xml:space="preserve"> 额定短路开断电流：12.5kA</w:t>
      </w:r>
    </w:p>
    <w:p>
      <w:pPr>
        <w:adjustRightInd w:val="0"/>
        <w:snapToGrid w:val="0"/>
        <w:spacing w:line="360" w:lineRule="auto"/>
        <w:ind w:firstLine="240" w:firstLineChars="100"/>
        <w:rPr>
          <w:rFonts w:ascii="仿宋" w:hAnsi="仿宋" w:eastAsia="仿宋"/>
          <w:sz w:val="24"/>
        </w:rPr>
      </w:pPr>
      <w:r>
        <w:rPr>
          <w:rFonts w:ascii="仿宋" w:hAnsi="仿宋" w:eastAsia="仿宋"/>
          <w:sz w:val="24"/>
        </w:rPr>
        <w:t>3</w:t>
      </w:r>
      <w:r>
        <w:rPr>
          <w:rFonts w:hint="eastAsia" w:ascii="仿宋" w:hAnsi="仿宋" w:eastAsia="仿宋"/>
          <w:sz w:val="24"/>
        </w:rPr>
        <w:t>.</w:t>
      </w:r>
      <w:r>
        <w:rPr>
          <w:rFonts w:ascii="仿宋" w:hAnsi="仿宋" w:eastAsia="仿宋"/>
          <w:sz w:val="24"/>
        </w:rPr>
        <w:t xml:space="preserve">5  </w:t>
      </w:r>
      <w:r>
        <w:rPr>
          <w:rFonts w:hint="eastAsia" w:ascii="仿宋" w:hAnsi="仿宋" w:eastAsia="仿宋"/>
          <w:sz w:val="24"/>
        </w:rPr>
        <w:t>额定短路关合电流：31.5kA</w:t>
      </w:r>
    </w:p>
    <w:p>
      <w:pPr>
        <w:adjustRightInd w:val="0"/>
        <w:snapToGrid w:val="0"/>
        <w:spacing w:line="360" w:lineRule="auto"/>
        <w:ind w:firstLine="240" w:firstLineChars="100"/>
        <w:rPr>
          <w:rFonts w:ascii="仿宋" w:hAnsi="仿宋" w:eastAsia="仿宋"/>
          <w:sz w:val="24"/>
        </w:rPr>
      </w:pPr>
      <w:r>
        <w:rPr>
          <w:rFonts w:ascii="仿宋" w:hAnsi="仿宋" w:eastAsia="仿宋"/>
          <w:sz w:val="24"/>
        </w:rPr>
        <w:t>3</w:t>
      </w:r>
      <w:r>
        <w:rPr>
          <w:rFonts w:hint="eastAsia" w:ascii="仿宋" w:hAnsi="仿宋" w:eastAsia="仿宋"/>
          <w:sz w:val="24"/>
        </w:rPr>
        <w:t>.</w:t>
      </w:r>
      <w:r>
        <w:rPr>
          <w:rFonts w:ascii="仿宋" w:hAnsi="仿宋" w:eastAsia="仿宋"/>
          <w:sz w:val="24"/>
        </w:rPr>
        <w:t xml:space="preserve">6  </w:t>
      </w:r>
      <w:r>
        <w:rPr>
          <w:rFonts w:hint="eastAsia" w:ascii="仿宋" w:hAnsi="仿宋" w:eastAsia="仿宋"/>
          <w:sz w:val="24"/>
        </w:rPr>
        <w:t>额定动稳定电流：31.5kA</w:t>
      </w:r>
    </w:p>
    <w:p>
      <w:pPr>
        <w:adjustRightInd w:val="0"/>
        <w:snapToGrid w:val="0"/>
        <w:spacing w:line="360" w:lineRule="auto"/>
        <w:ind w:firstLine="240" w:firstLineChars="100"/>
        <w:rPr>
          <w:rFonts w:ascii="仿宋" w:hAnsi="仿宋" w:eastAsia="仿宋"/>
          <w:sz w:val="24"/>
        </w:rPr>
      </w:pPr>
      <w:r>
        <w:rPr>
          <w:rFonts w:ascii="仿宋" w:hAnsi="仿宋" w:eastAsia="仿宋"/>
          <w:sz w:val="24"/>
        </w:rPr>
        <w:t xml:space="preserve">3.7  </w:t>
      </w:r>
      <w:r>
        <w:rPr>
          <w:rFonts w:hint="eastAsia" w:ascii="仿宋" w:hAnsi="仿宋" w:eastAsia="仿宋"/>
          <w:sz w:val="24"/>
        </w:rPr>
        <w:t>额定热稳定电流：12.5kA</w:t>
      </w:r>
    </w:p>
    <w:p>
      <w:pPr>
        <w:adjustRightInd w:val="0"/>
        <w:snapToGrid w:val="0"/>
        <w:spacing w:line="360" w:lineRule="auto"/>
        <w:ind w:firstLine="240" w:firstLineChars="100"/>
        <w:rPr>
          <w:rFonts w:ascii="仿宋" w:hAnsi="仿宋" w:eastAsia="仿宋"/>
          <w:sz w:val="24"/>
        </w:rPr>
      </w:pPr>
      <w:r>
        <w:rPr>
          <w:rFonts w:ascii="仿宋" w:hAnsi="仿宋" w:eastAsia="仿宋"/>
          <w:sz w:val="24"/>
        </w:rPr>
        <w:t xml:space="preserve">3.8  </w:t>
      </w:r>
      <w:r>
        <w:rPr>
          <w:rFonts w:hint="eastAsia" w:ascii="仿宋" w:hAnsi="仿宋" w:eastAsia="仿宋"/>
          <w:sz w:val="24"/>
        </w:rPr>
        <w:t>额定热稳定时间：2s</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 xml:space="preserve">3.9  </w:t>
      </w:r>
      <w:r>
        <w:rPr>
          <w:rFonts w:hint="eastAsia" w:ascii="仿宋" w:hAnsi="仿宋" w:eastAsia="仿宋"/>
          <w:sz w:val="24"/>
        </w:rPr>
        <w:t>额定电流开断次数：20000次</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 xml:space="preserve">3.10 </w:t>
      </w:r>
      <w:r>
        <w:rPr>
          <w:rFonts w:hint="eastAsia" w:ascii="仿宋" w:hAnsi="仿宋" w:eastAsia="仿宋"/>
          <w:sz w:val="24"/>
        </w:rPr>
        <w:t>真空断路器机械寿命：60000次</w:t>
      </w:r>
    </w:p>
    <w:p>
      <w:pPr>
        <w:adjustRightInd w:val="0"/>
        <w:snapToGrid w:val="0"/>
        <w:spacing w:line="360" w:lineRule="auto"/>
        <w:rPr>
          <w:rFonts w:ascii="仿宋" w:hAnsi="仿宋" w:eastAsia="仿宋"/>
          <w:sz w:val="24"/>
        </w:rPr>
      </w:pPr>
      <w:r>
        <w:rPr>
          <w:rFonts w:hint="eastAsia" w:ascii="仿宋" w:hAnsi="仿宋" w:eastAsia="仿宋"/>
          <w:b/>
          <w:sz w:val="24"/>
        </w:rPr>
        <w:t>4</w:t>
      </w:r>
      <w:r>
        <w:rPr>
          <w:rFonts w:ascii="仿宋" w:hAnsi="仿宋" w:eastAsia="仿宋"/>
          <w:b/>
          <w:sz w:val="24"/>
        </w:rPr>
        <w:t>.</w:t>
      </w:r>
      <w:r>
        <w:rPr>
          <w:rFonts w:hint="eastAsia" w:ascii="仿宋" w:hAnsi="仿宋" w:eastAsia="仿宋"/>
          <w:b/>
          <w:sz w:val="24"/>
        </w:rPr>
        <w:t>配套隔爆低压保护箱技术参数</w:t>
      </w:r>
    </w:p>
    <w:p>
      <w:pPr>
        <w:adjustRightInd w:val="0"/>
        <w:snapToGrid w:val="0"/>
        <w:spacing w:line="360" w:lineRule="auto"/>
        <w:ind w:firstLine="240" w:firstLineChars="100"/>
        <w:rPr>
          <w:rFonts w:ascii="仿宋" w:hAnsi="仿宋" w:eastAsia="仿宋"/>
          <w:sz w:val="24"/>
        </w:rPr>
      </w:pPr>
      <w:r>
        <w:rPr>
          <w:rFonts w:hint="eastAsia" w:ascii="仿宋" w:hAnsi="仿宋" w:eastAsia="仿宋"/>
          <w:sz w:val="24"/>
        </w:rPr>
        <w:t>4.1 额定电压：1.2/0.693KV</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*4.2 最高工作电压：1.4/0.8KV</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*4.3 出线口数目：4。</w:t>
      </w:r>
    </w:p>
    <w:p>
      <w:pPr>
        <w:adjustRightInd w:val="0"/>
        <w:snapToGrid w:val="0"/>
        <w:spacing w:line="360" w:lineRule="auto"/>
        <w:rPr>
          <w:rFonts w:ascii="仿宋" w:hAnsi="仿宋" w:eastAsia="仿宋"/>
          <w:b/>
          <w:sz w:val="24"/>
        </w:rPr>
      </w:pPr>
      <w:r>
        <w:rPr>
          <w:rFonts w:ascii="仿宋" w:hAnsi="仿宋" w:eastAsia="仿宋"/>
          <w:b/>
          <w:sz w:val="24"/>
        </w:rPr>
        <w:t>5.</w:t>
      </w:r>
      <w:r>
        <w:rPr>
          <w:rFonts w:hint="eastAsia" w:ascii="仿宋" w:hAnsi="仿宋" w:eastAsia="仿宋"/>
          <w:b/>
          <w:sz w:val="24"/>
        </w:rPr>
        <w:t>配电装置</w:t>
      </w:r>
      <w:r>
        <w:rPr>
          <w:rFonts w:ascii="仿宋" w:hAnsi="仿宋" w:eastAsia="仿宋"/>
          <w:b/>
          <w:sz w:val="24"/>
        </w:rPr>
        <w:t>技术要求</w:t>
      </w:r>
    </w:p>
    <w:p>
      <w:pPr>
        <w:adjustRightInd w:val="0"/>
        <w:snapToGrid w:val="0"/>
        <w:spacing w:line="360" w:lineRule="auto"/>
        <w:ind w:firstLine="240" w:firstLineChars="100"/>
        <w:rPr>
          <w:rFonts w:ascii="仿宋" w:hAnsi="仿宋" w:eastAsia="仿宋"/>
          <w:sz w:val="24"/>
        </w:rPr>
      </w:pPr>
      <w:r>
        <w:rPr>
          <w:rFonts w:ascii="仿宋" w:hAnsi="仿宋" w:eastAsia="仿宋"/>
          <w:sz w:val="24"/>
        </w:rPr>
        <w:t>5</w:t>
      </w:r>
      <w:r>
        <w:rPr>
          <w:rFonts w:hint="eastAsia" w:ascii="仿宋" w:hAnsi="仿宋" w:eastAsia="仿宋"/>
          <w:sz w:val="24"/>
        </w:rPr>
        <w:t>.</w:t>
      </w:r>
      <w:r>
        <w:rPr>
          <w:rFonts w:ascii="仿宋" w:hAnsi="仿宋" w:eastAsia="仿宋"/>
          <w:sz w:val="24"/>
        </w:rPr>
        <w:t xml:space="preserve">1 </w:t>
      </w:r>
      <w:r>
        <w:rPr>
          <w:rFonts w:hint="eastAsia" w:ascii="仿宋" w:hAnsi="仿宋" w:eastAsia="仿宋"/>
          <w:sz w:val="24"/>
        </w:rPr>
        <w:t xml:space="preserve"> 移动变电站的高压侧配套装置：由能带负载操作装置和隔爆外壳构成的开关装置。在正常情况下，主要用作分、合空载变压器，特殊情况下可带负荷分闸。</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5</w:t>
      </w:r>
      <w:r>
        <w:rPr>
          <w:rFonts w:hint="eastAsia" w:ascii="仿宋" w:hAnsi="仿宋" w:eastAsia="仿宋"/>
          <w:sz w:val="24"/>
        </w:rPr>
        <w:t>.2箱体上部设便于电压调接的分接开关的高压接线盒。</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5</w:t>
      </w:r>
      <w:r>
        <w:rPr>
          <w:rFonts w:hint="eastAsia" w:ascii="仿宋" w:hAnsi="仿宋" w:eastAsia="仿宋"/>
          <w:sz w:val="24"/>
        </w:rPr>
        <w:t>.3 高压配电装置设有隔离开关，采用2路电源输入，10KV、630A快插式进线装置，可配用185mm</w:t>
      </w:r>
      <w:r>
        <w:rPr>
          <w:rFonts w:ascii="Calibri" w:hAnsi="Calibri" w:eastAsia="仿宋" w:cs="Calibri"/>
          <w:sz w:val="24"/>
        </w:rPr>
        <w:t>²</w:t>
      </w:r>
      <w:r>
        <w:rPr>
          <w:rFonts w:hint="eastAsia" w:ascii="仿宋" w:hAnsi="仿宋" w:eastAsia="仿宋" w:cs="仿宋"/>
          <w:sz w:val="24"/>
        </w:rPr>
        <w:t>电缆。</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5</w:t>
      </w:r>
      <w:r>
        <w:rPr>
          <w:rFonts w:hint="eastAsia" w:ascii="仿宋" w:hAnsi="仿宋" w:eastAsia="仿宋"/>
          <w:sz w:val="24"/>
        </w:rPr>
        <w:t>.4 断路器为永磁</w:t>
      </w:r>
      <w:r>
        <w:rPr>
          <w:rFonts w:ascii="仿宋" w:hAnsi="仿宋" w:eastAsia="仿宋"/>
          <w:sz w:val="24"/>
        </w:rPr>
        <w:t>结构</w:t>
      </w:r>
      <w:r>
        <w:rPr>
          <w:rFonts w:hint="eastAsia" w:ascii="仿宋" w:hAnsi="仿宋" w:eastAsia="仿宋"/>
          <w:sz w:val="24"/>
        </w:rPr>
        <w:t>，具有专用的断路器控制模块，实现断路器分合过程分时段不同电流控制，达到触头平稳分合。停电状态下永磁断路器控制回路实现3次合分闸控制。</w:t>
      </w:r>
    </w:p>
    <w:p>
      <w:pPr>
        <w:adjustRightInd w:val="0"/>
        <w:snapToGrid w:val="0"/>
        <w:spacing w:line="360" w:lineRule="auto"/>
        <w:ind w:firstLine="120" w:firstLineChars="50"/>
        <w:rPr>
          <w:rFonts w:hint="eastAsia" w:ascii="仿宋" w:hAnsi="仿宋" w:eastAsia="仿宋" w:cs="宋体"/>
          <w:color w:val="000000"/>
          <w:sz w:val="24"/>
        </w:rPr>
      </w:pPr>
      <w:r>
        <w:rPr>
          <w:rFonts w:hint="eastAsia" w:ascii="仿宋" w:hAnsi="仿宋" w:eastAsia="仿宋"/>
          <w:sz w:val="24"/>
        </w:rPr>
        <w:t>*</w:t>
      </w:r>
      <w:r>
        <w:rPr>
          <w:rFonts w:ascii="仿宋" w:hAnsi="仿宋" w:eastAsia="仿宋"/>
          <w:sz w:val="24"/>
        </w:rPr>
        <w:t>5</w:t>
      </w:r>
      <w:r>
        <w:rPr>
          <w:rFonts w:hint="eastAsia" w:ascii="仿宋" w:hAnsi="仿宋" w:eastAsia="仿宋"/>
          <w:sz w:val="24"/>
        </w:rPr>
        <w:t>.</w:t>
      </w:r>
      <w:r>
        <w:rPr>
          <w:rFonts w:ascii="仿宋" w:hAnsi="仿宋" w:eastAsia="仿宋"/>
          <w:sz w:val="24"/>
        </w:rPr>
        <w:t>5</w:t>
      </w:r>
      <w:r>
        <w:rPr>
          <w:rFonts w:hint="eastAsia" w:ascii="仿宋" w:hAnsi="仿宋" w:eastAsia="仿宋" w:cs="宋体"/>
          <w:color w:val="000000"/>
          <w:sz w:val="24"/>
        </w:rPr>
        <w:t>所有进出线配置适配的快速连接器（包括插头、插座）。</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5.6</w:t>
      </w:r>
      <w:r>
        <w:rPr>
          <w:rFonts w:hint="eastAsia" w:ascii="仿宋" w:hAnsi="仿宋" w:eastAsia="仿宋"/>
          <w:sz w:val="24"/>
        </w:rPr>
        <w:t xml:space="preserve"> 显示屏为液晶屏，尺寸</w:t>
      </w:r>
      <w:r>
        <w:rPr>
          <w:rFonts w:ascii="仿宋" w:hAnsi="仿宋" w:eastAsia="仿宋"/>
          <w:sz w:val="24"/>
        </w:rPr>
        <w:t>不小</w:t>
      </w:r>
      <w:r>
        <w:rPr>
          <w:rFonts w:hint="eastAsia" w:ascii="仿宋" w:hAnsi="仿宋" w:eastAsia="仿宋"/>
          <w:sz w:val="24"/>
        </w:rPr>
        <w:t>于4</w:t>
      </w:r>
      <w:r>
        <w:rPr>
          <w:rFonts w:ascii="仿宋" w:hAnsi="仿宋" w:eastAsia="仿宋"/>
          <w:sz w:val="24"/>
        </w:rPr>
        <w:t>.3</w:t>
      </w:r>
      <w:r>
        <w:rPr>
          <w:rFonts w:hint="eastAsia" w:ascii="仿宋" w:hAnsi="仿宋" w:eastAsia="仿宋"/>
          <w:sz w:val="24"/>
        </w:rPr>
        <w:t>英寸</w:t>
      </w:r>
      <w:r>
        <w:rPr>
          <w:rFonts w:ascii="仿宋" w:hAnsi="仿宋" w:eastAsia="仿宋"/>
          <w:sz w:val="24"/>
        </w:rPr>
        <w:t>。</w:t>
      </w:r>
      <w:r>
        <w:rPr>
          <w:rFonts w:hint="eastAsia" w:ascii="仿宋" w:hAnsi="仿宋" w:eastAsia="仿宋"/>
          <w:sz w:val="24"/>
        </w:rPr>
        <w:t>显示工况参数及设置参数，显示语言为中文界面。</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仿宋" w:hAnsi="仿宋" w:eastAsia="仿宋"/>
          <w:sz w:val="24"/>
        </w:rPr>
      </w:pPr>
      <w:r>
        <w:rPr>
          <w:rFonts w:hint="eastAsia" w:ascii="仿宋" w:hAnsi="仿宋" w:eastAsia="仿宋"/>
          <w:sz w:val="24"/>
        </w:rPr>
        <w:t>△</w:t>
      </w:r>
      <w:r>
        <w:rPr>
          <w:rFonts w:ascii="仿宋" w:hAnsi="仿宋" w:eastAsia="仿宋"/>
          <w:sz w:val="24"/>
        </w:rPr>
        <w:t>5.7移变的高</w:t>
      </w:r>
      <w:r>
        <w:rPr>
          <w:rFonts w:hint="eastAsia" w:ascii="仿宋" w:hAnsi="仿宋" w:eastAsia="仿宋"/>
          <w:sz w:val="24"/>
        </w:rPr>
        <w:t>低</w:t>
      </w:r>
      <w:r>
        <w:rPr>
          <w:rFonts w:ascii="仿宋" w:hAnsi="仿宋" w:eastAsia="仿宋"/>
          <w:sz w:val="24"/>
        </w:rPr>
        <w:t>压开关要求在同一</w:t>
      </w:r>
      <w:r>
        <w:rPr>
          <w:rFonts w:hint="eastAsia" w:ascii="仿宋" w:hAnsi="仿宋" w:eastAsia="仿宋"/>
          <w:sz w:val="24"/>
        </w:rPr>
        <w:t>侧</w:t>
      </w:r>
      <w:r>
        <w:rPr>
          <w:rFonts w:ascii="仿宋" w:hAnsi="仿宋" w:eastAsia="仿宋"/>
          <w:sz w:val="24"/>
        </w:rPr>
        <w:t>布置</w:t>
      </w:r>
      <w:r>
        <w:rPr>
          <w:rFonts w:hint="eastAsia" w:ascii="仿宋" w:hAnsi="仿宋" w:eastAsia="仿宋"/>
          <w:sz w:val="24"/>
        </w:rPr>
        <w:t>。</w:t>
      </w:r>
    </w:p>
    <w:p>
      <w:pPr>
        <w:adjustRightInd w:val="0"/>
        <w:snapToGrid w:val="0"/>
        <w:spacing w:line="360" w:lineRule="auto"/>
        <w:ind w:firstLine="120" w:firstLineChars="50"/>
        <w:rPr>
          <w:rFonts w:ascii="仿宋" w:eastAsia="仿宋" w:cs="仿宋"/>
          <w:sz w:val="24"/>
          <w:lang w:val="zh-CN"/>
        </w:rPr>
      </w:pPr>
      <w:r>
        <w:rPr>
          <w:rFonts w:ascii="仿宋" w:eastAsia="仿宋" w:cs="仿宋"/>
          <w:sz w:val="24"/>
          <w:lang w:val="zh-CN"/>
        </w:rPr>
        <w:t>*5</w:t>
      </w:r>
      <w:r>
        <w:rPr>
          <w:rFonts w:eastAsia="仿宋"/>
          <w:sz w:val="24"/>
        </w:rPr>
        <w:t>.</w:t>
      </w:r>
      <w:r>
        <w:rPr>
          <w:rFonts w:ascii="仿宋" w:eastAsia="仿宋" w:cs="仿宋"/>
          <w:sz w:val="24"/>
          <w:lang w:val="zh-CN"/>
        </w:rPr>
        <w:t>8</w:t>
      </w:r>
      <w:r>
        <w:rPr>
          <w:rFonts w:hint="eastAsia" w:ascii="仿宋" w:eastAsia="仿宋" w:cs="仿宋"/>
          <w:sz w:val="24"/>
          <w:lang w:val="zh-CN"/>
        </w:rPr>
        <w:t>高低压配电装置优先选用北京朗威达产品、泰安众诚产品、江苏中联产品，或同等品质产品。</w:t>
      </w:r>
    </w:p>
    <w:p>
      <w:pPr>
        <w:adjustRightInd w:val="0"/>
        <w:snapToGrid w:val="0"/>
        <w:spacing w:line="360" w:lineRule="auto"/>
        <w:rPr>
          <w:rFonts w:ascii="仿宋" w:hAnsi="仿宋" w:eastAsia="仿宋"/>
          <w:b/>
          <w:sz w:val="24"/>
        </w:rPr>
      </w:pPr>
      <w:r>
        <w:rPr>
          <w:rFonts w:hint="eastAsia" w:ascii="仿宋" w:hAnsi="仿宋" w:eastAsia="仿宋"/>
          <w:b/>
          <w:sz w:val="24"/>
        </w:rPr>
        <w:t>6</w:t>
      </w:r>
      <w:r>
        <w:rPr>
          <w:rFonts w:ascii="仿宋" w:hAnsi="仿宋" w:eastAsia="仿宋"/>
          <w:b/>
          <w:sz w:val="24"/>
        </w:rPr>
        <w:t>.</w:t>
      </w:r>
      <w:r>
        <w:rPr>
          <w:rFonts w:hint="eastAsia" w:ascii="仿宋" w:hAnsi="仿宋" w:eastAsia="仿宋"/>
          <w:b/>
          <w:sz w:val="24"/>
        </w:rPr>
        <w:t>安全</w:t>
      </w:r>
      <w:r>
        <w:rPr>
          <w:rFonts w:ascii="仿宋" w:hAnsi="仿宋" w:eastAsia="仿宋"/>
          <w:b/>
          <w:sz w:val="24"/>
        </w:rPr>
        <w:t>技术要求</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.1 变压器三相绕组应装设有温度监控元件，对温度进行监视，当超过保护温度时主断路器应跳闸切断电源。</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w:t>
      </w:r>
      <w:r>
        <w:rPr>
          <w:rFonts w:ascii="仿宋" w:hAnsi="仿宋" w:eastAsia="仿宋"/>
          <w:sz w:val="24"/>
        </w:rPr>
        <w:t>2</w:t>
      </w:r>
      <w:r>
        <w:rPr>
          <w:rFonts w:hint="eastAsia" w:ascii="仿宋" w:hAnsi="仿宋" w:eastAsia="仿宋"/>
          <w:sz w:val="24"/>
        </w:rPr>
        <w:t>高压侧配电装置配备的数字技术多功能综合保护，具有过载、短路、漏电，双屏蔽电缆绝缘监视，电网电压过高、过低保护，故障原因长期记忆查询功能，数码显示电网电压、负载电流功能、累计带电运行时间、合闸次数和过载跳闸次数计数功能，</w:t>
      </w:r>
      <w:r>
        <w:rPr>
          <w:rFonts w:hint="eastAsia" w:ascii="仿宋" w:hAnsi="仿宋" w:eastAsia="仿宋"/>
          <w:color w:val="000000"/>
          <w:sz w:val="24"/>
        </w:rPr>
        <w:t>远程电度计量及电度清零功能，通过用户密码管理可对计量进行清零</w:t>
      </w:r>
      <w:r>
        <w:rPr>
          <w:rFonts w:hint="eastAsia" w:ascii="仿宋" w:hAnsi="仿宋" w:eastAsia="仿宋"/>
          <w:sz w:val="24"/>
        </w:rPr>
        <w:t>。</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w:t>
      </w:r>
      <w:r>
        <w:rPr>
          <w:rFonts w:ascii="仿宋" w:hAnsi="仿宋" w:eastAsia="仿宋"/>
          <w:sz w:val="24"/>
        </w:rPr>
        <w:t>3</w:t>
      </w:r>
      <w:r>
        <w:rPr>
          <w:rFonts w:hint="eastAsia" w:ascii="仿宋" w:hAnsi="仿宋" w:eastAsia="仿宋"/>
          <w:sz w:val="24"/>
        </w:rPr>
        <w:t>通讯规约采用IEC61850。移动变电站高压侧采用可靠的矿用微机综合保护装置，可利用矿井环网实现防越级跳闸功能，并在0.25秒内做到一级开关拒动下一级开关仍可实现防越级跳闸功能。要求微机保护装置自带电源确保变电所失电后，可以记录相关故障信息。具备两段式过流保护、定时限速断和限时电流速断等保护功能，且整定值和时限连续可调。</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w:t>
      </w:r>
      <w:r>
        <w:rPr>
          <w:rFonts w:ascii="仿宋" w:hAnsi="仿宋" w:eastAsia="仿宋"/>
          <w:sz w:val="24"/>
        </w:rPr>
        <w:t>4</w:t>
      </w:r>
      <w:r>
        <w:rPr>
          <w:rFonts w:hint="eastAsia" w:ascii="仿宋" w:hAnsi="仿宋" w:eastAsia="仿宋"/>
          <w:sz w:val="24"/>
        </w:rPr>
        <w:t xml:space="preserve"> 低压保护箱配备的综合保护装置具有过载、短路、过电压、欠电压、失压保护、电压后备保护跳闸、超温保护、多点接地漏电监测。漏电闭锁保护、自检功能、漏电试验功</w:t>
      </w:r>
      <w:r>
        <w:rPr>
          <w:rFonts w:hint="eastAsia" w:ascii="仿宋" w:hAnsi="仿宋" w:eastAsia="仿宋"/>
          <w:color w:val="000000"/>
          <w:sz w:val="24"/>
        </w:rPr>
        <w:t>能。低压漏电保护满足30mAs。</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w:t>
      </w:r>
      <w:r>
        <w:rPr>
          <w:rFonts w:ascii="仿宋" w:hAnsi="仿宋" w:eastAsia="仿宋"/>
          <w:sz w:val="24"/>
        </w:rPr>
        <w:t xml:space="preserve">5 </w:t>
      </w:r>
      <w:r>
        <w:rPr>
          <w:rFonts w:hint="eastAsia" w:ascii="仿宋" w:hAnsi="仿宋" w:eastAsia="仿宋"/>
          <w:sz w:val="24"/>
        </w:rPr>
        <w:t>低压保护箱与变压器低压侧短路容量相匹配的短路开断电流和短路关合电流。</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.6 满足漏电延时时间可调至0.1秒以内，试验最小值为80ms。</w:t>
      </w:r>
    </w:p>
    <w:p>
      <w:pPr>
        <w:adjustRightInd w:val="0"/>
        <w:snapToGrid w:val="0"/>
        <w:spacing w:line="360" w:lineRule="auto"/>
        <w:ind w:firstLine="240" w:firstLineChars="100"/>
        <w:rPr>
          <w:rFonts w:ascii="仿宋" w:hAnsi="仿宋" w:eastAsia="仿宋"/>
          <w:sz w:val="24"/>
        </w:rPr>
      </w:pPr>
      <w:r>
        <w:rPr>
          <w:rFonts w:ascii="仿宋" w:hAnsi="仿宋" w:eastAsia="仿宋"/>
          <w:sz w:val="24"/>
        </w:rPr>
        <w:t>6</w:t>
      </w:r>
      <w:r>
        <w:rPr>
          <w:rFonts w:hint="eastAsia" w:ascii="仿宋" w:hAnsi="仿宋" w:eastAsia="仿宋"/>
          <w:sz w:val="24"/>
        </w:rPr>
        <w:t>.7 低压馈电开关额定电压0.69(1.2)KV的漏电保护单相低于11/20kΩ，漏电闭锁单相小于22/40kΩ；动作值误差不大于20%,1kΩ电阻时动作时间不大于30ms。</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.8  作为移动变电站高压进线总开关在局部通风机断电和掘进工作面瓦斯浓度超限时，应快速有效的切断掘进工作面的电源。</w:t>
      </w:r>
    </w:p>
    <w:p>
      <w:pPr>
        <w:adjustRightInd w:val="0"/>
        <w:snapToGrid w:val="0"/>
        <w:spacing w:line="360" w:lineRule="auto"/>
        <w:ind w:firstLine="240" w:firstLineChars="100"/>
        <w:rPr>
          <w:rFonts w:ascii="仿宋" w:hAnsi="仿宋" w:eastAsia="仿宋"/>
          <w:sz w:val="24"/>
        </w:rPr>
      </w:pPr>
      <w:r>
        <w:rPr>
          <w:rFonts w:ascii="仿宋" w:hAnsi="仿宋" w:eastAsia="仿宋"/>
          <w:sz w:val="24"/>
        </w:rPr>
        <w:t>6</w:t>
      </w:r>
      <w:r>
        <w:rPr>
          <w:rFonts w:hint="eastAsia" w:ascii="仿宋" w:hAnsi="仿宋" w:eastAsia="仿宋"/>
          <w:sz w:val="24"/>
        </w:rPr>
        <w:t>.9  高低压侧接线腔容积必须满足绝缘间隙及爬电距离的要求。</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w:t>
      </w:r>
      <w:r>
        <w:rPr>
          <w:rFonts w:ascii="仿宋" w:hAnsi="仿宋" w:eastAsia="仿宋"/>
          <w:sz w:val="24"/>
        </w:rPr>
        <w:t>1</w:t>
      </w:r>
      <w:r>
        <w:rPr>
          <w:rFonts w:hint="eastAsia" w:ascii="仿宋" w:hAnsi="仿宋" w:eastAsia="仿宋"/>
          <w:sz w:val="24"/>
        </w:rPr>
        <w:t>0 设有机械电气闭锁装置，并加装停电上锁装置。</w:t>
      </w:r>
    </w:p>
    <w:p>
      <w:pPr>
        <w:adjustRightInd w:val="0"/>
        <w:snapToGrid w:val="0"/>
        <w:spacing w:line="360" w:lineRule="auto"/>
        <w:rPr>
          <w:rFonts w:ascii="仿宋" w:hAnsi="仿宋" w:eastAsia="仿宋"/>
          <w:b/>
          <w:sz w:val="24"/>
        </w:rPr>
      </w:pPr>
      <w:r>
        <w:rPr>
          <w:rFonts w:hint="eastAsia" w:ascii="仿宋" w:hAnsi="仿宋" w:eastAsia="仿宋"/>
          <w:b/>
          <w:sz w:val="24"/>
        </w:rPr>
        <w:t>7</w:t>
      </w:r>
      <w:r>
        <w:rPr>
          <w:rFonts w:ascii="仿宋" w:hAnsi="仿宋" w:eastAsia="仿宋"/>
          <w:b/>
          <w:sz w:val="24"/>
        </w:rPr>
        <w:t>.</w:t>
      </w:r>
      <w:r>
        <w:rPr>
          <w:rFonts w:hint="eastAsia" w:ascii="仿宋" w:hAnsi="仿宋" w:eastAsia="仿宋"/>
          <w:b/>
          <w:sz w:val="24"/>
        </w:rPr>
        <w:t>通讯及</w:t>
      </w:r>
      <w:r>
        <w:rPr>
          <w:rFonts w:ascii="仿宋" w:hAnsi="仿宋" w:eastAsia="仿宋"/>
          <w:b/>
          <w:sz w:val="24"/>
        </w:rPr>
        <w:t>远控技术要求</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7</w:t>
      </w:r>
      <w:r>
        <w:rPr>
          <w:rFonts w:hint="eastAsia" w:ascii="仿宋" w:hAnsi="仿宋" w:eastAsia="仿宋"/>
          <w:sz w:val="24"/>
        </w:rPr>
        <w:t>.</w:t>
      </w:r>
      <w:r>
        <w:rPr>
          <w:rFonts w:ascii="仿宋" w:hAnsi="仿宋" w:eastAsia="仿宋"/>
          <w:sz w:val="24"/>
        </w:rPr>
        <w:t xml:space="preserve">1 </w:t>
      </w:r>
      <w:r>
        <w:rPr>
          <w:rFonts w:hint="eastAsia" w:ascii="仿宋" w:hAnsi="仿宋" w:eastAsia="仿宋"/>
          <w:sz w:val="24"/>
        </w:rPr>
        <w:t>为实现自动化工作面的集中控制，供货方必须向神东及神东指定的第三方提供设备数据接口的开放，可与矿井自动化系统汇接，能将各设备运行参数传输到地面控制中心，并能接受控制中心指令，实现设备的三遥（遥控、遥测、遥信）。</w:t>
      </w:r>
    </w:p>
    <w:p>
      <w:pPr>
        <w:adjustRightInd w:val="0"/>
        <w:snapToGrid w:val="0"/>
        <w:spacing w:line="360" w:lineRule="auto"/>
        <w:ind w:firstLine="120" w:firstLineChars="50"/>
        <w:rPr>
          <w:rFonts w:ascii="仿宋" w:hAnsi="仿宋" w:eastAsia="仿宋"/>
          <w:sz w:val="24"/>
        </w:rPr>
      </w:pPr>
      <w:r>
        <w:rPr>
          <w:rFonts w:ascii="仿宋" w:hAnsi="仿宋" w:eastAsia="仿宋"/>
          <w:sz w:val="24"/>
        </w:rPr>
        <w:t>*7.2</w:t>
      </w:r>
      <w:r>
        <w:rPr>
          <w:rFonts w:hint="eastAsia" w:ascii="仿宋" w:hAnsi="仿宋" w:eastAsia="仿宋"/>
          <w:sz w:val="24"/>
        </w:rPr>
        <w:t>通讯</w:t>
      </w:r>
      <w:r>
        <w:rPr>
          <w:rFonts w:ascii="仿宋" w:hAnsi="仿宋" w:eastAsia="仿宋"/>
          <w:sz w:val="24"/>
        </w:rPr>
        <w:t>及远控总体要求：</w:t>
      </w:r>
    </w:p>
    <w:p>
      <w:pPr>
        <w:adjustRightInd w:val="0"/>
        <w:snapToGrid w:val="0"/>
        <w:spacing w:line="360" w:lineRule="auto"/>
        <w:ind w:firstLine="360" w:firstLineChars="150"/>
        <w:rPr>
          <w:rFonts w:ascii="仿宋" w:hAnsi="仿宋" w:eastAsia="仿宋"/>
          <w:sz w:val="24"/>
        </w:rPr>
      </w:pPr>
      <w:r>
        <w:rPr>
          <w:rFonts w:ascii="仿宋" w:hAnsi="仿宋" w:eastAsia="仿宋"/>
          <w:sz w:val="24"/>
        </w:rPr>
        <w:t xml:space="preserve">*7.2.1  </w:t>
      </w:r>
      <w:r>
        <w:rPr>
          <w:rFonts w:hint="eastAsia" w:ascii="仿宋" w:hAnsi="仿宋" w:eastAsia="仿宋"/>
          <w:sz w:val="24"/>
        </w:rPr>
        <w:t>通讯功能需要能实现和满足神东数字化矿山要求，具体如下：</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A、远程设置参数；B、远程控制设备的启停；C、远程故障复位；D、远程监测设备运行的数据，包含故障信息、正常设备运行参数等；</w:t>
      </w:r>
    </w:p>
    <w:p>
      <w:pPr>
        <w:adjustRightInd w:val="0"/>
        <w:snapToGrid w:val="0"/>
        <w:spacing w:line="360" w:lineRule="auto"/>
        <w:ind w:firstLine="360" w:firstLineChars="150"/>
        <w:rPr>
          <w:rFonts w:ascii="仿宋" w:hAnsi="仿宋" w:eastAsia="仿宋"/>
          <w:sz w:val="24"/>
        </w:rPr>
      </w:pPr>
      <w:r>
        <w:rPr>
          <w:rFonts w:ascii="仿宋" w:hAnsi="仿宋" w:eastAsia="仿宋"/>
          <w:sz w:val="24"/>
        </w:rPr>
        <w:t xml:space="preserve">*7.2.2  </w:t>
      </w:r>
      <w:r>
        <w:rPr>
          <w:rFonts w:hint="eastAsia" w:ascii="仿宋" w:hAnsi="仿宋" w:eastAsia="仿宋"/>
          <w:sz w:val="24"/>
        </w:rPr>
        <w:t>通讯需要满足的接口类型：</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A、以太网通讯，2个以太网口</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1）协议：EtherNet/IP协议</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2）传输介质：矿用网线（UTP-5超五类非屏蔽双绞线）和单模光纤</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3）通讯速率：100Mbps或1Gbps。</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4）接口类型：由设备厂商根据传输介质自行决定，如是光纤接口，需提供足够数量的同一类型的尾纤给神东</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5）提供数据表</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B、无线通讯，支持Wifi和3G，预留4G模块安装位置</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1）协议：无线通信制式，Wifi采用IEEE802.11b/g/n标准，3G采用CDMA 2000标准，应用层采用Modbus TCP或EtherNet/IP协议，协议均是基于TCP/IP的。</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2）通讯速率：2.4G。最低速率：WiFi不低于20Mbps，3G不低于1Mbps）</w:t>
      </w:r>
    </w:p>
    <w:p>
      <w:pPr>
        <w:adjustRightInd w:val="0"/>
        <w:snapToGrid w:val="0"/>
        <w:spacing w:line="360" w:lineRule="auto"/>
        <w:ind w:firstLine="360" w:firstLineChars="150"/>
        <w:rPr>
          <w:rFonts w:ascii="仿宋" w:hAnsi="仿宋" w:eastAsia="仿宋"/>
          <w:sz w:val="24"/>
        </w:rPr>
      </w:pPr>
      <w:r>
        <w:rPr>
          <w:rFonts w:hint="eastAsia" w:ascii="仿宋" w:hAnsi="仿宋" w:eastAsia="仿宋"/>
          <w:sz w:val="24"/>
        </w:rPr>
        <w:t>3）提供数据表</w:t>
      </w:r>
    </w:p>
    <w:p>
      <w:pPr>
        <w:adjustRightInd w:val="0"/>
        <w:snapToGrid w:val="0"/>
        <w:spacing w:line="360" w:lineRule="auto"/>
        <w:rPr>
          <w:rFonts w:ascii="仿宋" w:hAnsi="仿宋" w:eastAsia="仿宋"/>
          <w:sz w:val="24"/>
        </w:rPr>
      </w:pPr>
      <w:r>
        <w:rPr>
          <w:rFonts w:ascii="仿宋" w:hAnsi="仿宋" w:eastAsia="仿宋"/>
          <w:sz w:val="24"/>
        </w:rPr>
        <w:t xml:space="preserve">*7.3  </w:t>
      </w:r>
      <w:r>
        <w:rPr>
          <w:rFonts w:hint="eastAsia" w:ascii="仿宋" w:hAnsi="仿宋" w:eastAsia="仿宋"/>
          <w:sz w:val="24"/>
        </w:rPr>
        <w:t>远程控制</w:t>
      </w:r>
      <w:r>
        <w:rPr>
          <w:rFonts w:ascii="仿宋" w:hAnsi="仿宋" w:eastAsia="仿宋"/>
          <w:sz w:val="24"/>
        </w:rPr>
        <w:t>和就地控制转换开关</w:t>
      </w:r>
      <w:r>
        <w:rPr>
          <w:rFonts w:hint="eastAsia" w:ascii="仿宋" w:hAnsi="仿宋" w:eastAsia="仿宋"/>
          <w:sz w:val="24"/>
        </w:rPr>
        <w:t>具有联锁功能，只有转换开关在远控位置时，方可进行远程操作。</w:t>
      </w:r>
    </w:p>
    <w:p>
      <w:pPr>
        <w:adjustRightInd w:val="0"/>
        <w:snapToGrid w:val="0"/>
        <w:spacing w:line="360" w:lineRule="auto"/>
        <w:rPr>
          <w:rFonts w:ascii="仿宋" w:hAnsi="仿宋" w:eastAsia="仿宋"/>
          <w:sz w:val="24"/>
        </w:rPr>
      </w:pPr>
      <w:r>
        <w:rPr>
          <w:rFonts w:hint="eastAsia" w:ascii="仿宋" w:hAnsi="仿宋" w:eastAsia="仿宋"/>
          <w:sz w:val="24"/>
        </w:rPr>
        <w:t>*</w:t>
      </w:r>
      <w:r>
        <w:rPr>
          <w:rFonts w:ascii="仿宋" w:hAnsi="仿宋" w:eastAsia="仿宋"/>
          <w:sz w:val="24"/>
        </w:rPr>
        <w:t>7.4</w:t>
      </w:r>
      <w:r>
        <w:rPr>
          <w:rFonts w:hint="eastAsia" w:ascii="仿宋" w:hAnsi="仿宋" w:eastAsia="仿宋"/>
          <w:sz w:val="24"/>
        </w:rPr>
        <w:t>配置</w:t>
      </w:r>
      <w:r>
        <w:rPr>
          <w:rFonts w:ascii="仿宋" w:hAnsi="仿宋" w:eastAsia="仿宋"/>
          <w:sz w:val="24"/>
        </w:rPr>
        <w:t>手持终端，可将数据发送到手持终端，通过手持终端可实现参数</w:t>
      </w:r>
      <w:r>
        <w:rPr>
          <w:rFonts w:hint="eastAsia" w:ascii="仿宋" w:hAnsi="仿宋" w:eastAsia="仿宋"/>
          <w:sz w:val="24"/>
        </w:rPr>
        <w:t>设置、设备启停</w:t>
      </w:r>
      <w:r>
        <w:rPr>
          <w:rFonts w:ascii="仿宋" w:hAnsi="仿宋" w:eastAsia="仿宋"/>
          <w:sz w:val="24"/>
        </w:rPr>
        <w:t>、故障复位</w:t>
      </w:r>
      <w:r>
        <w:rPr>
          <w:rFonts w:hint="eastAsia" w:ascii="仿宋" w:hAnsi="仿宋" w:eastAsia="仿宋"/>
          <w:sz w:val="24"/>
        </w:rPr>
        <w:t>，</w:t>
      </w:r>
      <w:r>
        <w:rPr>
          <w:rFonts w:ascii="仿宋" w:hAnsi="仿宋" w:eastAsia="仿宋"/>
          <w:sz w:val="24"/>
        </w:rPr>
        <w:t>查看故障信息和运行参数。</w:t>
      </w:r>
    </w:p>
    <w:p>
      <w:pPr>
        <w:adjustRightInd w:val="0"/>
        <w:snapToGrid w:val="0"/>
        <w:spacing w:line="360" w:lineRule="auto"/>
        <w:rPr>
          <w:rFonts w:ascii="仿宋" w:hAnsi="仿宋" w:eastAsia="仿宋"/>
          <w:b/>
          <w:sz w:val="24"/>
        </w:rPr>
      </w:pPr>
      <w:r>
        <w:rPr>
          <w:rFonts w:hint="eastAsia" w:ascii="仿宋" w:hAnsi="仿宋" w:eastAsia="仿宋"/>
          <w:b/>
          <w:sz w:val="24"/>
        </w:rPr>
        <w:t>8</w:t>
      </w:r>
      <w:r>
        <w:rPr>
          <w:rFonts w:ascii="仿宋" w:hAnsi="仿宋" w:eastAsia="仿宋"/>
          <w:b/>
          <w:sz w:val="24"/>
        </w:rPr>
        <w:t>.</w:t>
      </w:r>
      <w:r>
        <w:rPr>
          <w:rFonts w:hint="eastAsia" w:ascii="仿宋" w:hAnsi="仿宋" w:eastAsia="仿宋"/>
          <w:b/>
          <w:sz w:val="24"/>
        </w:rPr>
        <w:t>整机</w:t>
      </w:r>
      <w:r>
        <w:rPr>
          <w:rFonts w:ascii="仿宋" w:hAnsi="仿宋" w:eastAsia="仿宋"/>
          <w:b/>
          <w:sz w:val="24"/>
        </w:rPr>
        <w:t>技术要求</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.1 矿用隔爆型移动变电站空、负载损耗符合GB8286，变压器的电气性能、机械性能、噪音水平符合国家标准。</w:t>
      </w:r>
    </w:p>
    <w:p>
      <w:pPr>
        <w:adjustRightInd w:val="0"/>
        <w:snapToGrid w:val="0"/>
        <w:spacing w:line="360" w:lineRule="auto"/>
        <w:rPr>
          <w:rFonts w:ascii="仿宋" w:hAnsi="仿宋" w:eastAsia="仿宋"/>
          <w:sz w:val="24"/>
        </w:rPr>
      </w:pPr>
      <w:r>
        <w:rPr>
          <w:rFonts w:hint="eastAsia" w:ascii="仿宋" w:hAnsi="仿宋" w:eastAsia="仿宋"/>
          <w:sz w:val="24"/>
        </w:rPr>
        <w:t>*</w:t>
      </w:r>
      <w:r>
        <w:rPr>
          <w:rFonts w:ascii="仿宋" w:hAnsi="仿宋" w:eastAsia="仿宋"/>
          <w:sz w:val="24"/>
        </w:rPr>
        <w:t>8</w:t>
      </w:r>
      <w:r>
        <w:rPr>
          <w:rFonts w:hint="eastAsia" w:ascii="仿宋" w:hAnsi="仿宋" w:eastAsia="仿宋"/>
          <w:sz w:val="24"/>
        </w:rPr>
        <w:t>.2 铁芯选用优质低损耗硅钢片，柱轭采用等截面、45°全斜接缝、无冲孔，芯柱采用H级半干性无纬玻璃粘带绑扎结构，铁芯外涂H级三防漆。硅钢片生产厂家：武汉钢铁集团公司、鞍钢股份有限公司、宝钢集团有限公司。</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8</w:t>
      </w:r>
      <w:r>
        <w:rPr>
          <w:rFonts w:hint="eastAsia" w:ascii="仿宋" w:hAnsi="仿宋" w:eastAsia="仿宋"/>
          <w:sz w:val="24"/>
        </w:rPr>
        <w:t>.3 同一电压等级的绕组采用同一厂家、同一批次的（无氧）纯铜导线，绕组采用圆筒式结构。</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.4 变压器在任一分接下，能承受国家标准所规定的短路试验电流值而不损坏或位移。</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 xml:space="preserve">5  </w:t>
      </w:r>
      <w:r>
        <w:rPr>
          <w:rFonts w:hint="eastAsia" w:ascii="仿宋" w:hAnsi="仿宋" w:eastAsia="仿宋"/>
          <w:sz w:val="24"/>
        </w:rPr>
        <w:t>矿用隔爆型干式变压器的线包引出线与高低压侧的接线柱连接采用同等材料焊接。</w:t>
      </w:r>
    </w:p>
    <w:p>
      <w:pPr>
        <w:adjustRightInd w:val="0"/>
        <w:snapToGrid w:val="0"/>
        <w:spacing w:line="360" w:lineRule="auto"/>
        <w:rPr>
          <w:rFonts w:ascii="仿宋" w:hAnsi="仿宋" w:eastAsia="仿宋"/>
          <w:sz w:val="24"/>
        </w:rPr>
      </w:pPr>
      <w:r>
        <w:rPr>
          <w:rFonts w:hint="eastAsia" w:ascii="仿宋" w:hAnsi="仿宋" w:eastAsia="仿宋"/>
          <w:sz w:val="24"/>
        </w:rPr>
        <w:t>△</w:t>
      </w:r>
      <w:r>
        <w:rPr>
          <w:rFonts w:ascii="仿宋" w:hAnsi="仿宋" w:eastAsia="仿宋"/>
          <w:sz w:val="24"/>
        </w:rPr>
        <w:t>8</w:t>
      </w:r>
      <w:r>
        <w:rPr>
          <w:rFonts w:hint="eastAsia" w:ascii="仿宋" w:hAnsi="仿宋" w:eastAsia="仿宋"/>
          <w:sz w:val="24"/>
        </w:rPr>
        <w:t>.</w:t>
      </w:r>
      <w:r>
        <w:rPr>
          <w:rFonts w:ascii="仿宋" w:hAnsi="仿宋" w:eastAsia="仿宋"/>
          <w:sz w:val="24"/>
        </w:rPr>
        <w:t xml:space="preserve">6  </w:t>
      </w:r>
      <w:r>
        <w:rPr>
          <w:rFonts w:hint="eastAsia" w:ascii="仿宋" w:hAnsi="仿宋" w:eastAsia="仿宋"/>
          <w:sz w:val="24"/>
        </w:rPr>
        <w:t>变压器二次侧穿墙套管采用平面压接式结构。</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 xml:space="preserve">7  </w:t>
      </w:r>
      <w:r>
        <w:rPr>
          <w:rFonts w:hint="eastAsia" w:ascii="仿宋" w:hAnsi="仿宋" w:eastAsia="仿宋"/>
          <w:sz w:val="24"/>
        </w:rPr>
        <w:t>主、纵绝缘可靠，热稳定性好，可持续满负荷运行。</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 xml:space="preserve">8  </w:t>
      </w:r>
      <w:r>
        <w:rPr>
          <w:rFonts w:hint="eastAsia" w:ascii="仿宋" w:hAnsi="仿宋" w:eastAsia="仿宋"/>
          <w:sz w:val="24"/>
        </w:rPr>
        <w:t>整体外壳能承受1Mpa的水压而不发生永久变形或损坏。产品防爆性、散热性等技术性能符合我国最新矿山生产的有关安全规程和具体行业标准。</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 xml:space="preserve">9 </w:t>
      </w:r>
      <w:r>
        <w:rPr>
          <w:rFonts w:hint="eastAsia" w:ascii="仿宋" w:hAnsi="仿宋" w:eastAsia="仿宋"/>
          <w:sz w:val="24"/>
        </w:rPr>
        <w:t xml:space="preserve"> 变电站整体固定可靠，可适应侧倾能力为±15°，且可适应搬运过程中的震动要求。</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 xml:space="preserve">10 </w:t>
      </w:r>
      <w:r>
        <w:rPr>
          <w:rFonts w:hint="eastAsia" w:ascii="仿宋" w:hAnsi="仿宋" w:eastAsia="仿宋"/>
          <w:sz w:val="24"/>
        </w:rPr>
        <w:t>生产厂家应根据移动变电站自重设计合理，防止重心不稳。</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11</w:t>
      </w:r>
      <w:r>
        <w:rPr>
          <w:rFonts w:hint="eastAsia" w:ascii="仿宋" w:hAnsi="仿宋" w:eastAsia="仿宋"/>
          <w:sz w:val="24"/>
        </w:rPr>
        <w:t xml:space="preserve"> 变压器铭牌采用不锈钢材料制作，并固定在明显可见位置，铭牌上所标志的项目内容清晰且牢固。铭牌上标志的项目符合国家标准GB3836.1-2010中第27章的规定。</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12</w:t>
      </w:r>
      <w:r>
        <w:rPr>
          <w:rFonts w:hint="eastAsia" w:ascii="仿宋" w:hAnsi="仿宋" w:eastAsia="仿宋"/>
          <w:sz w:val="24"/>
        </w:rPr>
        <w:t xml:space="preserve"> 变压器本体两侧各安装一个铭牌。</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13</w:t>
      </w:r>
      <w:r>
        <w:rPr>
          <w:rFonts w:hint="eastAsia" w:ascii="仿宋" w:hAnsi="仿宋" w:eastAsia="仿宋"/>
          <w:sz w:val="24"/>
        </w:rPr>
        <w:t xml:space="preserve"> 设备所有铭牌和警示标志必须使用中文标识。</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14</w:t>
      </w:r>
      <w:r>
        <w:rPr>
          <w:rFonts w:hint="eastAsia" w:ascii="仿宋" w:hAnsi="仿宋" w:eastAsia="仿宋"/>
          <w:sz w:val="24"/>
        </w:rPr>
        <w:t xml:space="preserve"> 凡用黑色金属制作的零部件均应采取防锈措施。</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15</w:t>
      </w:r>
      <w:r>
        <w:rPr>
          <w:rFonts w:hint="eastAsia" w:ascii="仿宋" w:hAnsi="仿宋" w:eastAsia="仿宋"/>
          <w:sz w:val="24"/>
        </w:rPr>
        <w:t xml:space="preserve"> 壳体上铭牌附近应有明显的“ExdI”凸纹标志牌，有明显处有“MA”标志牌。</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16</w:t>
      </w:r>
      <w:r>
        <w:rPr>
          <w:rFonts w:hint="eastAsia" w:ascii="仿宋" w:hAnsi="仿宋" w:eastAsia="仿宋"/>
          <w:sz w:val="24"/>
        </w:rPr>
        <w:t xml:space="preserve"> 在未设有电气联锁装置的法兰盖上，设有“严禁带电开盖”警示标志牌。</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17</w:t>
      </w:r>
      <w:r>
        <w:rPr>
          <w:rFonts w:hint="eastAsia" w:ascii="仿宋" w:hAnsi="仿宋" w:eastAsia="仿宋"/>
          <w:sz w:val="24"/>
        </w:rPr>
        <w:t xml:space="preserve"> 外壳和接线盒内须设有接地螺栓，并在其附近明显处标有接地符号。</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18</w:t>
      </w:r>
      <w:r>
        <w:rPr>
          <w:rFonts w:hint="eastAsia" w:ascii="仿宋" w:hAnsi="仿宋" w:eastAsia="仿宋"/>
          <w:sz w:val="24"/>
        </w:rPr>
        <w:t xml:space="preserve"> 所有电气防爆应符合GB3836.1-2000防爆标准，设备应取得中国国家煤矿安全标志。</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19</w:t>
      </w:r>
      <w:r>
        <w:rPr>
          <w:rFonts w:hint="eastAsia" w:ascii="仿宋" w:hAnsi="仿宋" w:eastAsia="仿宋"/>
          <w:sz w:val="24"/>
        </w:rPr>
        <w:t xml:space="preserve"> 变压器引入装置中橡胶密封圈应符合GB3836.1-2010中有关规定。</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20</w:t>
      </w:r>
      <w:r>
        <w:rPr>
          <w:rFonts w:hint="eastAsia" w:ascii="仿宋" w:hAnsi="仿宋" w:eastAsia="仿宋"/>
          <w:sz w:val="24"/>
        </w:rPr>
        <w:t xml:space="preserve"> 变压器导线引入装置应符合GB3836.2-2010标准的规定。</w:t>
      </w:r>
    </w:p>
    <w:p>
      <w:pPr>
        <w:adjustRightInd w:val="0"/>
        <w:snapToGrid w:val="0"/>
        <w:spacing w:line="360" w:lineRule="auto"/>
        <w:ind w:firstLine="240" w:firstLineChars="100"/>
        <w:rPr>
          <w:rFonts w:ascii="仿宋" w:hAnsi="仿宋" w:eastAsia="仿宋"/>
          <w:sz w:val="24"/>
        </w:rPr>
      </w:pPr>
      <w:r>
        <w:rPr>
          <w:rFonts w:ascii="仿宋" w:hAnsi="仿宋" w:eastAsia="仿宋"/>
          <w:sz w:val="24"/>
        </w:rPr>
        <w:t xml:space="preserve">8.21 </w:t>
      </w:r>
      <w:r>
        <w:rPr>
          <w:rFonts w:hint="eastAsia" w:ascii="仿宋" w:hAnsi="仿宋" w:eastAsia="仿宋"/>
          <w:sz w:val="24"/>
        </w:rPr>
        <w:t>变压器耐潮要求，干式变压器湿热试验应按GB3836.1-2010附录C的规定进行。</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8.22</w:t>
      </w:r>
      <w:r>
        <w:rPr>
          <w:rFonts w:hint="eastAsia" w:ascii="仿宋" w:hAnsi="仿宋" w:eastAsia="仿宋"/>
          <w:sz w:val="24"/>
        </w:rPr>
        <w:t xml:space="preserve"> 在出厂前做直流电阻不平衡试验、感应耐压试验、电压比测量及电压矢量关系的校定、短路阻抗和负载损耗测量、高压负荷开关和低压馈电开关的联锁动作试验、进行漏电动作和电网电容补偿调整试验和声级测量。</w:t>
      </w:r>
    </w:p>
    <w:p>
      <w:pPr>
        <w:adjustRightInd w:val="0"/>
        <w:snapToGrid w:val="0"/>
        <w:spacing w:line="360" w:lineRule="auto"/>
        <w:ind w:firstLine="120" w:firstLineChars="50"/>
        <w:rPr>
          <w:rFonts w:ascii="仿宋" w:hAnsi="仿宋" w:eastAsia="仿宋"/>
          <w:color w:val="FF0000"/>
          <w:sz w:val="24"/>
        </w:rPr>
      </w:pPr>
      <w:r>
        <w:rPr>
          <w:rFonts w:ascii="仿宋" w:hAnsi="仿宋" w:eastAsia="仿宋"/>
          <w:sz w:val="24"/>
        </w:rPr>
        <w:t xml:space="preserve">*8.23 </w:t>
      </w:r>
      <w:r>
        <w:rPr>
          <w:rFonts w:hint="eastAsia" w:ascii="仿宋" w:hAnsi="仿宋" w:eastAsia="仿宋"/>
          <w:sz w:val="24"/>
        </w:rPr>
        <w:t>电磁</w:t>
      </w:r>
      <w:r>
        <w:rPr>
          <w:rFonts w:hint="eastAsia" w:ascii="仿宋" w:hAnsi="仿宋" w:eastAsia="仿宋"/>
          <w:color w:val="000000"/>
          <w:sz w:val="24"/>
        </w:rPr>
        <w:t>兼容防护等级</w:t>
      </w:r>
      <w:r>
        <w:rPr>
          <w:rFonts w:ascii="仿宋" w:hAnsi="仿宋" w:eastAsia="仿宋"/>
          <w:color w:val="000000"/>
          <w:sz w:val="24"/>
        </w:rPr>
        <w:t>：</w:t>
      </w:r>
      <w:r>
        <w:rPr>
          <w:rFonts w:hint="eastAsia" w:ascii="仿宋" w:hAnsi="仿宋" w:eastAsia="仿宋"/>
          <w:color w:val="000000"/>
          <w:sz w:val="24"/>
        </w:rPr>
        <w:t>不低于IEC3级</w:t>
      </w:r>
      <w:r>
        <w:rPr>
          <w:rFonts w:ascii="仿宋" w:hAnsi="仿宋" w:eastAsia="仿宋"/>
          <w:color w:val="000000"/>
          <w:sz w:val="24"/>
        </w:rPr>
        <w:t>，</w:t>
      </w:r>
      <w:r>
        <w:rPr>
          <w:rFonts w:hint="eastAsia" w:ascii="仿宋" w:hAnsi="仿宋" w:eastAsia="仿宋"/>
          <w:color w:val="000000"/>
          <w:sz w:val="24"/>
        </w:rPr>
        <w:t>满足</w:t>
      </w:r>
      <w:r>
        <w:rPr>
          <w:rFonts w:ascii="仿宋" w:hAnsi="仿宋" w:eastAsia="仿宋"/>
          <w:color w:val="000000"/>
          <w:sz w:val="24"/>
        </w:rPr>
        <w:t>电磁兼容性</w:t>
      </w:r>
      <w:r>
        <w:rPr>
          <w:rFonts w:hint="eastAsia" w:ascii="仿宋" w:hAnsi="仿宋" w:eastAsia="仿宋"/>
          <w:color w:val="000000"/>
          <w:sz w:val="24"/>
        </w:rPr>
        <w:t>试验</w:t>
      </w:r>
      <w:r>
        <w:rPr>
          <w:rFonts w:ascii="仿宋" w:hAnsi="仿宋" w:eastAsia="仿宋"/>
          <w:color w:val="000000"/>
          <w:sz w:val="24"/>
        </w:rPr>
        <w:t>工业</w:t>
      </w:r>
      <w:r>
        <w:rPr>
          <w:rFonts w:hint="eastAsia" w:ascii="仿宋" w:hAnsi="仿宋" w:eastAsia="仿宋"/>
          <w:color w:val="000000"/>
          <w:sz w:val="24"/>
        </w:rPr>
        <w:t>等级</w:t>
      </w:r>
      <w:r>
        <w:rPr>
          <w:rFonts w:ascii="仿宋" w:hAnsi="仿宋" w:eastAsia="仿宋"/>
          <w:color w:val="000000"/>
          <w:sz w:val="24"/>
        </w:rPr>
        <w:t>要求</w:t>
      </w:r>
      <w:r>
        <w:rPr>
          <w:rFonts w:hint="eastAsia" w:ascii="仿宋" w:hAnsi="仿宋" w:eastAsia="仿宋"/>
          <w:color w:val="000000"/>
          <w:sz w:val="24"/>
        </w:rPr>
        <w:t>。</w:t>
      </w:r>
    </w:p>
    <w:p>
      <w:pPr>
        <w:adjustRightInd w:val="0"/>
        <w:snapToGrid w:val="0"/>
        <w:spacing w:line="360" w:lineRule="auto"/>
        <w:rPr>
          <w:rFonts w:ascii="仿宋" w:hAnsi="仿宋" w:eastAsia="仿宋"/>
          <w:sz w:val="24"/>
        </w:rPr>
      </w:pPr>
      <w:r>
        <w:rPr>
          <w:rFonts w:hint="eastAsia" w:ascii="仿宋" w:hAnsi="仿宋" w:eastAsia="仿宋"/>
          <w:sz w:val="24"/>
        </w:rPr>
        <w:t>△</w:t>
      </w:r>
      <w:r>
        <w:rPr>
          <w:rFonts w:ascii="仿宋" w:hAnsi="仿宋" w:eastAsia="仿宋"/>
          <w:sz w:val="24"/>
        </w:rPr>
        <w:t>8.24</w:t>
      </w:r>
      <w:r>
        <w:rPr>
          <w:rFonts w:hint="eastAsia" w:ascii="仿宋" w:hAnsi="仿宋" w:eastAsia="仿宋"/>
          <w:sz w:val="24"/>
        </w:rPr>
        <w:t xml:space="preserve"> 变压器应能适应轨道的变坡，高度可进行升降调节。</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8.25</w:t>
      </w:r>
      <w:r>
        <w:rPr>
          <w:rFonts w:hint="eastAsia" w:ascii="仿宋" w:hAnsi="仿宋" w:eastAsia="仿宋"/>
          <w:sz w:val="24"/>
        </w:rPr>
        <w:t xml:space="preserve"> 矿用隔爆型干式变压器的底座加装可拆卸的撬型底座。</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8</w:t>
      </w:r>
      <w:r>
        <w:rPr>
          <w:rFonts w:hint="eastAsia" w:ascii="仿宋" w:hAnsi="仿宋" w:eastAsia="仿宋"/>
          <w:sz w:val="24"/>
        </w:rPr>
        <w:t>.26变压器的壳内及出线盒内涂防锈漆，并用醇酸磁漆耐弧漆覆盖；壳体外表涂防锈漆后再涂以浅色面漆。整机颜色为白色，采用佐敦油漆，漆膜厚度≥200μm 。</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2</w:t>
      </w:r>
      <w:r>
        <w:rPr>
          <w:rFonts w:hint="eastAsia" w:ascii="仿宋" w:hAnsi="仿宋" w:eastAsia="仿宋"/>
          <w:sz w:val="24"/>
        </w:rPr>
        <w:t>7 铁芯支撑槽钢采用Q345材质，铁芯固定牢靠，拆卸方便，结构设计合理，保证在运输过程中和受到冲击时，不倾斜，不变形。</w:t>
      </w:r>
    </w:p>
    <w:p>
      <w:pPr>
        <w:adjustRightInd w:val="0"/>
        <w:snapToGrid w:val="0"/>
        <w:spacing w:line="360" w:lineRule="auto"/>
        <w:rPr>
          <w:rFonts w:ascii="仿宋" w:hAnsi="仿宋" w:eastAsia="仿宋"/>
          <w:sz w:val="24"/>
        </w:rPr>
      </w:pPr>
      <w:r>
        <w:rPr>
          <w:rFonts w:hint="eastAsia" w:ascii="仿宋" w:hAnsi="仿宋" w:eastAsia="仿宋"/>
          <w:sz w:val="24"/>
        </w:rPr>
        <w:t>△8.</w:t>
      </w:r>
      <w:r>
        <w:rPr>
          <w:rFonts w:ascii="仿宋" w:hAnsi="仿宋" w:eastAsia="仿宋"/>
          <w:sz w:val="24"/>
        </w:rPr>
        <w:t>2</w:t>
      </w:r>
      <w:r>
        <w:rPr>
          <w:rFonts w:hint="eastAsia" w:ascii="仿宋" w:hAnsi="仿宋" w:eastAsia="仿宋"/>
          <w:sz w:val="24"/>
        </w:rPr>
        <w:t>8壳体选用Q345以上材质，防爆面材质为含Cr金属。</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*8.29高压出线盒侧面设紧急按钮，可以紧急断开向该变压器送电的高压开关。</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*8.</w:t>
      </w:r>
      <w:r>
        <w:rPr>
          <w:rFonts w:ascii="仿宋" w:hAnsi="仿宋" w:eastAsia="仿宋"/>
          <w:sz w:val="24"/>
        </w:rPr>
        <w:t>3</w:t>
      </w:r>
      <w:r>
        <w:rPr>
          <w:rFonts w:hint="eastAsia" w:ascii="仿宋" w:hAnsi="仿宋" w:eastAsia="仿宋"/>
          <w:sz w:val="24"/>
        </w:rPr>
        <w:t>0高压出线盒与低压出线盒之间设电气连锁，出线盒端盖与出线箱之间设电气联锁，保证当出线盒打开的状态下，切断并闭锁向该变压器送电的高压开关。</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*8.</w:t>
      </w:r>
      <w:r>
        <w:rPr>
          <w:rFonts w:ascii="仿宋" w:hAnsi="仿宋" w:eastAsia="仿宋"/>
          <w:sz w:val="24"/>
        </w:rPr>
        <w:t>3</w:t>
      </w:r>
      <w:r>
        <w:rPr>
          <w:rFonts w:hint="eastAsia" w:ascii="仿宋" w:hAnsi="仿宋" w:eastAsia="仿宋"/>
          <w:sz w:val="24"/>
        </w:rPr>
        <w:t>1高低侧线圈接线柱选用国内知名厂家绝缘瓷套，穿腔护管选用比额定电压高一个电压等级的产品。</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8.3</w:t>
      </w:r>
      <w:r>
        <w:rPr>
          <w:rFonts w:hint="eastAsia" w:ascii="仿宋" w:hAnsi="仿宋" w:eastAsia="仿宋"/>
          <w:sz w:val="24"/>
        </w:rPr>
        <w:t>2额定工作制：长期工作制</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w:t>
      </w:r>
      <w:r>
        <w:rPr>
          <w:rFonts w:ascii="仿宋" w:hAnsi="仿宋" w:eastAsia="仿宋"/>
          <w:sz w:val="24"/>
        </w:rPr>
        <w:t>3</w:t>
      </w:r>
      <w:r>
        <w:rPr>
          <w:rFonts w:hint="eastAsia" w:ascii="仿宋" w:hAnsi="仿宋" w:eastAsia="仿宋"/>
          <w:sz w:val="24"/>
        </w:rPr>
        <w:t>3电器外壳防护等级：≥IP54。</w:t>
      </w:r>
    </w:p>
    <w:p>
      <w:pPr>
        <w:adjustRightInd w:val="0"/>
        <w:snapToGrid w:val="0"/>
        <w:spacing w:line="360" w:lineRule="auto"/>
        <w:ind w:firstLine="240" w:firstLineChars="100"/>
        <w:rPr>
          <w:rFonts w:ascii="仿宋" w:hAnsi="仿宋" w:eastAsia="仿宋"/>
          <w:sz w:val="24"/>
        </w:rPr>
      </w:pPr>
      <w:r>
        <w:rPr>
          <w:rFonts w:ascii="仿宋" w:hAnsi="仿宋" w:eastAsia="仿宋"/>
          <w:sz w:val="24"/>
        </w:rPr>
        <w:t>8</w:t>
      </w:r>
      <w:r>
        <w:rPr>
          <w:rFonts w:hint="eastAsia" w:ascii="仿宋" w:hAnsi="仿宋" w:eastAsia="仿宋"/>
          <w:sz w:val="24"/>
        </w:rPr>
        <w:t>.34 外形尺寸（mm）W×H：≤1200X1500。</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8.3</w:t>
      </w:r>
      <w:r>
        <w:rPr>
          <w:rFonts w:hint="eastAsia" w:ascii="仿宋" w:hAnsi="仿宋" w:eastAsia="仿宋"/>
          <w:sz w:val="24"/>
        </w:rPr>
        <w:t>5 整机质保期：2年。</w:t>
      </w:r>
    </w:p>
    <w:p>
      <w:pPr>
        <w:adjustRightInd w:val="0"/>
        <w:snapToGrid w:val="0"/>
        <w:spacing w:line="360" w:lineRule="auto"/>
        <w:ind w:firstLine="120" w:firstLineChars="50"/>
        <w:rPr>
          <w:rFonts w:ascii="仿宋" w:hAnsi="仿宋" w:eastAsia="仿宋"/>
          <w:sz w:val="24"/>
        </w:rPr>
      </w:pPr>
      <w:r>
        <w:rPr>
          <w:rFonts w:hint="eastAsia" w:ascii="仿宋" w:hAnsi="仿宋" w:eastAsia="仿宋"/>
          <w:sz w:val="24"/>
        </w:rPr>
        <w:t>*</w:t>
      </w:r>
      <w:r>
        <w:rPr>
          <w:rFonts w:ascii="仿宋" w:hAnsi="仿宋" w:eastAsia="仿宋"/>
          <w:sz w:val="24"/>
        </w:rPr>
        <w:t>8.3</w:t>
      </w:r>
      <w:r>
        <w:rPr>
          <w:rFonts w:hint="eastAsia" w:ascii="仿宋" w:hAnsi="仿宋" w:eastAsia="仿宋"/>
          <w:sz w:val="24"/>
        </w:rPr>
        <w:t>6 整机寿命：≥15年。</w:t>
      </w:r>
    </w:p>
    <w:p>
      <w:pPr>
        <w:adjustRightInd w:val="0"/>
        <w:snapToGrid w:val="0"/>
        <w:spacing w:line="360" w:lineRule="auto"/>
        <w:rPr>
          <w:rFonts w:ascii="仿宋" w:hAnsi="仿宋" w:eastAsia="仿宋"/>
          <w:b/>
          <w:spacing w:val="-5"/>
          <w:kern w:val="0"/>
          <w:sz w:val="24"/>
        </w:rPr>
      </w:pPr>
      <w:r>
        <w:rPr>
          <w:rFonts w:ascii="仿宋" w:hAnsi="仿宋" w:eastAsia="仿宋"/>
          <w:b/>
          <w:sz w:val="24"/>
        </w:rPr>
        <w:t>9</w:t>
      </w:r>
      <w:r>
        <w:rPr>
          <w:rFonts w:hint="eastAsia" w:ascii="仿宋" w:hAnsi="仿宋" w:eastAsia="仿宋"/>
          <w:b/>
          <w:sz w:val="24"/>
        </w:rPr>
        <w:t>.招标人提出的特别技术要求</w:t>
      </w:r>
    </w:p>
    <w:p>
      <w:pPr>
        <w:adjustRightInd w:val="0"/>
        <w:snapToGrid w:val="0"/>
        <w:spacing w:line="360" w:lineRule="auto"/>
        <w:ind w:firstLine="240" w:firstLineChars="100"/>
        <w:rPr>
          <w:rFonts w:ascii="仿宋" w:hAnsi="仿宋" w:eastAsia="仿宋"/>
          <w:sz w:val="24"/>
        </w:rPr>
      </w:pPr>
      <w:r>
        <w:rPr>
          <w:rFonts w:ascii="仿宋" w:hAnsi="仿宋" w:eastAsia="仿宋"/>
          <w:sz w:val="24"/>
        </w:rPr>
        <w:t>9</w:t>
      </w:r>
      <w:r>
        <w:rPr>
          <w:rFonts w:hint="eastAsia" w:ascii="仿宋" w:hAnsi="仿宋" w:eastAsia="仿宋"/>
          <w:sz w:val="24"/>
        </w:rPr>
        <w:t>.1</w:t>
      </w:r>
      <w:r>
        <w:rPr>
          <w:rFonts w:hint="eastAsia" w:ascii="仿宋" w:hAnsi="仿宋" w:eastAsia="仿宋"/>
          <w:spacing w:val="-5"/>
          <w:kern w:val="0"/>
          <w:sz w:val="24"/>
        </w:rPr>
        <w:t>投标厂家必须对招标文件中的技术条款逐条解释并满足工作环境。</w:t>
      </w:r>
    </w:p>
    <w:p>
      <w:pPr>
        <w:adjustRightInd w:val="0"/>
        <w:snapToGrid w:val="0"/>
        <w:spacing w:line="360" w:lineRule="auto"/>
        <w:ind w:firstLine="240" w:firstLineChars="100"/>
        <w:rPr>
          <w:rFonts w:ascii="仿宋" w:hAnsi="仿宋" w:eastAsia="仿宋"/>
          <w:sz w:val="24"/>
        </w:rPr>
      </w:pPr>
      <w:r>
        <w:rPr>
          <w:rFonts w:ascii="仿宋" w:hAnsi="仿宋" w:eastAsia="仿宋"/>
          <w:sz w:val="24"/>
        </w:rPr>
        <w:t>9</w:t>
      </w:r>
      <w:r>
        <w:rPr>
          <w:rFonts w:hint="eastAsia" w:ascii="仿宋" w:hAnsi="仿宋" w:eastAsia="仿宋"/>
          <w:sz w:val="24"/>
        </w:rPr>
        <w:t>.2 投标产品必须满足相关的最新国家和行业标准要求和招标技术要求，且按标准和招标技术要求中要求最高的标准执行。</w:t>
      </w:r>
    </w:p>
    <w:p>
      <w:pPr>
        <w:adjustRightInd w:val="0"/>
        <w:snapToGrid w:val="0"/>
        <w:spacing w:line="480" w:lineRule="auto"/>
        <w:rPr>
          <w:rFonts w:ascii="仿宋" w:hAnsi="仿宋" w:eastAsia="仿宋"/>
          <w:b/>
          <w:sz w:val="24"/>
        </w:rPr>
      </w:pPr>
      <w:r>
        <w:rPr>
          <w:rFonts w:ascii="仿宋" w:hAnsi="仿宋" w:eastAsia="仿宋"/>
          <w:b/>
          <w:sz w:val="24"/>
        </w:rPr>
        <w:t>10</w:t>
      </w:r>
      <w:r>
        <w:rPr>
          <w:rFonts w:hint="eastAsia" w:ascii="仿宋" w:hAnsi="仿宋" w:eastAsia="仿宋"/>
          <w:b/>
          <w:sz w:val="24"/>
        </w:rPr>
        <w:t>.标准</w:t>
      </w:r>
    </w:p>
    <w:p>
      <w:pPr>
        <w:adjustRightInd w:val="0"/>
        <w:snapToGrid w:val="0"/>
        <w:spacing w:line="480" w:lineRule="auto"/>
        <w:ind w:firstLine="240" w:firstLineChars="100"/>
        <w:rPr>
          <w:rFonts w:ascii="仿宋" w:hAnsi="仿宋" w:eastAsia="仿宋"/>
          <w:sz w:val="24"/>
        </w:rPr>
      </w:pPr>
      <w:r>
        <w:rPr>
          <w:rFonts w:ascii="仿宋" w:hAnsi="仿宋" w:eastAsia="仿宋"/>
          <w:sz w:val="24"/>
        </w:rPr>
        <w:t>10</w:t>
      </w:r>
      <w:r>
        <w:rPr>
          <w:rFonts w:hint="eastAsia" w:ascii="仿宋" w:hAnsi="仿宋" w:eastAsia="仿宋"/>
          <w:sz w:val="24"/>
        </w:rPr>
        <w:t>.</w:t>
      </w:r>
      <w:r>
        <w:rPr>
          <w:rFonts w:ascii="仿宋" w:hAnsi="仿宋" w:eastAsia="仿宋"/>
          <w:sz w:val="24"/>
        </w:rPr>
        <w:t>1.所供应的货物将按下列标准（推荐）进行设计和制造</w:t>
      </w:r>
    </w:p>
    <w:p>
      <w:pPr>
        <w:adjustRightInd w:val="0"/>
        <w:snapToGrid w:val="0"/>
        <w:spacing w:line="360" w:lineRule="auto"/>
        <w:ind w:left="746" w:leftChars="134" w:hanging="465" w:hangingChars="202"/>
        <w:rPr>
          <w:rFonts w:ascii="仿宋" w:hAnsi="仿宋" w:eastAsia="仿宋"/>
          <w:spacing w:val="-5"/>
          <w:kern w:val="0"/>
          <w:sz w:val="24"/>
        </w:rPr>
      </w:pPr>
      <w:r>
        <w:rPr>
          <w:rFonts w:ascii="仿宋" w:hAnsi="仿宋" w:eastAsia="仿宋"/>
          <w:spacing w:val="-5"/>
          <w:kern w:val="0"/>
          <w:sz w:val="24"/>
        </w:rPr>
        <w:t>电器: IEC标准/EN标准</w:t>
      </w:r>
    </w:p>
    <w:p>
      <w:pPr>
        <w:adjustRightInd w:val="0"/>
        <w:snapToGrid w:val="0"/>
        <w:spacing w:line="360" w:lineRule="auto"/>
        <w:ind w:left="746" w:leftChars="134" w:hanging="465" w:hangingChars="202"/>
        <w:rPr>
          <w:rFonts w:ascii="仿宋" w:hAnsi="仿宋" w:eastAsia="仿宋"/>
          <w:spacing w:val="-5"/>
          <w:kern w:val="0"/>
          <w:sz w:val="24"/>
        </w:rPr>
      </w:pPr>
      <w:r>
        <w:rPr>
          <w:rFonts w:ascii="仿宋" w:hAnsi="仿宋" w:eastAsia="仿宋"/>
          <w:spacing w:val="-5"/>
          <w:kern w:val="0"/>
          <w:sz w:val="24"/>
        </w:rPr>
        <w:t>机械: ISO标准</w:t>
      </w:r>
    </w:p>
    <w:p>
      <w:pPr>
        <w:adjustRightInd w:val="0"/>
        <w:snapToGrid w:val="0"/>
        <w:spacing w:line="360" w:lineRule="auto"/>
        <w:ind w:left="746" w:leftChars="134" w:hanging="465" w:hangingChars="202"/>
        <w:rPr>
          <w:rFonts w:ascii="仿宋" w:hAnsi="仿宋" w:eastAsia="仿宋"/>
          <w:spacing w:val="-5"/>
          <w:kern w:val="0"/>
          <w:sz w:val="24"/>
        </w:rPr>
      </w:pPr>
      <w:r>
        <w:rPr>
          <w:rFonts w:hint="eastAsia" w:ascii="仿宋" w:hAnsi="仿宋" w:eastAsia="仿宋"/>
          <w:spacing w:val="-5"/>
          <w:kern w:val="0"/>
          <w:sz w:val="24"/>
        </w:rPr>
        <w:t>GB8286-2005 矿用隔爆型移动变电站</w:t>
      </w:r>
    </w:p>
    <w:p>
      <w:pPr>
        <w:adjustRightInd w:val="0"/>
        <w:snapToGrid w:val="0"/>
        <w:spacing w:line="360" w:lineRule="auto"/>
        <w:ind w:left="746" w:leftChars="134" w:hanging="465" w:hangingChars="202"/>
        <w:rPr>
          <w:rFonts w:ascii="仿宋" w:hAnsi="仿宋" w:eastAsia="仿宋"/>
          <w:spacing w:val="-5"/>
          <w:kern w:val="0"/>
          <w:sz w:val="24"/>
        </w:rPr>
      </w:pPr>
      <w:r>
        <w:rPr>
          <w:rFonts w:hint="eastAsia" w:ascii="仿宋" w:hAnsi="仿宋" w:eastAsia="仿宋"/>
          <w:spacing w:val="-5"/>
          <w:kern w:val="0"/>
          <w:sz w:val="24"/>
        </w:rPr>
        <w:t>GB3836.1-2010 爆炸性气体环境用电气设备第1部分：通用要求</w:t>
      </w:r>
    </w:p>
    <w:p>
      <w:pPr>
        <w:adjustRightInd w:val="0"/>
        <w:snapToGrid w:val="0"/>
        <w:spacing w:line="360" w:lineRule="auto"/>
        <w:ind w:left="746" w:leftChars="134" w:hanging="465" w:hangingChars="202"/>
        <w:rPr>
          <w:rFonts w:ascii="仿宋" w:hAnsi="仿宋" w:eastAsia="仿宋"/>
          <w:spacing w:val="-5"/>
          <w:kern w:val="0"/>
          <w:sz w:val="24"/>
        </w:rPr>
      </w:pPr>
      <w:r>
        <w:rPr>
          <w:rFonts w:hint="eastAsia" w:ascii="仿宋" w:hAnsi="仿宋" w:eastAsia="仿宋"/>
          <w:spacing w:val="-5"/>
          <w:kern w:val="0"/>
          <w:sz w:val="24"/>
        </w:rPr>
        <w:t>GB3836.2-2010 爆炸性气体环境用电气设备第2部分：隔爆型“d”</w:t>
      </w:r>
    </w:p>
    <w:p>
      <w:pPr>
        <w:adjustRightInd w:val="0"/>
        <w:snapToGrid w:val="0"/>
        <w:spacing w:line="360" w:lineRule="auto"/>
        <w:ind w:left="746" w:leftChars="134" w:hanging="465" w:hangingChars="202"/>
        <w:rPr>
          <w:rFonts w:ascii="仿宋" w:hAnsi="仿宋" w:eastAsia="仿宋"/>
          <w:spacing w:val="-5"/>
          <w:kern w:val="0"/>
          <w:sz w:val="24"/>
        </w:rPr>
      </w:pPr>
      <w:r>
        <w:rPr>
          <w:rFonts w:hint="eastAsia" w:ascii="仿宋" w:hAnsi="仿宋" w:eastAsia="仿宋"/>
          <w:spacing w:val="-5"/>
          <w:kern w:val="0"/>
          <w:sz w:val="24"/>
        </w:rPr>
        <w:t>GB3836.3-2010 爆炸性气体环境用电气设备第3部分：增安型“e”</w:t>
      </w:r>
    </w:p>
    <w:p>
      <w:pPr>
        <w:adjustRightInd w:val="0"/>
        <w:snapToGrid w:val="0"/>
        <w:spacing w:line="360" w:lineRule="auto"/>
        <w:ind w:left="746" w:leftChars="134" w:hanging="465" w:hangingChars="202"/>
        <w:rPr>
          <w:rFonts w:ascii="仿宋" w:hAnsi="仿宋" w:eastAsia="仿宋"/>
          <w:spacing w:val="-5"/>
          <w:kern w:val="0"/>
          <w:sz w:val="24"/>
        </w:rPr>
      </w:pPr>
      <w:r>
        <w:rPr>
          <w:rFonts w:hint="eastAsia" w:ascii="仿宋" w:hAnsi="仿宋" w:eastAsia="仿宋"/>
          <w:spacing w:val="-5"/>
          <w:kern w:val="0"/>
          <w:sz w:val="24"/>
        </w:rPr>
        <w:t>JB4262-92 防爆电器用橡套电缆引入装置</w:t>
      </w:r>
    </w:p>
    <w:p>
      <w:pPr>
        <w:adjustRightInd w:val="0"/>
        <w:snapToGrid w:val="0"/>
        <w:spacing w:line="360" w:lineRule="auto"/>
        <w:ind w:left="746" w:leftChars="134" w:hanging="465" w:hangingChars="202"/>
        <w:rPr>
          <w:rFonts w:ascii="仿宋" w:hAnsi="仿宋" w:eastAsia="仿宋"/>
          <w:spacing w:val="-5"/>
          <w:kern w:val="0"/>
          <w:sz w:val="24"/>
        </w:rPr>
      </w:pPr>
      <w:r>
        <w:rPr>
          <w:rFonts w:ascii="仿宋" w:hAnsi="仿宋" w:eastAsia="仿宋"/>
          <w:spacing w:val="-5"/>
          <w:kern w:val="0"/>
          <w:sz w:val="24"/>
        </w:rPr>
        <w:t>10</w:t>
      </w:r>
      <w:r>
        <w:rPr>
          <w:rFonts w:hint="eastAsia" w:ascii="仿宋" w:hAnsi="仿宋" w:eastAsia="仿宋"/>
          <w:spacing w:val="-5"/>
          <w:kern w:val="0"/>
          <w:sz w:val="24"/>
        </w:rPr>
        <w:t>.</w:t>
      </w:r>
      <w:r>
        <w:rPr>
          <w:rFonts w:ascii="仿宋" w:hAnsi="仿宋" w:eastAsia="仿宋"/>
          <w:spacing w:val="-5"/>
          <w:kern w:val="0"/>
          <w:sz w:val="24"/>
        </w:rPr>
        <w:t>2.设备的设计与制造要求采用国际公制单位，个别部件采用英制单位应列出清单。</w:t>
      </w:r>
    </w:p>
    <w:p>
      <w:pPr>
        <w:adjustRightInd w:val="0"/>
        <w:snapToGrid w:val="0"/>
        <w:spacing w:line="360" w:lineRule="auto"/>
        <w:ind w:left="746" w:leftChars="134" w:hanging="465" w:hangingChars="202"/>
        <w:rPr>
          <w:rFonts w:ascii="仿宋" w:hAnsi="仿宋" w:eastAsia="仿宋"/>
          <w:spacing w:val="-5"/>
          <w:kern w:val="0"/>
          <w:sz w:val="24"/>
        </w:rPr>
      </w:pPr>
      <w:r>
        <w:rPr>
          <w:rFonts w:ascii="仿宋" w:hAnsi="仿宋" w:eastAsia="仿宋"/>
          <w:spacing w:val="-5"/>
          <w:kern w:val="0"/>
          <w:sz w:val="24"/>
        </w:rPr>
        <w:t>10</w:t>
      </w:r>
      <w:r>
        <w:rPr>
          <w:rFonts w:hint="eastAsia" w:ascii="仿宋" w:hAnsi="仿宋" w:eastAsia="仿宋"/>
          <w:spacing w:val="-5"/>
          <w:kern w:val="0"/>
          <w:sz w:val="24"/>
        </w:rPr>
        <w:t>.</w:t>
      </w:r>
      <w:r>
        <w:rPr>
          <w:rFonts w:ascii="仿宋" w:hAnsi="仿宋" w:eastAsia="仿宋"/>
          <w:spacing w:val="-5"/>
          <w:kern w:val="0"/>
          <w:sz w:val="24"/>
        </w:rPr>
        <w:t>3.防爆电气设备应按中国国家防爆标准或其它中国防爆检验部门认可的标准制造。</w:t>
      </w:r>
    </w:p>
    <w:p>
      <w:pPr>
        <w:adjustRightInd w:val="0"/>
        <w:snapToGrid w:val="0"/>
        <w:spacing w:line="360" w:lineRule="auto"/>
        <w:ind w:left="746" w:leftChars="134" w:hanging="465" w:hangingChars="202"/>
        <w:rPr>
          <w:rFonts w:ascii="仿宋" w:hAnsi="仿宋" w:eastAsia="仿宋"/>
          <w:spacing w:val="-5"/>
          <w:kern w:val="0"/>
          <w:sz w:val="24"/>
        </w:rPr>
      </w:pPr>
      <w:r>
        <w:rPr>
          <w:rFonts w:ascii="仿宋" w:hAnsi="仿宋" w:eastAsia="仿宋"/>
          <w:spacing w:val="-5"/>
          <w:kern w:val="0"/>
          <w:sz w:val="24"/>
        </w:rPr>
        <w:t>10</w:t>
      </w:r>
      <w:r>
        <w:rPr>
          <w:rFonts w:hint="eastAsia" w:ascii="仿宋" w:hAnsi="仿宋" w:eastAsia="仿宋"/>
          <w:spacing w:val="-5"/>
          <w:kern w:val="0"/>
          <w:sz w:val="24"/>
        </w:rPr>
        <w:t>.</w:t>
      </w:r>
      <w:r>
        <w:rPr>
          <w:rFonts w:ascii="仿宋" w:hAnsi="仿宋" w:eastAsia="仿宋"/>
          <w:spacing w:val="-5"/>
          <w:kern w:val="0"/>
          <w:sz w:val="24"/>
        </w:rPr>
        <w:t>4.设备应取得中国国家煤矿安全标志证书和</w:t>
      </w:r>
      <w:r>
        <w:rPr>
          <w:rFonts w:hint="eastAsia" w:ascii="仿宋" w:hAnsi="仿宋" w:eastAsia="仿宋"/>
          <w:spacing w:val="-5"/>
          <w:kern w:val="0"/>
          <w:sz w:val="24"/>
        </w:rPr>
        <w:t>“</w:t>
      </w:r>
      <w:r>
        <w:rPr>
          <w:rFonts w:ascii="仿宋" w:hAnsi="仿宋" w:eastAsia="仿宋"/>
          <w:spacing w:val="-5"/>
          <w:kern w:val="0"/>
          <w:sz w:val="24"/>
        </w:rPr>
        <w:t>MA</w:t>
      </w:r>
      <w:r>
        <w:rPr>
          <w:rFonts w:hint="eastAsia" w:ascii="仿宋" w:hAnsi="仿宋" w:eastAsia="仿宋"/>
          <w:spacing w:val="-5"/>
          <w:kern w:val="0"/>
          <w:sz w:val="24"/>
        </w:rPr>
        <w:t>”</w:t>
      </w:r>
      <w:r>
        <w:rPr>
          <w:rFonts w:ascii="仿宋" w:hAnsi="仿宋" w:eastAsia="仿宋"/>
          <w:spacing w:val="-5"/>
          <w:kern w:val="0"/>
          <w:sz w:val="24"/>
        </w:rPr>
        <w:t>标识牌。</w:t>
      </w:r>
    </w:p>
    <w:p>
      <w:pPr>
        <w:adjustRightInd w:val="0"/>
        <w:snapToGrid w:val="0"/>
        <w:spacing w:line="360" w:lineRule="auto"/>
        <w:ind w:left="746" w:leftChars="134" w:hanging="465" w:hangingChars="202"/>
        <w:rPr>
          <w:rFonts w:ascii="仿宋" w:hAnsi="仿宋" w:eastAsia="仿宋"/>
          <w:spacing w:val="-5"/>
          <w:kern w:val="0"/>
          <w:sz w:val="24"/>
        </w:rPr>
      </w:pPr>
      <w:r>
        <w:rPr>
          <w:rFonts w:ascii="仿宋" w:hAnsi="仿宋" w:eastAsia="仿宋"/>
          <w:spacing w:val="-5"/>
          <w:kern w:val="0"/>
          <w:sz w:val="24"/>
        </w:rPr>
        <w:t>10</w:t>
      </w:r>
      <w:r>
        <w:rPr>
          <w:rFonts w:hint="eastAsia" w:ascii="仿宋" w:hAnsi="仿宋" w:eastAsia="仿宋"/>
          <w:spacing w:val="-5"/>
          <w:kern w:val="0"/>
          <w:sz w:val="24"/>
        </w:rPr>
        <w:t>.5.</w:t>
      </w:r>
      <w:r>
        <w:rPr>
          <w:rFonts w:ascii="仿宋" w:hAnsi="仿宋" w:eastAsia="仿宋"/>
          <w:spacing w:val="-5"/>
          <w:kern w:val="0"/>
          <w:sz w:val="24"/>
        </w:rPr>
        <w:t xml:space="preserve"> 上述标准均应为</w:t>
      </w:r>
      <w:r>
        <w:rPr>
          <w:rFonts w:hint="eastAsia" w:ascii="仿宋" w:hAnsi="仿宋" w:eastAsia="仿宋"/>
          <w:spacing w:val="-5"/>
          <w:kern w:val="0"/>
          <w:sz w:val="24"/>
        </w:rPr>
        <w:t>投</w:t>
      </w:r>
      <w:r>
        <w:rPr>
          <w:rFonts w:ascii="仿宋" w:hAnsi="仿宋" w:eastAsia="仿宋"/>
          <w:spacing w:val="-5"/>
          <w:kern w:val="0"/>
          <w:sz w:val="24"/>
        </w:rPr>
        <w:t>标截止日时的最新有效版</w:t>
      </w:r>
      <w:r>
        <w:rPr>
          <w:rFonts w:hint="eastAsia" w:ascii="仿宋" w:hAnsi="仿宋" w:eastAsia="仿宋"/>
          <w:spacing w:val="-5"/>
          <w:kern w:val="0"/>
          <w:sz w:val="24"/>
        </w:rPr>
        <w:t>。</w:t>
      </w:r>
    </w:p>
    <w:p>
      <w:pPr>
        <w:adjustRightInd w:val="0"/>
        <w:snapToGrid w:val="0"/>
        <w:spacing w:before="312" w:beforeLines="100" w:after="312" w:afterLines="100" w:line="360" w:lineRule="auto"/>
        <w:rPr>
          <w:rFonts w:ascii="仿宋" w:hAnsi="仿宋" w:eastAsia="仿宋"/>
          <w:b/>
          <w:sz w:val="24"/>
        </w:rPr>
      </w:pPr>
      <w:r>
        <w:rPr>
          <w:rFonts w:hint="eastAsia" w:ascii="仿宋" w:hAnsi="仿宋" w:eastAsia="仿宋"/>
          <w:b/>
          <w:sz w:val="24"/>
        </w:rPr>
        <w:t>四. 需投标人提供的技术参数</w:t>
      </w:r>
    </w:p>
    <w:p>
      <w:pPr>
        <w:adjustRightInd w:val="0"/>
        <w:snapToGrid w:val="0"/>
        <w:spacing w:line="360" w:lineRule="auto"/>
        <w:ind w:firstLine="230" w:firstLineChars="100"/>
        <w:rPr>
          <w:rFonts w:ascii="仿宋" w:hAnsi="仿宋" w:eastAsia="仿宋"/>
          <w:spacing w:val="-5"/>
          <w:kern w:val="0"/>
          <w:sz w:val="24"/>
        </w:rPr>
      </w:pPr>
      <w:r>
        <w:rPr>
          <w:rFonts w:hint="eastAsia" w:ascii="仿宋" w:hAnsi="仿宋" w:eastAsia="仿宋"/>
          <w:spacing w:val="-5"/>
          <w:kern w:val="0"/>
          <w:sz w:val="24"/>
        </w:rPr>
        <w:t>4.1 矿用隔爆型移动变电站型号</w:t>
      </w:r>
    </w:p>
    <w:p>
      <w:pPr>
        <w:adjustRightInd w:val="0"/>
        <w:snapToGrid w:val="0"/>
        <w:spacing w:line="360" w:lineRule="auto"/>
        <w:ind w:firstLine="230" w:firstLineChars="100"/>
        <w:rPr>
          <w:rFonts w:ascii="仿宋" w:hAnsi="仿宋" w:eastAsia="仿宋"/>
          <w:spacing w:val="-5"/>
          <w:kern w:val="0"/>
          <w:sz w:val="24"/>
        </w:rPr>
      </w:pPr>
      <w:r>
        <w:rPr>
          <w:rFonts w:ascii="仿宋" w:hAnsi="仿宋" w:eastAsia="仿宋"/>
          <w:spacing w:val="-5"/>
          <w:kern w:val="0"/>
          <w:sz w:val="24"/>
        </w:rPr>
        <w:t>4</w:t>
      </w:r>
      <w:r>
        <w:rPr>
          <w:rFonts w:hint="eastAsia" w:ascii="仿宋" w:hAnsi="仿宋" w:eastAsia="仿宋"/>
          <w:spacing w:val="-5"/>
          <w:kern w:val="0"/>
          <w:sz w:val="24"/>
        </w:rPr>
        <w:t>.2 干式变压器技术参数</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 额定电压</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4.2.2 最高工作电压</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4.2.3 额定容量</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4.2.4 额定频率</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4.2.5 接线组别</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4.2.6 短路阻抗</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4.2.7 空载损耗≤</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4.2.8 负载损耗≤</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4.2.9 空载电流≤</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4.2.10 绝缘材料耐温等级</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4.2.11 冷却方式</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4.2.12 连接方式</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4.2.13 输入回路数</w:t>
      </w:r>
    </w:p>
    <w:p>
      <w:pPr>
        <w:adjustRightInd w:val="0"/>
        <w:snapToGrid w:val="0"/>
        <w:spacing w:line="360" w:lineRule="auto"/>
        <w:ind w:firstLine="230" w:firstLineChars="100"/>
        <w:rPr>
          <w:rFonts w:ascii="仿宋" w:hAnsi="仿宋" w:eastAsia="仿宋"/>
          <w:spacing w:val="-5"/>
          <w:kern w:val="0"/>
          <w:sz w:val="24"/>
        </w:rPr>
      </w:pPr>
      <w:r>
        <w:rPr>
          <w:rFonts w:hint="eastAsia" w:ascii="仿宋" w:hAnsi="仿宋" w:eastAsia="仿宋"/>
          <w:spacing w:val="-5"/>
          <w:kern w:val="0"/>
          <w:sz w:val="24"/>
        </w:rPr>
        <w:t>4.3 配套隔爆高压真空开关装置参数</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4.3.1 断路器规格型号</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4.3.2 额定电压</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4.3.3 最高工作电压</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4.3.4 额定电流</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4.3.5 额定短路开断电流</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4.3.6 额定短路关合电流</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4.3.7 额定动稳定电流</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4.3.8 额定热稳定电流</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4.3.9 额定热稳定时间</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4.3.10 额定电流开断次数</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4.3.11 真空断路器机械寿命</w:t>
      </w:r>
    </w:p>
    <w:p>
      <w:pPr>
        <w:adjustRightInd w:val="0"/>
        <w:snapToGrid w:val="0"/>
        <w:spacing w:line="360" w:lineRule="auto"/>
        <w:ind w:firstLine="230" w:firstLineChars="100"/>
        <w:rPr>
          <w:rFonts w:ascii="仿宋" w:hAnsi="仿宋" w:eastAsia="仿宋"/>
          <w:spacing w:val="-5"/>
          <w:kern w:val="0"/>
          <w:sz w:val="24"/>
        </w:rPr>
      </w:pPr>
      <w:r>
        <w:rPr>
          <w:rFonts w:hint="eastAsia" w:ascii="仿宋" w:hAnsi="仿宋" w:eastAsia="仿宋"/>
          <w:spacing w:val="-5"/>
          <w:kern w:val="0"/>
          <w:sz w:val="24"/>
        </w:rPr>
        <w:t>4.4 配套隔爆低压开关装置参数</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4.4.1 隔离开关规格型号</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4.4.2 隔离开关工作位</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4.4.3 隔离开关额定短时耐受电流</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4.4.4 额定电压</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4.4.5 最高工作电压</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4.4.6 出线口数目</w:t>
      </w:r>
    </w:p>
    <w:p>
      <w:pPr>
        <w:adjustRightInd w:val="0"/>
        <w:snapToGrid w:val="0"/>
        <w:spacing w:line="360" w:lineRule="auto"/>
        <w:ind w:firstLine="345" w:firstLineChars="150"/>
        <w:rPr>
          <w:rFonts w:ascii="仿宋" w:hAnsi="仿宋" w:eastAsia="仿宋"/>
          <w:spacing w:val="-5"/>
          <w:kern w:val="0"/>
          <w:sz w:val="24"/>
        </w:rPr>
      </w:pPr>
      <w:r>
        <w:rPr>
          <w:rFonts w:hint="eastAsia" w:ascii="仿宋" w:hAnsi="仿宋" w:eastAsia="仿宋"/>
          <w:spacing w:val="-5"/>
          <w:kern w:val="0"/>
          <w:sz w:val="24"/>
        </w:rPr>
        <w:t>4.4.7 矿用隔爆型变电站用电缆连接器</w:t>
      </w:r>
    </w:p>
    <w:p>
      <w:pPr>
        <w:adjustRightInd w:val="0"/>
        <w:snapToGrid w:val="0"/>
        <w:spacing w:line="360" w:lineRule="auto"/>
        <w:ind w:firstLine="230" w:firstLineChars="100"/>
        <w:rPr>
          <w:rFonts w:ascii="仿宋" w:hAnsi="仿宋" w:eastAsia="仿宋"/>
          <w:spacing w:val="-5"/>
          <w:kern w:val="0"/>
          <w:sz w:val="24"/>
        </w:rPr>
      </w:pPr>
      <w:r>
        <w:rPr>
          <w:rFonts w:hint="eastAsia" w:ascii="仿宋" w:hAnsi="仿宋" w:eastAsia="仿宋"/>
          <w:spacing w:val="-5"/>
          <w:kern w:val="0"/>
          <w:sz w:val="24"/>
        </w:rPr>
        <w:t>4.</w:t>
      </w:r>
      <w:r>
        <w:rPr>
          <w:rFonts w:ascii="仿宋" w:hAnsi="仿宋" w:eastAsia="仿宋"/>
          <w:spacing w:val="-5"/>
          <w:kern w:val="0"/>
          <w:sz w:val="24"/>
        </w:rPr>
        <w:t>5</w:t>
      </w:r>
      <w:r>
        <w:rPr>
          <w:rFonts w:hint="eastAsia" w:ascii="仿宋" w:hAnsi="仿宋" w:eastAsia="仿宋"/>
          <w:spacing w:val="-5"/>
          <w:kern w:val="0"/>
          <w:sz w:val="24"/>
        </w:rPr>
        <w:t xml:space="preserve"> 电器外壳防护等级</w:t>
      </w:r>
    </w:p>
    <w:p>
      <w:pPr>
        <w:adjustRightInd w:val="0"/>
        <w:snapToGrid w:val="0"/>
        <w:spacing w:line="360" w:lineRule="auto"/>
        <w:ind w:firstLine="230" w:firstLineChars="100"/>
        <w:rPr>
          <w:rFonts w:ascii="仿宋" w:hAnsi="仿宋" w:eastAsia="仿宋"/>
          <w:spacing w:val="-5"/>
          <w:kern w:val="0"/>
          <w:sz w:val="24"/>
        </w:rPr>
      </w:pPr>
      <w:r>
        <w:rPr>
          <w:rFonts w:ascii="仿宋" w:hAnsi="仿宋" w:eastAsia="仿宋"/>
          <w:spacing w:val="-5"/>
          <w:kern w:val="0"/>
          <w:sz w:val="24"/>
        </w:rPr>
        <w:t>4</w:t>
      </w:r>
      <w:r>
        <w:rPr>
          <w:rFonts w:hint="eastAsia" w:ascii="仿宋" w:hAnsi="仿宋" w:eastAsia="仿宋"/>
          <w:spacing w:val="-5"/>
          <w:kern w:val="0"/>
          <w:sz w:val="24"/>
        </w:rPr>
        <w:t>.</w:t>
      </w:r>
      <w:r>
        <w:rPr>
          <w:rFonts w:ascii="仿宋" w:hAnsi="仿宋" w:eastAsia="仿宋"/>
          <w:spacing w:val="-5"/>
          <w:kern w:val="0"/>
          <w:sz w:val="24"/>
        </w:rPr>
        <w:t xml:space="preserve">6 </w:t>
      </w:r>
      <w:r>
        <w:rPr>
          <w:rFonts w:hint="eastAsia" w:ascii="仿宋" w:hAnsi="仿宋" w:eastAsia="仿宋"/>
          <w:spacing w:val="-5"/>
          <w:kern w:val="0"/>
          <w:sz w:val="24"/>
        </w:rPr>
        <w:t>外形尺寸（mm）L×W×H</w:t>
      </w:r>
    </w:p>
    <w:p>
      <w:pPr>
        <w:adjustRightInd w:val="0"/>
        <w:snapToGrid w:val="0"/>
        <w:spacing w:line="360" w:lineRule="auto"/>
        <w:ind w:firstLine="230" w:firstLineChars="100"/>
        <w:rPr>
          <w:rFonts w:ascii="仿宋" w:hAnsi="仿宋" w:eastAsia="仿宋"/>
          <w:spacing w:val="-5"/>
          <w:kern w:val="0"/>
          <w:sz w:val="24"/>
        </w:rPr>
      </w:pPr>
      <w:r>
        <w:rPr>
          <w:rFonts w:ascii="仿宋" w:hAnsi="仿宋" w:eastAsia="仿宋"/>
          <w:spacing w:val="-5"/>
          <w:kern w:val="0"/>
          <w:sz w:val="24"/>
        </w:rPr>
        <w:t>4</w:t>
      </w:r>
      <w:r>
        <w:rPr>
          <w:rFonts w:hint="eastAsia" w:ascii="仿宋" w:hAnsi="仿宋" w:eastAsia="仿宋"/>
          <w:spacing w:val="-5"/>
          <w:kern w:val="0"/>
          <w:sz w:val="24"/>
        </w:rPr>
        <w:t>.</w:t>
      </w:r>
      <w:r>
        <w:rPr>
          <w:rFonts w:ascii="仿宋" w:hAnsi="仿宋" w:eastAsia="仿宋"/>
          <w:spacing w:val="-5"/>
          <w:kern w:val="0"/>
          <w:sz w:val="24"/>
        </w:rPr>
        <w:t>7</w:t>
      </w:r>
      <w:r>
        <w:rPr>
          <w:rFonts w:hint="eastAsia" w:ascii="仿宋" w:hAnsi="仿宋" w:eastAsia="仿宋"/>
          <w:spacing w:val="-5"/>
          <w:kern w:val="0"/>
          <w:sz w:val="24"/>
        </w:rPr>
        <w:t xml:space="preserve"> 生产厂家</w:t>
      </w:r>
    </w:p>
    <w:p>
      <w:pPr>
        <w:adjustRightInd w:val="0"/>
        <w:snapToGrid w:val="0"/>
        <w:spacing w:line="360" w:lineRule="auto"/>
        <w:ind w:firstLine="230" w:firstLineChars="100"/>
        <w:rPr>
          <w:rFonts w:ascii="仿宋" w:hAnsi="仿宋" w:eastAsia="仿宋"/>
          <w:spacing w:val="-5"/>
          <w:kern w:val="0"/>
          <w:sz w:val="24"/>
        </w:rPr>
      </w:pPr>
      <w:r>
        <w:rPr>
          <w:rFonts w:ascii="仿宋" w:hAnsi="仿宋" w:eastAsia="仿宋"/>
          <w:spacing w:val="-5"/>
          <w:kern w:val="0"/>
          <w:sz w:val="24"/>
        </w:rPr>
        <w:t>4</w:t>
      </w:r>
      <w:r>
        <w:rPr>
          <w:rFonts w:hint="eastAsia" w:ascii="仿宋" w:hAnsi="仿宋" w:eastAsia="仿宋"/>
          <w:spacing w:val="-5"/>
          <w:kern w:val="0"/>
          <w:sz w:val="24"/>
        </w:rPr>
        <w:t>.</w:t>
      </w:r>
      <w:r>
        <w:rPr>
          <w:rFonts w:ascii="仿宋" w:hAnsi="仿宋" w:eastAsia="仿宋"/>
          <w:spacing w:val="-5"/>
          <w:kern w:val="0"/>
          <w:sz w:val="24"/>
        </w:rPr>
        <w:t>8</w:t>
      </w:r>
      <w:r>
        <w:rPr>
          <w:rFonts w:hint="eastAsia" w:ascii="仿宋" w:hAnsi="仿宋" w:eastAsia="仿宋"/>
          <w:spacing w:val="-5"/>
          <w:kern w:val="0"/>
          <w:sz w:val="24"/>
        </w:rPr>
        <w:t xml:space="preserve"> 其它</w:t>
      </w:r>
    </w:p>
    <w:p>
      <w:pPr>
        <w:adjustRightInd w:val="0"/>
        <w:snapToGrid w:val="0"/>
        <w:spacing w:line="360" w:lineRule="auto"/>
        <w:ind w:firstLine="240" w:firstLineChars="100"/>
        <w:rPr>
          <w:rFonts w:ascii="仿宋" w:hAnsi="仿宋" w:eastAsia="仿宋"/>
          <w:sz w:val="24"/>
        </w:rPr>
      </w:pPr>
      <w:r>
        <w:rPr>
          <w:rFonts w:hint="eastAsia" w:ascii="仿宋" w:hAnsi="仿宋" w:eastAsia="仿宋"/>
          <w:sz w:val="24"/>
        </w:rPr>
        <w:t>4.</w:t>
      </w:r>
      <w:r>
        <w:rPr>
          <w:rFonts w:ascii="仿宋" w:hAnsi="仿宋" w:eastAsia="仿宋"/>
          <w:sz w:val="24"/>
        </w:rPr>
        <w:t>9</w:t>
      </w:r>
      <w:r>
        <w:rPr>
          <w:rFonts w:hint="eastAsia" w:ascii="仿宋" w:hAnsi="仿宋" w:eastAsia="仿宋"/>
          <w:sz w:val="24"/>
        </w:rPr>
        <w:t xml:space="preserve"> 投标人需要特别说明的其他问题。</w:t>
      </w:r>
    </w:p>
    <w:p>
      <w:pPr>
        <w:pStyle w:val="15"/>
        <w:jc w:val="center"/>
        <w:rPr>
          <w:rFonts w:ascii="仿宋" w:hAnsi="仿宋" w:eastAsia="仿宋"/>
          <w:b/>
          <w:szCs w:val="28"/>
        </w:rPr>
      </w:pPr>
      <w:bookmarkStart w:id="2" w:name="_Toc357086143"/>
      <w:r>
        <w:rPr>
          <w:rFonts w:ascii="仿宋" w:hAnsi="仿宋" w:eastAsia="仿宋"/>
          <w:sz w:val="24"/>
          <w:szCs w:val="24"/>
        </w:rPr>
        <w:br w:type="page"/>
      </w:r>
      <w:bookmarkEnd w:id="2"/>
      <w:r>
        <w:rPr>
          <w:rFonts w:hint="eastAsia" w:ascii="仿宋" w:hAnsi="仿宋" w:eastAsia="仿宋"/>
          <w:b/>
          <w:szCs w:val="28"/>
        </w:rPr>
        <w:t>第二节备件和工具</w:t>
      </w:r>
    </w:p>
    <w:p>
      <w:pPr>
        <w:adjustRightInd w:val="0"/>
        <w:snapToGrid w:val="0"/>
        <w:spacing w:line="360" w:lineRule="auto"/>
        <w:jc w:val="center"/>
        <w:rPr>
          <w:rFonts w:ascii="仿宋" w:hAnsi="仿宋" w:eastAsia="仿宋"/>
          <w:sz w:val="24"/>
        </w:rPr>
      </w:pPr>
    </w:p>
    <w:p>
      <w:pPr>
        <w:adjustRightInd w:val="0"/>
        <w:snapToGrid w:val="0"/>
        <w:spacing w:line="360" w:lineRule="auto"/>
        <w:ind w:firstLine="480" w:firstLineChars="200"/>
        <w:rPr>
          <w:rFonts w:ascii="仿宋" w:hAnsi="仿宋" w:eastAsia="仿宋"/>
          <w:sz w:val="24"/>
        </w:rPr>
      </w:pPr>
      <w:bookmarkStart w:id="3" w:name="_Toc357086144"/>
      <w:r>
        <w:rPr>
          <w:rFonts w:hint="eastAsia" w:ascii="仿宋" w:hAnsi="仿宋" w:eastAsia="仿宋"/>
          <w:sz w:val="24"/>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中标人应提供完整备件手册、备件件号、数量、规格型号、价格表的CD盘，随同设备发货。</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 中标人应保证所有零部件均有唯一编码，如属外购标准件，要求必须按照原厂家编码执行。</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 中标人还将进一步提供可靠信息以及机械与电气设备上的所需的备件、易耗品及标准件的货源地，包括润滑油脂。</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 设备采用的外购、外协件应提供原产地证明及检验合格证书。</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6. 如因为中标人提供1年期备件（不超过主机价格的5%）明细不准确，导致招标人误采购或按明细提供数量不足以满足生产需求，中标人应免费提供相应的备件。</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7. 中标人应保证长期以最优惠的价格供给易损件和备件。如果备件发生设计变更，应将变更信息及时通知用户。</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8. 中标人备件价格在设备开始使用的3年内必须维持同期的市场价。</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9. 在5年内，因中标人技术升级导致部分备件不能提供时，中标人要免费为用户升级设备。</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10. 5年后在备件停止生产的情况下，中标人应事先将要停止生产的计划通知招标人使招标人有足够的时间采购所需的备件。</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11. 5年后在备件停止生产后，如果招标人要求，中标人应免费向招标人提供备件的蓝图、图纸和规格。</w:t>
      </w:r>
    </w:p>
    <w:p>
      <w:pPr>
        <w:pStyle w:val="15"/>
        <w:spacing w:before="0" w:line="360" w:lineRule="auto"/>
        <w:outlineLvl w:val="9"/>
        <w:rPr>
          <w:rFonts w:ascii="仿宋" w:hAnsi="仿宋" w:eastAsia="仿宋"/>
          <w:b/>
          <w:sz w:val="24"/>
          <w:szCs w:val="24"/>
        </w:rPr>
      </w:pPr>
    </w:p>
    <w:p>
      <w:pPr>
        <w:pStyle w:val="15"/>
        <w:jc w:val="center"/>
        <w:rPr>
          <w:rFonts w:ascii="仿宋" w:hAnsi="仿宋" w:eastAsia="仿宋"/>
          <w:b/>
          <w:szCs w:val="28"/>
        </w:rPr>
      </w:pPr>
      <w:r>
        <w:rPr>
          <w:rFonts w:hint="eastAsia" w:ascii="仿宋" w:hAnsi="仿宋" w:eastAsia="仿宋"/>
          <w:b/>
          <w:szCs w:val="28"/>
        </w:rPr>
        <w:t>第三节设备出厂前检验</w:t>
      </w:r>
      <w:bookmarkEnd w:id="3"/>
    </w:p>
    <w:p>
      <w:pPr>
        <w:adjustRightInd w:val="0"/>
        <w:snapToGrid w:val="0"/>
        <w:spacing w:line="360" w:lineRule="auto"/>
        <w:jc w:val="center"/>
        <w:rPr>
          <w:rFonts w:ascii="仿宋" w:hAnsi="仿宋" w:eastAsia="仿宋"/>
          <w:sz w:val="24"/>
        </w:rPr>
      </w:pPr>
    </w:p>
    <w:p>
      <w:pPr>
        <w:adjustRightInd w:val="0"/>
        <w:snapToGrid w:val="0"/>
        <w:spacing w:line="360" w:lineRule="auto"/>
        <w:ind w:firstLine="480" w:firstLineChars="200"/>
        <w:rPr>
          <w:rFonts w:ascii="仿宋" w:hAnsi="仿宋" w:eastAsia="仿宋"/>
          <w:sz w:val="24"/>
        </w:rPr>
      </w:pPr>
      <w:bookmarkStart w:id="4" w:name="_Toc357086145"/>
      <w:r>
        <w:rPr>
          <w:rFonts w:hint="eastAsia" w:ascii="仿宋" w:hAnsi="仿宋" w:eastAsia="仿宋"/>
          <w:sz w:val="24"/>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3．在中检中质检团成员发现或提出的问题，双方应积极通过友好的态度协商解决。</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 设备在出厂前必须进行整体联合试运转，根据试运转时间确定招标人终检时间，联合试运转应在招标人终检人员监督下进行。</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 在设备到达招标人现场后组装试运转中如出现问题，原因是中标人没有在出厂前进行设备整体联合试运转，因此推迟的时间将按照推迟交货期来计算。</w:t>
      </w:r>
    </w:p>
    <w:p>
      <w:pPr>
        <w:pStyle w:val="15"/>
        <w:jc w:val="center"/>
        <w:rPr>
          <w:rFonts w:ascii="仿宋" w:hAnsi="仿宋" w:eastAsia="仿宋"/>
          <w:b/>
          <w:szCs w:val="28"/>
        </w:rPr>
      </w:pPr>
      <w:r>
        <w:rPr>
          <w:rFonts w:hint="eastAsia" w:ascii="仿宋" w:hAnsi="仿宋" w:eastAsia="仿宋"/>
          <w:b/>
          <w:szCs w:val="28"/>
        </w:rPr>
        <w:t>第四节技术服务</w:t>
      </w:r>
      <w:bookmarkEnd w:id="4"/>
    </w:p>
    <w:p>
      <w:pPr>
        <w:adjustRightInd w:val="0"/>
        <w:snapToGrid w:val="0"/>
        <w:spacing w:line="360" w:lineRule="auto"/>
        <w:jc w:val="center"/>
        <w:rPr>
          <w:rFonts w:ascii="仿宋" w:hAnsi="仿宋" w:eastAsia="仿宋"/>
          <w:sz w:val="24"/>
        </w:rPr>
      </w:pPr>
    </w:p>
    <w:p>
      <w:pPr>
        <w:adjustRightInd w:val="0"/>
        <w:snapToGrid w:val="0"/>
        <w:spacing w:line="360" w:lineRule="auto"/>
        <w:ind w:firstLine="480" w:firstLineChars="200"/>
        <w:rPr>
          <w:rFonts w:ascii="仿宋" w:hAnsi="仿宋" w:eastAsia="仿宋"/>
          <w:sz w:val="24"/>
        </w:rPr>
      </w:pPr>
      <w:bookmarkStart w:id="5" w:name="_Toc357086146"/>
      <w:r>
        <w:rPr>
          <w:rFonts w:hint="eastAsia" w:ascii="仿宋" w:hAnsi="仿宋" w:eastAsia="仿宋"/>
          <w:sz w:val="24"/>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——给招标人安装人员提供完整的技术指导。</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——指导招标人人员进行合同设备的试运转，运行测试和性能测试。</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——矿区现场培训招标人人员。</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——设备投入使用后提供现场运行技术支持。</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——质保期内技术服务。</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 中标人将提供所有的关于装配与组装所用的专用工具,例如:专用测试仪、测量仪和机械工具。</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 在现场举行由双方参加的会议，对所提供设备进行安装的准备工作进行讨论。</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 对于安装指导、测试运转、性能测试、试运转和验收，包括招标人操作和维修人员的现场培训,中标人需免费提供。</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6. 中标人应提供用于招标人自行培训人员需要使用的相关培训材料。</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7. 设备过质保期后，在设备使用寿命内，如招标人需要，中标人应确保服务工程师到现场进行技术服务。</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5"/>
        <w:jc w:val="center"/>
        <w:rPr>
          <w:rFonts w:ascii="仿宋" w:hAnsi="仿宋" w:eastAsia="仿宋"/>
          <w:b/>
          <w:szCs w:val="28"/>
        </w:rPr>
      </w:pPr>
      <w:r>
        <w:rPr>
          <w:rFonts w:hint="eastAsia" w:ascii="仿宋" w:hAnsi="仿宋" w:eastAsia="仿宋"/>
          <w:b/>
          <w:szCs w:val="28"/>
        </w:rPr>
        <w:t>第五节安装、检验、调试、试运行及验收</w:t>
      </w:r>
      <w:bookmarkEnd w:id="5"/>
    </w:p>
    <w:p>
      <w:pPr>
        <w:adjustRightInd w:val="0"/>
        <w:snapToGrid w:val="0"/>
        <w:spacing w:line="360" w:lineRule="auto"/>
        <w:jc w:val="center"/>
        <w:rPr>
          <w:rFonts w:ascii="仿宋" w:hAnsi="仿宋" w:eastAsia="仿宋"/>
          <w:sz w:val="24"/>
        </w:rPr>
      </w:pPr>
    </w:p>
    <w:p>
      <w:pPr>
        <w:adjustRightInd w:val="0"/>
        <w:snapToGrid w:val="0"/>
        <w:spacing w:line="360" w:lineRule="auto"/>
        <w:ind w:firstLine="480" w:firstLineChars="200"/>
        <w:rPr>
          <w:rFonts w:ascii="仿宋" w:hAnsi="仿宋" w:eastAsia="仿宋"/>
          <w:sz w:val="24"/>
        </w:rPr>
      </w:pPr>
      <w:bookmarkStart w:id="6" w:name="_Toc357086147"/>
      <w:r>
        <w:rPr>
          <w:rFonts w:hint="eastAsia" w:ascii="仿宋" w:hAnsi="仿宋" w:eastAsia="仿宋"/>
          <w:sz w:val="24"/>
        </w:rPr>
        <w:t>1. 在该附录中：</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安装：意为招标人安装人员在中标人的服务工程人员的监督与指导下，将整套设备或一个系统安装起来。</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试运转：即为在空载条件下测试该设备。</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 xml:space="preserve">性能调试：即在它们的额定负载下测试设备，检查其是否能达到合同规定的所有技术性能。 </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试运行：即为设备按照合同要求性能投入运转。</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验收：即为该设备达到合同规定的试运转、性能调试和试运行技术要求后招标人正式接收。</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设备到货应随机提供出厂验收报告。</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15"/>
        <w:jc w:val="center"/>
        <w:rPr>
          <w:rFonts w:ascii="仿宋" w:hAnsi="仿宋" w:eastAsia="仿宋"/>
          <w:b/>
          <w:szCs w:val="28"/>
        </w:rPr>
      </w:pPr>
      <w:r>
        <w:rPr>
          <w:rFonts w:hint="eastAsia" w:ascii="仿宋" w:hAnsi="仿宋" w:eastAsia="仿宋"/>
          <w:b/>
          <w:szCs w:val="28"/>
        </w:rPr>
        <w:t>第六节质量保证</w:t>
      </w:r>
      <w:bookmarkEnd w:id="6"/>
    </w:p>
    <w:p>
      <w:pPr>
        <w:adjustRightInd w:val="0"/>
        <w:snapToGrid w:val="0"/>
        <w:spacing w:line="360" w:lineRule="auto"/>
        <w:ind w:firstLine="480" w:firstLineChars="200"/>
        <w:rPr>
          <w:rFonts w:ascii="仿宋" w:hAnsi="仿宋" w:eastAsia="仿宋"/>
          <w:sz w:val="24"/>
        </w:rPr>
      </w:pPr>
      <w:bookmarkStart w:id="7" w:name="_Toc357086148"/>
      <w:r>
        <w:rPr>
          <w:rFonts w:hint="eastAsia" w:ascii="仿宋" w:hAnsi="仿宋" w:eastAsia="仿宋"/>
          <w:sz w:val="24"/>
        </w:rPr>
        <w:t>1. 质保期应为最终验收合格后12个月。对由于设计或质量问题而引起的设备故障，中标方应进一步对此负责。专用合同条款对质保有特殊规定的从其规定。</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中标方质保期内应免费对产品进行维修服务，无偿更换零件、部件,更换、维修后的部件质保期从产品正常运行之日起重新计算。</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 xml:space="preserve">3. 中标方对设备大修周期、使用寿命及各主要部件的寿命承诺。 </w:t>
      </w:r>
    </w:p>
    <w:p>
      <w:pPr>
        <w:pStyle w:val="15"/>
        <w:jc w:val="center"/>
        <w:rPr>
          <w:rFonts w:ascii="仿宋" w:hAnsi="仿宋" w:eastAsia="仿宋"/>
          <w:sz w:val="24"/>
          <w:szCs w:val="24"/>
        </w:rPr>
      </w:pPr>
    </w:p>
    <w:p>
      <w:pPr>
        <w:pStyle w:val="15"/>
        <w:jc w:val="center"/>
        <w:rPr>
          <w:rFonts w:ascii="仿宋" w:hAnsi="仿宋" w:eastAsia="仿宋"/>
          <w:b/>
          <w:szCs w:val="28"/>
        </w:rPr>
      </w:pPr>
      <w:r>
        <w:rPr>
          <w:rFonts w:hint="eastAsia" w:ascii="仿宋" w:hAnsi="仿宋" w:eastAsia="仿宋"/>
          <w:b/>
          <w:szCs w:val="28"/>
        </w:rPr>
        <w:t>第七节技术资料和图纸</w:t>
      </w:r>
      <w:bookmarkEnd w:id="7"/>
    </w:p>
    <w:p>
      <w:pPr>
        <w:pStyle w:val="15"/>
        <w:jc w:val="center"/>
        <w:rPr>
          <w:rFonts w:ascii="仿宋" w:hAnsi="仿宋" w:eastAsia="仿宋"/>
          <w:sz w:val="24"/>
          <w:szCs w:val="24"/>
        </w:rPr>
      </w:pP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 中标人按规定给招标人每台（套）设备提供份技术文件和图纸的副本。其中两份副本包括1份光盘文件将在设备发货前的14天，以特快专递方式寄送给招标人，其他所要求的成套技术文件和图纸将随合同中设备一起</w:t>
      </w:r>
      <w:r>
        <w:rPr>
          <w:rFonts w:ascii="仿宋" w:hAnsi="仿宋" w:eastAsia="仿宋"/>
          <w:sz w:val="24"/>
        </w:rPr>
        <w:t>发货</w:t>
      </w:r>
      <w:r>
        <w:rPr>
          <w:rFonts w:hint="eastAsia" w:ascii="仿宋" w:hAnsi="仿宋" w:eastAsia="仿宋"/>
          <w:sz w:val="24"/>
        </w:rPr>
        <w:t>，招标人有权针对培训目的而额外复制所提供的技术文件与图纸。</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 如果中标人交付的技术文件和图纸在运输途中发现不完整、丢失或损坏，中标人在接到招标人索要不完整、丢失或损坏部分的技术文件和图纸的通知后的</w:t>
      </w:r>
      <w:r>
        <w:rPr>
          <w:rFonts w:ascii="仿宋" w:hAnsi="仿宋" w:eastAsia="仿宋"/>
          <w:sz w:val="24"/>
        </w:rPr>
        <w:t>30</w:t>
      </w:r>
      <w:r>
        <w:rPr>
          <w:rFonts w:hint="eastAsia" w:ascii="仿宋" w:hAnsi="仿宋" w:eastAsia="仿宋"/>
          <w:sz w:val="24"/>
        </w:rPr>
        <w:t>天内</w:t>
      </w:r>
      <w:r>
        <w:rPr>
          <w:rFonts w:ascii="仿宋" w:hAnsi="仿宋" w:eastAsia="仿宋"/>
          <w:sz w:val="24"/>
        </w:rPr>
        <w:t>,</w:t>
      </w:r>
      <w:r>
        <w:rPr>
          <w:rFonts w:hint="eastAsia" w:ascii="仿宋" w:hAnsi="仿宋" w:eastAsia="仿宋"/>
          <w:sz w:val="24"/>
        </w:rPr>
        <w:t>应免费向招标人增补丢失或损坏部分的技术文件与图纸。</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 中标人有义务对该设备的控制软件、管理软件进行免费升级换代。</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 中标人定期对设备进行回访，并对用户提出的问题进行解决。</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 xml:space="preserve">6. </w:t>
      </w:r>
      <w:r>
        <w:rPr>
          <w:rFonts w:ascii="仿宋" w:hAnsi="仿宋" w:eastAsia="仿宋"/>
          <w:sz w:val="24"/>
        </w:rPr>
        <w:t>中标人要提供</w:t>
      </w:r>
      <w:r>
        <w:rPr>
          <w:rFonts w:hint="eastAsia" w:ascii="仿宋" w:hAnsi="仿宋" w:eastAsia="仿宋"/>
          <w:sz w:val="24"/>
        </w:rPr>
        <w:t>下列</w:t>
      </w:r>
      <w:r>
        <w:rPr>
          <w:rFonts w:ascii="仿宋" w:hAnsi="仿宋" w:eastAsia="仿宋"/>
          <w:sz w:val="24"/>
        </w:rPr>
        <w:t>相关的</w:t>
      </w:r>
      <w:r>
        <w:rPr>
          <w:rFonts w:hint="eastAsia" w:ascii="仿宋" w:hAnsi="仿宋" w:eastAsia="仿宋"/>
          <w:sz w:val="24"/>
        </w:rPr>
        <w:t>技术资料及图纸</w:t>
      </w:r>
      <w:r>
        <w:rPr>
          <w:rFonts w:ascii="仿宋" w:hAnsi="仿宋" w:eastAsia="仿宋"/>
          <w:sz w:val="24"/>
        </w:rPr>
        <w:t>：</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总装图</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设备能力的计算和受力图</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制造标准、防爆标准</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检验标准</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电气原理图和技术说明书</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液压系统图</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配套图</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7. 技术资料与设备同属合同供货范围，如不能按照上述条款交货，将按照推迟合同交货期执行。</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8、投标人提供的上述技术资料必须满足招标人用于标的物维修的需求。</w:t>
      </w:r>
    </w:p>
    <w:p>
      <w:pPr>
        <w:pStyle w:val="15"/>
        <w:jc w:val="center"/>
        <w:rPr>
          <w:rFonts w:ascii="仿宋" w:hAnsi="仿宋" w:eastAsia="仿宋"/>
          <w:sz w:val="24"/>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AED"/>
    <w:rsid w:val="00015381"/>
    <w:rsid w:val="000325EB"/>
    <w:rsid w:val="00034491"/>
    <w:rsid w:val="000349FF"/>
    <w:rsid w:val="00037923"/>
    <w:rsid w:val="00040FAA"/>
    <w:rsid w:val="00046387"/>
    <w:rsid w:val="00046393"/>
    <w:rsid w:val="00060DA9"/>
    <w:rsid w:val="00061FFC"/>
    <w:rsid w:val="00062A06"/>
    <w:rsid w:val="00074BAA"/>
    <w:rsid w:val="0008777B"/>
    <w:rsid w:val="000919ED"/>
    <w:rsid w:val="000B4A8F"/>
    <w:rsid w:val="000C002E"/>
    <w:rsid w:val="000D5B51"/>
    <w:rsid w:val="000F4900"/>
    <w:rsid w:val="000F51D2"/>
    <w:rsid w:val="000F7B2D"/>
    <w:rsid w:val="00101652"/>
    <w:rsid w:val="001310B9"/>
    <w:rsid w:val="00142DC8"/>
    <w:rsid w:val="00151CC7"/>
    <w:rsid w:val="00152AAB"/>
    <w:rsid w:val="00154000"/>
    <w:rsid w:val="00155A24"/>
    <w:rsid w:val="001608A6"/>
    <w:rsid w:val="00162CD6"/>
    <w:rsid w:val="001714A2"/>
    <w:rsid w:val="0017236C"/>
    <w:rsid w:val="00173B13"/>
    <w:rsid w:val="00174859"/>
    <w:rsid w:val="00175505"/>
    <w:rsid w:val="001803C1"/>
    <w:rsid w:val="001A28A6"/>
    <w:rsid w:val="001B1AB4"/>
    <w:rsid w:val="001C1408"/>
    <w:rsid w:val="001C2A35"/>
    <w:rsid w:val="001D231F"/>
    <w:rsid w:val="001F5595"/>
    <w:rsid w:val="00205A97"/>
    <w:rsid w:val="00207DB2"/>
    <w:rsid w:val="0021131F"/>
    <w:rsid w:val="00213B0F"/>
    <w:rsid w:val="0023207D"/>
    <w:rsid w:val="00232C23"/>
    <w:rsid w:val="00234E42"/>
    <w:rsid w:val="0023500D"/>
    <w:rsid w:val="0024361C"/>
    <w:rsid w:val="00247066"/>
    <w:rsid w:val="00254199"/>
    <w:rsid w:val="002557C5"/>
    <w:rsid w:val="002633A5"/>
    <w:rsid w:val="002744A6"/>
    <w:rsid w:val="00276946"/>
    <w:rsid w:val="00284BB6"/>
    <w:rsid w:val="002902C1"/>
    <w:rsid w:val="00292D0F"/>
    <w:rsid w:val="00293F73"/>
    <w:rsid w:val="002964F1"/>
    <w:rsid w:val="002A0807"/>
    <w:rsid w:val="002A7675"/>
    <w:rsid w:val="002B1E52"/>
    <w:rsid w:val="002B5148"/>
    <w:rsid w:val="002C2B1B"/>
    <w:rsid w:val="002D5BFD"/>
    <w:rsid w:val="002E17F4"/>
    <w:rsid w:val="002E4385"/>
    <w:rsid w:val="00301076"/>
    <w:rsid w:val="0030306D"/>
    <w:rsid w:val="003133E1"/>
    <w:rsid w:val="00315A14"/>
    <w:rsid w:val="00324547"/>
    <w:rsid w:val="00324AED"/>
    <w:rsid w:val="00327C2C"/>
    <w:rsid w:val="00335997"/>
    <w:rsid w:val="00336183"/>
    <w:rsid w:val="003370AA"/>
    <w:rsid w:val="00340D51"/>
    <w:rsid w:val="003417A1"/>
    <w:rsid w:val="00343D04"/>
    <w:rsid w:val="00345596"/>
    <w:rsid w:val="0034597B"/>
    <w:rsid w:val="00352FC9"/>
    <w:rsid w:val="003538D6"/>
    <w:rsid w:val="00355943"/>
    <w:rsid w:val="0035699D"/>
    <w:rsid w:val="0036001B"/>
    <w:rsid w:val="003642D0"/>
    <w:rsid w:val="003708D1"/>
    <w:rsid w:val="00386656"/>
    <w:rsid w:val="00397872"/>
    <w:rsid w:val="003A31FB"/>
    <w:rsid w:val="003A43AD"/>
    <w:rsid w:val="003B3F9D"/>
    <w:rsid w:val="003C1462"/>
    <w:rsid w:val="003D0832"/>
    <w:rsid w:val="003D621C"/>
    <w:rsid w:val="003E75F1"/>
    <w:rsid w:val="003F38A7"/>
    <w:rsid w:val="004010AF"/>
    <w:rsid w:val="004021E7"/>
    <w:rsid w:val="00405B14"/>
    <w:rsid w:val="00413602"/>
    <w:rsid w:val="00415933"/>
    <w:rsid w:val="004171CC"/>
    <w:rsid w:val="00424C95"/>
    <w:rsid w:val="00433399"/>
    <w:rsid w:val="0044291A"/>
    <w:rsid w:val="00443B6B"/>
    <w:rsid w:val="004513FD"/>
    <w:rsid w:val="00460163"/>
    <w:rsid w:val="00462545"/>
    <w:rsid w:val="0046284D"/>
    <w:rsid w:val="00481D87"/>
    <w:rsid w:val="00492BF6"/>
    <w:rsid w:val="004954E0"/>
    <w:rsid w:val="004974FB"/>
    <w:rsid w:val="004A5487"/>
    <w:rsid w:val="004C2832"/>
    <w:rsid w:val="004D4587"/>
    <w:rsid w:val="004D6794"/>
    <w:rsid w:val="004E0346"/>
    <w:rsid w:val="004E0E15"/>
    <w:rsid w:val="004E0EAD"/>
    <w:rsid w:val="004E4B2C"/>
    <w:rsid w:val="004E5B57"/>
    <w:rsid w:val="004E723D"/>
    <w:rsid w:val="004F5D0C"/>
    <w:rsid w:val="00501850"/>
    <w:rsid w:val="00502BE3"/>
    <w:rsid w:val="0050670E"/>
    <w:rsid w:val="00517C39"/>
    <w:rsid w:val="005210D7"/>
    <w:rsid w:val="005210E1"/>
    <w:rsid w:val="00522FE4"/>
    <w:rsid w:val="00524A09"/>
    <w:rsid w:val="005357F0"/>
    <w:rsid w:val="00560408"/>
    <w:rsid w:val="00561F82"/>
    <w:rsid w:val="00564646"/>
    <w:rsid w:val="0058609D"/>
    <w:rsid w:val="00590727"/>
    <w:rsid w:val="00590E5E"/>
    <w:rsid w:val="00595E43"/>
    <w:rsid w:val="00596F47"/>
    <w:rsid w:val="005A6A5C"/>
    <w:rsid w:val="005B7C05"/>
    <w:rsid w:val="005C1073"/>
    <w:rsid w:val="005C2EC1"/>
    <w:rsid w:val="005C3259"/>
    <w:rsid w:val="005C342E"/>
    <w:rsid w:val="005D117A"/>
    <w:rsid w:val="005D4B79"/>
    <w:rsid w:val="005E1806"/>
    <w:rsid w:val="005E2C8D"/>
    <w:rsid w:val="005E7A41"/>
    <w:rsid w:val="005F6C66"/>
    <w:rsid w:val="00604F0E"/>
    <w:rsid w:val="00607817"/>
    <w:rsid w:val="006118E4"/>
    <w:rsid w:val="00616668"/>
    <w:rsid w:val="006219EF"/>
    <w:rsid w:val="00644CBA"/>
    <w:rsid w:val="0064539F"/>
    <w:rsid w:val="0065387B"/>
    <w:rsid w:val="00665A02"/>
    <w:rsid w:val="00671C1F"/>
    <w:rsid w:val="00674855"/>
    <w:rsid w:val="00677DB0"/>
    <w:rsid w:val="00680B0F"/>
    <w:rsid w:val="0068763C"/>
    <w:rsid w:val="00695B06"/>
    <w:rsid w:val="006B3D97"/>
    <w:rsid w:val="006C2B88"/>
    <w:rsid w:val="006C3017"/>
    <w:rsid w:val="006C3ED5"/>
    <w:rsid w:val="006C673A"/>
    <w:rsid w:val="006D365C"/>
    <w:rsid w:val="006D39AE"/>
    <w:rsid w:val="006D74A5"/>
    <w:rsid w:val="006E52DC"/>
    <w:rsid w:val="006F7261"/>
    <w:rsid w:val="0072646E"/>
    <w:rsid w:val="0073246F"/>
    <w:rsid w:val="00732AED"/>
    <w:rsid w:val="00734DF3"/>
    <w:rsid w:val="00735070"/>
    <w:rsid w:val="007404F7"/>
    <w:rsid w:val="0074278F"/>
    <w:rsid w:val="00751662"/>
    <w:rsid w:val="00755E0B"/>
    <w:rsid w:val="00764FEE"/>
    <w:rsid w:val="00765FB3"/>
    <w:rsid w:val="00782F74"/>
    <w:rsid w:val="00786E22"/>
    <w:rsid w:val="00790A71"/>
    <w:rsid w:val="007961CF"/>
    <w:rsid w:val="00796B6E"/>
    <w:rsid w:val="007A29BA"/>
    <w:rsid w:val="007A37E8"/>
    <w:rsid w:val="007A5778"/>
    <w:rsid w:val="007A79D1"/>
    <w:rsid w:val="007B01D8"/>
    <w:rsid w:val="007D1EAB"/>
    <w:rsid w:val="007E0402"/>
    <w:rsid w:val="007F0CF7"/>
    <w:rsid w:val="007F5815"/>
    <w:rsid w:val="0080693E"/>
    <w:rsid w:val="00807102"/>
    <w:rsid w:val="008156D9"/>
    <w:rsid w:val="00826F56"/>
    <w:rsid w:val="0083250C"/>
    <w:rsid w:val="00843418"/>
    <w:rsid w:val="00845825"/>
    <w:rsid w:val="00853966"/>
    <w:rsid w:val="00853C5A"/>
    <w:rsid w:val="0085711F"/>
    <w:rsid w:val="00863A34"/>
    <w:rsid w:val="00877DB3"/>
    <w:rsid w:val="008808AD"/>
    <w:rsid w:val="00881676"/>
    <w:rsid w:val="00882500"/>
    <w:rsid w:val="0088601A"/>
    <w:rsid w:val="00890998"/>
    <w:rsid w:val="008925A2"/>
    <w:rsid w:val="008959C1"/>
    <w:rsid w:val="0089630B"/>
    <w:rsid w:val="00897BC6"/>
    <w:rsid w:val="008A6579"/>
    <w:rsid w:val="008C2E31"/>
    <w:rsid w:val="008D648D"/>
    <w:rsid w:val="008E4684"/>
    <w:rsid w:val="00905422"/>
    <w:rsid w:val="009054B3"/>
    <w:rsid w:val="0091060D"/>
    <w:rsid w:val="0092369C"/>
    <w:rsid w:val="009269DC"/>
    <w:rsid w:val="00940A84"/>
    <w:rsid w:val="00943FA8"/>
    <w:rsid w:val="00947716"/>
    <w:rsid w:val="00947747"/>
    <w:rsid w:val="00947E03"/>
    <w:rsid w:val="00955583"/>
    <w:rsid w:val="009555FC"/>
    <w:rsid w:val="00973BD8"/>
    <w:rsid w:val="00986153"/>
    <w:rsid w:val="00992860"/>
    <w:rsid w:val="00993163"/>
    <w:rsid w:val="009933CD"/>
    <w:rsid w:val="00996A9F"/>
    <w:rsid w:val="009A14E3"/>
    <w:rsid w:val="009A1731"/>
    <w:rsid w:val="009B52B4"/>
    <w:rsid w:val="009B7ACF"/>
    <w:rsid w:val="009B7AFD"/>
    <w:rsid w:val="009C2658"/>
    <w:rsid w:val="009C560A"/>
    <w:rsid w:val="009D05E6"/>
    <w:rsid w:val="009D16D9"/>
    <w:rsid w:val="009D1709"/>
    <w:rsid w:val="009D4F7B"/>
    <w:rsid w:val="009F0088"/>
    <w:rsid w:val="009F700A"/>
    <w:rsid w:val="00A0156C"/>
    <w:rsid w:val="00A069C4"/>
    <w:rsid w:val="00A1147B"/>
    <w:rsid w:val="00A116B9"/>
    <w:rsid w:val="00A1200E"/>
    <w:rsid w:val="00A12475"/>
    <w:rsid w:val="00A14213"/>
    <w:rsid w:val="00A1799B"/>
    <w:rsid w:val="00A2367D"/>
    <w:rsid w:val="00A25B21"/>
    <w:rsid w:val="00A30913"/>
    <w:rsid w:val="00A34810"/>
    <w:rsid w:val="00A36918"/>
    <w:rsid w:val="00A449D6"/>
    <w:rsid w:val="00A6162C"/>
    <w:rsid w:val="00A678FB"/>
    <w:rsid w:val="00A67AA5"/>
    <w:rsid w:val="00A732BF"/>
    <w:rsid w:val="00A8273B"/>
    <w:rsid w:val="00A86189"/>
    <w:rsid w:val="00A90896"/>
    <w:rsid w:val="00A9110C"/>
    <w:rsid w:val="00AA1072"/>
    <w:rsid w:val="00AA563E"/>
    <w:rsid w:val="00AA7C08"/>
    <w:rsid w:val="00AB43FE"/>
    <w:rsid w:val="00AB7D21"/>
    <w:rsid w:val="00AB7E73"/>
    <w:rsid w:val="00AC3394"/>
    <w:rsid w:val="00AD68D8"/>
    <w:rsid w:val="00AE2322"/>
    <w:rsid w:val="00AE3F1F"/>
    <w:rsid w:val="00AE66AF"/>
    <w:rsid w:val="00AF260A"/>
    <w:rsid w:val="00B031C1"/>
    <w:rsid w:val="00B03A0D"/>
    <w:rsid w:val="00B045D4"/>
    <w:rsid w:val="00B10346"/>
    <w:rsid w:val="00B15920"/>
    <w:rsid w:val="00B1737F"/>
    <w:rsid w:val="00B24159"/>
    <w:rsid w:val="00B246C9"/>
    <w:rsid w:val="00B26D80"/>
    <w:rsid w:val="00B30220"/>
    <w:rsid w:val="00B335EE"/>
    <w:rsid w:val="00B363E6"/>
    <w:rsid w:val="00B42553"/>
    <w:rsid w:val="00B45AE6"/>
    <w:rsid w:val="00B479F5"/>
    <w:rsid w:val="00B57D68"/>
    <w:rsid w:val="00B615D0"/>
    <w:rsid w:val="00B61940"/>
    <w:rsid w:val="00B6712E"/>
    <w:rsid w:val="00B73000"/>
    <w:rsid w:val="00B81CAE"/>
    <w:rsid w:val="00B8459D"/>
    <w:rsid w:val="00B84856"/>
    <w:rsid w:val="00B904DA"/>
    <w:rsid w:val="00B93EF8"/>
    <w:rsid w:val="00BA3369"/>
    <w:rsid w:val="00BA3D62"/>
    <w:rsid w:val="00BB0EEE"/>
    <w:rsid w:val="00BB1AD2"/>
    <w:rsid w:val="00BB3B5C"/>
    <w:rsid w:val="00BC1A1D"/>
    <w:rsid w:val="00BC7C25"/>
    <w:rsid w:val="00BD041D"/>
    <w:rsid w:val="00BD126A"/>
    <w:rsid w:val="00BD3068"/>
    <w:rsid w:val="00BF1B41"/>
    <w:rsid w:val="00C005E2"/>
    <w:rsid w:val="00C04844"/>
    <w:rsid w:val="00C20266"/>
    <w:rsid w:val="00C2200A"/>
    <w:rsid w:val="00C22C5C"/>
    <w:rsid w:val="00C3204C"/>
    <w:rsid w:val="00C34666"/>
    <w:rsid w:val="00C4115D"/>
    <w:rsid w:val="00C46F8A"/>
    <w:rsid w:val="00C53DAE"/>
    <w:rsid w:val="00C56484"/>
    <w:rsid w:val="00C56E68"/>
    <w:rsid w:val="00C61510"/>
    <w:rsid w:val="00C61BEE"/>
    <w:rsid w:val="00C655FD"/>
    <w:rsid w:val="00C70D96"/>
    <w:rsid w:val="00C719BC"/>
    <w:rsid w:val="00C765C3"/>
    <w:rsid w:val="00C82F57"/>
    <w:rsid w:val="00C843CA"/>
    <w:rsid w:val="00C8794E"/>
    <w:rsid w:val="00C87C9F"/>
    <w:rsid w:val="00C904D9"/>
    <w:rsid w:val="00C92A7A"/>
    <w:rsid w:val="00C945CD"/>
    <w:rsid w:val="00C9562B"/>
    <w:rsid w:val="00C9723A"/>
    <w:rsid w:val="00C97A7D"/>
    <w:rsid w:val="00CA1942"/>
    <w:rsid w:val="00CA2AAB"/>
    <w:rsid w:val="00CA3178"/>
    <w:rsid w:val="00CA6ADA"/>
    <w:rsid w:val="00CB68B2"/>
    <w:rsid w:val="00CB7A68"/>
    <w:rsid w:val="00CC186D"/>
    <w:rsid w:val="00CC4779"/>
    <w:rsid w:val="00CD5D1D"/>
    <w:rsid w:val="00CD7426"/>
    <w:rsid w:val="00CE2302"/>
    <w:rsid w:val="00CE708E"/>
    <w:rsid w:val="00CF3036"/>
    <w:rsid w:val="00D042A9"/>
    <w:rsid w:val="00D04856"/>
    <w:rsid w:val="00D10234"/>
    <w:rsid w:val="00D15AFD"/>
    <w:rsid w:val="00D27921"/>
    <w:rsid w:val="00D27C2C"/>
    <w:rsid w:val="00D32F26"/>
    <w:rsid w:val="00D33006"/>
    <w:rsid w:val="00D43F0D"/>
    <w:rsid w:val="00D45A07"/>
    <w:rsid w:val="00D50066"/>
    <w:rsid w:val="00D50A55"/>
    <w:rsid w:val="00D5435C"/>
    <w:rsid w:val="00D62122"/>
    <w:rsid w:val="00D621FB"/>
    <w:rsid w:val="00D726D1"/>
    <w:rsid w:val="00D93117"/>
    <w:rsid w:val="00D95D3F"/>
    <w:rsid w:val="00DA4732"/>
    <w:rsid w:val="00DA6DBC"/>
    <w:rsid w:val="00DA7EB8"/>
    <w:rsid w:val="00DB2C8C"/>
    <w:rsid w:val="00DC0DF1"/>
    <w:rsid w:val="00DC42CF"/>
    <w:rsid w:val="00DD0237"/>
    <w:rsid w:val="00DD144E"/>
    <w:rsid w:val="00DD1B16"/>
    <w:rsid w:val="00DD1C74"/>
    <w:rsid w:val="00DD3D57"/>
    <w:rsid w:val="00DD3E50"/>
    <w:rsid w:val="00DE1BDB"/>
    <w:rsid w:val="00DE243A"/>
    <w:rsid w:val="00DE4B38"/>
    <w:rsid w:val="00DE6752"/>
    <w:rsid w:val="00DF5811"/>
    <w:rsid w:val="00E00421"/>
    <w:rsid w:val="00E050EF"/>
    <w:rsid w:val="00E07405"/>
    <w:rsid w:val="00E12326"/>
    <w:rsid w:val="00E12EBD"/>
    <w:rsid w:val="00E17E02"/>
    <w:rsid w:val="00E33525"/>
    <w:rsid w:val="00E4526B"/>
    <w:rsid w:val="00E461DF"/>
    <w:rsid w:val="00E467E1"/>
    <w:rsid w:val="00E62120"/>
    <w:rsid w:val="00E70FE5"/>
    <w:rsid w:val="00E73DE8"/>
    <w:rsid w:val="00E74C50"/>
    <w:rsid w:val="00E8366B"/>
    <w:rsid w:val="00E906CD"/>
    <w:rsid w:val="00EA3C6E"/>
    <w:rsid w:val="00EB08C9"/>
    <w:rsid w:val="00EB7AB9"/>
    <w:rsid w:val="00EC239A"/>
    <w:rsid w:val="00EC35BC"/>
    <w:rsid w:val="00EC5962"/>
    <w:rsid w:val="00ED1B2D"/>
    <w:rsid w:val="00EE23A6"/>
    <w:rsid w:val="00EE66B8"/>
    <w:rsid w:val="00F01E3F"/>
    <w:rsid w:val="00F02491"/>
    <w:rsid w:val="00F025FD"/>
    <w:rsid w:val="00F02E92"/>
    <w:rsid w:val="00F02EC9"/>
    <w:rsid w:val="00F15AC7"/>
    <w:rsid w:val="00F16511"/>
    <w:rsid w:val="00F24373"/>
    <w:rsid w:val="00F3355C"/>
    <w:rsid w:val="00F411D9"/>
    <w:rsid w:val="00F43474"/>
    <w:rsid w:val="00F54464"/>
    <w:rsid w:val="00F54953"/>
    <w:rsid w:val="00F6728E"/>
    <w:rsid w:val="00F719AB"/>
    <w:rsid w:val="00F71F70"/>
    <w:rsid w:val="00F740BB"/>
    <w:rsid w:val="00F75F7C"/>
    <w:rsid w:val="00F76074"/>
    <w:rsid w:val="00F76586"/>
    <w:rsid w:val="00F92D03"/>
    <w:rsid w:val="00F962A7"/>
    <w:rsid w:val="00F97921"/>
    <w:rsid w:val="00FA20BE"/>
    <w:rsid w:val="00FA3234"/>
    <w:rsid w:val="00FA6B21"/>
    <w:rsid w:val="00FB3542"/>
    <w:rsid w:val="00FB531E"/>
    <w:rsid w:val="00FC419F"/>
    <w:rsid w:val="00FC619A"/>
    <w:rsid w:val="00FC6B4B"/>
    <w:rsid w:val="00FD40FE"/>
    <w:rsid w:val="00FD4129"/>
    <w:rsid w:val="00FD776B"/>
    <w:rsid w:val="00FE3488"/>
    <w:rsid w:val="00FE5241"/>
    <w:rsid w:val="00FE64EA"/>
    <w:rsid w:val="00FF6988"/>
    <w:rsid w:val="3B2376D1"/>
    <w:rsid w:val="3C9A5934"/>
    <w:rsid w:val="3D00782C"/>
    <w:rsid w:val="5B345AE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Cambria" w:hAnsi="Cambria"/>
      <w:b/>
      <w:bCs/>
      <w:kern w:val="0"/>
      <w:sz w:val="32"/>
      <w:szCs w:val="32"/>
    </w:rPr>
  </w:style>
  <w:style w:type="character" w:default="1" w:styleId="11">
    <w:name w:val="Default Paragraph Font"/>
    <w:unhideWhenUsed/>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27"/>
    <w:unhideWhenUsed/>
    <w:uiPriority w:val="0"/>
    <w:rPr>
      <w:b/>
      <w:bCs/>
      <w:kern w:val="2"/>
      <w:sz w:val="21"/>
    </w:rPr>
  </w:style>
  <w:style w:type="paragraph" w:styleId="5">
    <w:name w:val="annotation text"/>
    <w:basedOn w:val="1"/>
    <w:link w:val="25"/>
    <w:uiPriority w:val="0"/>
    <w:pPr>
      <w:jc w:val="left"/>
    </w:pPr>
    <w:rPr>
      <w:kern w:val="0"/>
      <w:sz w:val="20"/>
    </w:rPr>
  </w:style>
  <w:style w:type="paragraph" w:styleId="6">
    <w:name w:val="Body Text"/>
    <w:basedOn w:val="1"/>
    <w:link w:val="22"/>
    <w:uiPriority w:val="0"/>
    <w:pPr>
      <w:spacing w:after="120"/>
    </w:pPr>
    <w:rPr>
      <w:kern w:val="0"/>
      <w:sz w:val="20"/>
    </w:rPr>
  </w:style>
  <w:style w:type="paragraph" w:styleId="7">
    <w:name w:val="Balloon Text"/>
    <w:basedOn w:val="1"/>
    <w:link w:val="26"/>
    <w:unhideWhenUsed/>
    <w:uiPriority w:val="99"/>
    <w:rPr>
      <w:kern w:val="0"/>
      <w:sz w:val="18"/>
      <w:szCs w:val="18"/>
    </w:rPr>
  </w:style>
  <w:style w:type="paragraph" w:styleId="8">
    <w:name w:val="footer"/>
    <w:basedOn w:val="1"/>
    <w:link w:val="24"/>
    <w:unhideWhenUsed/>
    <w:uiPriority w:val="99"/>
    <w:pPr>
      <w:tabs>
        <w:tab w:val="center" w:pos="4153"/>
        <w:tab w:val="right" w:pos="8306"/>
      </w:tabs>
      <w:snapToGrid w:val="0"/>
      <w:jc w:val="left"/>
    </w:pPr>
    <w:rPr>
      <w:kern w:val="0"/>
      <w:sz w:val="18"/>
      <w:szCs w:val="18"/>
    </w:rPr>
  </w:style>
  <w:style w:type="paragraph" w:styleId="9">
    <w:name w:val="header"/>
    <w:basedOn w:val="1"/>
    <w:link w:val="23"/>
    <w:unhideWhenUsed/>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link w:val="20"/>
    <w:uiPriority w:val="0"/>
    <w:pPr>
      <w:snapToGrid w:val="0"/>
      <w:jc w:val="left"/>
    </w:pPr>
    <w:rPr>
      <w:kern w:val="0"/>
      <w:sz w:val="18"/>
      <w:szCs w:val="18"/>
    </w:rPr>
  </w:style>
  <w:style w:type="character" w:styleId="12">
    <w:name w:val="annotation reference"/>
    <w:uiPriority w:val="0"/>
    <w:rPr>
      <w:sz w:val="21"/>
      <w:szCs w:val="21"/>
    </w:rPr>
  </w:style>
  <w:style w:type="character" w:styleId="13">
    <w:name w:val="footnote reference"/>
    <w:uiPriority w:val="0"/>
    <w:rPr>
      <w:vertAlign w:val="superscript"/>
    </w:rPr>
  </w:style>
  <w:style w:type="paragraph" w:customStyle="1" w:styleId="15">
    <w:name w:val="样式 标题 2 + Times New Roman 四号 非加粗 段前: 5 磅 段后: 0 磅 行距: 固定值 20..."/>
    <w:basedOn w:val="3"/>
    <w:uiPriority w:val="0"/>
    <w:pPr>
      <w:spacing w:before="100" w:after="0" w:line="400" w:lineRule="exact"/>
    </w:pPr>
    <w:rPr>
      <w:rFonts w:ascii="Times New Roman" w:hAnsi="Times New Roman" w:eastAsia="黑体" w:cs="宋体"/>
      <w:b w:val="0"/>
      <w:bCs w:val="0"/>
      <w:sz w:val="28"/>
      <w:szCs w:val="20"/>
    </w:rPr>
  </w:style>
  <w:style w:type="paragraph" w:customStyle="1" w:styleId="16">
    <w:name w:val="普通 (Web)"/>
    <w:uiPriority w:val="0"/>
    <w:pPr>
      <w:spacing w:before="100" w:after="100"/>
    </w:pPr>
    <w:rPr>
      <w:rFonts w:ascii="宋体" w:hAnsi="Times New Roman" w:eastAsia="宋体" w:cs="Times New Roman"/>
      <w:sz w:val="24"/>
      <w:lang w:val="en-US" w:eastAsia="zh-CN" w:bidi="ar-SA"/>
    </w:rPr>
  </w:style>
  <w:style w:type="paragraph" w:customStyle="1" w:styleId="17">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8">
    <w:name w:val="样式"/>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19">
    <w:name w:val="标题 1 Char"/>
    <w:link w:val="2"/>
    <w:uiPriority w:val="0"/>
    <w:rPr>
      <w:rFonts w:ascii="Times New Roman" w:hAnsi="Times New Roman" w:eastAsia="宋体" w:cs="Times New Roman"/>
      <w:b/>
      <w:bCs/>
      <w:kern w:val="44"/>
      <w:sz w:val="44"/>
      <w:szCs w:val="44"/>
    </w:rPr>
  </w:style>
  <w:style w:type="character" w:customStyle="1" w:styleId="20">
    <w:name w:val="脚注文本 Char"/>
    <w:link w:val="10"/>
    <w:uiPriority w:val="0"/>
    <w:rPr>
      <w:rFonts w:ascii="Times New Roman" w:hAnsi="Times New Roman" w:eastAsia="宋体" w:cs="Times New Roman"/>
      <w:sz w:val="18"/>
      <w:szCs w:val="18"/>
    </w:rPr>
  </w:style>
  <w:style w:type="character" w:customStyle="1" w:styleId="21">
    <w:name w:val="标题 2 Char"/>
    <w:link w:val="3"/>
    <w:semiHidden/>
    <w:uiPriority w:val="9"/>
    <w:rPr>
      <w:rFonts w:ascii="Cambria" w:hAnsi="Cambria" w:eastAsia="宋体" w:cs="黑体"/>
      <w:b/>
      <w:bCs/>
      <w:sz w:val="32"/>
      <w:szCs w:val="32"/>
    </w:rPr>
  </w:style>
  <w:style w:type="character" w:customStyle="1" w:styleId="22">
    <w:name w:val="正文文本 Char"/>
    <w:link w:val="6"/>
    <w:uiPriority w:val="0"/>
    <w:rPr>
      <w:rFonts w:ascii="Times New Roman" w:hAnsi="Times New Roman" w:eastAsia="宋体" w:cs="Times New Roman"/>
      <w:szCs w:val="24"/>
    </w:rPr>
  </w:style>
  <w:style w:type="character" w:customStyle="1" w:styleId="23">
    <w:name w:val="页眉 Char"/>
    <w:link w:val="9"/>
    <w:uiPriority w:val="99"/>
    <w:rPr>
      <w:rFonts w:ascii="Times New Roman" w:hAnsi="Times New Roman" w:eastAsia="宋体" w:cs="Times New Roman"/>
      <w:sz w:val="18"/>
      <w:szCs w:val="18"/>
    </w:rPr>
  </w:style>
  <w:style w:type="character" w:customStyle="1" w:styleId="24">
    <w:name w:val="页脚 Char"/>
    <w:link w:val="8"/>
    <w:uiPriority w:val="99"/>
    <w:rPr>
      <w:rFonts w:ascii="Times New Roman" w:hAnsi="Times New Roman" w:eastAsia="宋体" w:cs="Times New Roman"/>
      <w:sz w:val="18"/>
      <w:szCs w:val="18"/>
    </w:rPr>
  </w:style>
  <w:style w:type="character" w:customStyle="1" w:styleId="25">
    <w:name w:val="批注文字 Char"/>
    <w:link w:val="5"/>
    <w:uiPriority w:val="0"/>
    <w:rPr>
      <w:rFonts w:ascii="Times New Roman" w:hAnsi="Times New Roman" w:eastAsia="宋体" w:cs="Times New Roman"/>
      <w:szCs w:val="24"/>
    </w:rPr>
  </w:style>
  <w:style w:type="character" w:customStyle="1" w:styleId="26">
    <w:name w:val="批注框文本 Char"/>
    <w:link w:val="7"/>
    <w:semiHidden/>
    <w:uiPriority w:val="99"/>
    <w:rPr>
      <w:rFonts w:ascii="Times New Roman" w:hAnsi="Times New Roman" w:eastAsia="宋体" w:cs="Times New Roman"/>
      <w:sz w:val="18"/>
      <w:szCs w:val="18"/>
    </w:rPr>
  </w:style>
  <w:style w:type="character" w:customStyle="1" w:styleId="27">
    <w:name w:val="批注主题 Char"/>
    <w:link w:val="4"/>
    <w:semiHidden/>
    <w:uiPriority w:val="0"/>
    <w:rPr>
      <w:rFonts w:ascii="Times New Roman" w:hAnsi="Times New Roman" w:eastAsia="宋体" w:cs="Times New Roman"/>
      <w:b/>
      <w:bCs/>
      <w:kern w:val="2"/>
      <w:sz w:val="21"/>
      <w:szCs w:val="24"/>
    </w:rPr>
  </w:style>
  <w:style w:type="paragraph" w:customStyle="1" w:styleId="28">
    <w:name w:val="参数"/>
    <w:basedOn w:val="1"/>
    <w:link w:val="29"/>
    <w:qFormat/>
    <w:uiPriority w:val="0"/>
    <w:rPr>
      <w:rFonts w:ascii="Calibri" w:hAnsi="Calibri"/>
    </w:rPr>
  </w:style>
  <w:style w:type="character" w:customStyle="1" w:styleId="29">
    <w:name w:val="参数 Char"/>
    <w:link w:val="28"/>
    <w:uiPriority w:val="0"/>
    <w:rPr>
      <w:rFonts w:ascii="Calibri" w:hAnsi="Calibri"/>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1323</Words>
  <Characters>7543</Characters>
  <Lines>62</Lines>
  <Paragraphs>17</Paragraphs>
  <TotalTime>0</TotalTime>
  <ScaleCrop>false</ScaleCrop>
  <LinksUpToDate>false</LinksUpToDate>
  <CharactersWithSpaces>8849</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2014-04-15T06:32:00Z</dcterms:created>
  <dc:creator>qzy3472</dc:creator>
  <cp:lastModifiedBy>%E5%BC%A0%E7%99%BB%E5%B1%B1</cp:lastModifiedBy>
  <dcterms:modified xsi:type="dcterms:W3CDTF">2017-06-27T08:22:38Z</dcterms:modified>
  <dc:title>设备技术要求</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