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szCs w:val="48"/>
          <w:highlight w:val="none"/>
        </w:rPr>
      </w:pPr>
      <w:r>
        <w:rPr>
          <w:rFonts w:hint="eastAsia"/>
          <w:b/>
          <w:sz w:val="48"/>
          <w:szCs w:val="48"/>
          <w:highlight w:val="none"/>
        </w:rPr>
        <w:t>设备购置技术标书审批表</w:t>
      </w:r>
    </w:p>
    <w:tbl>
      <w:tblPr>
        <w:tblStyle w:val="16"/>
        <w:tblW w:w="928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3"/>
        <w:gridCol w:w="3008"/>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96" w:hRule="atLeast"/>
        </w:trPr>
        <w:tc>
          <w:tcPr>
            <w:tcW w:w="2243" w:type="dxa"/>
            <w:vAlign w:val="center"/>
          </w:tcPr>
          <w:p>
            <w:pPr>
              <w:jc w:val="center"/>
              <w:rPr>
                <w:rFonts w:ascii="仿宋_GB2312" w:eastAsia="仿宋_GB2312"/>
                <w:sz w:val="32"/>
                <w:szCs w:val="32"/>
                <w:highlight w:val="none"/>
              </w:rPr>
            </w:pPr>
            <w:r>
              <w:rPr>
                <w:rFonts w:hint="eastAsia" w:ascii="仿宋_GB2312" w:eastAsia="仿宋_GB2312"/>
                <w:sz w:val="32"/>
                <w:szCs w:val="32"/>
                <w:highlight w:val="none"/>
              </w:rPr>
              <w:t>设备名称</w:t>
            </w:r>
          </w:p>
        </w:tc>
        <w:tc>
          <w:tcPr>
            <w:tcW w:w="3008" w:type="dxa"/>
            <w:vAlign w:val="center"/>
          </w:tcPr>
          <w:p>
            <w:pPr>
              <w:jc w:val="center"/>
              <w:rPr>
                <w:rFonts w:hint="eastAsia" w:ascii="仿宋_GB2312" w:eastAsia="仿宋_GB2312"/>
                <w:sz w:val="32"/>
                <w:szCs w:val="32"/>
                <w:highlight w:val="none"/>
                <w:lang w:eastAsia="zh-CN"/>
              </w:rPr>
            </w:pPr>
            <w:r>
              <w:rPr>
                <w:rFonts w:hint="eastAsia" w:ascii="宋体" w:hAnsi="宋体" w:eastAsia="仿宋_GB2312" w:cs="宋体"/>
                <w:b/>
                <w:bCs/>
                <w:color w:val="000000"/>
                <w:kern w:val="0"/>
                <w:sz w:val="20"/>
                <w:szCs w:val="20"/>
                <w:highlight w:val="none"/>
                <w:lang w:val="en-US" w:eastAsia="zh-CN"/>
              </w:rPr>
              <w:t>科技大厦信息发布系统</w:t>
            </w:r>
          </w:p>
        </w:tc>
        <w:tc>
          <w:tcPr>
            <w:tcW w:w="1990" w:type="dxa"/>
            <w:vAlign w:val="center"/>
          </w:tcPr>
          <w:p>
            <w:pPr>
              <w:ind w:right="480"/>
              <w:rPr>
                <w:rFonts w:ascii="仿宋_GB2312" w:eastAsia="仿宋_GB2312"/>
                <w:sz w:val="32"/>
                <w:szCs w:val="32"/>
                <w:highlight w:val="none"/>
              </w:rPr>
            </w:pPr>
            <w:r>
              <w:rPr>
                <w:rFonts w:hint="eastAsia" w:ascii="仿宋_GB2312" w:eastAsia="仿宋_GB2312"/>
                <w:sz w:val="32"/>
                <w:szCs w:val="32"/>
                <w:highlight w:val="none"/>
              </w:rPr>
              <w:t>购置数量</w:t>
            </w:r>
          </w:p>
        </w:tc>
        <w:tc>
          <w:tcPr>
            <w:tcW w:w="2047" w:type="dxa"/>
            <w:vAlign w:val="center"/>
          </w:tcPr>
          <w:p>
            <w:pPr>
              <w:jc w:val="center"/>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trPr>
        <w:tc>
          <w:tcPr>
            <w:tcW w:w="2243" w:type="dxa"/>
            <w:vAlign w:val="center"/>
          </w:tcPr>
          <w:p>
            <w:pPr>
              <w:jc w:val="center"/>
              <w:rPr>
                <w:rFonts w:ascii="仿宋_GB2312" w:eastAsia="仿宋_GB2312"/>
                <w:sz w:val="32"/>
                <w:szCs w:val="32"/>
                <w:highlight w:val="none"/>
              </w:rPr>
            </w:pPr>
            <w:r>
              <w:rPr>
                <w:rFonts w:hint="eastAsia" w:ascii="仿宋_GB2312" w:eastAsia="仿宋_GB2312"/>
                <w:sz w:val="32"/>
                <w:szCs w:val="32"/>
                <w:highlight w:val="none"/>
              </w:rPr>
              <w:t>计划来源</w:t>
            </w:r>
          </w:p>
        </w:tc>
        <w:tc>
          <w:tcPr>
            <w:tcW w:w="7045" w:type="dxa"/>
            <w:gridSpan w:val="3"/>
            <w:vAlign w:val="center"/>
          </w:tcPr>
          <w:p>
            <w:pPr>
              <w:rPr>
                <w:rFonts w:ascii="仿宋_GB2312" w:eastAsia="仿宋_GB2312"/>
                <w:color w:val="FF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0" w:hRule="atLeast"/>
        </w:trPr>
        <w:tc>
          <w:tcPr>
            <w:tcW w:w="2243" w:type="dxa"/>
            <w:vAlign w:val="center"/>
          </w:tcPr>
          <w:p>
            <w:pPr>
              <w:jc w:val="center"/>
              <w:rPr>
                <w:rFonts w:ascii="仿宋_GB2312" w:eastAsia="仿宋_GB2312"/>
                <w:sz w:val="32"/>
                <w:szCs w:val="32"/>
                <w:highlight w:val="none"/>
              </w:rPr>
            </w:pPr>
            <w:r>
              <w:rPr>
                <w:rFonts w:hint="eastAsia" w:ascii="仿宋_GB2312" w:eastAsia="仿宋_GB2312"/>
                <w:sz w:val="32"/>
                <w:szCs w:val="32"/>
                <w:highlight w:val="none"/>
              </w:rPr>
              <w:t>主要</w:t>
            </w:r>
            <w:bookmarkStart w:id="1" w:name="_GoBack"/>
            <w:bookmarkEnd w:id="1"/>
            <w:r>
              <w:rPr>
                <w:rFonts w:hint="eastAsia" w:ascii="仿宋_GB2312" w:eastAsia="仿宋_GB2312"/>
                <w:sz w:val="32"/>
                <w:szCs w:val="32"/>
                <w:highlight w:val="none"/>
              </w:rPr>
              <w:t>技术参数</w:t>
            </w:r>
          </w:p>
        </w:tc>
        <w:tc>
          <w:tcPr>
            <w:tcW w:w="7045" w:type="dxa"/>
            <w:gridSpan w:val="3"/>
            <w:vAlign w:val="center"/>
          </w:tcPr>
          <w:p>
            <w:pPr>
              <w:numPr>
                <w:ilvl w:val="0"/>
                <w:numId w:val="1"/>
              </w:num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信息发布平台技术参数:</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1.1支持预览播放画面，监控节目及播放状态。</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1.2实现定时远程开关机管理维护，定时或紧急插入发布节目或内容。</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Theme="minorEastAsia" w:hAnsiTheme="minorEastAsia" w:eastAsiaTheme="minorEastAsia" w:cstheme="minorEastAsia"/>
                <w:b/>
                <w:bCs/>
                <w:sz w:val="21"/>
                <w:szCs w:val="21"/>
                <w:highlight w:val="none"/>
              </w:rPr>
            </w:pPr>
            <w:r>
              <w:rPr>
                <w:rFonts w:hint="eastAsia" w:ascii="宋体" w:hAnsi="宋体"/>
                <w:b w:val="0"/>
                <w:bCs/>
                <w:sz w:val="24"/>
                <w:highlight w:val="none"/>
                <w:lang w:val="en-US" w:eastAsia="zh-CN"/>
              </w:rPr>
              <w:t>1.3基于TCP/IP网络的控制管理和发布，含远程指令模块。</w:t>
            </w:r>
          </w:p>
          <w:p>
            <w:pPr>
              <w:numPr>
                <w:ilvl w:val="0"/>
                <w:numId w:val="1"/>
              </w:num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接口预留集成技术参数:</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Theme="minorEastAsia" w:hAnsiTheme="minorEastAsia" w:eastAsiaTheme="minorEastAsia" w:cstheme="minorEastAsia"/>
                <w:b/>
                <w:bCs/>
                <w:sz w:val="21"/>
                <w:szCs w:val="21"/>
                <w:highlight w:val="none"/>
              </w:rPr>
            </w:pPr>
            <w:r>
              <w:rPr>
                <w:rFonts w:hint="eastAsia" w:ascii="宋体" w:hAnsi="宋体"/>
                <w:b w:val="0"/>
                <w:bCs/>
                <w:sz w:val="24"/>
                <w:highlight w:val="none"/>
                <w:lang w:val="en-US" w:eastAsia="zh-CN"/>
              </w:rPr>
              <w:t>系统采用开放式接口，并根据需要，灵活地增加其它功能，可以接入进来更多的复杂应用，包括OA办公系统、交互式触摸查询系统、排队叫号系统等。</w:t>
            </w:r>
          </w:p>
          <w:p>
            <w:pPr>
              <w:numPr>
                <w:ilvl w:val="0"/>
                <w:numId w:val="1"/>
              </w:num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服务器技术参数:</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3.1 CPU：至强Xeon-E5 ，两颗E5-2609V4</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3.2内存类型：Non-ECC，2根8GB，实现双通道；</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3.3 独立显卡：K420 2GB</w:t>
            </w:r>
          </w:p>
          <w:p>
            <w:pPr>
              <w:rPr>
                <w:rFonts w:hint="eastAsia" w:asciiTheme="minorEastAsia" w:hAnsiTheme="minorEastAsia" w:eastAsiaTheme="minorEastAsia" w:cstheme="minorEastAsia"/>
                <w:b/>
                <w:bCs/>
                <w:sz w:val="21"/>
                <w:szCs w:val="21"/>
                <w:highlight w:val="none"/>
              </w:rPr>
            </w:pPr>
          </w:p>
          <w:p>
            <w:pPr>
              <w:numPr>
                <w:ilvl w:val="0"/>
                <w:numId w:val="1"/>
              </w:num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媒体播放机技术参数:</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4.1 支持32位真色彩，最大支持2048×1536@32bpp色支持VGA+HDMI双显示；</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4.2 处理器：Intel D2550双核低功耗处理器；</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Theme="minorEastAsia" w:hAnsiTheme="minorEastAsia" w:eastAsiaTheme="minorEastAsia" w:cstheme="minorEastAsia"/>
                <w:b/>
                <w:bCs/>
                <w:sz w:val="21"/>
                <w:szCs w:val="21"/>
                <w:highlight w:val="none"/>
              </w:rPr>
            </w:pPr>
            <w:r>
              <w:rPr>
                <w:rFonts w:hint="eastAsia" w:ascii="宋体" w:hAnsi="宋体"/>
                <w:b w:val="0"/>
                <w:bCs/>
                <w:sz w:val="24"/>
                <w:highlight w:val="none"/>
                <w:lang w:val="en-US" w:eastAsia="zh-CN"/>
              </w:rPr>
              <w:t>4.3 内存容量：不少于2GB DDRIII 1333；</w:t>
            </w:r>
          </w:p>
          <w:p>
            <w:pPr>
              <w:rPr>
                <w:rFonts w:hint="eastAsia" w:asciiTheme="minorEastAsia" w:hAnsiTheme="minorEastAsia" w:eastAsiaTheme="minorEastAsia" w:cstheme="minorEastAsia"/>
                <w:b/>
                <w:bCs/>
                <w:sz w:val="21"/>
                <w:szCs w:val="21"/>
                <w:highlight w:val="none"/>
              </w:rPr>
            </w:pPr>
          </w:p>
          <w:p>
            <w:pPr>
              <w:numPr>
                <w:ilvl w:val="0"/>
                <w:numId w:val="1"/>
              </w:num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液晶显示器技术参数:</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5.1 支持壁挂；</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5.2尺寸：21.5英寸；</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5.3分辨率：1920*1080（全高清）；</w:t>
            </w:r>
          </w:p>
          <w:p>
            <w:pPr>
              <w:numPr>
                <w:ilvl w:val="0"/>
                <w:numId w:val="0"/>
              </w:numPr>
              <w:rPr>
                <w:rFonts w:hint="eastAsia" w:asciiTheme="minorEastAsia" w:hAnsiTheme="minorEastAsia" w:eastAsiaTheme="minorEastAsia" w:cstheme="minorEastAsia"/>
                <w:b/>
                <w:bCs/>
                <w:sz w:val="21"/>
                <w:szCs w:val="21"/>
                <w:highlight w:val="none"/>
              </w:rPr>
            </w:pPr>
          </w:p>
          <w:p>
            <w:pPr>
              <w:rPr>
                <w:rFonts w:hint="eastAsia" w:asciiTheme="minorEastAsia" w:hAnsiTheme="minorEastAsia" w:eastAsiaTheme="minorEastAsia" w:cstheme="minorEastAsia"/>
                <w:b/>
                <w:bCs/>
                <w:sz w:val="21"/>
                <w:szCs w:val="21"/>
                <w:highlight w:val="none"/>
              </w:rPr>
            </w:pPr>
          </w:p>
          <w:p>
            <w:pPr>
              <w:numPr>
                <w:ilvl w:val="0"/>
                <w:numId w:val="1"/>
              </w:num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交换机技术参数:</w:t>
            </w:r>
          </w:p>
          <w:p>
            <w:pPr>
              <w:widowControl w:val="0"/>
              <w:numPr>
                <w:ilvl w:val="0"/>
                <w:numId w:val="0"/>
              </w:numPr>
              <w:jc w:val="both"/>
              <w:rPr>
                <w:rFonts w:hint="eastAsia" w:asciiTheme="minorEastAsia" w:hAnsiTheme="minorEastAsia" w:eastAsiaTheme="minorEastAsia" w:cstheme="minorEastAsia"/>
                <w:b/>
                <w:bCs/>
                <w:sz w:val="21"/>
                <w:szCs w:val="21"/>
                <w:highlight w:val="none"/>
              </w:rPr>
            </w:pP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6.1交换容量≥598Gbps</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6.2转发性能≥168Mpps</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6.3接口要求：至少24个10/100/1000Base-T以太网端口,4个复用的千兆Combo SFP，4个千兆SFP</w:t>
            </w:r>
          </w:p>
          <w:p>
            <w:pPr>
              <w:widowControl w:val="0"/>
              <w:numPr>
                <w:ilvl w:val="0"/>
                <w:numId w:val="0"/>
              </w:numPr>
              <w:jc w:val="both"/>
              <w:rPr>
                <w:rFonts w:hint="eastAsia" w:asciiTheme="minorEastAsia" w:hAnsiTheme="minorEastAsia" w:eastAsiaTheme="minorEastAsia" w:cstheme="minorEastAsia"/>
                <w:b/>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5" w:hRule="atLeast"/>
        </w:trPr>
        <w:tc>
          <w:tcPr>
            <w:tcW w:w="2243" w:type="dxa"/>
            <w:vAlign w:val="center"/>
          </w:tcPr>
          <w:p>
            <w:pPr>
              <w:jc w:val="center"/>
              <w:rPr>
                <w:rFonts w:ascii="仿宋_GB2312" w:eastAsia="仿宋_GB2312"/>
                <w:sz w:val="32"/>
                <w:szCs w:val="32"/>
                <w:highlight w:val="none"/>
              </w:rPr>
            </w:pPr>
            <w:r>
              <w:rPr>
                <w:rFonts w:hint="eastAsia" w:ascii="仿宋_GB2312" w:eastAsia="仿宋_GB2312"/>
                <w:sz w:val="32"/>
                <w:szCs w:val="32"/>
                <w:highlight w:val="none"/>
              </w:rPr>
              <w:t>项目提报部门</w:t>
            </w:r>
          </w:p>
        </w:tc>
        <w:tc>
          <w:tcPr>
            <w:tcW w:w="7045" w:type="dxa"/>
            <w:gridSpan w:val="3"/>
            <w:vAlign w:val="center"/>
          </w:tcPr>
          <w:p>
            <w:pPr>
              <w:rPr>
                <w:rFonts w:ascii="仿宋_GB2312" w:eastAsia="仿宋_GB231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5" w:hRule="atLeast"/>
        </w:trPr>
        <w:tc>
          <w:tcPr>
            <w:tcW w:w="2243" w:type="dxa"/>
            <w:vAlign w:val="center"/>
          </w:tcPr>
          <w:p>
            <w:pPr>
              <w:jc w:val="center"/>
              <w:rPr>
                <w:rFonts w:ascii="仿宋_GB2312" w:eastAsia="仿宋_GB2312"/>
                <w:sz w:val="32"/>
                <w:szCs w:val="32"/>
                <w:highlight w:val="none"/>
              </w:rPr>
            </w:pPr>
            <w:r>
              <w:rPr>
                <w:rFonts w:hint="eastAsia" w:ascii="仿宋_GB2312" w:eastAsia="仿宋_GB2312"/>
                <w:sz w:val="32"/>
                <w:szCs w:val="32"/>
                <w:highlight w:val="none"/>
              </w:rPr>
              <w:t>审批部门</w:t>
            </w:r>
          </w:p>
        </w:tc>
        <w:tc>
          <w:tcPr>
            <w:tcW w:w="7045" w:type="dxa"/>
            <w:gridSpan w:val="3"/>
            <w:vAlign w:val="center"/>
          </w:tcPr>
          <w:p>
            <w:pPr>
              <w:rPr>
                <w:rFonts w:ascii="仿宋_GB2312" w:eastAsia="仿宋_GB2312"/>
                <w:sz w:val="24"/>
                <w:highlight w:val="none"/>
              </w:rPr>
            </w:pPr>
          </w:p>
        </w:tc>
      </w:tr>
    </w:tbl>
    <w:p>
      <w:pPr>
        <w:jc w:val="center"/>
        <w:rPr>
          <w:rFonts w:hint="eastAsia"/>
          <w:b/>
          <w:sz w:val="48"/>
          <w:szCs w:val="48"/>
          <w:highlight w:val="none"/>
        </w:rPr>
      </w:pPr>
    </w:p>
    <w:p>
      <w:pPr>
        <w:pStyle w:val="7"/>
        <w:spacing w:before="156" w:beforeLines="50" w:after="156" w:afterLines="50"/>
        <w:jc w:val="center"/>
        <w:outlineLvl w:val="0"/>
        <w:rPr>
          <w:rFonts w:hint="eastAsia" w:ascii="黑体" w:hAnsi="宋体" w:eastAsia="黑体" w:cs="宋体"/>
          <w:sz w:val="32"/>
          <w:szCs w:val="32"/>
          <w:highlight w:val="none"/>
        </w:rPr>
      </w:pPr>
    </w:p>
    <w:p>
      <w:pPr>
        <w:pStyle w:val="7"/>
        <w:spacing w:before="156" w:beforeLines="50" w:after="156" w:afterLines="50"/>
        <w:jc w:val="center"/>
        <w:outlineLvl w:val="0"/>
        <w:rPr>
          <w:rFonts w:hint="eastAsia" w:ascii="黑体" w:hAnsi="宋体" w:eastAsia="黑体" w:cs="宋体"/>
          <w:sz w:val="32"/>
          <w:szCs w:val="32"/>
          <w:highlight w:val="none"/>
        </w:rPr>
      </w:pPr>
    </w:p>
    <w:p>
      <w:pPr>
        <w:pStyle w:val="7"/>
        <w:spacing w:before="156" w:beforeLines="50" w:after="156" w:afterLines="50"/>
        <w:jc w:val="center"/>
        <w:outlineLvl w:val="0"/>
        <w:rPr>
          <w:rFonts w:ascii="黑体" w:hAnsi="宋体" w:eastAsia="黑体" w:cs="宋体"/>
          <w:sz w:val="32"/>
          <w:szCs w:val="32"/>
          <w:highlight w:val="none"/>
        </w:rPr>
      </w:pPr>
      <w:r>
        <w:rPr>
          <w:rFonts w:hint="eastAsia" w:ascii="黑体" w:hAnsi="宋体" w:eastAsia="黑体" w:cs="宋体"/>
          <w:sz w:val="32"/>
          <w:szCs w:val="32"/>
          <w:highlight w:val="none"/>
        </w:rPr>
        <w:t>科技大厦信息发布系统招标技术要求</w:t>
      </w:r>
    </w:p>
    <w:p>
      <w:pPr>
        <w:pStyle w:val="7"/>
        <w:spacing w:before="156" w:beforeLines="50" w:after="156" w:afterLines="50"/>
        <w:jc w:val="center"/>
        <w:outlineLvl w:val="0"/>
        <w:rPr>
          <w:rFonts w:hAnsi="宋体"/>
          <w:color w:val="000000"/>
          <w:sz w:val="24"/>
          <w:highlight w:val="none"/>
        </w:rPr>
      </w:pPr>
    </w:p>
    <w:p>
      <w:pPr>
        <w:tabs>
          <w:tab w:val="left" w:pos="2340"/>
        </w:tabs>
        <w:spacing w:line="360" w:lineRule="auto"/>
        <w:ind w:firstLine="480" w:firstLineChars="200"/>
        <w:jc w:val="left"/>
        <w:rPr>
          <w:rFonts w:ascii="宋体"/>
          <w:sz w:val="24"/>
          <w:highlight w:val="none"/>
        </w:rPr>
      </w:pPr>
    </w:p>
    <w:p>
      <w:pPr>
        <w:tabs>
          <w:tab w:val="left" w:pos="2340"/>
        </w:tabs>
        <w:spacing w:line="360" w:lineRule="auto"/>
        <w:ind w:firstLine="480" w:firstLineChars="200"/>
        <w:jc w:val="left"/>
        <w:rPr>
          <w:rFonts w:ascii="宋体"/>
          <w:sz w:val="24"/>
          <w:highlight w:val="none"/>
        </w:rPr>
      </w:pPr>
    </w:p>
    <w:p>
      <w:pPr>
        <w:tabs>
          <w:tab w:val="left" w:pos="2340"/>
        </w:tabs>
        <w:spacing w:line="360" w:lineRule="auto"/>
        <w:ind w:firstLine="480" w:firstLineChars="200"/>
        <w:jc w:val="left"/>
        <w:rPr>
          <w:rFonts w:ascii="宋体"/>
          <w:sz w:val="24"/>
          <w:highlight w:val="none"/>
        </w:rPr>
      </w:pPr>
      <w:r>
        <w:rPr>
          <w:rFonts w:hint="eastAsia" w:ascii="宋体"/>
          <w:sz w:val="24"/>
          <w:highlight w:val="none"/>
        </w:rPr>
        <w:t>第一节  供货范围、技术规格、参数与要求</w:t>
      </w:r>
    </w:p>
    <w:p>
      <w:pPr>
        <w:tabs>
          <w:tab w:val="left" w:pos="2340"/>
        </w:tabs>
        <w:spacing w:line="360" w:lineRule="auto"/>
        <w:ind w:firstLine="480" w:firstLineChars="200"/>
        <w:jc w:val="left"/>
        <w:rPr>
          <w:rFonts w:ascii="宋体"/>
          <w:sz w:val="24"/>
          <w:highlight w:val="none"/>
        </w:rPr>
      </w:pPr>
      <w:r>
        <w:rPr>
          <w:rFonts w:hint="eastAsia" w:ascii="宋体"/>
          <w:sz w:val="24"/>
          <w:highlight w:val="none"/>
        </w:rPr>
        <w:t>第二节  备件和工具</w:t>
      </w:r>
    </w:p>
    <w:p>
      <w:pPr>
        <w:tabs>
          <w:tab w:val="left" w:pos="2340"/>
        </w:tabs>
        <w:spacing w:line="360" w:lineRule="auto"/>
        <w:ind w:firstLine="480" w:firstLineChars="200"/>
        <w:jc w:val="left"/>
        <w:rPr>
          <w:rFonts w:ascii="宋体"/>
          <w:sz w:val="24"/>
          <w:highlight w:val="none"/>
        </w:rPr>
      </w:pPr>
      <w:r>
        <w:rPr>
          <w:rFonts w:hint="eastAsia" w:ascii="宋体"/>
          <w:sz w:val="24"/>
          <w:highlight w:val="none"/>
        </w:rPr>
        <w:t>第三节  设备出厂前检验</w:t>
      </w:r>
    </w:p>
    <w:p>
      <w:pPr>
        <w:tabs>
          <w:tab w:val="left" w:pos="2340"/>
        </w:tabs>
        <w:spacing w:line="360" w:lineRule="auto"/>
        <w:ind w:firstLine="480" w:firstLineChars="200"/>
        <w:jc w:val="left"/>
        <w:rPr>
          <w:rFonts w:ascii="宋体"/>
          <w:sz w:val="24"/>
          <w:highlight w:val="none"/>
        </w:rPr>
      </w:pPr>
      <w:r>
        <w:rPr>
          <w:rFonts w:hint="eastAsia" w:ascii="宋体"/>
          <w:sz w:val="24"/>
          <w:highlight w:val="none"/>
        </w:rPr>
        <w:t>第四节  技术服务</w:t>
      </w:r>
    </w:p>
    <w:p>
      <w:pPr>
        <w:tabs>
          <w:tab w:val="left" w:pos="2340"/>
        </w:tabs>
        <w:spacing w:line="360" w:lineRule="auto"/>
        <w:ind w:firstLine="480" w:firstLineChars="200"/>
        <w:jc w:val="left"/>
        <w:rPr>
          <w:rFonts w:ascii="宋体"/>
          <w:sz w:val="24"/>
          <w:highlight w:val="none"/>
        </w:rPr>
      </w:pPr>
      <w:r>
        <w:rPr>
          <w:rFonts w:hint="eastAsia" w:ascii="宋体"/>
          <w:sz w:val="24"/>
          <w:highlight w:val="none"/>
        </w:rPr>
        <w:t>第五节  安装、检验、调试、试运行及验收</w:t>
      </w:r>
    </w:p>
    <w:p>
      <w:pPr>
        <w:tabs>
          <w:tab w:val="left" w:pos="2340"/>
        </w:tabs>
        <w:spacing w:line="360" w:lineRule="auto"/>
        <w:ind w:firstLine="480" w:firstLineChars="200"/>
        <w:jc w:val="left"/>
        <w:rPr>
          <w:rFonts w:ascii="宋体"/>
          <w:sz w:val="24"/>
          <w:highlight w:val="none"/>
        </w:rPr>
      </w:pPr>
      <w:r>
        <w:rPr>
          <w:rFonts w:hint="eastAsia" w:ascii="宋体"/>
          <w:sz w:val="24"/>
          <w:highlight w:val="none"/>
        </w:rPr>
        <w:t>第六节  质量保证</w:t>
      </w:r>
    </w:p>
    <w:p>
      <w:pPr>
        <w:tabs>
          <w:tab w:val="left" w:pos="2340"/>
        </w:tabs>
        <w:spacing w:line="360" w:lineRule="auto"/>
        <w:ind w:firstLine="480" w:firstLineChars="200"/>
        <w:jc w:val="left"/>
        <w:rPr>
          <w:rFonts w:ascii="宋体"/>
          <w:sz w:val="24"/>
          <w:highlight w:val="none"/>
        </w:rPr>
      </w:pPr>
      <w:r>
        <w:rPr>
          <w:rFonts w:hint="eastAsia" w:ascii="宋体"/>
          <w:sz w:val="24"/>
          <w:highlight w:val="none"/>
        </w:rPr>
        <w:t>第七节  技术资料和图纸</w:t>
      </w:r>
    </w:p>
    <w:p>
      <w:pPr>
        <w:topLinePunct/>
        <w:adjustRightInd w:val="0"/>
        <w:snapToGrid w:val="0"/>
        <w:spacing w:line="360" w:lineRule="auto"/>
        <w:jc w:val="center"/>
        <w:rPr>
          <w:rFonts w:ascii="宋体" w:hAnsi="宋体"/>
          <w:szCs w:val="21"/>
          <w:highlight w:val="none"/>
        </w:rPr>
      </w:pPr>
    </w:p>
    <w:p>
      <w:pPr>
        <w:topLinePunct/>
        <w:adjustRightInd w:val="0"/>
        <w:snapToGrid w:val="0"/>
        <w:spacing w:line="360" w:lineRule="auto"/>
        <w:jc w:val="center"/>
        <w:rPr>
          <w:rFonts w:ascii="宋体" w:hAnsi="宋体"/>
          <w:szCs w:val="21"/>
          <w:highlight w:val="none"/>
        </w:rPr>
      </w:pPr>
    </w:p>
    <w:p>
      <w:pPr>
        <w:topLinePunct/>
        <w:adjustRightInd w:val="0"/>
        <w:snapToGrid w:val="0"/>
        <w:spacing w:line="360" w:lineRule="auto"/>
        <w:jc w:val="center"/>
        <w:rPr>
          <w:rFonts w:ascii="宋体" w:hAnsi="宋体"/>
          <w:szCs w:val="21"/>
          <w:highlight w:val="none"/>
        </w:rPr>
      </w:pPr>
    </w:p>
    <w:p>
      <w:pPr>
        <w:topLinePunct/>
        <w:adjustRightInd w:val="0"/>
        <w:snapToGrid w:val="0"/>
        <w:spacing w:line="360" w:lineRule="auto"/>
        <w:rPr>
          <w:rFonts w:ascii="宋体" w:hAnsi="宋体"/>
          <w:szCs w:val="21"/>
          <w:highlight w:val="none"/>
        </w:rPr>
      </w:pPr>
    </w:p>
    <w:p>
      <w:pPr>
        <w:topLinePunct/>
        <w:adjustRightInd w:val="0"/>
        <w:snapToGrid w:val="0"/>
        <w:spacing w:line="360" w:lineRule="auto"/>
        <w:rPr>
          <w:rFonts w:ascii="宋体" w:hAnsi="宋体"/>
          <w:szCs w:val="21"/>
          <w:highlight w:val="none"/>
        </w:rPr>
      </w:pPr>
    </w:p>
    <w:p>
      <w:pPr>
        <w:topLinePunct/>
        <w:adjustRightInd w:val="0"/>
        <w:snapToGrid w:val="0"/>
        <w:spacing w:line="360" w:lineRule="auto"/>
        <w:rPr>
          <w:rFonts w:ascii="宋体" w:hAnsi="宋体"/>
          <w:szCs w:val="21"/>
          <w:highlight w:val="none"/>
        </w:rPr>
      </w:pPr>
    </w:p>
    <w:p>
      <w:pPr>
        <w:widowControl/>
        <w:jc w:val="left"/>
        <w:rPr>
          <w:rFonts w:ascii="宋体" w:hAnsi="宋体"/>
          <w:szCs w:val="21"/>
          <w:highlight w:val="none"/>
        </w:rPr>
      </w:pPr>
      <w:r>
        <w:rPr>
          <w:rFonts w:ascii="宋体" w:hAnsi="宋体"/>
          <w:szCs w:val="21"/>
          <w:highlight w:val="none"/>
        </w:rPr>
        <w:br w:type="page"/>
      </w:r>
    </w:p>
    <w:p>
      <w:pPr>
        <w:pStyle w:val="2"/>
        <w:spacing w:before="120" w:after="120" w:line="360" w:lineRule="auto"/>
        <w:jc w:val="center"/>
        <w:rPr>
          <w:sz w:val="24"/>
          <w:highlight w:val="none"/>
        </w:rPr>
      </w:pPr>
      <w:r>
        <w:rPr>
          <w:rFonts w:hint="eastAsia"/>
          <w:sz w:val="24"/>
          <w:highlight w:val="none"/>
        </w:rPr>
        <w:t>第一节供货范围、技术规格、参数与要求</w:t>
      </w:r>
    </w:p>
    <w:p>
      <w:pPr>
        <w:adjustRightInd w:val="0"/>
        <w:snapToGrid w:val="0"/>
        <w:spacing w:beforeLines="100" w:afterLines="100" w:line="360" w:lineRule="auto"/>
        <w:ind w:left="2246" w:leftChars="-5" w:hanging="2256" w:hangingChars="1070"/>
        <w:rPr>
          <w:b/>
        </w:rPr>
      </w:pPr>
      <w:r>
        <w:rPr>
          <w:rFonts w:hint="eastAsia"/>
          <w:b/>
        </w:rPr>
        <w:t>一、货物需求一览表</w:t>
      </w:r>
    </w:p>
    <w:tbl>
      <w:tblPr>
        <w:tblStyle w:val="16"/>
        <w:tblW w:w="8967" w:type="dxa"/>
        <w:tblInd w:w="-34" w:type="dxa"/>
        <w:tblLayout w:type="fixed"/>
        <w:tblCellMar>
          <w:top w:w="0" w:type="dxa"/>
          <w:left w:w="108" w:type="dxa"/>
          <w:bottom w:w="0" w:type="dxa"/>
          <w:right w:w="108" w:type="dxa"/>
        </w:tblCellMar>
      </w:tblPr>
      <w:tblGrid>
        <w:gridCol w:w="851"/>
        <w:gridCol w:w="2308"/>
        <w:gridCol w:w="1273"/>
        <w:gridCol w:w="813"/>
        <w:gridCol w:w="851"/>
        <w:gridCol w:w="1483"/>
        <w:gridCol w:w="1388"/>
      </w:tblGrid>
      <w:tr>
        <w:tblPrEx>
          <w:tblLayout w:type="fixed"/>
          <w:tblCellMar>
            <w:top w:w="0" w:type="dxa"/>
            <w:left w:w="108" w:type="dxa"/>
            <w:bottom w:w="0" w:type="dxa"/>
            <w:right w:w="108" w:type="dxa"/>
          </w:tblCellMar>
        </w:tblPrEx>
        <w:trPr>
          <w:trHeight w:val="643" w:hRule="atLeast"/>
        </w:trPr>
        <w:tc>
          <w:tcPr>
            <w:tcW w:w="851" w:type="dxa"/>
            <w:tcBorders>
              <w:top w:val="single" w:color="auto" w:sz="4" w:space="0"/>
              <w:left w:val="single" w:color="auto" w:sz="4" w:space="0"/>
              <w:bottom w:val="single" w:color="auto" w:sz="4" w:space="0"/>
              <w:right w:val="single" w:color="auto" w:sz="4" w:space="0"/>
            </w:tcBorders>
            <w:vAlign w:val="center"/>
          </w:tcPr>
          <w:p>
            <w:pPr>
              <w:ind w:firstLine="0" w:firstLineChars="0"/>
              <w:rPr>
                <w:rFonts w:ascii="宋体"/>
                <w:b/>
                <w:bCs/>
              </w:rPr>
            </w:pPr>
            <w:r>
              <w:rPr>
                <w:rFonts w:hint="eastAsia" w:ascii="宋体"/>
                <w:b/>
                <w:bCs/>
              </w:rPr>
              <w:t>序号</w:t>
            </w:r>
          </w:p>
        </w:tc>
        <w:tc>
          <w:tcPr>
            <w:tcW w:w="2308" w:type="dxa"/>
            <w:tcBorders>
              <w:top w:val="single" w:color="auto" w:sz="4" w:space="0"/>
              <w:left w:val="nil"/>
              <w:bottom w:val="single" w:color="auto" w:sz="4" w:space="0"/>
              <w:right w:val="single" w:color="auto" w:sz="4" w:space="0"/>
            </w:tcBorders>
            <w:vAlign w:val="center"/>
          </w:tcPr>
          <w:p>
            <w:pPr>
              <w:ind w:firstLine="482"/>
              <w:jc w:val="center"/>
              <w:rPr>
                <w:rFonts w:ascii="宋体"/>
                <w:b/>
                <w:bCs/>
              </w:rPr>
            </w:pPr>
            <w:r>
              <w:rPr>
                <w:rFonts w:hint="eastAsia" w:ascii="宋体"/>
                <w:b/>
                <w:bCs/>
              </w:rPr>
              <w:t>名称</w:t>
            </w:r>
          </w:p>
        </w:tc>
        <w:tc>
          <w:tcPr>
            <w:tcW w:w="1273" w:type="dxa"/>
            <w:tcBorders>
              <w:top w:val="single" w:color="auto" w:sz="4" w:space="0"/>
              <w:left w:val="nil"/>
              <w:bottom w:val="single" w:color="auto" w:sz="4" w:space="0"/>
              <w:right w:val="single" w:color="auto" w:sz="4" w:space="0"/>
            </w:tcBorders>
            <w:vAlign w:val="center"/>
          </w:tcPr>
          <w:p>
            <w:pPr>
              <w:ind w:firstLine="0" w:firstLineChars="0"/>
              <w:rPr>
                <w:rFonts w:ascii="宋体"/>
                <w:b/>
                <w:bCs/>
              </w:rPr>
            </w:pPr>
            <w:r>
              <w:rPr>
                <w:rFonts w:hint="eastAsia" w:ascii="宋体"/>
                <w:b/>
                <w:bCs/>
              </w:rPr>
              <w:t>规格型号</w:t>
            </w:r>
          </w:p>
        </w:tc>
        <w:tc>
          <w:tcPr>
            <w:tcW w:w="813" w:type="dxa"/>
            <w:tcBorders>
              <w:top w:val="single" w:color="auto" w:sz="4" w:space="0"/>
              <w:left w:val="nil"/>
              <w:bottom w:val="single" w:color="auto" w:sz="4" w:space="0"/>
              <w:right w:val="single" w:color="auto" w:sz="4" w:space="0"/>
            </w:tcBorders>
            <w:vAlign w:val="center"/>
          </w:tcPr>
          <w:p>
            <w:pPr>
              <w:ind w:firstLine="0" w:firstLineChars="0"/>
              <w:rPr>
                <w:rFonts w:ascii="宋体"/>
                <w:b/>
                <w:bCs/>
              </w:rPr>
            </w:pPr>
            <w:r>
              <w:rPr>
                <w:rFonts w:hint="eastAsia" w:ascii="宋体"/>
                <w:b/>
                <w:bCs/>
              </w:rPr>
              <w:t>单位</w:t>
            </w:r>
          </w:p>
        </w:tc>
        <w:tc>
          <w:tcPr>
            <w:tcW w:w="851" w:type="dxa"/>
            <w:tcBorders>
              <w:top w:val="single" w:color="auto" w:sz="4" w:space="0"/>
              <w:left w:val="nil"/>
              <w:bottom w:val="single" w:color="auto" w:sz="4" w:space="0"/>
              <w:right w:val="single" w:color="auto" w:sz="4" w:space="0"/>
            </w:tcBorders>
            <w:vAlign w:val="center"/>
          </w:tcPr>
          <w:p>
            <w:pPr>
              <w:ind w:firstLine="0" w:firstLineChars="0"/>
              <w:rPr>
                <w:rFonts w:ascii="宋体"/>
                <w:b/>
                <w:bCs/>
              </w:rPr>
            </w:pPr>
            <w:r>
              <w:rPr>
                <w:rFonts w:hint="eastAsia" w:ascii="宋体"/>
                <w:b/>
                <w:bCs/>
              </w:rPr>
              <w:t>数量</w:t>
            </w:r>
          </w:p>
        </w:tc>
        <w:tc>
          <w:tcPr>
            <w:tcW w:w="1483" w:type="dxa"/>
            <w:tcBorders>
              <w:top w:val="single" w:color="auto" w:sz="4" w:space="0"/>
              <w:left w:val="nil"/>
              <w:bottom w:val="single" w:color="auto" w:sz="4" w:space="0"/>
              <w:right w:val="single" w:color="auto" w:sz="4" w:space="0"/>
            </w:tcBorders>
            <w:vAlign w:val="center"/>
          </w:tcPr>
          <w:p>
            <w:pPr>
              <w:ind w:firstLine="0" w:firstLineChars="0"/>
              <w:rPr>
                <w:rFonts w:ascii="宋体"/>
                <w:b/>
                <w:bCs/>
              </w:rPr>
            </w:pPr>
            <w:r>
              <w:rPr>
                <w:rFonts w:hint="eastAsia" w:ascii="宋体"/>
                <w:b/>
                <w:bCs/>
              </w:rPr>
              <w:t>交货时间</w:t>
            </w:r>
          </w:p>
        </w:tc>
        <w:tc>
          <w:tcPr>
            <w:tcW w:w="1388" w:type="dxa"/>
            <w:tcBorders>
              <w:top w:val="single" w:color="auto" w:sz="4" w:space="0"/>
              <w:left w:val="single" w:color="auto" w:sz="4" w:space="0"/>
              <w:bottom w:val="single" w:color="auto" w:sz="4" w:space="0"/>
              <w:right w:val="single" w:color="auto" w:sz="4" w:space="0"/>
            </w:tcBorders>
            <w:vAlign w:val="center"/>
          </w:tcPr>
          <w:p>
            <w:pPr>
              <w:ind w:firstLine="0" w:firstLineChars="0"/>
              <w:rPr>
                <w:rFonts w:ascii="宋体"/>
                <w:b/>
                <w:bCs/>
              </w:rPr>
            </w:pPr>
            <w:r>
              <w:rPr>
                <w:rFonts w:hint="eastAsia" w:ascii="宋体"/>
                <w:b/>
                <w:bCs/>
              </w:rPr>
              <w:t>使用单位</w:t>
            </w:r>
          </w:p>
        </w:tc>
      </w:tr>
      <w:tr>
        <w:tblPrEx>
          <w:tblLayout w:type="fixed"/>
          <w:tblCellMar>
            <w:top w:w="0" w:type="dxa"/>
            <w:left w:w="108" w:type="dxa"/>
            <w:bottom w:w="0" w:type="dxa"/>
            <w:right w:w="108" w:type="dxa"/>
          </w:tblCellMar>
        </w:tblPrEx>
        <w:trPr>
          <w:trHeight w:val="336" w:hRule="atLeast"/>
        </w:trPr>
        <w:tc>
          <w:tcPr>
            <w:tcW w:w="851" w:type="dxa"/>
            <w:tcBorders>
              <w:top w:val="nil"/>
              <w:left w:val="single" w:color="auto" w:sz="4" w:space="0"/>
              <w:bottom w:val="single" w:color="auto" w:sz="4" w:space="0"/>
              <w:right w:val="single" w:color="auto" w:sz="4" w:space="0"/>
            </w:tcBorders>
            <w:vAlign w:val="center"/>
          </w:tcPr>
          <w:p>
            <w:pPr>
              <w:widowControl/>
              <w:adjustRightInd w:val="0"/>
              <w:ind w:firstLine="480"/>
              <w:jc w:val="both"/>
              <w:rPr>
                <w:rFonts w:ascii="宋体" w:hAnsi="宋体"/>
                <w:color w:val="000000"/>
              </w:rPr>
            </w:pPr>
            <w:r>
              <w:rPr>
                <w:rFonts w:hint="eastAsia" w:ascii="宋体" w:hAnsi="宋体"/>
                <w:color w:val="000000"/>
              </w:rPr>
              <w:t>1</w:t>
            </w:r>
          </w:p>
        </w:tc>
        <w:tc>
          <w:tcPr>
            <w:tcW w:w="2308" w:type="dxa"/>
            <w:tcBorders>
              <w:top w:val="nil"/>
              <w:left w:val="nil"/>
              <w:bottom w:val="single" w:color="auto" w:sz="4" w:space="0"/>
              <w:right w:val="single" w:color="auto" w:sz="4" w:space="0"/>
            </w:tcBorders>
            <w:vAlign w:val="center"/>
          </w:tcPr>
          <w:p>
            <w:pPr>
              <w:ind w:firstLine="0" w:firstLineChars="0"/>
              <w:rPr>
                <w:rFonts w:ascii="宋体" w:hAnsi="宋体"/>
                <w:color w:val="000000"/>
              </w:rPr>
            </w:pPr>
            <w:r>
              <w:rPr>
                <w:rFonts w:hint="eastAsia" w:ascii="宋体" w:hAnsi="宋体"/>
              </w:rPr>
              <w:t>信息发布系统</w:t>
            </w:r>
          </w:p>
        </w:tc>
        <w:tc>
          <w:tcPr>
            <w:tcW w:w="1273" w:type="dxa"/>
            <w:tcBorders>
              <w:top w:val="nil"/>
              <w:left w:val="nil"/>
              <w:bottom w:val="single" w:color="auto" w:sz="4" w:space="0"/>
              <w:right w:val="single" w:color="auto" w:sz="4" w:space="0"/>
            </w:tcBorders>
            <w:vAlign w:val="center"/>
          </w:tcPr>
          <w:p>
            <w:pPr>
              <w:widowControl/>
              <w:adjustRightInd w:val="0"/>
              <w:ind w:firstLine="480"/>
              <w:rPr>
                <w:rFonts w:ascii="宋体" w:hAnsi="宋体"/>
                <w:color w:val="000000"/>
              </w:rPr>
            </w:pPr>
          </w:p>
        </w:tc>
        <w:tc>
          <w:tcPr>
            <w:tcW w:w="813" w:type="dxa"/>
            <w:tcBorders>
              <w:top w:val="nil"/>
              <w:left w:val="nil"/>
              <w:bottom w:val="single" w:color="auto" w:sz="4" w:space="0"/>
              <w:right w:val="single" w:color="auto" w:sz="4" w:space="0"/>
            </w:tcBorders>
            <w:vAlign w:val="center"/>
          </w:tcPr>
          <w:p>
            <w:pPr>
              <w:widowControl/>
              <w:adjustRightInd w:val="0"/>
              <w:ind w:firstLine="174" w:firstLineChars="83"/>
              <w:rPr>
                <w:rFonts w:ascii="宋体" w:hAnsi="宋体"/>
                <w:color w:val="000000"/>
              </w:rPr>
            </w:pPr>
            <w:r>
              <w:rPr>
                <w:rFonts w:hint="eastAsia" w:ascii="宋体" w:hAnsi="宋体"/>
                <w:color w:val="000000"/>
              </w:rPr>
              <w:t>套</w:t>
            </w:r>
          </w:p>
        </w:tc>
        <w:tc>
          <w:tcPr>
            <w:tcW w:w="851" w:type="dxa"/>
            <w:tcBorders>
              <w:top w:val="nil"/>
              <w:left w:val="nil"/>
              <w:bottom w:val="single" w:color="auto" w:sz="4" w:space="0"/>
              <w:right w:val="single" w:color="auto" w:sz="4" w:space="0"/>
            </w:tcBorders>
            <w:vAlign w:val="center"/>
          </w:tcPr>
          <w:p>
            <w:pPr>
              <w:widowControl/>
              <w:adjustRightInd w:val="0"/>
              <w:ind w:firstLine="174" w:firstLineChars="83"/>
              <w:rPr>
                <w:rFonts w:ascii="宋体" w:hAnsi="宋体"/>
                <w:color w:val="000000"/>
              </w:rPr>
            </w:pPr>
            <w:r>
              <w:rPr>
                <w:rFonts w:hint="eastAsia" w:ascii="宋体" w:hAnsi="宋体"/>
                <w:color w:val="000000"/>
              </w:rPr>
              <w:t>1</w:t>
            </w:r>
          </w:p>
        </w:tc>
        <w:tc>
          <w:tcPr>
            <w:tcW w:w="1483" w:type="dxa"/>
            <w:tcBorders>
              <w:top w:val="nil"/>
              <w:left w:val="nil"/>
              <w:bottom w:val="single" w:color="auto" w:sz="4" w:space="0"/>
              <w:right w:val="single" w:color="auto" w:sz="4" w:space="0"/>
            </w:tcBorders>
            <w:vAlign w:val="center"/>
          </w:tcPr>
          <w:p>
            <w:pPr>
              <w:jc w:val="both"/>
              <w:rPr>
                <w:rFonts w:ascii="宋体" w:hAnsi="宋体"/>
              </w:rPr>
            </w:pPr>
            <w:r>
              <w:rPr>
                <w:rFonts w:ascii="宋体" w:hAnsi="宋体"/>
                <w:bCs/>
              </w:rPr>
              <w:t>201</w:t>
            </w:r>
            <w:r>
              <w:rPr>
                <w:rFonts w:hint="eastAsia" w:ascii="宋体" w:hAnsi="宋体"/>
                <w:bCs/>
              </w:rPr>
              <w:t>7年7月18日</w:t>
            </w:r>
          </w:p>
        </w:tc>
        <w:tc>
          <w:tcPr>
            <w:tcW w:w="1388" w:type="dxa"/>
            <w:tcBorders>
              <w:top w:val="nil"/>
              <w:left w:val="single" w:color="auto" w:sz="4" w:space="0"/>
              <w:bottom w:val="single" w:color="auto" w:sz="4" w:space="0"/>
              <w:right w:val="single" w:color="auto" w:sz="4" w:space="0"/>
            </w:tcBorders>
            <w:vAlign w:val="center"/>
          </w:tcPr>
          <w:p>
            <w:pPr>
              <w:pStyle w:val="7"/>
            </w:pPr>
            <w:r>
              <w:rPr>
                <w:rFonts w:hint="eastAsia" w:hAnsi="宋体"/>
                <w:color w:val="000000"/>
              </w:rPr>
              <w:t>李家畔科技大厦楼内</w:t>
            </w:r>
          </w:p>
        </w:tc>
      </w:tr>
      <w:tr>
        <w:tblPrEx>
          <w:tblLayout w:type="fixed"/>
          <w:tblCellMar>
            <w:top w:w="0" w:type="dxa"/>
            <w:left w:w="108" w:type="dxa"/>
            <w:bottom w:w="0" w:type="dxa"/>
            <w:right w:w="108" w:type="dxa"/>
          </w:tblCellMar>
        </w:tblPrEx>
        <w:trPr>
          <w:trHeight w:val="484" w:hRule="atLeast"/>
        </w:trPr>
        <w:tc>
          <w:tcPr>
            <w:tcW w:w="851" w:type="dxa"/>
            <w:tcBorders>
              <w:top w:val="single" w:color="auto" w:sz="4" w:space="0"/>
              <w:left w:val="single" w:color="auto" w:sz="4" w:space="0"/>
              <w:bottom w:val="single" w:color="auto" w:sz="4" w:space="0"/>
              <w:right w:val="single" w:color="auto" w:sz="4" w:space="0"/>
            </w:tcBorders>
            <w:vAlign w:val="center"/>
          </w:tcPr>
          <w:p>
            <w:pPr>
              <w:widowControl/>
              <w:adjustRightInd w:val="0"/>
              <w:ind w:firstLine="480"/>
              <w:jc w:val="center"/>
              <w:rPr>
                <w:rFonts w:hint="eastAsia" w:ascii="宋体" w:hAnsi="宋体" w:eastAsia="宋体"/>
                <w:color w:val="000000"/>
                <w:lang w:val="en-US" w:eastAsia="zh-CN"/>
              </w:rPr>
            </w:pPr>
            <w:r>
              <w:rPr>
                <w:rFonts w:hint="eastAsia" w:ascii="宋体" w:hAnsi="宋体"/>
                <w:color w:val="000000"/>
                <w:lang w:val="en-US" w:eastAsia="zh-CN"/>
              </w:rPr>
              <w:t>2</w:t>
            </w:r>
          </w:p>
        </w:tc>
        <w:tc>
          <w:tcPr>
            <w:tcW w:w="2308" w:type="dxa"/>
            <w:tcBorders>
              <w:top w:val="nil"/>
              <w:left w:val="nil"/>
              <w:bottom w:val="single" w:color="auto" w:sz="4" w:space="0"/>
              <w:right w:val="single" w:color="auto" w:sz="4" w:space="0"/>
            </w:tcBorders>
            <w:vAlign w:val="center"/>
          </w:tcPr>
          <w:p>
            <w:pPr>
              <w:ind w:firstLine="0" w:firstLineChars="0"/>
              <w:rPr>
                <w:rFonts w:ascii="宋体" w:hAnsi="宋体"/>
              </w:rPr>
            </w:pPr>
            <w:r>
              <w:rPr>
                <w:rFonts w:hint="eastAsia" w:ascii="宋体" w:hAnsi="宋体"/>
              </w:rPr>
              <w:t>随机附件及工具</w:t>
            </w:r>
          </w:p>
        </w:tc>
        <w:tc>
          <w:tcPr>
            <w:tcW w:w="1273" w:type="dxa"/>
            <w:tcBorders>
              <w:top w:val="nil"/>
              <w:left w:val="nil"/>
              <w:bottom w:val="single" w:color="auto" w:sz="4" w:space="0"/>
              <w:right w:val="single" w:color="auto" w:sz="4" w:space="0"/>
            </w:tcBorders>
            <w:vAlign w:val="center"/>
          </w:tcPr>
          <w:p>
            <w:pPr>
              <w:adjustRightInd w:val="0"/>
              <w:snapToGrid w:val="0"/>
              <w:spacing w:line="360" w:lineRule="exact"/>
              <w:ind w:right="-827" w:rightChars="-394" w:firstLine="315" w:firstLineChars="150"/>
              <w:rPr>
                <w:rFonts w:ascii="宋体" w:hAnsi="宋体"/>
              </w:rPr>
            </w:pPr>
          </w:p>
        </w:tc>
        <w:tc>
          <w:tcPr>
            <w:tcW w:w="813" w:type="dxa"/>
            <w:tcBorders>
              <w:top w:val="nil"/>
              <w:left w:val="nil"/>
              <w:bottom w:val="single" w:color="auto" w:sz="4" w:space="0"/>
              <w:right w:val="single" w:color="auto" w:sz="4" w:space="0"/>
            </w:tcBorders>
            <w:vAlign w:val="center"/>
          </w:tcPr>
          <w:p>
            <w:pPr>
              <w:ind w:firstLine="0" w:firstLineChars="0"/>
              <w:rPr>
                <w:rFonts w:ascii="宋体" w:hAnsi="宋体"/>
              </w:rPr>
            </w:pPr>
            <w:r>
              <w:rPr>
                <w:rFonts w:hint="eastAsia" w:ascii="宋体" w:hAnsi="宋体"/>
              </w:rPr>
              <w:t>批/台</w:t>
            </w:r>
          </w:p>
        </w:tc>
        <w:tc>
          <w:tcPr>
            <w:tcW w:w="851" w:type="dxa"/>
            <w:tcBorders>
              <w:top w:val="nil"/>
              <w:left w:val="nil"/>
              <w:bottom w:val="single" w:color="auto" w:sz="4" w:space="0"/>
              <w:right w:val="single" w:color="auto" w:sz="4" w:space="0"/>
            </w:tcBorders>
            <w:vAlign w:val="center"/>
          </w:tcPr>
          <w:p>
            <w:pPr>
              <w:ind w:firstLine="174" w:firstLineChars="83"/>
              <w:rPr>
                <w:rFonts w:ascii="宋体" w:hAnsi="宋体"/>
              </w:rPr>
            </w:pPr>
            <w:r>
              <w:rPr>
                <w:rFonts w:hint="eastAsia" w:ascii="宋体" w:hAnsi="宋体"/>
              </w:rPr>
              <w:t>1</w:t>
            </w:r>
          </w:p>
        </w:tc>
        <w:tc>
          <w:tcPr>
            <w:tcW w:w="1483" w:type="dxa"/>
            <w:tcBorders>
              <w:top w:val="nil"/>
              <w:left w:val="nil"/>
              <w:bottom w:val="single" w:color="auto" w:sz="4" w:space="0"/>
              <w:right w:val="single" w:color="auto" w:sz="4" w:space="0"/>
            </w:tcBorders>
            <w:vAlign w:val="center"/>
          </w:tcPr>
          <w:p>
            <w:pPr>
              <w:ind w:firstLine="480"/>
              <w:jc w:val="center"/>
              <w:rPr>
                <w:rFonts w:ascii="宋体" w:hAnsi="宋体"/>
              </w:rPr>
            </w:pPr>
          </w:p>
        </w:tc>
        <w:tc>
          <w:tcPr>
            <w:tcW w:w="1388" w:type="dxa"/>
            <w:tcBorders>
              <w:top w:val="nil"/>
              <w:left w:val="single" w:color="auto" w:sz="4" w:space="0"/>
              <w:bottom w:val="single" w:color="auto" w:sz="4" w:space="0"/>
              <w:right w:val="single" w:color="auto" w:sz="4" w:space="0"/>
            </w:tcBorders>
            <w:vAlign w:val="center"/>
          </w:tcPr>
          <w:p>
            <w:pPr>
              <w:pStyle w:val="7"/>
              <w:ind w:firstLine="480"/>
            </w:pPr>
          </w:p>
        </w:tc>
      </w:tr>
      <w:tr>
        <w:tblPrEx>
          <w:tblLayout w:type="fixed"/>
          <w:tblCellMar>
            <w:top w:w="0" w:type="dxa"/>
            <w:left w:w="108" w:type="dxa"/>
            <w:bottom w:w="0" w:type="dxa"/>
            <w:right w:w="108" w:type="dxa"/>
          </w:tblCellMar>
        </w:tblPrEx>
        <w:trPr>
          <w:trHeight w:val="484" w:hRule="atLeast"/>
        </w:trPr>
        <w:tc>
          <w:tcPr>
            <w:tcW w:w="851" w:type="dxa"/>
            <w:tcBorders>
              <w:top w:val="nil"/>
              <w:left w:val="single" w:color="auto" w:sz="4" w:space="0"/>
              <w:bottom w:val="single" w:color="auto" w:sz="4" w:space="0"/>
              <w:right w:val="single" w:color="auto" w:sz="4" w:space="0"/>
            </w:tcBorders>
            <w:vAlign w:val="center"/>
          </w:tcPr>
          <w:p>
            <w:pPr>
              <w:widowControl/>
              <w:adjustRightInd w:val="0"/>
              <w:ind w:firstLine="480"/>
              <w:jc w:val="center"/>
              <w:rPr>
                <w:rFonts w:hint="eastAsia" w:ascii="宋体" w:hAnsi="宋体" w:eastAsia="宋体"/>
                <w:color w:val="000000"/>
                <w:lang w:eastAsia="zh-CN"/>
              </w:rPr>
            </w:pPr>
            <w:r>
              <w:rPr>
                <w:rFonts w:hint="eastAsia" w:ascii="宋体" w:hAnsi="宋体"/>
                <w:color w:val="000000"/>
                <w:lang w:val="en-US" w:eastAsia="zh-CN"/>
              </w:rPr>
              <w:t>3</w:t>
            </w:r>
          </w:p>
        </w:tc>
        <w:tc>
          <w:tcPr>
            <w:tcW w:w="2308" w:type="dxa"/>
            <w:tcBorders>
              <w:top w:val="nil"/>
              <w:left w:val="nil"/>
              <w:bottom w:val="single" w:color="auto" w:sz="4" w:space="0"/>
              <w:right w:val="single" w:color="auto" w:sz="4" w:space="0"/>
            </w:tcBorders>
            <w:vAlign w:val="center"/>
          </w:tcPr>
          <w:p>
            <w:pPr>
              <w:widowControl/>
              <w:adjustRightInd w:val="0"/>
              <w:ind w:firstLine="0" w:firstLineChars="0"/>
              <w:rPr>
                <w:rFonts w:ascii="宋体" w:hAnsi="宋体"/>
                <w:color w:val="000000"/>
              </w:rPr>
            </w:pPr>
            <w:r>
              <w:rPr>
                <w:rFonts w:hint="eastAsia" w:ascii="宋体" w:hAnsi="宋体"/>
                <w:color w:val="000000"/>
              </w:rPr>
              <w:t>质保期内备品备件</w:t>
            </w:r>
          </w:p>
        </w:tc>
        <w:tc>
          <w:tcPr>
            <w:tcW w:w="1273" w:type="dxa"/>
            <w:tcBorders>
              <w:top w:val="nil"/>
              <w:left w:val="nil"/>
              <w:bottom w:val="single" w:color="auto" w:sz="4" w:space="0"/>
              <w:right w:val="single" w:color="auto" w:sz="4" w:space="0"/>
            </w:tcBorders>
            <w:vAlign w:val="center"/>
          </w:tcPr>
          <w:p>
            <w:pPr>
              <w:widowControl/>
              <w:adjustRightInd w:val="0"/>
              <w:ind w:firstLine="480"/>
              <w:rPr>
                <w:rFonts w:ascii="宋体" w:hAnsi="宋体"/>
                <w:color w:val="000000"/>
              </w:rPr>
            </w:pPr>
          </w:p>
        </w:tc>
        <w:tc>
          <w:tcPr>
            <w:tcW w:w="813" w:type="dxa"/>
            <w:tcBorders>
              <w:top w:val="nil"/>
              <w:left w:val="nil"/>
              <w:bottom w:val="single" w:color="auto" w:sz="4" w:space="0"/>
              <w:right w:val="single" w:color="auto" w:sz="4" w:space="0"/>
            </w:tcBorders>
            <w:vAlign w:val="center"/>
          </w:tcPr>
          <w:p>
            <w:pPr>
              <w:widowControl/>
              <w:adjustRightInd w:val="0"/>
              <w:ind w:firstLine="174" w:firstLineChars="83"/>
              <w:rPr>
                <w:rFonts w:ascii="宋体" w:hAnsi="宋体"/>
                <w:color w:val="000000"/>
              </w:rPr>
            </w:pPr>
            <w:r>
              <w:rPr>
                <w:rFonts w:hint="eastAsia" w:ascii="宋体" w:hAnsi="宋体"/>
                <w:color w:val="000000"/>
              </w:rPr>
              <w:t>批</w:t>
            </w:r>
          </w:p>
        </w:tc>
        <w:tc>
          <w:tcPr>
            <w:tcW w:w="851" w:type="dxa"/>
            <w:tcBorders>
              <w:top w:val="nil"/>
              <w:left w:val="nil"/>
              <w:bottom w:val="single" w:color="auto" w:sz="4" w:space="0"/>
              <w:right w:val="single" w:color="auto" w:sz="4" w:space="0"/>
            </w:tcBorders>
            <w:vAlign w:val="center"/>
          </w:tcPr>
          <w:p>
            <w:pPr>
              <w:widowControl/>
              <w:adjustRightInd w:val="0"/>
              <w:ind w:firstLine="174" w:firstLineChars="83"/>
              <w:rPr>
                <w:rFonts w:ascii="宋体" w:hAnsi="宋体"/>
                <w:color w:val="000000"/>
              </w:rPr>
            </w:pPr>
            <w:r>
              <w:rPr>
                <w:rFonts w:hint="eastAsia" w:ascii="宋体" w:hAnsi="宋体"/>
                <w:color w:val="000000"/>
              </w:rPr>
              <w:t>1</w:t>
            </w:r>
          </w:p>
        </w:tc>
        <w:tc>
          <w:tcPr>
            <w:tcW w:w="1483" w:type="dxa"/>
            <w:tcBorders>
              <w:top w:val="nil"/>
              <w:left w:val="nil"/>
              <w:bottom w:val="single" w:color="auto" w:sz="4" w:space="0"/>
              <w:right w:val="single" w:color="auto" w:sz="4" w:space="0"/>
            </w:tcBorders>
            <w:vAlign w:val="center"/>
          </w:tcPr>
          <w:p>
            <w:pPr>
              <w:widowControl/>
              <w:adjustRightInd w:val="0"/>
              <w:ind w:firstLine="480"/>
              <w:rPr>
                <w:rFonts w:ascii="宋体" w:hAnsi="宋体"/>
                <w:color w:val="000000"/>
              </w:rPr>
            </w:pPr>
          </w:p>
        </w:tc>
        <w:tc>
          <w:tcPr>
            <w:tcW w:w="1388" w:type="dxa"/>
            <w:tcBorders>
              <w:top w:val="nil"/>
              <w:left w:val="single" w:color="auto" w:sz="4" w:space="0"/>
              <w:bottom w:val="single" w:color="auto" w:sz="4" w:space="0"/>
              <w:right w:val="single" w:color="auto" w:sz="4" w:space="0"/>
            </w:tcBorders>
            <w:vAlign w:val="center"/>
          </w:tcPr>
          <w:p>
            <w:pPr>
              <w:widowControl/>
              <w:adjustRightInd w:val="0"/>
              <w:ind w:firstLine="480"/>
              <w:rPr>
                <w:rFonts w:ascii="宋体" w:hAnsi="宋体"/>
                <w:color w:val="000000"/>
              </w:rPr>
            </w:pPr>
          </w:p>
        </w:tc>
      </w:tr>
      <w:tr>
        <w:tblPrEx>
          <w:tblLayout w:type="fixed"/>
          <w:tblCellMar>
            <w:top w:w="0" w:type="dxa"/>
            <w:left w:w="108" w:type="dxa"/>
            <w:bottom w:w="0" w:type="dxa"/>
            <w:right w:w="108" w:type="dxa"/>
          </w:tblCellMar>
        </w:tblPrEx>
        <w:trPr>
          <w:trHeight w:val="484" w:hRule="atLeast"/>
        </w:trPr>
        <w:tc>
          <w:tcPr>
            <w:tcW w:w="851" w:type="dxa"/>
            <w:tcBorders>
              <w:top w:val="nil"/>
              <w:left w:val="single" w:color="auto" w:sz="4" w:space="0"/>
              <w:bottom w:val="single" w:color="auto" w:sz="4" w:space="0"/>
              <w:right w:val="single" w:color="auto" w:sz="4" w:space="0"/>
            </w:tcBorders>
            <w:vAlign w:val="center"/>
          </w:tcPr>
          <w:p>
            <w:pPr>
              <w:widowControl/>
              <w:adjustRightInd w:val="0"/>
              <w:ind w:firstLine="480"/>
              <w:jc w:val="center"/>
              <w:rPr>
                <w:rFonts w:hint="eastAsia" w:ascii="宋体" w:hAnsi="宋体" w:eastAsia="宋体"/>
                <w:color w:val="000000"/>
                <w:lang w:eastAsia="zh-CN"/>
              </w:rPr>
            </w:pPr>
            <w:r>
              <w:rPr>
                <w:rFonts w:hint="eastAsia" w:ascii="宋体" w:hAnsi="宋体"/>
                <w:color w:val="000000"/>
                <w:lang w:val="en-US" w:eastAsia="zh-CN"/>
              </w:rPr>
              <w:t>4</w:t>
            </w:r>
          </w:p>
        </w:tc>
        <w:tc>
          <w:tcPr>
            <w:tcW w:w="2308" w:type="dxa"/>
            <w:tcBorders>
              <w:top w:val="nil"/>
              <w:left w:val="nil"/>
              <w:bottom w:val="single" w:color="auto" w:sz="4" w:space="0"/>
              <w:right w:val="single" w:color="auto" w:sz="4" w:space="0"/>
            </w:tcBorders>
            <w:vAlign w:val="center"/>
          </w:tcPr>
          <w:p>
            <w:pPr>
              <w:widowControl/>
              <w:adjustRightInd w:val="0"/>
              <w:ind w:firstLine="0" w:firstLineChars="0"/>
              <w:rPr>
                <w:rFonts w:ascii="宋体" w:hAnsi="宋体"/>
                <w:color w:val="000000"/>
              </w:rPr>
            </w:pPr>
            <w:r>
              <w:rPr>
                <w:rFonts w:hint="eastAsia" w:ascii="宋体" w:hAnsi="宋体"/>
                <w:color w:val="000000"/>
              </w:rPr>
              <w:t>技术资料与质检资料</w:t>
            </w:r>
          </w:p>
        </w:tc>
        <w:tc>
          <w:tcPr>
            <w:tcW w:w="1273" w:type="dxa"/>
            <w:tcBorders>
              <w:top w:val="nil"/>
              <w:left w:val="nil"/>
              <w:bottom w:val="single" w:color="auto" w:sz="4" w:space="0"/>
              <w:right w:val="single" w:color="auto" w:sz="4" w:space="0"/>
            </w:tcBorders>
            <w:vAlign w:val="center"/>
          </w:tcPr>
          <w:p>
            <w:pPr>
              <w:widowControl/>
              <w:adjustRightInd w:val="0"/>
              <w:ind w:firstLine="0" w:firstLineChars="0"/>
              <w:rPr>
                <w:rFonts w:ascii="宋体" w:hAnsi="宋体"/>
                <w:color w:val="000000"/>
              </w:rPr>
            </w:pPr>
            <w:r>
              <w:rPr>
                <w:rFonts w:hint="eastAsia" w:ascii="宋体" w:hAnsi="宋体"/>
                <w:color w:val="000000"/>
              </w:rPr>
              <w:t>一正五副装订成册、光盘一份</w:t>
            </w:r>
          </w:p>
        </w:tc>
        <w:tc>
          <w:tcPr>
            <w:tcW w:w="813" w:type="dxa"/>
            <w:tcBorders>
              <w:top w:val="nil"/>
              <w:left w:val="nil"/>
              <w:bottom w:val="single" w:color="auto" w:sz="4" w:space="0"/>
              <w:right w:val="single" w:color="auto" w:sz="4" w:space="0"/>
            </w:tcBorders>
            <w:vAlign w:val="center"/>
          </w:tcPr>
          <w:p>
            <w:pPr>
              <w:widowControl/>
              <w:adjustRightInd w:val="0"/>
              <w:jc w:val="center"/>
              <w:rPr>
                <w:rFonts w:ascii="宋体" w:hAnsi="宋体"/>
                <w:color w:val="000000"/>
              </w:rPr>
            </w:pPr>
            <w:r>
              <w:rPr>
                <w:rFonts w:hint="eastAsia" w:ascii="宋体" w:hAnsi="宋体"/>
                <w:color w:val="000000"/>
              </w:rPr>
              <w:t>套</w:t>
            </w:r>
          </w:p>
        </w:tc>
        <w:tc>
          <w:tcPr>
            <w:tcW w:w="851" w:type="dxa"/>
            <w:tcBorders>
              <w:top w:val="nil"/>
              <w:left w:val="nil"/>
              <w:bottom w:val="single" w:color="auto" w:sz="4" w:space="0"/>
              <w:right w:val="single" w:color="auto" w:sz="4" w:space="0"/>
            </w:tcBorders>
            <w:vAlign w:val="center"/>
          </w:tcPr>
          <w:p>
            <w:pPr>
              <w:widowControl/>
              <w:adjustRightInd w:val="0"/>
              <w:ind w:firstLine="174" w:firstLineChars="83"/>
              <w:rPr>
                <w:rFonts w:ascii="宋体" w:hAnsi="宋体"/>
                <w:color w:val="000000"/>
              </w:rPr>
            </w:pPr>
            <w:r>
              <w:rPr>
                <w:rFonts w:hint="eastAsia" w:ascii="宋体" w:hAnsi="宋体"/>
                <w:color w:val="000000"/>
              </w:rPr>
              <w:t>6</w:t>
            </w:r>
          </w:p>
        </w:tc>
        <w:tc>
          <w:tcPr>
            <w:tcW w:w="1483" w:type="dxa"/>
            <w:tcBorders>
              <w:top w:val="nil"/>
              <w:left w:val="nil"/>
              <w:bottom w:val="single" w:color="auto" w:sz="4" w:space="0"/>
              <w:right w:val="single" w:color="auto" w:sz="4" w:space="0"/>
            </w:tcBorders>
            <w:vAlign w:val="center"/>
          </w:tcPr>
          <w:p>
            <w:pPr>
              <w:widowControl/>
              <w:adjustRightInd w:val="0"/>
              <w:ind w:firstLine="480"/>
              <w:rPr>
                <w:rFonts w:ascii="宋体" w:hAnsi="宋体"/>
                <w:color w:val="000000"/>
              </w:rPr>
            </w:pPr>
          </w:p>
        </w:tc>
        <w:tc>
          <w:tcPr>
            <w:tcW w:w="1388" w:type="dxa"/>
            <w:tcBorders>
              <w:top w:val="nil"/>
              <w:left w:val="single" w:color="auto" w:sz="4" w:space="0"/>
              <w:bottom w:val="single" w:color="auto" w:sz="4" w:space="0"/>
              <w:right w:val="single" w:color="auto" w:sz="4" w:space="0"/>
            </w:tcBorders>
            <w:vAlign w:val="center"/>
          </w:tcPr>
          <w:p>
            <w:pPr>
              <w:widowControl/>
              <w:adjustRightInd w:val="0"/>
              <w:ind w:firstLine="480"/>
              <w:rPr>
                <w:rFonts w:ascii="宋体" w:hAnsi="宋体"/>
                <w:color w:val="000000"/>
              </w:rPr>
            </w:pPr>
          </w:p>
        </w:tc>
      </w:tr>
    </w:tbl>
    <w:p>
      <w:pPr>
        <w:adjustRightInd w:val="0"/>
        <w:snapToGrid w:val="0"/>
        <w:spacing w:beforeLines="100" w:line="360" w:lineRule="auto"/>
        <w:jc w:val="center"/>
        <w:rPr>
          <w:rFonts w:hint="eastAsia" w:ascii="宋体" w:hAnsi="宋体"/>
          <w:b/>
          <w:bCs/>
          <w:szCs w:val="21"/>
        </w:rPr>
      </w:pPr>
    </w:p>
    <w:p>
      <w:pPr>
        <w:adjustRightInd w:val="0"/>
        <w:snapToGrid w:val="0"/>
        <w:spacing w:beforeLines="100" w:line="360" w:lineRule="auto"/>
        <w:jc w:val="center"/>
        <w:rPr>
          <w:b/>
        </w:rPr>
      </w:pPr>
      <w:r>
        <w:rPr>
          <w:rFonts w:hint="eastAsia" w:ascii="宋体" w:hAnsi="宋体"/>
          <w:b/>
          <w:bCs/>
          <w:szCs w:val="21"/>
        </w:rPr>
        <w:t>分项报价表（参考格式）</w:t>
      </w:r>
    </w:p>
    <w:tbl>
      <w:tblPr>
        <w:tblStyle w:val="16"/>
        <w:tblW w:w="892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
        <w:gridCol w:w="2244"/>
        <w:gridCol w:w="818"/>
        <w:gridCol w:w="744"/>
        <w:gridCol w:w="992"/>
        <w:gridCol w:w="710"/>
        <w:gridCol w:w="1292"/>
        <w:gridCol w:w="12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1" w:hRule="atLeast"/>
        </w:trPr>
        <w:tc>
          <w:tcPr>
            <w:tcW w:w="872" w:type="dxa"/>
            <w:vAlign w:val="center"/>
          </w:tcPr>
          <w:p>
            <w:pPr>
              <w:ind w:firstLine="0" w:firstLineChars="0"/>
              <w:rPr>
                <w:rFonts w:ascii="仿宋_GB2312" w:eastAsia="仿宋_GB2312"/>
                <w:b/>
              </w:rPr>
            </w:pPr>
            <w:r>
              <w:rPr>
                <w:rFonts w:hint="eastAsia" w:ascii="仿宋_GB2312" w:eastAsia="仿宋_GB2312"/>
                <w:b/>
              </w:rPr>
              <w:t>序号</w:t>
            </w:r>
          </w:p>
        </w:tc>
        <w:tc>
          <w:tcPr>
            <w:tcW w:w="2244" w:type="dxa"/>
            <w:vAlign w:val="center"/>
          </w:tcPr>
          <w:p>
            <w:pPr>
              <w:ind w:firstLine="482"/>
              <w:jc w:val="center"/>
              <w:rPr>
                <w:rFonts w:ascii="仿宋_GB2312" w:eastAsia="仿宋_GB2312"/>
                <w:b/>
              </w:rPr>
            </w:pPr>
            <w:r>
              <w:rPr>
                <w:rFonts w:hint="eastAsia" w:ascii="仿宋_GB2312" w:eastAsia="仿宋_GB2312"/>
                <w:b/>
              </w:rPr>
              <w:t>名称</w:t>
            </w:r>
          </w:p>
        </w:tc>
        <w:tc>
          <w:tcPr>
            <w:tcW w:w="818" w:type="dxa"/>
            <w:vAlign w:val="center"/>
          </w:tcPr>
          <w:p>
            <w:pPr>
              <w:ind w:firstLine="0" w:firstLineChars="0"/>
              <w:rPr>
                <w:rFonts w:ascii="仿宋_GB2312" w:eastAsia="仿宋_GB2312"/>
                <w:b/>
              </w:rPr>
            </w:pPr>
            <w:r>
              <w:rPr>
                <w:rFonts w:hint="eastAsia" w:ascii="仿宋_GB2312" w:eastAsia="仿宋_GB2312"/>
                <w:b/>
              </w:rPr>
              <w:t>单位</w:t>
            </w:r>
          </w:p>
        </w:tc>
        <w:tc>
          <w:tcPr>
            <w:tcW w:w="744" w:type="dxa"/>
            <w:vAlign w:val="center"/>
          </w:tcPr>
          <w:p>
            <w:pPr>
              <w:ind w:firstLine="0" w:firstLineChars="0"/>
              <w:rPr>
                <w:rFonts w:ascii="仿宋_GB2312" w:eastAsia="仿宋_GB2312"/>
                <w:b/>
              </w:rPr>
            </w:pPr>
            <w:r>
              <w:rPr>
                <w:rFonts w:hint="eastAsia" w:ascii="仿宋_GB2312" w:eastAsia="仿宋_GB2312"/>
                <w:b/>
              </w:rPr>
              <w:t>数量</w:t>
            </w:r>
          </w:p>
        </w:tc>
        <w:tc>
          <w:tcPr>
            <w:tcW w:w="992" w:type="dxa"/>
            <w:tcBorders>
              <w:right w:val="single" w:color="auto" w:sz="4" w:space="0"/>
            </w:tcBorders>
            <w:vAlign w:val="center"/>
          </w:tcPr>
          <w:p>
            <w:pPr>
              <w:ind w:firstLine="0" w:firstLineChars="0"/>
              <w:rPr>
                <w:rFonts w:ascii="仿宋_GB2312" w:eastAsia="仿宋_GB2312"/>
                <w:b/>
              </w:rPr>
            </w:pPr>
            <w:r>
              <w:rPr>
                <w:rFonts w:hint="eastAsia" w:ascii="仿宋_GB2312" w:eastAsia="仿宋_GB2312"/>
                <w:b/>
              </w:rPr>
              <w:t>单价/元（含税）</w:t>
            </w:r>
          </w:p>
        </w:tc>
        <w:tc>
          <w:tcPr>
            <w:tcW w:w="710" w:type="dxa"/>
            <w:tcBorders>
              <w:left w:val="single" w:color="auto" w:sz="4" w:space="0"/>
              <w:right w:val="single" w:color="auto" w:sz="4" w:space="0"/>
            </w:tcBorders>
            <w:vAlign w:val="center"/>
          </w:tcPr>
          <w:p>
            <w:pPr>
              <w:ind w:firstLine="0" w:firstLineChars="0"/>
              <w:rPr>
                <w:rFonts w:ascii="仿宋_GB2312" w:eastAsia="仿宋_GB2312"/>
                <w:b/>
              </w:rPr>
            </w:pPr>
            <w:r>
              <w:rPr>
                <w:rFonts w:hint="eastAsia" w:ascii="仿宋_GB2312" w:eastAsia="仿宋_GB2312"/>
                <w:b/>
              </w:rPr>
              <w:t>合计</w:t>
            </w:r>
          </w:p>
        </w:tc>
        <w:tc>
          <w:tcPr>
            <w:tcW w:w="1292" w:type="dxa"/>
            <w:tcBorders>
              <w:left w:val="single" w:color="auto" w:sz="4" w:space="0"/>
            </w:tcBorders>
            <w:vAlign w:val="center"/>
          </w:tcPr>
          <w:p>
            <w:pPr>
              <w:ind w:firstLine="0" w:firstLineChars="0"/>
              <w:rPr>
                <w:rFonts w:ascii="仿宋_GB2312" w:eastAsia="仿宋_GB2312"/>
              </w:rPr>
            </w:pPr>
            <w:r>
              <w:rPr>
                <w:rFonts w:hint="eastAsia" w:ascii="仿宋_GB2312" w:eastAsia="仿宋_GB2312"/>
                <w:b/>
              </w:rPr>
              <w:t>投标品牌</w:t>
            </w:r>
          </w:p>
        </w:tc>
        <w:tc>
          <w:tcPr>
            <w:tcW w:w="1256" w:type="dxa"/>
            <w:vAlign w:val="center"/>
          </w:tcPr>
          <w:p>
            <w:pPr>
              <w:ind w:firstLine="0" w:firstLineChars="0"/>
              <w:rPr>
                <w:rFonts w:ascii="仿宋_GB2312" w:eastAsia="仿宋_GB2312"/>
              </w:rPr>
            </w:pPr>
            <w:r>
              <w:rPr>
                <w:rFonts w:hint="eastAsia" w:ascii="仿宋_GB2312" w:eastAsia="仿宋_GB2312"/>
                <w:b/>
              </w:rPr>
              <w:t>到货日期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872" w:type="dxa"/>
            <w:tcBorders>
              <w:bottom w:val="single" w:color="auto" w:sz="4" w:space="0"/>
            </w:tcBorders>
          </w:tcPr>
          <w:p>
            <w:pPr>
              <w:adjustRightInd w:val="0"/>
              <w:snapToGrid w:val="0"/>
              <w:ind w:firstLine="174" w:firstLineChars="83"/>
              <w:rPr>
                <w:rFonts w:hint="eastAsia" w:ascii="仿宋_GB2312" w:eastAsia="仿宋_GB2312"/>
                <w:lang w:val="en-US" w:eastAsia="zh-CN"/>
              </w:rPr>
            </w:pPr>
            <w:r>
              <w:rPr>
                <w:rFonts w:hint="eastAsia" w:ascii="仿宋_GB2312" w:eastAsia="仿宋_GB2312"/>
                <w:lang w:val="en-US" w:eastAsia="zh-CN"/>
              </w:rPr>
              <w:t>1</w:t>
            </w:r>
          </w:p>
        </w:tc>
        <w:tc>
          <w:tcPr>
            <w:tcW w:w="2244" w:type="dxa"/>
            <w:tcBorders>
              <w:bottom w:val="single" w:color="auto" w:sz="4" w:space="0"/>
            </w:tcBorders>
            <w:vAlign w:val="center"/>
          </w:tcPr>
          <w:p>
            <w:pPr>
              <w:ind w:firstLine="400"/>
              <w:jc w:val="center"/>
              <w:rPr>
                <w:rFonts w:hint="eastAsia"/>
                <w:color w:val="000000"/>
                <w:sz w:val="20"/>
                <w:szCs w:val="20"/>
              </w:rPr>
            </w:pPr>
            <w:r>
              <w:rPr>
                <w:rFonts w:hint="eastAsia" w:ascii="宋体" w:hAnsi="宋体"/>
              </w:rPr>
              <w:t>信息发布系统</w:t>
            </w:r>
          </w:p>
        </w:tc>
        <w:tc>
          <w:tcPr>
            <w:tcW w:w="818" w:type="dxa"/>
            <w:tcBorders>
              <w:bottom w:val="single" w:color="auto" w:sz="4" w:space="0"/>
            </w:tcBorders>
            <w:vAlign w:val="center"/>
          </w:tcPr>
          <w:p>
            <w:pPr>
              <w:ind w:firstLine="400"/>
              <w:jc w:val="center"/>
              <w:rPr>
                <w:rFonts w:hint="eastAsia"/>
                <w:color w:val="000000"/>
                <w:sz w:val="20"/>
                <w:szCs w:val="20"/>
              </w:rPr>
            </w:pPr>
            <w:r>
              <w:rPr>
                <w:rFonts w:hint="eastAsia" w:ascii="宋体" w:hAnsi="宋体"/>
                <w:color w:val="000000"/>
              </w:rPr>
              <w:t>套</w:t>
            </w:r>
          </w:p>
        </w:tc>
        <w:tc>
          <w:tcPr>
            <w:tcW w:w="744" w:type="dxa"/>
            <w:tcBorders>
              <w:bottom w:val="single" w:color="auto" w:sz="4" w:space="0"/>
            </w:tcBorders>
            <w:vAlign w:val="center"/>
          </w:tcPr>
          <w:p>
            <w:pPr>
              <w:ind w:firstLineChars="100"/>
              <w:jc w:val="center"/>
              <w:rPr>
                <w:rFonts w:hint="eastAsia" w:eastAsia="宋体"/>
                <w:color w:val="000000"/>
                <w:sz w:val="20"/>
                <w:szCs w:val="20"/>
                <w:lang w:val="en-US" w:eastAsia="zh-CN"/>
              </w:rPr>
            </w:pPr>
            <w:r>
              <w:rPr>
                <w:rFonts w:hint="eastAsia"/>
                <w:color w:val="000000"/>
                <w:sz w:val="20"/>
                <w:szCs w:val="20"/>
                <w:lang w:val="en-US" w:eastAsia="zh-CN"/>
              </w:rPr>
              <w:t>1</w:t>
            </w:r>
          </w:p>
        </w:tc>
        <w:tc>
          <w:tcPr>
            <w:tcW w:w="992" w:type="dxa"/>
            <w:tcBorders>
              <w:bottom w:val="single" w:color="auto" w:sz="4" w:space="0"/>
              <w:right w:val="single" w:color="auto" w:sz="4" w:space="0"/>
            </w:tcBorders>
          </w:tcPr>
          <w:p>
            <w:pPr>
              <w:adjustRightInd w:val="0"/>
              <w:snapToGrid w:val="0"/>
              <w:ind w:firstLine="480"/>
              <w:jc w:val="center"/>
              <w:rPr>
                <w:rFonts w:ascii="仿宋_GB2312" w:eastAsia="仿宋_GB2312"/>
              </w:rPr>
            </w:pPr>
          </w:p>
        </w:tc>
        <w:tc>
          <w:tcPr>
            <w:tcW w:w="710" w:type="dxa"/>
            <w:tcBorders>
              <w:left w:val="single" w:color="auto" w:sz="4" w:space="0"/>
              <w:bottom w:val="single" w:color="auto" w:sz="4" w:space="0"/>
              <w:right w:val="single" w:color="auto" w:sz="4" w:space="0"/>
            </w:tcBorders>
          </w:tcPr>
          <w:p>
            <w:pPr>
              <w:adjustRightInd w:val="0"/>
              <w:snapToGrid w:val="0"/>
              <w:ind w:firstLine="480"/>
              <w:jc w:val="center"/>
              <w:rPr>
                <w:rFonts w:ascii="仿宋_GB2312" w:eastAsia="仿宋_GB2312"/>
              </w:rPr>
            </w:pPr>
          </w:p>
        </w:tc>
        <w:tc>
          <w:tcPr>
            <w:tcW w:w="1292" w:type="dxa"/>
            <w:tcBorders>
              <w:left w:val="single" w:color="auto" w:sz="4" w:space="0"/>
              <w:bottom w:val="single" w:color="auto" w:sz="4" w:space="0"/>
            </w:tcBorders>
          </w:tcPr>
          <w:p>
            <w:pPr>
              <w:adjustRightInd w:val="0"/>
              <w:snapToGrid w:val="0"/>
              <w:ind w:firstLine="480"/>
              <w:jc w:val="center"/>
              <w:rPr>
                <w:rFonts w:ascii="仿宋_GB2312" w:eastAsia="仿宋_GB2312"/>
              </w:rPr>
            </w:pPr>
          </w:p>
        </w:tc>
        <w:tc>
          <w:tcPr>
            <w:tcW w:w="1256" w:type="dxa"/>
            <w:tcBorders>
              <w:bottom w:val="single" w:color="auto" w:sz="4" w:space="0"/>
            </w:tcBorders>
          </w:tcPr>
          <w:p>
            <w:pPr>
              <w:adjustRightInd w:val="0"/>
              <w:snapToGrid w:val="0"/>
              <w:ind w:firstLine="480"/>
              <w:jc w:val="center"/>
              <w:rPr>
                <w:rFonts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3116" w:type="dxa"/>
            <w:gridSpan w:val="2"/>
            <w:tcBorders>
              <w:bottom w:val="single" w:color="auto" w:sz="4" w:space="0"/>
            </w:tcBorders>
          </w:tcPr>
          <w:p>
            <w:pPr>
              <w:ind w:firstLine="400"/>
              <w:jc w:val="center"/>
              <w:rPr>
                <w:rFonts w:hint="eastAsia" w:eastAsia="宋体"/>
                <w:color w:val="000000"/>
                <w:sz w:val="20"/>
                <w:szCs w:val="20"/>
                <w:lang w:val="en-US" w:eastAsia="zh-CN"/>
              </w:rPr>
            </w:pPr>
            <w:r>
              <w:rPr>
                <w:rFonts w:hint="eastAsia"/>
                <w:color w:val="000000"/>
                <w:sz w:val="20"/>
                <w:szCs w:val="20"/>
                <w:lang w:val="en-US" w:eastAsia="zh-CN"/>
              </w:rPr>
              <w:t>每套包含：</w:t>
            </w:r>
          </w:p>
        </w:tc>
        <w:tc>
          <w:tcPr>
            <w:tcW w:w="818" w:type="dxa"/>
            <w:tcBorders>
              <w:bottom w:val="single" w:color="auto" w:sz="4" w:space="0"/>
            </w:tcBorders>
            <w:vAlign w:val="center"/>
          </w:tcPr>
          <w:p>
            <w:pPr>
              <w:ind w:firstLine="400"/>
              <w:jc w:val="center"/>
              <w:rPr>
                <w:rFonts w:hint="eastAsia"/>
                <w:color w:val="000000"/>
                <w:sz w:val="20"/>
                <w:szCs w:val="20"/>
              </w:rPr>
            </w:pPr>
          </w:p>
        </w:tc>
        <w:tc>
          <w:tcPr>
            <w:tcW w:w="744" w:type="dxa"/>
            <w:tcBorders>
              <w:bottom w:val="single" w:color="auto" w:sz="4" w:space="0"/>
            </w:tcBorders>
            <w:vAlign w:val="center"/>
          </w:tcPr>
          <w:p>
            <w:pPr>
              <w:ind w:firstLineChars="100"/>
              <w:jc w:val="center"/>
              <w:rPr>
                <w:rFonts w:hint="eastAsia"/>
                <w:color w:val="000000"/>
                <w:sz w:val="20"/>
                <w:szCs w:val="20"/>
              </w:rPr>
            </w:pPr>
          </w:p>
        </w:tc>
        <w:tc>
          <w:tcPr>
            <w:tcW w:w="992" w:type="dxa"/>
            <w:tcBorders>
              <w:bottom w:val="single" w:color="auto" w:sz="4" w:space="0"/>
              <w:right w:val="single" w:color="auto" w:sz="4" w:space="0"/>
            </w:tcBorders>
          </w:tcPr>
          <w:p>
            <w:pPr>
              <w:adjustRightInd w:val="0"/>
              <w:snapToGrid w:val="0"/>
              <w:ind w:firstLine="480"/>
              <w:jc w:val="center"/>
              <w:rPr>
                <w:rFonts w:ascii="仿宋_GB2312" w:eastAsia="仿宋_GB2312"/>
              </w:rPr>
            </w:pPr>
          </w:p>
        </w:tc>
        <w:tc>
          <w:tcPr>
            <w:tcW w:w="710" w:type="dxa"/>
            <w:tcBorders>
              <w:left w:val="single" w:color="auto" w:sz="4" w:space="0"/>
              <w:bottom w:val="single" w:color="auto" w:sz="4" w:space="0"/>
              <w:right w:val="single" w:color="auto" w:sz="4" w:space="0"/>
            </w:tcBorders>
          </w:tcPr>
          <w:p>
            <w:pPr>
              <w:adjustRightInd w:val="0"/>
              <w:snapToGrid w:val="0"/>
              <w:ind w:firstLine="480"/>
              <w:jc w:val="center"/>
              <w:rPr>
                <w:rFonts w:ascii="仿宋_GB2312" w:eastAsia="仿宋_GB2312"/>
              </w:rPr>
            </w:pPr>
          </w:p>
        </w:tc>
        <w:tc>
          <w:tcPr>
            <w:tcW w:w="1292" w:type="dxa"/>
            <w:tcBorders>
              <w:left w:val="single" w:color="auto" w:sz="4" w:space="0"/>
              <w:bottom w:val="single" w:color="auto" w:sz="4" w:space="0"/>
            </w:tcBorders>
          </w:tcPr>
          <w:p>
            <w:pPr>
              <w:adjustRightInd w:val="0"/>
              <w:snapToGrid w:val="0"/>
              <w:ind w:firstLine="480"/>
              <w:jc w:val="center"/>
              <w:rPr>
                <w:rFonts w:ascii="仿宋_GB2312" w:eastAsia="仿宋_GB2312"/>
              </w:rPr>
            </w:pPr>
          </w:p>
        </w:tc>
        <w:tc>
          <w:tcPr>
            <w:tcW w:w="1256" w:type="dxa"/>
            <w:tcBorders>
              <w:bottom w:val="single" w:color="auto" w:sz="4" w:space="0"/>
            </w:tcBorders>
          </w:tcPr>
          <w:p>
            <w:pPr>
              <w:adjustRightInd w:val="0"/>
              <w:snapToGrid w:val="0"/>
              <w:ind w:firstLine="480"/>
              <w:jc w:val="center"/>
              <w:rPr>
                <w:rFonts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872" w:type="dxa"/>
            <w:tcBorders>
              <w:bottom w:val="single" w:color="auto" w:sz="4" w:space="0"/>
            </w:tcBorders>
          </w:tcPr>
          <w:p>
            <w:pPr>
              <w:adjustRightInd w:val="0"/>
              <w:snapToGrid w:val="0"/>
              <w:ind w:firstLine="174" w:firstLineChars="83"/>
              <w:rPr>
                <w:rFonts w:ascii="仿宋_GB2312" w:eastAsia="仿宋_GB2312"/>
              </w:rPr>
            </w:pPr>
            <w:r>
              <w:rPr>
                <w:rFonts w:hint="eastAsia" w:ascii="仿宋_GB2312" w:eastAsia="仿宋_GB2312"/>
              </w:rPr>
              <w:t>1</w:t>
            </w:r>
            <w:r>
              <w:rPr>
                <w:rFonts w:hint="eastAsia" w:ascii="仿宋_GB2312" w:eastAsia="仿宋_GB2312"/>
                <w:lang w:eastAsia="zh-CN"/>
              </w:rPr>
              <w:t>.</w:t>
            </w:r>
            <w:r>
              <w:rPr>
                <w:rFonts w:hint="eastAsia" w:ascii="仿宋_GB2312" w:eastAsia="仿宋_GB2312"/>
                <w:lang w:val="en-US" w:eastAsia="zh-CN"/>
              </w:rPr>
              <w:t>1</w:t>
            </w:r>
          </w:p>
        </w:tc>
        <w:tc>
          <w:tcPr>
            <w:tcW w:w="2244" w:type="dxa"/>
            <w:tcBorders>
              <w:bottom w:val="single" w:color="auto" w:sz="4" w:space="0"/>
            </w:tcBorders>
            <w:vAlign w:val="center"/>
          </w:tcPr>
          <w:p>
            <w:pPr>
              <w:ind w:firstLine="400"/>
              <w:jc w:val="center"/>
              <w:rPr>
                <w:rFonts w:ascii="宋体" w:hAnsi="宋体" w:cs="宋体"/>
                <w:color w:val="000000"/>
                <w:sz w:val="20"/>
                <w:szCs w:val="20"/>
              </w:rPr>
            </w:pPr>
            <w:r>
              <w:rPr>
                <w:rFonts w:hint="eastAsia"/>
                <w:color w:val="000000"/>
                <w:sz w:val="20"/>
                <w:szCs w:val="20"/>
              </w:rPr>
              <w:t>信息发布平台</w:t>
            </w:r>
          </w:p>
        </w:tc>
        <w:tc>
          <w:tcPr>
            <w:tcW w:w="818" w:type="dxa"/>
            <w:tcBorders>
              <w:bottom w:val="single" w:color="auto" w:sz="4" w:space="0"/>
            </w:tcBorders>
            <w:vAlign w:val="center"/>
          </w:tcPr>
          <w:p>
            <w:pPr>
              <w:ind w:firstLine="400"/>
              <w:jc w:val="center"/>
              <w:rPr>
                <w:rFonts w:ascii="宋体" w:hAnsi="宋体" w:cs="宋体"/>
                <w:color w:val="000000"/>
                <w:sz w:val="20"/>
                <w:szCs w:val="20"/>
              </w:rPr>
            </w:pPr>
            <w:r>
              <w:rPr>
                <w:rFonts w:hint="eastAsia"/>
                <w:color w:val="000000"/>
                <w:sz w:val="20"/>
                <w:szCs w:val="20"/>
              </w:rPr>
              <w:t>套</w:t>
            </w:r>
          </w:p>
        </w:tc>
        <w:tc>
          <w:tcPr>
            <w:tcW w:w="744" w:type="dxa"/>
            <w:tcBorders>
              <w:bottom w:val="single" w:color="auto" w:sz="4" w:space="0"/>
            </w:tcBorders>
            <w:vAlign w:val="center"/>
          </w:tcPr>
          <w:p>
            <w:pPr>
              <w:ind w:firstLineChars="100"/>
              <w:jc w:val="center"/>
              <w:rPr>
                <w:rFonts w:ascii="宋体" w:hAnsi="宋体" w:cs="宋体"/>
                <w:color w:val="000000"/>
                <w:sz w:val="20"/>
                <w:szCs w:val="20"/>
              </w:rPr>
            </w:pPr>
            <w:r>
              <w:rPr>
                <w:rFonts w:hint="eastAsia"/>
                <w:color w:val="000000"/>
                <w:sz w:val="20"/>
                <w:szCs w:val="20"/>
              </w:rPr>
              <w:t>1</w:t>
            </w:r>
          </w:p>
        </w:tc>
        <w:tc>
          <w:tcPr>
            <w:tcW w:w="992" w:type="dxa"/>
            <w:tcBorders>
              <w:bottom w:val="single" w:color="auto" w:sz="4" w:space="0"/>
              <w:right w:val="single" w:color="auto" w:sz="4" w:space="0"/>
            </w:tcBorders>
          </w:tcPr>
          <w:p>
            <w:pPr>
              <w:adjustRightInd w:val="0"/>
              <w:snapToGrid w:val="0"/>
              <w:ind w:firstLine="480"/>
              <w:jc w:val="center"/>
              <w:rPr>
                <w:rFonts w:ascii="仿宋_GB2312" w:eastAsia="仿宋_GB2312"/>
              </w:rPr>
            </w:pPr>
          </w:p>
        </w:tc>
        <w:tc>
          <w:tcPr>
            <w:tcW w:w="710" w:type="dxa"/>
            <w:tcBorders>
              <w:left w:val="single" w:color="auto" w:sz="4" w:space="0"/>
              <w:bottom w:val="single" w:color="auto" w:sz="4" w:space="0"/>
              <w:right w:val="single" w:color="auto" w:sz="4" w:space="0"/>
            </w:tcBorders>
          </w:tcPr>
          <w:p>
            <w:pPr>
              <w:adjustRightInd w:val="0"/>
              <w:snapToGrid w:val="0"/>
              <w:ind w:firstLine="480"/>
              <w:jc w:val="center"/>
              <w:rPr>
                <w:rFonts w:ascii="仿宋_GB2312" w:eastAsia="仿宋_GB2312"/>
              </w:rPr>
            </w:pPr>
          </w:p>
        </w:tc>
        <w:tc>
          <w:tcPr>
            <w:tcW w:w="1292" w:type="dxa"/>
            <w:tcBorders>
              <w:left w:val="single" w:color="auto" w:sz="4" w:space="0"/>
              <w:bottom w:val="single" w:color="auto" w:sz="4" w:space="0"/>
            </w:tcBorders>
          </w:tcPr>
          <w:p>
            <w:pPr>
              <w:adjustRightInd w:val="0"/>
              <w:snapToGrid w:val="0"/>
              <w:ind w:firstLine="480"/>
              <w:jc w:val="center"/>
              <w:rPr>
                <w:rFonts w:ascii="仿宋_GB2312" w:eastAsia="仿宋_GB2312"/>
              </w:rPr>
            </w:pPr>
          </w:p>
        </w:tc>
        <w:tc>
          <w:tcPr>
            <w:tcW w:w="1256" w:type="dxa"/>
            <w:tcBorders>
              <w:bottom w:val="single" w:color="auto" w:sz="4" w:space="0"/>
            </w:tcBorders>
          </w:tcPr>
          <w:p>
            <w:pPr>
              <w:adjustRightInd w:val="0"/>
              <w:snapToGrid w:val="0"/>
              <w:ind w:firstLine="480"/>
              <w:jc w:val="center"/>
              <w:rPr>
                <w:rFonts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872" w:type="dxa"/>
            <w:tcBorders>
              <w:bottom w:val="single" w:color="auto" w:sz="4" w:space="0"/>
            </w:tcBorders>
          </w:tcPr>
          <w:p>
            <w:pPr>
              <w:adjustRightInd w:val="0"/>
              <w:snapToGrid w:val="0"/>
              <w:ind w:firstLine="174" w:firstLineChars="83"/>
              <w:rPr>
                <w:rFonts w:ascii="仿宋_GB2312" w:eastAsia="仿宋_GB2312"/>
              </w:rPr>
            </w:pPr>
            <w:r>
              <w:rPr>
                <w:rFonts w:hint="eastAsia" w:ascii="仿宋_GB2312" w:eastAsia="仿宋_GB2312"/>
              </w:rPr>
              <w:t>1</w:t>
            </w:r>
            <w:r>
              <w:rPr>
                <w:rFonts w:hint="eastAsia" w:ascii="仿宋_GB2312" w:eastAsia="仿宋_GB2312"/>
                <w:lang w:eastAsia="zh-CN"/>
              </w:rPr>
              <w:t>.</w:t>
            </w:r>
            <w:r>
              <w:rPr>
                <w:rFonts w:hint="eastAsia" w:ascii="仿宋_GB2312" w:eastAsia="仿宋_GB2312"/>
              </w:rPr>
              <w:t>2</w:t>
            </w:r>
          </w:p>
        </w:tc>
        <w:tc>
          <w:tcPr>
            <w:tcW w:w="2244" w:type="dxa"/>
            <w:tcBorders>
              <w:bottom w:val="single" w:color="auto" w:sz="4" w:space="0"/>
            </w:tcBorders>
            <w:vAlign w:val="center"/>
          </w:tcPr>
          <w:p>
            <w:pPr>
              <w:ind w:firstLine="400"/>
              <w:jc w:val="center"/>
              <w:rPr>
                <w:rFonts w:ascii="宋体" w:hAnsi="宋体" w:cs="宋体"/>
                <w:sz w:val="20"/>
                <w:szCs w:val="20"/>
              </w:rPr>
            </w:pPr>
            <w:r>
              <w:rPr>
                <w:rFonts w:hint="eastAsia"/>
                <w:sz w:val="20"/>
                <w:szCs w:val="20"/>
              </w:rPr>
              <w:t>接口预留集成</w:t>
            </w:r>
          </w:p>
        </w:tc>
        <w:tc>
          <w:tcPr>
            <w:tcW w:w="818" w:type="dxa"/>
            <w:tcBorders>
              <w:bottom w:val="single" w:color="auto" w:sz="4" w:space="0"/>
            </w:tcBorders>
            <w:vAlign w:val="center"/>
          </w:tcPr>
          <w:p>
            <w:pPr>
              <w:ind w:firstLine="400"/>
              <w:jc w:val="center"/>
              <w:rPr>
                <w:rFonts w:ascii="宋体" w:hAnsi="宋体" w:cs="宋体"/>
                <w:sz w:val="20"/>
                <w:szCs w:val="20"/>
              </w:rPr>
            </w:pPr>
            <w:r>
              <w:rPr>
                <w:rFonts w:hint="eastAsia"/>
                <w:sz w:val="20"/>
                <w:szCs w:val="20"/>
              </w:rPr>
              <w:t>套</w:t>
            </w:r>
          </w:p>
        </w:tc>
        <w:tc>
          <w:tcPr>
            <w:tcW w:w="744" w:type="dxa"/>
            <w:tcBorders>
              <w:bottom w:val="single" w:color="auto" w:sz="4" w:space="0"/>
            </w:tcBorders>
            <w:vAlign w:val="center"/>
          </w:tcPr>
          <w:p>
            <w:pPr>
              <w:ind w:firstLineChars="100"/>
              <w:jc w:val="center"/>
              <w:rPr>
                <w:rFonts w:ascii="宋体" w:hAnsi="宋体" w:cs="宋体"/>
                <w:sz w:val="20"/>
                <w:szCs w:val="20"/>
              </w:rPr>
            </w:pPr>
            <w:r>
              <w:rPr>
                <w:rFonts w:hint="eastAsia"/>
                <w:sz w:val="20"/>
                <w:szCs w:val="20"/>
              </w:rPr>
              <w:t>1</w:t>
            </w:r>
          </w:p>
        </w:tc>
        <w:tc>
          <w:tcPr>
            <w:tcW w:w="992" w:type="dxa"/>
            <w:tcBorders>
              <w:bottom w:val="single" w:color="auto" w:sz="4" w:space="0"/>
              <w:right w:val="single" w:color="auto" w:sz="4" w:space="0"/>
            </w:tcBorders>
          </w:tcPr>
          <w:p>
            <w:pPr>
              <w:adjustRightInd w:val="0"/>
              <w:snapToGrid w:val="0"/>
              <w:ind w:firstLine="480"/>
              <w:jc w:val="center"/>
              <w:rPr>
                <w:rFonts w:ascii="仿宋_GB2312" w:eastAsia="仿宋_GB2312"/>
              </w:rPr>
            </w:pPr>
          </w:p>
        </w:tc>
        <w:tc>
          <w:tcPr>
            <w:tcW w:w="710" w:type="dxa"/>
            <w:tcBorders>
              <w:left w:val="single" w:color="auto" w:sz="4" w:space="0"/>
              <w:bottom w:val="single" w:color="auto" w:sz="4" w:space="0"/>
              <w:right w:val="single" w:color="auto" w:sz="4" w:space="0"/>
            </w:tcBorders>
          </w:tcPr>
          <w:p>
            <w:pPr>
              <w:adjustRightInd w:val="0"/>
              <w:snapToGrid w:val="0"/>
              <w:ind w:firstLine="480"/>
              <w:jc w:val="center"/>
              <w:rPr>
                <w:rFonts w:ascii="仿宋_GB2312" w:eastAsia="仿宋_GB2312"/>
              </w:rPr>
            </w:pPr>
          </w:p>
        </w:tc>
        <w:tc>
          <w:tcPr>
            <w:tcW w:w="1292" w:type="dxa"/>
            <w:tcBorders>
              <w:left w:val="single" w:color="auto" w:sz="4" w:space="0"/>
              <w:bottom w:val="single" w:color="auto" w:sz="4" w:space="0"/>
            </w:tcBorders>
          </w:tcPr>
          <w:p>
            <w:pPr>
              <w:adjustRightInd w:val="0"/>
              <w:snapToGrid w:val="0"/>
              <w:ind w:firstLine="480"/>
              <w:jc w:val="center"/>
              <w:rPr>
                <w:rFonts w:ascii="仿宋_GB2312" w:eastAsia="仿宋_GB2312"/>
              </w:rPr>
            </w:pPr>
          </w:p>
        </w:tc>
        <w:tc>
          <w:tcPr>
            <w:tcW w:w="1256" w:type="dxa"/>
            <w:tcBorders>
              <w:bottom w:val="single" w:color="auto" w:sz="4" w:space="0"/>
            </w:tcBorders>
          </w:tcPr>
          <w:p>
            <w:pPr>
              <w:adjustRightInd w:val="0"/>
              <w:snapToGrid w:val="0"/>
              <w:ind w:firstLine="480"/>
              <w:jc w:val="center"/>
              <w:rPr>
                <w:rFonts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872" w:type="dxa"/>
            <w:tcBorders>
              <w:bottom w:val="single" w:color="auto" w:sz="4" w:space="0"/>
            </w:tcBorders>
          </w:tcPr>
          <w:p>
            <w:pPr>
              <w:adjustRightInd w:val="0"/>
              <w:snapToGrid w:val="0"/>
              <w:ind w:firstLine="174" w:firstLineChars="83"/>
              <w:rPr>
                <w:rFonts w:ascii="仿宋_GB2312" w:eastAsia="仿宋_GB2312"/>
              </w:rPr>
            </w:pPr>
            <w:r>
              <w:rPr>
                <w:rFonts w:hint="eastAsia" w:ascii="仿宋_GB2312" w:eastAsia="仿宋_GB2312"/>
              </w:rPr>
              <w:t>1</w:t>
            </w:r>
            <w:r>
              <w:rPr>
                <w:rFonts w:hint="eastAsia" w:ascii="仿宋_GB2312" w:eastAsia="仿宋_GB2312"/>
                <w:lang w:eastAsia="zh-CN"/>
              </w:rPr>
              <w:t>.</w:t>
            </w:r>
            <w:r>
              <w:rPr>
                <w:rFonts w:hint="eastAsia" w:ascii="仿宋_GB2312" w:eastAsia="仿宋_GB2312"/>
              </w:rPr>
              <w:t>3</w:t>
            </w:r>
          </w:p>
        </w:tc>
        <w:tc>
          <w:tcPr>
            <w:tcW w:w="2244" w:type="dxa"/>
            <w:tcBorders>
              <w:bottom w:val="single" w:color="auto" w:sz="4" w:space="0"/>
            </w:tcBorders>
            <w:vAlign w:val="center"/>
          </w:tcPr>
          <w:p>
            <w:pPr>
              <w:ind w:firstLine="400"/>
              <w:jc w:val="center"/>
              <w:rPr>
                <w:rFonts w:ascii="宋体" w:hAnsi="宋体" w:cs="宋体"/>
                <w:color w:val="000000"/>
                <w:sz w:val="20"/>
                <w:szCs w:val="20"/>
              </w:rPr>
            </w:pPr>
            <w:r>
              <w:rPr>
                <w:rFonts w:hint="eastAsia"/>
                <w:color w:val="000000"/>
                <w:sz w:val="20"/>
                <w:szCs w:val="20"/>
              </w:rPr>
              <w:t>服务器</w:t>
            </w:r>
          </w:p>
        </w:tc>
        <w:tc>
          <w:tcPr>
            <w:tcW w:w="818" w:type="dxa"/>
            <w:tcBorders>
              <w:bottom w:val="single" w:color="auto" w:sz="4" w:space="0"/>
            </w:tcBorders>
            <w:vAlign w:val="center"/>
          </w:tcPr>
          <w:p>
            <w:pPr>
              <w:ind w:firstLine="400"/>
              <w:jc w:val="center"/>
              <w:rPr>
                <w:rFonts w:ascii="宋体" w:hAnsi="宋体" w:cs="宋体"/>
                <w:color w:val="000000"/>
                <w:sz w:val="20"/>
                <w:szCs w:val="20"/>
              </w:rPr>
            </w:pPr>
            <w:r>
              <w:rPr>
                <w:rFonts w:hint="eastAsia"/>
                <w:color w:val="000000"/>
                <w:sz w:val="20"/>
                <w:szCs w:val="20"/>
              </w:rPr>
              <w:t>台</w:t>
            </w:r>
          </w:p>
        </w:tc>
        <w:tc>
          <w:tcPr>
            <w:tcW w:w="744" w:type="dxa"/>
            <w:tcBorders>
              <w:bottom w:val="single" w:color="auto" w:sz="4" w:space="0"/>
            </w:tcBorders>
            <w:vAlign w:val="center"/>
          </w:tcPr>
          <w:p>
            <w:pPr>
              <w:ind w:firstLineChars="100"/>
              <w:jc w:val="center"/>
              <w:rPr>
                <w:rFonts w:ascii="宋体" w:hAnsi="宋体" w:cs="宋体"/>
                <w:color w:val="000000"/>
                <w:sz w:val="20"/>
                <w:szCs w:val="20"/>
              </w:rPr>
            </w:pPr>
            <w:r>
              <w:rPr>
                <w:rFonts w:hint="eastAsia"/>
                <w:color w:val="000000"/>
                <w:sz w:val="20"/>
                <w:szCs w:val="20"/>
              </w:rPr>
              <w:t>1</w:t>
            </w:r>
          </w:p>
        </w:tc>
        <w:tc>
          <w:tcPr>
            <w:tcW w:w="992" w:type="dxa"/>
            <w:tcBorders>
              <w:bottom w:val="single" w:color="auto" w:sz="4" w:space="0"/>
              <w:right w:val="single" w:color="auto" w:sz="4" w:space="0"/>
            </w:tcBorders>
          </w:tcPr>
          <w:p>
            <w:pPr>
              <w:adjustRightInd w:val="0"/>
              <w:snapToGrid w:val="0"/>
              <w:ind w:firstLine="480"/>
              <w:jc w:val="center"/>
              <w:rPr>
                <w:rFonts w:ascii="仿宋_GB2312" w:eastAsia="仿宋_GB2312"/>
              </w:rPr>
            </w:pPr>
          </w:p>
        </w:tc>
        <w:tc>
          <w:tcPr>
            <w:tcW w:w="710" w:type="dxa"/>
            <w:tcBorders>
              <w:left w:val="single" w:color="auto" w:sz="4" w:space="0"/>
              <w:bottom w:val="single" w:color="auto" w:sz="4" w:space="0"/>
              <w:right w:val="single" w:color="auto" w:sz="4" w:space="0"/>
            </w:tcBorders>
          </w:tcPr>
          <w:p>
            <w:pPr>
              <w:adjustRightInd w:val="0"/>
              <w:snapToGrid w:val="0"/>
              <w:ind w:firstLine="480"/>
              <w:jc w:val="center"/>
              <w:rPr>
                <w:rFonts w:ascii="仿宋_GB2312" w:eastAsia="仿宋_GB2312"/>
              </w:rPr>
            </w:pPr>
          </w:p>
        </w:tc>
        <w:tc>
          <w:tcPr>
            <w:tcW w:w="1292" w:type="dxa"/>
            <w:tcBorders>
              <w:left w:val="single" w:color="auto" w:sz="4" w:space="0"/>
              <w:bottom w:val="single" w:color="auto" w:sz="4" w:space="0"/>
            </w:tcBorders>
          </w:tcPr>
          <w:p>
            <w:pPr>
              <w:adjustRightInd w:val="0"/>
              <w:snapToGrid w:val="0"/>
              <w:ind w:firstLine="480"/>
              <w:jc w:val="center"/>
              <w:rPr>
                <w:rFonts w:ascii="仿宋_GB2312" w:eastAsia="仿宋_GB2312"/>
              </w:rPr>
            </w:pPr>
          </w:p>
        </w:tc>
        <w:tc>
          <w:tcPr>
            <w:tcW w:w="1256" w:type="dxa"/>
            <w:tcBorders>
              <w:bottom w:val="single" w:color="auto" w:sz="4" w:space="0"/>
            </w:tcBorders>
          </w:tcPr>
          <w:p>
            <w:pPr>
              <w:adjustRightInd w:val="0"/>
              <w:snapToGrid w:val="0"/>
              <w:ind w:firstLine="480"/>
              <w:jc w:val="center"/>
              <w:rPr>
                <w:rFonts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872" w:type="dxa"/>
            <w:tcBorders>
              <w:bottom w:val="single" w:color="auto" w:sz="4" w:space="0"/>
            </w:tcBorders>
          </w:tcPr>
          <w:p>
            <w:pPr>
              <w:adjustRightInd w:val="0"/>
              <w:snapToGrid w:val="0"/>
              <w:ind w:firstLine="174" w:firstLineChars="83"/>
              <w:rPr>
                <w:rFonts w:ascii="仿宋_GB2312" w:eastAsia="仿宋_GB2312"/>
              </w:rPr>
            </w:pPr>
            <w:r>
              <w:rPr>
                <w:rFonts w:hint="eastAsia" w:ascii="仿宋_GB2312" w:eastAsia="仿宋_GB2312"/>
              </w:rPr>
              <w:t>1</w:t>
            </w:r>
            <w:r>
              <w:rPr>
                <w:rFonts w:hint="eastAsia" w:ascii="仿宋_GB2312" w:eastAsia="仿宋_GB2312"/>
                <w:lang w:eastAsia="zh-CN"/>
              </w:rPr>
              <w:t>.</w:t>
            </w:r>
            <w:r>
              <w:rPr>
                <w:rFonts w:hint="eastAsia" w:ascii="仿宋_GB2312" w:eastAsia="仿宋_GB2312"/>
              </w:rPr>
              <w:t>4</w:t>
            </w:r>
          </w:p>
        </w:tc>
        <w:tc>
          <w:tcPr>
            <w:tcW w:w="2244" w:type="dxa"/>
            <w:tcBorders>
              <w:bottom w:val="single" w:color="auto" w:sz="4" w:space="0"/>
            </w:tcBorders>
            <w:vAlign w:val="center"/>
          </w:tcPr>
          <w:p>
            <w:pPr>
              <w:ind w:firstLine="400"/>
              <w:jc w:val="center"/>
              <w:rPr>
                <w:rFonts w:ascii="宋体" w:hAnsi="宋体" w:cs="宋体"/>
                <w:color w:val="000000"/>
                <w:sz w:val="20"/>
                <w:szCs w:val="20"/>
              </w:rPr>
            </w:pPr>
            <w:r>
              <w:rPr>
                <w:rFonts w:hint="eastAsia"/>
                <w:color w:val="000000"/>
                <w:sz w:val="20"/>
                <w:szCs w:val="20"/>
              </w:rPr>
              <w:t>媒体播放机</w:t>
            </w:r>
          </w:p>
        </w:tc>
        <w:tc>
          <w:tcPr>
            <w:tcW w:w="818" w:type="dxa"/>
            <w:tcBorders>
              <w:bottom w:val="single" w:color="auto" w:sz="4" w:space="0"/>
            </w:tcBorders>
            <w:vAlign w:val="center"/>
          </w:tcPr>
          <w:p>
            <w:pPr>
              <w:ind w:firstLine="400"/>
              <w:jc w:val="center"/>
              <w:rPr>
                <w:rFonts w:ascii="宋体" w:hAnsi="宋体" w:cs="宋体"/>
                <w:color w:val="000000"/>
                <w:sz w:val="20"/>
                <w:szCs w:val="20"/>
              </w:rPr>
            </w:pPr>
            <w:r>
              <w:rPr>
                <w:rFonts w:hint="eastAsia"/>
                <w:color w:val="000000"/>
                <w:sz w:val="20"/>
                <w:szCs w:val="20"/>
              </w:rPr>
              <w:t>台</w:t>
            </w:r>
          </w:p>
        </w:tc>
        <w:tc>
          <w:tcPr>
            <w:tcW w:w="744" w:type="dxa"/>
            <w:tcBorders>
              <w:bottom w:val="single" w:color="auto" w:sz="4" w:space="0"/>
            </w:tcBorders>
            <w:vAlign w:val="center"/>
          </w:tcPr>
          <w:p>
            <w:pPr>
              <w:ind w:firstLine="0" w:firstLineChars="0"/>
              <w:jc w:val="center"/>
              <w:rPr>
                <w:rFonts w:ascii="宋体" w:hAnsi="宋体" w:cs="宋体"/>
                <w:color w:val="000000"/>
                <w:sz w:val="20"/>
                <w:szCs w:val="20"/>
              </w:rPr>
            </w:pPr>
            <w:r>
              <w:rPr>
                <w:rFonts w:hint="eastAsia"/>
                <w:color w:val="000000"/>
                <w:sz w:val="20"/>
                <w:szCs w:val="20"/>
              </w:rPr>
              <w:t>42</w:t>
            </w:r>
          </w:p>
        </w:tc>
        <w:tc>
          <w:tcPr>
            <w:tcW w:w="992" w:type="dxa"/>
            <w:tcBorders>
              <w:bottom w:val="single" w:color="auto" w:sz="4" w:space="0"/>
              <w:right w:val="single" w:color="auto" w:sz="4" w:space="0"/>
            </w:tcBorders>
          </w:tcPr>
          <w:p>
            <w:pPr>
              <w:adjustRightInd w:val="0"/>
              <w:snapToGrid w:val="0"/>
              <w:ind w:firstLine="480"/>
              <w:jc w:val="center"/>
              <w:rPr>
                <w:rFonts w:ascii="仿宋_GB2312" w:eastAsia="仿宋_GB2312"/>
              </w:rPr>
            </w:pPr>
          </w:p>
        </w:tc>
        <w:tc>
          <w:tcPr>
            <w:tcW w:w="710" w:type="dxa"/>
            <w:tcBorders>
              <w:left w:val="single" w:color="auto" w:sz="4" w:space="0"/>
              <w:bottom w:val="single" w:color="auto" w:sz="4" w:space="0"/>
              <w:right w:val="single" w:color="auto" w:sz="4" w:space="0"/>
            </w:tcBorders>
          </w:tcPr>
          <w:p>
            <w:pPr>
              <w:adjustRightInd w:val="0"/>
              <w:snapToGrid w:val="0"/>
              <w:ind w:firstLine="480"/>
              <w:jc w:val="center"/>
              <w:rPr>
                <w:rFonts w:ascii="仿宋_GB2312" w:eastAsia="仿宋_GB2312"/>
              </w:rPr>
            </w:pPr>
          </w:p>
        </w:tc>
        <w:tc>
          <w:tcPr>
            <w:tcW w:w="1292" w:type="dxa"/>
            <w:tcBorders>
              <w:left w:val="single" w:color="auto" w:sz="4" w:space="0"/>
              <w:bottom w:val="single" w:color="auto" w:sz="4" w:space="0"/>
            </w:tcBorders>
          </w:tcPr>
          <w:p>
            <w:pPr>
              <w:adjustRightInd w:val="0"/>
              <w:snapToGrid w:val="0"/>
              <w:ind w:firstLine="480"/>
              <w:jc w:val="center"/>
              <w:rPr>
                <w:rFonts w:ascii="仿宋_GB2312" w:eastAsia="仿宋_GB2312"/>
              </w:rPr>
            </w:pPr>
          </w:p>
        </w:tc>
        <w:tc>
          <w:tcPr>
            <w:tcW w:w="1256" w:type="dxa"/>
            <w:tcBorders>
              <w:bottom w:val="single" w:color="auto" w:sz="4" w:space="0"/>
            </w:tcBorders>
          </w:tcPr>
          <w:p>
            <w:pPr>
              <w:adjustRightInd w:val="0"/>
              <w:snapToGrid w:val="0"/>
              <w:ind w:firstLine="480"/>
              <w:jc w:val="center"/>
              <w:rPr>
                <w:rFonts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872" w:type="dxa"/>
            <w:tcBorders>
              <w:bottom w:val="single" w:color="auto" w:sz="4" w:space="0"/>
            </w:tcBorders>
          </w:tcPr>
          <w:p>
            <w:pPr>
              <w:adjustRightInd w:val="0"/>
              <w:snapToGrid w:val="0"/>
              <w:ind w:firstLine="174" w:firstLineChars="83"/>
              <w:rPr>
                <w:rFonts w:ascii="仿宋_GB2312" w:eastAsia="仿宋_GB2312"/>
              </w:rPr>
            </w:pPr>
            <w:r>
              <w:rPr>
                <w:rFonts w:hint="eastAsia" w:ascii="仿宋_GB2312" w:eastAsia="仿宋_GB2312"/>
              </w:rPr>
              <w:t>1</w:t>
            </w:r>
            <w:r>
              <w:rPr>
                <w:rFonts w:hint="eastAsia" w:ascii="仿宋_GB2312" w:eastAsia="仿宋_GB2312"/>
                <w:lang w:eastAsia="zh-CN"/>
              </w:rPr>
              <w:t>.</w:t>
            </w:r>
            <w:r>
              <w:rPr>
                <w:rFonts w:hint="eastAsia" w:ascii="仿宋_GB2312" w:eastAsia="仿宋_GB2312"/>
              </w:rPr>
              <w:t>5</w:t>
            </w:r>
          </w:p>
        </w:tc>
        <w:tc>
          <w:tcPr>
            <w:tcW w:w="2244" w:type="dxa"/>
            <w:tcBorders>
              <w:bottom w:val="single" w:color="auto" w:sz="4" w:space="0"/>
            </w:tcBorders>
            <w:vAlign w:val="center"/>
          </w:tcPr>
          <w:p>
            <w:pPr>
              <w:ind w:firstLine="400"/>
              <w:jc w:val="center"/>
              <w:rPr>
                <w:rFonts w:ascii="宋体" w:hAnsi="宋体" w:cs="宋体"/>
                <w:color w:val="000000"/>
                <w:sz w:val="20"/>
                <w:szCs w:val="20"/>
              </w:rPr>
            </w:pPr>
            <w:r>
              <w:rPr>
                <w:rFonts w:hint="eastAsia"/>
                <w:color w:val="000000"/>
                <w:sz w:val="20"/>
                <w:szCs w:val="20"/>
              </w:rPr>
              <w:t>液晶显示器</w:t>
            </w:r>
          </w:p>
        </w:tc>
        <w:tc>
          <w:tcPr>
            <w:tcW w:w="818" w:type="dxa"/>
            <w:tcBorders>
              <w:bottom w:val="single" w:color="auto" w:sz="4" w:space="0"/>
            </w:tcBorders>
            <w:vAlign w:val="center"/>
          </w:tcPr>
          <w:p>
            <w:pPr>
              <w:ind w:firstLine="400"/>
              <w:jc w:val="center"/>
              <w:rPr>
                <w:rFonts w:ascii="宋体" w:hAnsi="宋体" w:cs="宋体"/>
                <w:color w:val="000000"/>
                <w:sz w:val="20"/>
                <w:szCs w:val="20"/>
              </w:rPr>
            </w:pPr>
            <w:r>
              <w:rPr>
                <w:rFonts w:hint="eastAsia"/>
                <w:color w:val="000000"/>
                <w:sz w:val="20"/>
                <w:szCs w:val="20"/>
              </w:rPr>
              <w:t>台</w:t>
            </w:r>
          </w:p>
        </w:tc>
        <w:tc>
          <w:tcPr>
            <w:tcW w:w="744" w:type="dxa"/>
            <w:tcBorders>
              <w:bottom w:val="single" w:color="auto" w:sz="4" w:space="0"/>
            </w:tcBorders>
            <w:vAlign w:val="center"/>
          </w:tcPr>
          <w:p>
            <w:pPr>
              <w:ind w:firstLine="0" w:firstLineChars="0"/>
              <w:jc w:val="center"/>
              <w:rPr>
                <w:rFonts w:ascii="宋体" w:hAnsi="宋体" w:cs="宋体"/>
                <w:color w:val="000000"/>
                <w:sz w:val="20"/>
                <w:szCs w:val="20"/>
              </w:rPr>
            </w:pPr>
            <w:r>
              <w:rPr>
                <w:rFonts w:hint="eastAsia"/>
                <w:color w:val="000000"/>
                <w:sz w:val="20"/>
                <w:szCs w:val="20"/>
              </w:rPr>
              <w:t>4</w:t>
            </w:r>
            <w:r>
              <w:rPr>
                <w:rFonts w:hint="eastAsia"/>
                <w:color w:val="000000"/>
                <w:sz w:val="20"/>
                <w:szCs w:val="20"/>
                <w:lang w:val="en-US" w:eastAsia="zh-CN"/>
              </w:rPr>
              <w:t>3</w:t>
            </w:r>
          </w:p>
        </w:tc>
        <w:tc>
          <w:tcPr>
            <w:tcW w:w="992" w:type="dxa"/>
            <w:tcBorders>
              <w:bottom w:val="single" w:color="auto" w:sz="4" w:space="0"/>
              <w:right w:val="single" w:color="auto" w:sz="4" w:space="0"/>
            </w:tcBorders>
          </w:tcPr>
          <w:p>
            <w:pPr>
              <w:adjustRightInd w:val="0"/>
              <w:snapToGrid w:val="0"/>
              <w:ind w:firstLine="480"/>
              <w:jc w:val="center"/>
              <w:rPr>
                <w:rFonts w:ascii="仿宋_GB2312" w:eastAsia="仿宋_GB2312"/>
              </w:rPr>
            </w:pPr>
          </w:p>
        </w:tc>
        <w:tc>
          <w:tcPr>
            <w:tcW w:w="710" w:type="dxa"/>
            <w:tcBorders>
              <w:left w:val="single" w:color="auto" w:sz="4" w:space="0"/>
              <w:bottom w:val="single" w:color="auto" w:sz="4" w:space="0"/>
              <w:right w:val="single" w:color="auto" w:sz="4" w:space="0"/>
            </w:tcBorders>
          </w:tcPr>
          <w:p>
            <w:pPr>
              <w:adjustRightInd w:val="0"/>
              <w:snapToGrid w:val="0"/>
              <w:ind w:firstLine="480"/>
              <w:jc w:val="center"/>
              <w:rPr>
                <w:rFonts w:ascii="仿宋_GB2312" w:eastAsia="仿宋_GB2312"/>
              </w:rPr>
            </w:pPr>
          </w:p>
        </w:tc>
        <w:tc>
          <w:tcPr>
            <w:tcW w:w="1292" w:type="dxa"/>
            <w:tcBorders>
              <w:left w:val="single" w:color="auto" w:sz="4" w:space="0"/>
              <w:bottom w:val="single" w:color="auto" w:sz="4" w:space="0"/>
            </w:tcBorders>
          </w:tcPr>
          <w:p>
            <w:pPr>
              <w:adjustRightInd w:val="0"/>
              <w:snapToGrid w:val="0"/>
              <w:ind w:firstLine="480"/>
              <w:jc w:val="center"/>
              <w:rPr>
                <w:rFonts w:ascii="仿宋_GB2312" w:eastAsia="仿宋_GB2312"/>
              </w:rPr>
            </w:pPr>
          </w:p>
        </w:tc>
        <w:tc>
          <w:tcPr>
            <w:tcW w:w="1256" w:type="dxa"/>
            <w:tcBorders>
              <w:bottom w:val="single" w:color="auto" w:sz="4" w:space="0"/>
            </w:tcBorders>
          </w:tcPr>
          <w:p>
            <w:pPr>
              <w:adjustRightInd w:val="0"/>
              <w:snapToGrid w:val="0"/>
              <w:ind w:firstLine="480"/>
              <w:jc w:val="center"/>
              <w:rPr>
                <w:rFonts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872" w:type="dxa"/>
            <w:tcBorders>
              <w:bottom w:val="single" w:color="auto" w:sz="4" w:space="0"/>
            </w:tcBorders>
          </w:tcPr>
          <w:p>
            <w:pPr>
              <w:adjustRightInd w:val="0"/>
              <w:snapToGrid w:val="0"/>
              <w:ind w:firstLine="174" w:firstLineChars="83"/>
              <w:rPr>
                <w:rFonts w:ascii="仿宋_GB2312" w:eastAsia="仿宋_GB2312"/>
              </w:rPr>
            </w:pPr>
            <w:r>
              <w:rPr>
                <w:rFonts w:hint="eastAsia" w:ascii="仿宋_GB2312" w:eastAsia="仿宋_GB2312"/>
              </w:rPr>
              <w:t>1</w:t>
            </w:r>
            <w:r>
              <w:rPr>
                <w:rFonts w:hint="eastAsia" w:ascii="仿宋_GB2312" w:eastAsia="仿宋_GB2312"/>
                <w:lang w:eastAsia="zh-CN"/>
              </w:rPr>
              <w:t>.</w:t>
            </w:r>
            <w:r>
              <w:rPr>
                <w:rFonts w:hint="eastAsia" w:ascii="仿宋_GB2312" w:eastAsia="仿宋_GB2312"/>
              </w:rPr>
              <w:t>6</w:t>
            </w:r>
          </w:p>
        </w:tc>
        <w:tc>
          <w:tcPr>
            <w:tcW w:w="2244" w:type="dxa"/>
            <w:tcBorders>
              <w:bottom w:val="single" w:color="auto" w:sz="4" w:space="0"/>
            </w:tcBorders>
            <w:vAlign w:val="center"/>
          </w:tcPr>
          <w:p>
            <w:pPr>
              <w:ind w:firstLine="400"/>
              <w:jc w:val="center"/>
              <w:rPr>
                <w:rFonts w:ascii="宋体" w:hAnsi="宋体" w:cs="宋体"/>
                <w:color w:val="000000"/>
                <w:sz w:val="20"/>
                <w:szCs w:val="20"/>
              </w:rPr>
            </w:pPr>
            <w:r>
              <w:rPr>
                <w:rFonts w:hint="eastAsia"/>
                <w:color w:val="000000"/>
                <w:sz w:val="20"/>
                <w:szCs w:val="20"/>
              </w:rPr>
              <w:t>交换机</w:t>
            </w:r>
          </w:p>
        </w:tc>
        <w:tc>
          <w:tcPr>
            <w:tcW w:w="818" w:type="dxa"/>
            <w:tcBorders>
              <w:bottom w:val="single" w:color="auto" w:sz="4" w:space="0"/>
            </w:tcBorders>
            <w:vAlign w:val="center"/>
          </w:tcPr>
          <w:p>
            <w:pPr>
              <w:ind w:firstLine="400"/>
              <w:jc w:val="center"/>
              <w:rPr>
                <w:rFonts w:ascii="宋体" w:hAnsi="宋体" w:cs="宋体"/>
                <w:color w:val="000000"/>
                <w:sz w:val="20"/>
                <w:szCs w:val="20"/>
              </w:rPr>
            </w:pPr>
            <w:r>
              <w:rPr>
                <w:rFonts w:hint="eastAsia"/>
                <w:color w:val="000000"/>
                <w:sz w:val="20"/>
                <w:szCs w:val="20"/>
              </w:rPr>
              <w:t>台</w:t>
            </w:r>
          </w:p>
        </w:tc>
        <w:tc>
          <w:tcPr>
            <w:tcW w:w="744" w:type="dxa"/>
            <w:tcBorders>
              <w:bottom w:val="single" w:color="auto" w:sz="4" w:space="0"/>
            </w:tcBorders>
            <w:vAlign w:val="center"/>
          </w:tcPr>
          <w:p>
            <w:pPr>
              <w:ind w:firstLine="0" w:firstLineChars="0"/>
              <w:jc w:val="center"/>
              <w:rPr>
                <w:rFonts w:ascii="宋体" w:hAnsi="宋体" w:cs="宋体"/>
                <w:color w:val="000000"/>
                <w:sz w:val="20"/>
                <w:szCs w:val="20"/>
              </w:rPr>
            </w:pPr>
            <w:r>
              <w:rPr>
                <w:rFonts w:hint="eastAsia"/>
                <w:color w:val="000000"/>
                <w:sz w:val="20"/>
                <w:szCs w:val="20"/>
              </w:rPr>
              <w:t>3</w:t>
            </w:r>
          </w:p>
        </w:tc>
        <w:tc>
          <w:tcPr>
            <w:tcW w:w="992" w:type="dxa"/>
            <w:tcBorders>
              <w:bottom w:val="single" w:color="auto" w:sz="4" w:space="0"/>
              <w:right w:val="single" w:color="auto" w:sz="4" w:space="0"/>
            </w:tcBorders>
          </w:tcPr>
          <w:p>
            <w:pPr>
              <w:adjustRightInd w:val="0"/>
              <w:snapToGrid w:val="0"/>
              <w:ind w:firstLine="480"/>
              <w:jc w:val="center"/>
              <w:rPr>
                <w:rFonts w:ascii="仿宋_GB2312" w:eastAsia="仿宋_GB2312"/>
              </w:rPr>
            </w:pPr>
          </w:p>
        </w:tc>
        <w:tc>
          <w:tcPr>
            <w:tcW w:w="710" w:type="dxa"/>
            <w:tcBorders>
              <w:left w:val="single" w:color="auto" w:sz="4" w:space="0"/>
              <w:bottom w:val="single" w:color="auto" w:sz="4" w:space="0"/>
              <w:right w:val="single" w:color="auto" w:sz="4" w:space="0"/>
            </w:tcBorders>
          </w:tcPr>
          <w:p>
            <w:pPr>
              <w:adjustRightInd w:val="0"/>
              <w:snapToGrid w:val="0"/>
              <w:ind w:firstLine="480"/>
              <w:jc w:val="center"/>
              <w:rPr>
                <w:rFonts w:ascii="仿宋_GB2312" w:eastAsia="仿宋_GB2312"/>
              </w:rPr>
            </w:pPr>
          </w:p>
        </w:tc>
        <w:tc>
          <w:tcPr>
            <w:tcW w:w="1292" w:type="dxa"/>
            <w:tcBorders>
              <w:left w:val="single" w:color="auto" w:sz="4" w:space="0"/>
              <w:bottom w:val="single" w:color="auto" w:sz="4" w:space="0"/>
            </w:tcBorders>
          </w:tcPr>
          <w:p>
            <w:pPr>
              <w:adjustRightInd w:val="0"/>
              <w:snapToGrid w:val="0"/>
              <w:ind w:firstLine="480"/>
              <w:jc w:val="center"/>
              <w:rPr>
                <w:rFonts w:ascii="仿宋_GB2312" w:eastAsia="仿宋_GB2312"/>
              </w:rPr>
            </w:pPr>
          </w:p>
        </w:tc>
        <w:tc>
          <w:tcPr>
            <w:tcW w:w="1256" w:type="dxa"/>
            <w:tcBorders>
              <w:bottom w:val="single" w:color="auto" w:sz="4" w:space="0"/>
            </w:tcBorders>
          </w:tcPr>
          <w:p>
            <w:pPr>
              <w:adjustRightInd w:val="0"/>
              <w:snapToGrid w:val="0"/>
              <w:ind w:firstLine="480"/>
              <w:jc w:val="center"/>
              <w:rPr>
                <w:rFonts w:ascii="仿宋_GB2312" w:eastAsia="仿宋_GB2312"/>
              </w:rPr>
            </w:pPr>
          </w:p>
        </w:tc>
      </w:tr>
    </w:tbl>
    <w:p>
      <w:pPr>
        <w:pStyle w:val="3"/>
        <w:spacing w:before="120" w:after="120" w:line="360" w:lineRule="auto"/>
        <w:ind w:left="105" w:leftChars="50"/>
        <w:rPr>
          <w:rFonts w:hint="eastAsia"/>
          <w:sz w:val="21"/>
          <w:szCs w:val="21"/>
          <w:highlight w:val="none"/>
        </w:rPr>
      </w:pPr>
    </w:p>
    <w:p>
      <w:pPr>
        <w:pStyle w:val="3"/>
        <w:spacing w:before="120" w:after="120" w:line="360" w:lineRule="auto"/>
        <w:ind w:left="105" w:leftChars="50"/>
        <w:rPr>
          <w:sz w:val="21"/>
          <w:szCs w:val="21"/>
          <w:highlight w:val="none"/>
        </w:rPr>
      </w:pPr>
      <w:r>
        <w:rPr>
          <w:rFonts w:hint="eastAsia"/>
          <w:sz w:val="21"/>
          <w:szCs w:val="21"/>
          <w:highlight w:val="none"/>
        </w:rPr>
        <w:t>二、工作环境</w:t>
      </w:r>
    </w:p>
    <w:p>
      <w:pPr>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使用环境：</w:t>
      </w:r>
      <w:r>
        <w:rPr>
          <w:rFonts w:ascii="宋体" w:hAnsi="宋体"/>
          <w:sz w:val="24"/>
          <w:highlight w:val="none"/>
          <w:u w:val="single"/>
        </w:rPr>
        <w:t>10℃～35℃</w:t>
      </w:r>
    </w:p>
    <w:p>
      <w:pPr>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最高温度：</w:t>
      </w:r>
      <w:r>
        <w:rPr>
          <w:rFonts w:hint="eastAsia" w:ascii="宋体" w:hAnsi="宋体"/>
          <w:color w:val="000000"/>
          <w:sz w:val="24"/>
          <w:highlight w:val="none"/>
          <w:lang w:val="en-US" w:eastAsia="zh-CN"/>
        </w:rPr>
        <w:t>40</w:t>
      </w:r>
      <w:r>
        <w:rPr>
          <w:rFonts w:ascii="宋体" w:hAnsi="宋体"/>
          <w:sz w:val="24"/>
          <w:highlight w:val="none"/>
          <w:u w:val="single"/>
        </w:rPr>
        <w:t>℃</w:t>
      </w:r>
    </w:p>
    <w:p>
      <w:pPr>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最低温度：</w:t>
      </w:r>
      <w:r>
        <w:rPr>
          <w:rFonts w:hint="eastAsia" w:ascii="宋体" w:hAnsi="宋体"/>
          <w:color w:val="000000"/>
          <w:sz w:val="24"/>
          <w:highlight w:val="none"/>
          <w:u w:val="single"/>
          <w:lang w:val="en-US" w:eastAsia="zh-CN"/>
        </w:rPr>
        <w:t>-25</w:t>
      </w:r>
      <w:r>
        <w:rPr>
          <w:rFonts w:ascii="宋体" w:hAnsi="宋体"/>
          <w:sz w:val="24"/>
          <w:highlight w:val="none"/>
          <w:u w:val="single"/>
        </w:rPr>
        <w:t>℃</w:t>
      </w:r>
    </w:p>
    <w:p>
      <w:pPr>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环境相对湿度：</w:t>
      </w:r>
      <w:r>
        <w:rPr>
          <w:rFonts w:ascii="宋体" w:hAnsi="宋体"/>
          <w:sz w:val="24"/>
          <w:highlight w:val="none"/>
          <w:u w:val="single"/>
        </w:rPr>
        <w:t>（不结露）：80％以下</w:t>
      </w:r>
    </w:p>
    <w:p>
      <w:pPr>
        <w:spacing w:line="360" w:lineRule="auto"/>
        <w:ind w:firstLine="480" w:firstLineChars="200"/>
        <w:rPr>
          <w:rFonts w:ascii="宋体" w:hAnsi="宋体"/>
          <w:color w:val="000000"/>
          <w:sz w:val="24"/>
          <w:highlight w:val="none"/>
          <w:lang w:val="en-US"/>
        </w:rPr>
      </w:pPr>
      <w:r>
        <w:rPr>
          <w:rFonts w:hint="eastAsia" w:ascii="宋体" w:hAnsi="宋体"/>
          <w:color w:val="000000"/>
          <w:sz w:val="24"/>
          <w:highlight w:val="none"/>
        </w:rPr>
        <w:t>安装地点及用途：</w:t>
      </w:r>
      <w:r>
        <w:rPr>
          <w:rFonts w:hint="eastAsia" w:ascii="宋体" w:hAnsi="宋体"/>
          <w:color w:val="000000"/>
          <w:sz w:val="24"/>
          <w:highlight w:val="none"/>
          <w:u w:val="single"/>
          <w:lang w:val="en-US" w:eastAsia="zh-CN"/>
        </w:rPr>
        <w:t>神东科技大厦</w:t>
      </w:r>
    </w:p>
    <w:p>
      <w:pPr>
        <w:pStyle w:val="3"/>
        <w:pageBreakBefore w:val="0"/>
        <w:widowControl w:val="0"/>
        <w:numPr>
          <w:ilvl w:val="0"/>
          <w:numId w:val="2"/>
        </w:numPr>
        <w:kinsoku/>
        <w:wordWrap/>
        <w:overflowPunct/>
        <w:topLinePunct w:val="0"/>
        <w:autoSpaceDE/>
        <w:autoSpaceDN/>
        <w:bidi w:val="0"/>
        <w:adjustRightInd/>
        <w:snapToGrid/>
        <w:spacing w:before="0" w:after="0" w:line="360" w:lineRule="auto"/>
        <w:ind w:left="105" w:leftChars="50" w:right="0" w:rightChars="0" w:firstLine="0" w:firstLineChars="0"/>
        <w:jc w:val="both"/>
        <w:textAlignment w:val="auto"/>
        <w:rPr>
          <w:rFonts w:hint="eastAsia"/>
          <w:sz w:val="21"/>
          <w:szCs w:val="21"/>
          <w:highlight w:val="none"/>
        </w:rPr>
      </w:pPr>
      <w:r>
        <w:rPr>
          <w:rFonts w:hint="eastAsia"/>
          <w:sz w:val="21"/>
          <w:szCs w:val="21"/>
          <w:highlight w:val="none"/>
        </w:rPr>
        <w:t>技术参数及要求</w:t>
      </w:r>
    </w:p>
    <w:p>
      <w:pPr>
        <w:pageBreakBefore w:val="0"/>
        <w:widowControl w:val="0"/>
        <w:kinsoku/>
        <w:wordWrap/>
        <w:overflowPunct/>
        <w:topLinePunct w:val="0"/>
        <w:autoSpaceDE/>
        <w:autoSpaceDN/>
        <w:bidi w:val="0"/>
        <w:adjustRightInd/>
        <w:snapToGrid/>
        <w:spacing w:line="360" w:lineRule="auto"/>
        <w:ind w:right="0" w:rightChars="0" w:firstLine="422" w:firstLineChars="2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信息发布系统主要实现各会议室预约、管理、信息提示等，在每层电梯口放置2台21寸液晶显示器。基于局域网（现有TCP/IP网络即可）网络环境。C/S（发布子系统）架构和B/S（管理子系统）架构相结合，将视频、音频、图片信息和滚动字幕等数各类组合的多媒体信息通过网络传输到各个媒体播放端进行信息发布；在服务器瘫痪或网络断开的情况下，都不影响媒体显示端的播放和显示。</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播放端将组合的多媒体信息分组、分时段在相应的显示设备（液晶电视）上播出，系统可以把一个屏幕划分为多个窗口，并在多个窗口同时播放不同的多媒体信息，并可以随时插播各种临时信息。</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可以远程对媒体播放终端远程开机、关机、重启、运行状态监控、远程屏幕查看，</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szCs w:val="21"/>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媒体播放终端无人职守；接受中央控制服务器的集中管理与维护，远程任务文件分发，包含临时任务的插入和播放，软件安装、系统更新等、任务集中编排、发布、播放、和监控等，信息发布点位可以无限增加。</w:t>
      </w:r>
    </w:p>
    <w:p>
      <w:pPr>
        <w:widowControl w:val="0"/>
        <w:numPr>
          <w:ilvl w:val="0"/>
          <w:numId w:val="0"/>
        </w:numPr>
        <w:jc w:val="both"/>
      </w:pPr>
    </w:p>
    <w:p>
      <w:pPr>
        <w:widowControl w:val="0"/>
        <w:numPr>
          <w:ilvl w:val="0"/>
          <w:numId w:val="0"/>
        </w:numPr>
        <w:jc w:val="both"/>
        <w:rPr>
          <w:rFonts w:hint="eastAsia"/>
          <w:b/>
          <w:bCs/>
        </w:rPr>
      </w:pPr>
      <w:r>
        <w:rPr>
          <w:rFonts w:hint="eastAsia" w:ascii="仿宋_GB2312" w:eastAsia="仿宋_GB2312"/>
          <w:b/>
          <w:bCs/>
          <w:lang w:val="en-US" w:eastAsia="zh-CN"/>
        </w:rPr>
        <w:t xml:space="preserve">* </w:t>
      </w:r>
      <w:r>
        <w:rPr>
          <w:rFonts w:hint="eastAsia" w:ascii="仿宋_GB2312" w:eastAsia="仿宋_GB2312"/>
          <w:b/>
          <w:bCs/>
        </w:rPr>
        <w:t>1</w:t>
      </w:r>
      <w:r>
        <w:rPr>
          <w:rFonts w:hint="eastAsia" w:ascii="仿宋_GB2312" w:eastAsia="仿宋_GB2312"/>
          <w:b/>
          <w:bCs/>
          <w:lang w:eastAsia="zh-CN"/>
        </w:rPr>
        <w:t>.</w:t>
      </w:r>
      <w:r>
        <w:rPr>
          <w:rFonts w:hint="eastAsia"/>
          <w:b/>
          <w:bCs/>
        </w:rPr>
        <w:t>1</w:t>
      </w:r>
      <w:r>
        <w:rPr>
          <w:rFonts w:hint="eastAsia"/>
          <w:b/>
          <w:bCs/>
          <w:lang w:val="en-US" w:eastAsia="zh-CN"/>
        </w:rPr>
        <w:t xml:space="preserve">  </w:t>
      </w:r>
      <w:r>
        <w:rPr>
          <w:rFonts w:hint="eastAsia"/>
          <w:b/>
          <w:bCs/>
        </w:rPr>
        <w:t>信息发布平台技术参数:</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1.1.1支持预览播放画面，监控节目及播放状态。</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1.1.2实现定时远程开关机管理维护，定时或紧急插入发布节目或内容。</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1.1.3基于TCP/IP网络的控制管理和发布，含远程指令模块。</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1.1.4实时网页接入模块等，支持各类多媒体节目及格式。</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1.1.5 能够进行会议管理，会议审批通过后，系统能够通过以太网将会议预订结果自动发送给后勤服务部；可根据相关参会部门、相关会议室进行数据统计；平台可将会议信息以短信或邮件方式发送给与会人员。</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1.1.6 系统具有“定时播放、指定时间播放、随时插播、指定年月日时分秒播放、空闲播放、手动触发播放、循环播放、优先播放、计次播放”等功能。</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1.1.7可以在主控端控制和调节各个显示终端的声音大小，可以进行分时段的音量设置。</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1.1.8系统采用分布式结构，能把多媒体内容直接传送至任何地点的显示屏上播放。</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1.1.9支持Flash (SWF 格式)、HTML及PPT演示文稿显示；</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1.1.10 支持视MPEG1、MPEG2、MPEG4、AVI、WMV、ASF等视频格式显示；</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1.1.11支持的图片格式包括：BMP、GIF、JPG、JPEG格式。静态图片可以利用演示文稿效果交替转换，增加动感效果。</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1.1.12 文字信息可以是静态的，也可以向上下左右滚动，文字信息可选择不同颜色、大小、字体和滚动速度。文字信息也可以各种图片作为背景，或选择不同背景颜色。文字信息亦可加入HTML代码，把图像、不同颜色和特别字体、特别效果，混入文字信息中。</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1.1.13 通过有线电视接入设备，可以支持实时视频格式，如电视频道及有线电视节目。</w:t>
      </w:r>
    </w:p>
    <w:p>
      <w:pPr>
        <w:widowControl w:val="0"/>
        <w:numPr>
          <w:ilvl w:val="0"/>
          <w:numId w:val="0"/>
        </w:numPr>
        <w:jc w:val="both"/>
        <w:rPr>
          <w:rFonts w:hint="eastAsia"/>
          <w:b/>
          <w:bCs/>
        </w:rPr>
      </w:pPr>
      <w:r>
        <w:rPr>
          <w:rFonts w:hint="eastAsia" w:ascii="仿宋_GB2312" w:eastAsia="仿宋_GB2312"/>
          <w:b/>
          <w:bCs/>
          <w:lang w:val="en-US" w:eastAsia="zh-CN"/>
        </w:rPr>
        <w:t>*</w:t>
      </w:r>
      <w:r>
        <w:rPr>
          <w:rFonts w:hint="eastAsia" w:ascii="仿宋_GB2312" w:eastAsia="仿宋_GB2312"/>
          <w:b/>
          <w:bCs/>
        </w:rPr>
        <w:t>1</w:t>
      </w:r>
      <w:r>
        <w:rPr>
          <w:rFonts w:hint="eastAsia" w:ascii="仿宋_GB2312" w:eastAsia="仿宋_GB2312"/>
          <w:b/>
          <w:bCs/>
          <w:lang w:eastAsia="zh-CN"/>
        </w:rPr>
        <w:t>.</w:t>
      </w:r>
      <w:r>
        <w:rPr>
          <w:rFonts w:hint="eastAsia"/>
          <w:b/>
          <w:bCs/>
        </w:rPr>
        <w:t>2</w:t>
      </w:r>
      <w:r>
        <w:rPr>
          <w:rFonts w:hint="eastAsia"/>
          <w:b/>
          <w:bCs/>
          <w:lang w:val="en-US" w:eastAsia="zh-CN"/>
        </w:rPr>
        <w:t xml:space="preserve">  </w:t>
      </w:r>
      <w:r>
        <w:rPr>
          <w:rFonts w:hint="eastAsia"/>
          <w:b/>
          <w:bCs/>
        </w:rPr>
        <w:t>接口预留集成技术参数:</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1.2.1天气预报接口：实时获取网页信息，实现在信息发布系统显示终端显示当日天气预报信息的功能；</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1.2.2 LED显示接口：与神东业务系统对接，显示指定信息，并根据LED屏大小制作相应的现实模板，实现将信息发布系统中编辑的内容在LED显示屏上进行显示的功能。</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1.2.3系统采用开放式接口，并根据需要，灵活地增加其它功能，可以接入进来更多的复杂应用，包括OA办公系统、交互式触摸查询系统、排队叫号系统等。</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p>
    <w:p>
      <w:pPr>
        <w:widowControl w:val="0"/>
        <w:numPr>
          <w:ilvl w:val="0"/>
          <w:numId w:val="0"/>
        </w:numPr>
        <w:jc w:val="both"/>
        <w:rPr>
          <w:rFonts w:hint="eastAsia"/>
        </w:rPr>
      </w:pPr>
    </w:p>
    <w:p>
      <w:pPr>
        <w:widowControl w:val="0"/>
        <w:numPr>
          <w:ilvl w:val="0"/>
          <w:numId w:val="0"/>
        </w:numPr>
        <w:jc w:val="both"/>
        <w:rPr>
          <w:rFonts w:hint="eastAsia"/>
          <w:b/>
          <w:bCs/>
        </w:rPr>
      </w:pPr>
      <w:r>
        <w:rPr>
          <w:rFonts w:hint="eastAsia" w:ascii="仿宋_GB2312" w:eastAsia="仿宋_GB2312"/>
          <w:b/>
          <w:bCs/>
        </w:rPr>
        <w:t>1</w:t>
      </w:r>
      <w:r>
        <w:rPr>
          <w:rFonts w:hint="eastAsia" w:ascii="仿宋_GB2312" w:eastAsia="仿宋_GB2312"/>
          <w:b/>
          <w:bCs/>
          <w:lang w:eastAsia="zh-CN"/>
        </w:rPr>
        <w:t>.</w:t>
      </w:r>
      <w:r>
        <w:rPr>
          <w:rFonts w:hint="eastAsia"/>
          <w:b/>
          <w:bCs/>
        </w:rPr>
        <w:t>3</w:t>
      </w:r>
      <w:r>
        <w:rPr>
          <w:rFonts w:hint="eastAsia"/>
          <w:b/>
          <w:bCs/>
          <w:lang w:val="en-US" w:eastAsia="zh-CN"/>
        </w:rPr>
        <w:t xml:space="preserve">  </w:t>
      </w:r>
      <w:r>
        <w:rPr>
          <w:rFonts w:hint="eastAsia"/>
          <w:b/>
          <w:bCs/>
        </w:rPr>
        <w:t>服务器技术参数:</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1.3.1 CPU：至强Xeon-E5 ，两颗E5-2609V4</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1.3.2内存类型：Non-ECC，2根8GB，实现双通道；</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1.3.3硬盘总容量：不少于2TB</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1.3.4电源：两个</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1.3.5操作系统： Windows server2016 操作系统；</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1.3.6 独立显卡：K420 2GB</w:t>
      </w:r>
    </w:p>
    <w:p>
      <w:pPr>
        <w:widowControl w:val="0"/>
        <w:numPr>
          <w:ilvl w:val="0"/>
          <w:numId w:val="0"/>
        </w:numPr>
        <w:jc w:val="both"/>
        <w:rPr>
          <w:rFonts w:hint="eastAsia"/>
          <w:b/>
          <w:bCs/>
        </w:rPr>
      </w:pPr>
      <w:r>
        <w:rPr>
          <w:rFonts w:hint="eastAsia" w:ascii="仿宋_GB2312" w:eastAsia="仿宋_GB2312"/>
          <w:b/>
          <w:bCs/>
        </w:rPr>
        <w:t>1</w:t>
      </w:r>
      <w:r>
        <w:rPr>
          <w:rFonts w:hint="eastAsia" w:ascii="仿宋_GB2312" w:eastAsia="仿宋_GB2312"/>
          <w:b/>
          <w:bCs/>
          <w:lang w:eastAsia="zh-CN"/>
        </w:rPr>
        <w:t>.</w:t>
      </w:r>
      <w:r>
        <w:rPr>
          <w:rFonts w:hint="eastAsia"/>
          <w:b/>
          <w:bCs/>
        </w:rPr>
        <w:t>4</w:t>
      </w:r>
      <w:r>
        <w:rPr>
          <w:rFonts w:hint="eastAsia"/>
          <w:b/>
          <w:bCs/>
          <w:lang w:val="en-US" w:eastAsia="zh-CN"/>
        </w:rPr>
        <w:t xml:space="preserve">  </w:t>
      </w:r>
      <w:r>
        <w:rPr>
          <w:rFonts w:hint="eastAsia"/>
          <w:b/>
          <w:bCs/>
        </w:rPr>
        <w:t>媒体播放机技术参数:</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1.4.1 内嵌Windows 7操作系统；</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1.4.1 支持32位真色彩，最大支持2048×1536@32bpp色支持VGA+HDMI双显示；</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1.4.2接口要求： 包含至少一个USB2.0接口，串口、10M/100M/1000M自适应Base T网络接口；一个VGA接口，一个HDMI高清输出接口，以及6声道高清音频接口；</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1.4.3 支持 DHCP 、WINS、DNS；</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1.4.4 支持远程唤醒（Wake-On-LAN）集成千兆网卡；</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1.4.5 能够安装神东在用的360操作系统；</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1.4.6 支持任何应用程序的安装；</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1.4.7 支持系统保护功能，不受任何病毒的入侵；</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1.4.8 可流畅播放各种格式的视频文件；</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1.4.9  MPEG2/MPEG4硬解码；</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1.4.10 处理器：Intel D2550双核低功耗处理器；</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1.4.9  内存容量：不少于2GB DDRIII 1333；</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1.4.9  硬盘容量：不低于 320GB。</w:t>
      </w:r>
    </w:p>
    <w:p>
      <w:pPr>
        <w:widowControl w:val="0"/>
        <w:numPr>
          <w:ilvl w:val="0"/>
          <w:numId w:val="0"/>
        </w:numPr>
        <w:jc w:val="both"/>
        <w:rPr>
          <w:rFonts w:hint="eastAsia"/>
        </w:rPr>
      </w:pPr>
    </w:p>
    <w:p>
      <w:pPr>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b/>
          <w:bCs w:val="0"/>
          <w:sz w:val="24"/>
          <w:highlight w:val="none"/>
          <w:lang w:val="en-US" w:eastAsia="zh-CN"/>
        </w:rPr>
      </w:pPr>
      <w:r>
        <w:rPr>
          <w:rFonts w:hint="eastAsia" w:ascii="宋体" w:hAnsi="宋体"/>
          <w:b/>
          <w:bCs w:val="0"/>
          <w:sz w:val="24"/>
          <w:highlight w:val="none"/>
          <w:lang w:val="en-US" w:eastAsia="zh-CN"/>
        </w:rPr>
        <w:t>1.5  液晶显示器技术参数:</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1.5.1接口：HDMI，VGA，DP，USB扩展/充电，音频/耳机；</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1.5.2 支持壁挂；</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1.5.3尺寸：21.5英寸；</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1.5.4分辨率：1920*1080（全高清）；</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1.5.5 面板：IPS。</w:t>
      </w:r>
    </w:p>
    <w:p>
      <w:pPr>
        <w:widowControl w:val="0"/>
        <w:numPr>
          <w:ilvl w:val="0"/>
          <w:numId w:val="0"/>
        </w:numPr>
        <w:jc w:val="both"/>
        <w:rPr>
          <w:rFonts w:hint="eastAsia"/>
        </w:rPr>
      </w:pPr>
    </w:p>
    <w:p>
      <w:pPr>
        <w:widowControl w:val="0"/>
        <w:numPr>
          <w:ilvl w:val="0"/>
          <w:numId w:val="0"/>
        </w:numPr>
        <w:jc w:val="both"/>
        <w:rPr>
          <w:rFonts w:hint="eastAsia"/>
          <w:b/>
          <w:bCs/>
        </w:rPr>
      </w:pPr>
      <w:r>
        <w:rPr>
          <w:rFonts w:hint="eastAsia" w:ascii="仿宋_GB2312" w:eastAsia="仿宋_GB2312"/>
          <w:b/>
          <w:bCs/>
        </w:rPr>
        <w:t>1</w:t>
      </w:r>
      <w:r>
        <w:rPr>
          <w:rFonts w:hint="eastAsia" w:ascii="仿宋_GB2312" w:eastAsia="仿宋_GB2312"/>
          <w:b/>
          <w:bCs/>
          <w:lang w:eastAsia="zh-CN"/>
        </w:rPr>
        <w:t>.</w:t>
      </w:r>
      <w:r>
        <w:rPr>
          <w:rFonts w:hint="eastAsia"/>
          <w:b/>
          <w:bCs/>
        </w:rPr>
        <w:t>6</w:t>
      </w:r>
      <w:r>
        <w:rPr>
          <w:rFonts w:hint="eastAsia"/>
          <w:b/>
          <w:bCs/>
          <w:lang w:val="en-US" w:eastAsia="zh-CN"/>
        </w:rPr>
        <w:t xml:space="preserve">  </w:t>
      </w:r>
      <w:r>
        <w:rPr>
          <w:rFonts w:hint="eastAsia"/>
          <w:b/>
          <w:bCs/>
        </w:rPr>
        <w:t>交换机技术参数:</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1.6.1选用国产知名品牌设备</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1.6.2交换容量≥598Gbps</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1.6.3转发性能≥168Mpps</w:t>
      </w:r>
    </w:p>
    <w:p>
      <w:pPr>
        <w:pageBreakBefore w:val="0"/>
        <w:widowControl w:val="0"/>
        <w:kinsoku/>
        <w:wordWrap/>
        <w:overflowPunct/>
        <w:topLinePunct w:val="0"/>
        <w:autoSpaceDE/>
        <w:autoSpaceDN/>
        <w:bidi w:val="0"/>
        <w:adjustRightInd/>
        <w:snapToGrid/>
        <w:spacing w:line="360" w:lineRule="auto"/>
        <w:ind w:right="0" w:rightChars="0" w:firstLine="632" w:firstLineChars="300"/>
        <w:jc w:val="both"/>
        <w:textAlignment w:val="auto"/>
        <w:rPr>
          <w:rFonts w:hint="eastAsia" w:ascii="宋体" w:hAnsi="宋体"/>
          <w:b w:val="0"/>
          <w:bCs/>
          <w:sz w:val="24"/>
          <w:highlight w:val="none"/>
          <w:lang w:val="en-US" w:eastAsia="zh-CN"/>
        </w:rPr>
      </w:pPr>
      <w:r>
        <w:rPr>
          <w:rFonts w:hint="eastAsia" w:ascii="仿宋_GB2312" w:eastAsia="仿宋_GB2312"/>
          <w:b/>
          <w:bCs/>
          <w:lang w:val="en-US" w:eastAsia="zh-CN"/>
        </w:rPr>
        <w:t>*</w:t>
      </w:r>
      <w:r>
        <w:rPr>
          <w:rFonts w:hint="eastAsia" w:ascii="宋体" w:hAnsi="宋体"/>
          <w:b w:val="0"/>
          <w:bCs/>
          <w:sz w:val="24"/>
          <w:highlight w:val="none"/>
          <w:lang w:val="en-US" w:eastAsia="zh-CN"/>
        </w:rPr>
        <w:t>1.6.4接口要求：至少24个10/100/1000Base-T以太网端口,4个复用的千兆Combo SFP，4个千兆SFP</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1.6.5支持扩展插卡，支持万兆端口扩展，支持万兆电口扩展</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1.6.6支持基于MAC/协议/IP子网/策略/端口的VLAN</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1.6.7支持4K个VLAN</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1.6.8遵循IEEE 802.1d标准</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1.6.9路由表≥16000；</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1.6.10 支持静态路由、RIPv1/2、RIPng、OSPF、OSPFv3、IS-IS、IS-ISv6、BGP、BGP4+、ECMP、路由策略</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 xml:space="preserve">1.6.11三层组播组数≥2048 </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1.6.12支持VLAN内组播转发和组播多VLAN复制</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1.6.13支持基于端口的流量监管，支持双速三色CAR功能</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1.6.14每端口支持8个队列</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ascii="宋体" w:hAnsi="宋体"/>
          <w:b w:val="0"/>
          <w:bCs/>
          <w:sz w:val="24"/>
          <w:highlight w:val="none"/>
          <w:lang w:val="en-US" w:eastAsia="zh-CN"/>
        </w:rPr>
      </w:pPr>
      <w:r>
        <w:rPr>
          <w:rFonts w:hint="eastAsia" w:ascii="宋体" w:hAnsi="宋体"/>
          <w:b w:val="0"/>
          <w:bCs/>
          <w:sz w:val="24"/>
          <w:highlight w:val="none"/>
          <w:lang w:val="en-US" w:eastAsia="zh-CN"/>
        </w:rPr>
        <w:t>1.6.15支持G.8032开放环或SEP、REP半环协议,可与其他厂商设备混合组网，要求倒换时间≤50ms</w:t>
      </w:r>
    </w:p>
    <w:p>
      <w:pPr>
        <w:pageBreakBefore w:val="0"/>
        <w:widowControl w:val="0"/>
        <w:kinsoku/>
        <w:wordWrap/>
        <w:overflowPunct/>
        <w:topLinePunct w:val="0"/>
        <w:autoSpaceDE/>
        <w:autoSpaceDN/>
        <w:bidi w:val="0"/>
        <w:adjustRightInd/>
        <w:snapToGrid/>
        <w:spacing w:line="360" w:lineRule="auto"/>
        <w:ind w:right="0" w:rightChars="0" w:firstLine="720" w:firstLineChars="300"/>
        <w:jc w:val="both"/>
        <w:textAlignment w:val="auto"/>
        <w:rPr>
          <w:rFonts w:hint="eastAsia"/>
        </w:rPr>
      </w:pPr>
      <w:r>
        <w:rPr>
          <w:rFonts w:hint="eastAsia" w:ascii="宋体" w:hAnsi="宋体"/>
          <w:b w:val="0"/>
          <w:bCs/>
          <w:sz w:val="24"/>
          <w:highlight w:val="none"/>
          <w:lang w:val="en-US" w:eastAsia="zh-CN"/>
        </w:rPr>
        <w:t>1.6.16支持纵向虚拟化技术，可以使原来“小型核心/汇聚+接入交换机+AP”的网络架构，虚拟化为一台设备进行管理, 支持横向虚拟化，纵向虚拟化可与横向虚拟化同时工作</w:t>
      </w:r>
    </w:p>
    <w:p>
      <w:pPr>
        <w:pStyle w:val="3"/>
        <w:spacing w:before="120" w:after="120" w:line="360" w:lineRule="auto"/>
        <w:rPr>
          <w:sz w:val="21"/>
          <w:szCs w:val="21"/>
          <w:highlight w:val="none"/>
        </w:rPr>
      </w:pPr>
      <w:r>
        <w:rPr>
          <w:rFonts w:hint="eastAsia"/>
          <w:sz w:val="21"/>
          <w:szCs w:val="21"/>
          <w:highlight w:val="none"/>
        </w:rPr>
        <w:t>（2）技术要求</w:t>
      </w:r>
    </w:p>
    <w:p>
      <w:pPr>
        <w:spacing w:line="360" w:lineRule="auto"/>
        <w:ind w:firstLine="422" w:firstLineChars="200"/>
        <w:rPr>
          <w:rFonts w:ascii="宋体" w:hAnsi="宋体"/>
          <w:sz w:val="24"/>
          <w:highlight w:val="none"/>
        </w:rPr>
      </w:pPr>
      <w:r>
        <w:rPr>
          <w:rFonts w:hint="eastAsia" w:ascii="仿宋_GB2312" w:eastAsia="仿宋_GB2312"/>
          <w:b/>
          <w:bCs/>
          <w:lang w:val="en-US" w:eastAsia="zh-CN"/>
        </w:rPr>
        <w:t>*</w:t>
      </w:r>
      <w:r>
        <w:rPr>
          <w:rFonts w:hint="eastAsia" w:ascii="宋体" w:hAnsi="宋体"/>
          <w:sz w:val="24"/>
          <w:highlight w:val="none"/>
        </w:rPr>
        <w:t>2.</w:t>
      </w:r>
      <w:r>
        <w:rPr>
          <w:rFonts w:ascii="宋体" w:hAnsi="宋体"/>
          <w:sz w:val="24"/>
          <w:highlight w:val="none"/>
        </w:rPr>
        <w:t>1</w:t>
      </w:r>
      <w:r>
        <w:rPr>
          <w:rFonts w:hint="eastAsia" w:ascii="宋体" w:hAnsi="宋体"/>
          <w:sz w:val="24"/>
          <w:highlight w:val="none"/>
        </w:rPr>
        <w:t>、</w:t>
      </w:r>
      <w:r>
        <w:rPr>
          <w:rFonts w:hint="eastAsia" w:ascii="宋体" w:hAnsi="宋体"/>
          <w:color w:val="000000"/>
          <w:spacing w:val="-5"/>
          <w:kern w:val="0"/>
          <w:sz w:val="24"/>
          <w:highlight w:val="none"/>
        </w:rPr>
        <w:t>本招标文件所提出的仅是最低限度的技术要求,并未包括所有的技术细节及要求,凡属于投标设备正常运行所必须的设备和元器件除特别注明外,均包括在投标方的供货范围内。本配置要求为参考配置，投标方可对系统方案进行优化。投标方对所提供的成套设备及附加技术、服务及性能指标负全责。</w:t>
      </w:r>
    </w:p>
    <w:p>
      <w:pPr>
        <w:spacing w:line="360" w:lineRule="auto"/>
        <w:ind w:firstLine="480" w:firstLineChars="200"/>
        <w:rPr>
          <w:rFonts w:ascii="宋体" w:hAnsi="宋体"/>
          <w:sz w:val="24"/>
          <w:highlight w:val="none"/>
        </w:rPr>
      </w:pPr>
      <w:r>
        <w:rPr>
          <w:rFonts w:hint="eastAsia" w:ascii="宋体" w:hAnsi="宋体"/>
          <w:sz w:val="24"/>
          <w:highlight w:val="none"/>
        </w:rPr>
        <w:t>2.</w:t>
      </w:r>
      <w:r>
        <w:rPr>
          <w:rFonts w:ascii="宋体" w:hAnsi="宋体"/>
          <w:sz w:val="24"/>
          <w:highlight w:val="none"/>
        </w:rPr>
        <w:t>2</w:t>
      </w:r>
      <w:r>
        <w:rPr>
          <w:rFonts w:hint="eastAsia" w:ascii="宋体" w:hAnsi="宋体"/>
          <w:sz w:val="24"/>
          <w:highlight w:val="none"/>
        </w:rPr>
        <w:t>、</w:t>
      </w:r>
      <w:r>
        <w:rPr>
          <w:rFonts w:hint="eastAsia" w:ascii="宋体" w:hAnsi="宋体"/>
          <w:color w:val="000000"/>
          <w:spacing w:val="-5"/>
          <w:kern w:val="0"/>
          <w:sz w:val="24"/>
          <w:highlight w:val="none"/>
        </w:rPr>
        <w:t>投标方应对所投标的设备及技术性能做出详细的描述，凡技术规格中对主要设备的技术参数未详尽提出的，均需投标方报出。</w:t>
      </w:r>
    </w:p>
    <w:p>
      <w:pPr>
        <w:spacing w:line="360" w:lineRule="auto"/>
        <w:ind w:firstLine="480" w:firstLineChars="200"/>
        <w:rPr>
          <w:rFonts w:hint="eastAsia" w:ascii="宋体" w:hAnsi="宋体"/>
          <w:color w:val="000000"/>
          <w:spacing w:val="-5"/>
          <w:kern w:val="0"/>
          <w:sz w:val="24"/>
          <w:highlight w:val="none"/>
        </w:rPr>
      </w:pPr>
      <w:r>
        <w:rPr>
          <w:rFonts w:hint="eastAsia" w:ascii="宋体" w:hAnsi="宋体"/>
          <w:sz w:val="24"/>
          <w:highlight w:val="none"/>
        </w:rPr>
        <w:t>2.</w:t>
      </w:r>
      <w:r>
        <w:rPr>
          <w:rFonts w:ascii="宋体" w:hAnsi="宋体"/>
          <w:sz w:val="24"/>
          <w:highlight w:val="none"/>
        </w:rPr>
        <w:t>3</w:t>
      </w:r>
      <w:r>
        <w:rPr>
          <w:rFonts w:hint="eastAsia" w:ascii="宋体" w:hAnsi="宋体"/>
          <w:sz w:val="24"/>
          <w:highlight w:val="none"/>
        </w:rPr>
        <w:t>、</w:t>
      </w:r>
      <w:r>
        <w:rPr>
          <w:rFonts w:hint="eastAsia" w:ascii="宋体" w:hAnsi="宋体"/>
          <w:color w:val="000000"/>
          <w:spacing w:val="-5"/>
          <w:kern w:val="0"/>
          <w:sz w:val="24"/>
          <w:highlight w:val="none"/>
        </w:rPr>
        <w:t>投标方提供的设备及服务包括但不限于如下要求：设计、配置和提供符合本规范书要求的完整的全新设备，包括所必须的软件和硬件。提供所有设备的技术设计说明书及制造方面的说明。负责供货范围内所有设备的包装运输、组装、上架安装、加电测试、初始配置。提供原厂商培训，包括培训讲师、教材、场地、设备，达到用户工程师能独立完成设备调试及故障处理。提供所有合同设备的技术文件、参考资料、图纸和相关培训手册。对于提供给招标方的文档资料应承担保密的责任，以确保招标方设备技术要求的保密性。</w:t>
      </w:r>
    </w:p>
    <w:p>
      <w:pPr>
        <w:spacing w:line="360" w:lineRule="auto"/>
        <w:ind w:firstLine="422" w:firstLineChars="200"/>
        <w:rPr>
          <w:rFonts w:hint="eastAsia" w:ascii="宋体" w:hAnsi="宋体" w:eastAsia="宋体"/>
          <w:color w:val="000000"/>
          <w:spacing w:val="-5"/>
          <w:kern w:val="0"/>
          <w:sz w:val="24"/>
          <w:highlight w:val="none"/>
          <w:lang w:val="en-US" w:eastAsia="zh-CN"/>
        </w:rPr>
      </w:pPr>
      <w:r>
        <w:rPr>
          <w:rFonts w:hint="eastAsia" w:ascii="仿宋_GB2312" w:eastAsia="仿宋_GB2312"/>
          <w:b/>
          <w:bCs/>
          <w:lang w:val="en-US" w:eastAsia="zh-CN"/>
        </w:rPr>
        <w:t>*</w:t>
      </w:r>
      <w:r>
        <w:rPr>
          <w:rFonts w:hint="eastAsia" w:ascii="宋体" w:hAnsi="宋体"/>
          <w:color w:val="000000"/>
          <w:spacing w:val="-5"/>
          <w:kern w:val="0"/>
          <w:sz w:val="24"/>
          <w:highlight w:val="none"/>
          <w:lang w:val="en-US" w:eastAsia="zh-CN"/>
        </w:rPr>
        <w:t>2.4 要求投标单位进行现场勘查，项目所需的缆线、机柜数量根据现场情况由投标单位自行确定，包含在项目报价中。</w:t>
      </w:r>
    </w:p>
    <w:p>
      <w:pPr>
        <w:tabs>
          <w:tab w:val="left" w:pos="993"/>
        </w:tabs>
        <w:spacing w:line="360" w:lineRule="auto"/>
        <w:rPr>
          <w:rFonts w:ascii="宋体" w:hAnsi="宋体"/>
          <w:color w:val="000000"/>
          <w:spacing w:val="-5"/>
          <w:kern w:val="0"/>
          <w:sz w:val="24"/>
          <w:highlight w:val="none"/>
        </w:rPr>
      </w:pPr>
    </w:p>
    <w:p>
      <w:pPr>
        <w:pStyle w:val="3"/>
        <w:spacing w:before="120" w:after="120" w:line="360" w:lineRule="auto"/>
        <w:ind w:left="105" w:leftChars="50"/>
        <w:rPr>
          <w:sz w:val="21"/>
          <w:szCs w:val="21"/>
          <w:highlight w:val="none"/>
        </w:rPr>
      </w:pPr>
      <w:r>
        <w:rPr>
          <w:rFonts w:hint="eastAsia"/>
          <w:sz w:val="21"/>
          <w:szCs w:val="21"/>
          <w:highlight w:val="none"/>
        </w:rPr>
        <w:t>（</w:t>
      </w:r>
      <w:r>
        <w:rPr>
          <w:sz w:val="21"/>
          <w:szCs w:val="21"/>
          <w:highlight w:val="none"/>
        </w:rPr>
        <w:t>3</w:t>
      </w:r>
      <w:r>
        <w:rPr>
          <w:rFonts w:hint="eastAsia"/>
          <w:sz w:val="21"/>
          <w:szCs w:val="21"/>
          <w:highlight w:val="none"/>
        </w:rPr>
        <w:t>）安全技术要求</w:t>
      </w:r>
    </w:p>
    <w:p>
      <w:pPr>
        <w:adjustRightInd w:val="0"/>
        <w:snapToGrid w:val="0"/>
        <w:spacing w:line="360" w:lineRule="auto"/>
        <w:rPr>
          <w:rFonts w:ascii="宋体"/>
          <w:sz w:val="24"/>
          <w:highlight w:val="none"/>
        </w:rPr>
      </w:pPr>
      <w:r>
        <w:rPr>
          <w:rFonts w:ascii="宋体" w:hAnsi="宋体"/>
          <w:sz w:val="24"/>
          <w:highlight w:val="none"/>
        </w:rPr>
        <w:t xml:space="preserve">   3.1</w:t>
      </w:r>
      <w:r>
        <w:rPr>
          <w:rFonts w:hint="eastAsia" w:ascii="宋体" w:hAnsi="宋体"/>
          <w:sz w:val="24"/>
          <w:highlight w:val="none"/>
        </w:rPr>
        <w:t>、卖方应对设备的安全性负责，在设计时应注意到整体和局部的安全性问题。</w:t>
      </w:r>
    </w:p>
    <w:p>
      <w:pPr>
        <w:adjustRightInd w:val="0"/>
        <w:snapToGrid w:val="0"/>
        <w:spacing w:line="360" w:lineRule="auto"/>
        <w:ind w:firstLine="360" w:firstLineChars="150"/>
        <w:rPr>
          <w:rFonts w:ascii="宋体"/>
          <w:sz w:val="24"/>
          <w:highlight w:val="none"/>
        </w:rPr>
      </w:pPr>
      <w:r>
        <w:rPr>
          <w:rFonts w:ascii="宋体" w:hAnsi="宋体"/>
          <w:sz w:val="24"/>
          <w:highlight w:val="none"/>
        </w:rPr>
        <w:t>3.2</w:t>
      </w:r>
      <w:r>
        <w:rPr>
          <w:rFonts w:hint="eastAsia" w:ascii="宋体" w:hAnsi="宋体"/>
          <w:sz w:val="24"/>
          <w:highlight w:val="none"/>
        </w:rPr>
        <w:t>、所有可能带电的部位，应进行绝缘处理或者用栅栏包围或者安装在可能防止危险发生的地方。</w:t>
      </w:r>
    </w:p>
    <w:p>
      <w:pPr>
        <w:adjustRightInd w:val="0"/>
        <w:snapToGrid w:val="0"/>
        <w:spacing w:line="360" w:lineRule="auto"/>
        <w:rPr>
          <w:rFonts w:ascii="宋体"/>
          <w:sz w:val="24"/>
          <w:highlight w:val="none"/>
        </w:rPr>
      </w:pPr>
      <w:r>
        <w:rPr>
          <w:rFonts w:ascii="宋体" w:hAnsi="宋体"/>
          <w:sz w:val="24"/>
          <w:highlight w:val="none"/>
        </w:rPr>
        <w:t xml:space="preserve">   3.3</w:t>
      </w:r>
      <w:r>
        <w:rPr>
          <w:rFonts w:hint="eastAsia" w:ascii="宋体" w:hAnsi="宋体"/>
          <w:sz w:val="24"/>
          <w:highlight w:val="none"/>
        </w:rPr>
        <w:t>、电气系统所使用的电线和电缆为各种铜芯电线和电缆，必须具有耐高温、防火、机械强度高、安全可靠的特性。</w:t>
      </w:r>
    </w:p>
    <w:p>
      <w:pPr>
        <w:adjustRightInd w:val="0"/>
        <w:snapToGrid w:val="0"/>
        <w:spacing w:line="360" w:lineRule="auto"/>
        <w:rPr>
          <w:rFonts w:ascii="宋体"/>
          <w:sz w:val="24"/>
          <w:highlight w:val="none"/>
        </w:rPr>
      </w:pPr>
      <w:r>
        <w:rPr>
          <w:rFonts w:ascii="宋体" w:hAnsi="宋体"/>
          <w:sz w:val="24"/>
          <w:highlight w:val="none"/>
        </w:rPr>
        <w:t xml:space="preserve">   3.4</w:t>
      </w:r>
      <w:r>
        <w:rPr>
          <w:rFonts w:hint="eastAsia" w:ascii="宋体" w:hAnsi="宋体"/>
          <w:sz w:val="24"/>
          <w:highlight w:val="none"/>
        </w:rPr>
        <w:t>、旋转轴及旋转部件应完全防护，防护罩的设计应能使人容易接近润滑油脂加注点、温度计和其他检查点，以便操作人员能够没有危险的或者不需拆除防护体的任何部件情况下，就可进行日常观察、维修。</w:t>
      </w:r>
    </w:p>
    <w:p>
      <w:pPr>
        <w:adjustRightInd w:val="0"/>
        <w:snapToGrid w:val="0"/>
        <w:spacing w:line="360" w:lineRule="auto"/>
        <w:rPr>
          <w:rFonts w:ascii="宋体"/>
          <w:sz w:val="24"/>
          <w:highlight w:val="none"/>
        </w:rPr>
      </w:pPr>
      <w:r>
        <w:rPr>
          <w:rFonts w:ascii="宋体" w:hAnsi="宋体"/>
          <w:sz w:val="24"/>
          <w:highlight w:val="none"/>
        </w:rPr>
        <w:t xml:space="preserve">   3.5</w:t>
      </w:r>
      <w:r>
        <w:rPr>
          <w:rFonts w:hint="eastAsia" w:ascii="宋体" w:hAnsi="宋体"/>
          <w:sz w:val="24"/>
          <w:highlight w:val="none"/>
        </w:rPr>
        <w:t>、防护体应以不能被随意拆除或移动的方式用螺栓固定。</w:t>
      </w:r>
    </w:p>
    <w:p>
      <w:pPr>
        <w:adjustRightInd w:val="0"/>
        <w:snapToGrid w:val="0"/>
        <w:spacing w:line="360" w:lineRule="auto"/>
        <w:rPr>
          <w:rFonts w:ascii="宋体"/>
          <w:sz w:val="24"/>
          <w:highlight w:val="none"/>
        </w:rPr>
      </w:pPr>
      <w:r>
        <w:rPr>
          <w:rFonts w:ascii="宋体" w:hAnsi="宋体"/>
          <w:sz w:val="24"/>
          <w:highlight w:val="none"/>
        </w:rPr>
        <w:t xml:space="preserve">   3.6</w:t>
      </w:r>
      <w:r>
        <w:rPr>
          <w:rFonts w:hint="eastAsia" w:ascii="宋体" w:hAnsi="宋体"/>
          <w:sz w:val="24"/>
          <w:highlight w:val="none"/>
        </w:rPr>
        <w:t>、设备的噪音和振动应符合国家相关标准。</w:t>
      </w:r>
    </w:p>
    <w:p>
      <w:pPr>
        <w:pStyle w:val="23"/>
        <w:tabs>
          <w:tab w:val="left" w:pos="993"/>
        </w:tabs>
        <w:spacing w:line="360" w:lineRule="auto"/>
        <w:ind w:left="880" w:firstLine="0" w:firstLineChars="0"/>
        <w:rPr>
          <w:rFonts w:ascii="宋体" w:hAnsi="宋体"/>
          <w:color w:val="000000"/>
          <w:spacing w:val="-5"/>
          <w:kern w:val="0"/>
          <w:sz w:val="24"/>
          <w:highlight w:val="none"/>
        </w:rPr>
      </w:pPr>
    </w:p>
    <w:p>
      <w:pPr>
        <w:pStyle w:val="3"/>
        <w:spacing w:before="120" w:after="120" w:line="360" w:lineRule="auto"/>
        <w:rPr>
          <w:sz w:val="21"/>
          <w:szCs w:val="21"/>
          <w:highlight w:val="none"/>
        </w:rPr>
      </w:pPr>
      <w:r>
        <w:rPr>
          <w:rFonts w:hint="eastAsia" w:ascii="仿宋_GB2312" w:eastAsia="仿宋_GB2312"/>
          <w:b/>
          <w:bCs/>
          <w:lang w:val="en-US" w:eastAsia="zh-CN"/>
        </w:rPr>
        <w:t>*</w:t>
      </w:r>
      <w:r>
        <w:rPr>
          <w:rFonts w:hint="eastAsia"/>
          <w:sz w:val="21"/>
          <w:szCs w:val="21"/>
          <w:highlight w:val="none"/>
        </w:rPr>
        <w:t>（4）招标人提出的特别技术要求</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ascii="宋体" w:hAnsi="宋体"/>
          <w:color w:val="000000"/>
          <w:spacing w:val="-5"/>
          <w:kern w:val="0"/>
          <w:sz w:val="24"/>
          <w:highlight w:val="none"/>
        </w:rPr>
        <w:t>投标人应承诺交付的所有产品是未被使用过的全新产品。</w:t>
      </w:r>
      <w:bookmarkStart w:id="0" w:name="_Toc328818837"/>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color w:val="000000"/>
          <w:spacing w:val="-5"/>
          <w:kern w:val="0"/>
          <w:sz w:val="24"/>
          <w:highlight w:val="none"/>
        </w:rPr>
        <w:t>本项目设施购置为“交钥匙工程”，中标单位需完成整个项目的采购、施工、安装、调试及验收工作。质保期从验收合格之日起，一年内设备出现质量问题中标单位应免费维修、更换有问题的设备。</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color w:val="000000"/>
          <w:spacing w:val="-5"/>
          <w:kern w:val="0"/>
          <w:sz w:val="24"/>
          <w:highlight w:val="none"/>
        </w:rPr>
        <w:t>投标方应保证所提供的设备及设备的使用将不违反任何工业所有权和知识产权或任何第三方的知识产权问题（包括所有软件产品），所提供的软件和授权必须是正版的、合法的、满足项目需求的。</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color w:val="000000"/>
          <w:spacing w:val="-5"/>
          <w:kern w:val="0"/>
          <w:sz w:val="24"/>
          <w:highlight w:val="none"/>
        </w:rPr>
        <w:t>本标书提出的要求是最低限度的技术要求，未全部对技术细节作出详细规定，投标方需对本技术规范书内所提各项要求能否实现及满足的程度逐条逐项的予以应答，同时要求提供相应软、硬件产品(包括第三方产品)的详细技术资料和性能参数。</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color w:val="000000"/>
          <w:spacing w:val="-5"/>
          <w:kern w:val="0"/>
          <w:sz w:val="24"/>
          <w:highlight w:val="none"/>
        </w:rPr>
        <w:t>投标方提供的设备必须是标准的，技术上先进和成熟的，元器件、材料是全新的，更重要的是稳定成熟的。</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color w:val="000000"/>
          <w:spacing w:val="-5"/>
          <w:kern w:val="0"/>
          <w:sz w:val="24"/>
          <w:highlight w:val="none"/>
        </w:rPr>
        <w:t>投标方对系统的整体性能指标负责。</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color w:val="000000"/>
          <w:spacing w:val="-5"/>
          <w:kern w:val="0"/>
          <w:sz w:val="24"/>
          <w:highlight w:val="none"/>
        </w:rPr>
        <w:t>投标方须确保所提供设备与其他各系统之间联接、通讯畅通无阻，确保各系统功能的实现。</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color w:val="000000"/>
          <w:spacing w:val="-5"/>
          <w:kern w:val="0"/>
          <w:sz w:val="24"/>
          <w:highlight w:val="none"/>
        </w:rPr>
        <w:t>对于所投标产品功能、性能低于或不符合招标书要求的将按照重大技术偏离处理。</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color w:val="000000"/>
          <w:spacing w:val="-5"/>
          <w:kern w:val="0"/>
          <w:sz w:val="24"/>
          <w:highlight w:val="none"/>
        </w:rPr>
        <w:t>对于投标产品要求提供一年原厂质保、免费技术支持服务。</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sz w:val="24"/>
          <w:highlight w:val="none"/>
        </w:rPr>
        <w:t>投标方在投标前应该进行现场踏勘，所供设备外形尺寸满足现场安装条件。</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color w:val="000000" w:themeColor="text1"/>
          <w:sz w:val="24"/>
          <w:highlight w:val="none"/>
        </w:rPr>
        <w:t>所提供设备及其附件等均需满足现场运行条件。</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color w:val="000000" w:themeColor="text1"/>
          <w:sz w:val="24"/>
          <w:highlight w:val="none"/>
        </w:rPr>
        <w:t>必须对所有技术条款逐条解释并满足使用环境。</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color w:val="000000" w:themeColor="text1"/>
          <w:sz w:val="24"/>
          <w:highlight w:val="none"/>
        </w:rPr>
        <w:t>标书中未提及的技术要求必须符合国家的相关要求。</w:t>
      </w:r>
      <w:bookmarkEnd w:id="0"/>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sz w:val="24"/>
          <w:highlight w:val="none"/>
        </w:rPr>
        <w:t>上表分项报价合计价格与投标报价设备总价格必须一致</w:t>
      </w:r>
    </w:p>
    <w:p>
      <w:pPr>
        <w:pStyle w:val="23"/>
        <w:numPr>
          <w:ilvl w:val="1"/>
          <w:numId w:val="3"/>
        </w:numPr>
        <w:tabs>
          <w:tab w:val="left" w:pos="993"/>
        </w:tabs>
        <w:spacing w:line="360" w:lineRule="auto"/>
        <w:ind w:left="0" w:firstLine="567" w:firstLineChars="0"/>
        <w:rPr>
          <w:rFonts w:ascii="宋体" w:hAnsi="宋体"/>
          <w:color w:val="000000"/>
          <w:spacing w:val="-5"/>
          <w:kern w:val="0"/>
          <w:sz w:val="24"/>
          <w:highlight w:val="none"/>
        </w:rPr>
      </w:pPr>
      <w:r>
        <w:rPr>
          <w:rFonts w:hint="eastAsia" w:ascii="宋体" w:hAnsi="宋体"/>
          <w:sz w:val="24"/>
          <w:highlight w:val="none"/>
        </w:rPr>
        <w:t>投标报价包括：设备费、材料费、辅件及辅材、安装调试费、运费、增值税（统一为</w:t>
      </w:r>
      <w:r>
        <w:rPr>
          <w:rFonts w:ascii="宋体" w:hAnsi="宋体"/>
          <w:sz w:val="24"/>
          <w:highlight w:val="none"/>
        </w:rPr>
        <w:t>17%</w:t>
      </w:r>
      <w:r>
        <w:rPr>
          <w:rFonts w:hint="eastAsia" w:ascii="宋体" w:hAnsi="宋体"/>
          <w:sz w:val="24"/>
          <w:highlight w:val="none"/>
        </w:rPr>
        <w:t>的设备购置税）、人员培训费等。要求投标方按照以上费用列表分项单独进行报价（未列事项，视为总报价已包含）。</w:t>
      </w:r>
    </w:p>
    <w:p>
      <w:pPr>
        <w:pStyle w:val="23"/>
        <w:numPr>
          <w:ilvl w:val="0"/>
          <w:numId w:val="0"/>
        </w:numPr>
        <w:tabs>
          <w:tab w:val="left" w:pos="993"/>
        </w:tabs>
        <w:spacing w:line="360" w:lineRule="auto"/>
        <w:rPr>
          <w:rFonts w:ascii="宋体" w:hAnsi="宋体"/>
          <w:color w:val="000000"/>
          <w:spacing w:val="-5"/>
          <w:kern w:val="0"/>
          <w:sz w:val="24"/>
          <w:highlight w:val="none"/>
        </w:rPr>
      </w:pPr>
    </w:p>
    <w:p>
      <w:pPr>
        <w:tabs>
          <w:tab w:val="left" w:pos="993"/>
        </w:tabs>
        <w:spacing w:line="360" w:lineRule="auto"/>
        <w:rPr>
          <w:rFonts w:ascii="宋体" w:hAnsi="宋体"/>
          <w:color w:val="000000"/>
          <w:spacing w:val="-5"/>
          <w:kern w:val="0"/>
          <w:sz w:val="24"/>
          <w:highlight w:val="none"/>
        </w:rPr>
      </w:pPr>
    </w:p>
    <w:p>
      <w:pPr>
        <w:pStyle w:val="2"/>
        <w:spacing w:before="120" w:after="120" w:line="360" w:lineRule="auto"/>
        <w:jc w:val="center"/>
        <w:rPr>
          <w:sz w:val="24"/>
          <w:highlight w:val="none"/>
        </w:rPr>
      </w:pPr>
      <w:r>
        <w:rPr>
          <w:rFonts w:hint="eastAsia"/>
          <w:sz w:val="24"/>
          <w:highlight w:val="none"/>
        </w:rPr>
        <w:t>第二节备件和工具</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1. 所有为设备的安装、试运行、质保期内和质保期后1年必备的备件、消耗品，包括专用工具、仪器、仪表等，在设备交货时提供。推迟的交货期将按照设备推迟交货计算。</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2. 中标方应提供完整备件手册、备件件号、数量、规格型号、价格表的CD盘，随同设备发货。</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3. 中标方应保证所有零部件均有唯一编码，如属外购标准件，要求必须按照原厂家编码执行。</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4. 中标方还应进一步提供设备上的所需的备件、易耗品及标准件的货源地。</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5. 设备采用的外购、外协件应提供原产地证明及检验合格证书。</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6. 如因为中标人提供1年期备件明细不准确，导致招标人方误采购或按明细提供数量不足以满足生产需求，中标人应免费提供相应的备件。</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7. 中标人应保证长期以最优惠的价格供给易损件和备件。如果备件发生设计变更，应将变更信息及时通知招标人。</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8. 中标人备件价格在设备开始使用的3年内必须维持稳定。</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9. 在5年内，因中标人技术升级导致部分备件不能提供时，中标人要免费为用户升级设备。</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10. 5年后在备件停止生产的情况下，中标人应事先将要停止生产的计划通知招标人，使招标人有足够的时间采购所需的备件。</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11. 5年后在备件停止生产后，如果招标人要求，中标人应免费向买方提供备件的蓝图、图纸和规格。</w:t>
      </w:r>
    </w:p>
    <w:p>
      <w:pPr>
        <w:widowControl/>
        <w:jc w:val="left"/>
        <w:rPr>
          <w:rFonts w:ascii="宋体" w:hAnsi="宋体"/>
          <w:color w:val="000000"/>
          <w:sz w:val="24"/>
          <w:highlight w:val="none"/>
        </w:rPr>
      </w:pPr>
      <w:r>
        <w:rPr>
          <w:rFonts w:ascii="宋体" w:hAnsi="宋体"/>
          <w:color w:val="000000"/>
          <w:sz w:val="24"/>
          <w:highlight w:val="none"/>
        </w:rPr>
        <w:br w:type="page"/>
      </w:r>
    </w:p>
    <w:p>
      <w:pPr>
        <w:pStyle w:val="2"/>
        <w:spacing w:before="120" w:after="120" w:line="360" w:lineRule="auto"/>
        <w:jc w:val="center"/>
        <w:rPr>
          <w:sz w:val="24"/>
          <w:highlight w:val="none"/>
        </w:rPr>
      </w:pPr>
      <w:r>
        <w:rPr>
          <w:rFonts w:hint="eastAsia"/>
          <w:sz w:val="24"/>
          <w:highlight w:val="none"/>
        </w:rPr>
        <w:t>第三节设备出厂前检验</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3．在中检中质检团成员发现或提出的问题，双方应积极通过友好协商解决。</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4. 设备在出厂前必须进行整体联合试运转，根据试运转时间确定招标人中检时间，联合试运转应在招标人中检人员监督下进行。</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5. 在设备到达招标人现场后组装试运转中如出现问题，原因是中标人没有在出厂前进行设备整体联合试运转，因此推迟的时间将按照推迟交货期来计算。</w:t>
      </w:r>
    </w:p>
    <w:p>
      <w:pPr>
        <w:widowControl/>
        <w:jc w:val="left"/>
        <w:rPr>
          <w:rFonts w:ascii="宋体" w:hAnsi="宋体"/>
          <w:color w:val="000000"/>
          <w:sz w:val="24"/>
          <w:highlight w:val="none"/>
        </w:rPr>
      </w:pPr>
      <w:r>
        <w:rPr>
          <w:rFonts w:ascii="宋体" w:hAnsi="宋体"/>
          <w:color w:val="000000"/>
          <w:sz w:val="24"/>
          <w:highlight w:val="none"/>
        </w:rPr>
        <w:br w:type="page"/>
      </w:r>
    </w:p>
    <w:p>
      <w:pPr>
        <w:spacing w:before="120" w:line="360" w:lineRule="auto"/>
        <w:ind w:firstLine="480" w:firstLineChars="200"/>
        <w:rPr>
          <w:rFonts w:ascii="宋体" w:hAnsi="宋体"/>
          <w:color w:val="000000"/>
          <w:sz w:val="24"/>
          <w:highlight w:val="none"/>
        </w:rPr>
      </w:pPr>
    </w:p>
    <w:p>
      <w:pPr>
        <w:pStyle w:val="2"/>
        <w:spacing w:before="120" w:after="120" w:line="360" w:lineRule="auto"/>
        <w:jc w:val="center"/>
        <w:rPr>
          <w:sz w:val="24"/>
          <w:highlight w:val="none"/>
        </w:rPr>
      </w:pPr>
      <w:r>
        <w:rPr>
          <w:rFonts w:hint="eastAsia"/>
          <w:sz w:val="24"/>
          <w:highlight w:val="none"/>
        </w:rPr>
        <w:t>第四节技术服务</w:t>
      </w:r>
    </w:p>
    <w:p>
      <w:pPr>
        <w:spacing w:before="120" w:line="360" w:lineRule="auto"/>
        <w:ind w:left="360" w:firstLine="480" w:firstLineChars="200"/>
        <w:rPr>
          <w:rFonts w:ascii="宋体" w:hAnsi="宋体"/>
          <w:color w:val="000000"/>
          <w:sz w:val="24"/>
          <w:highlight w:val="none"/>
        </w:rPr>
      </w:pPr>
      <w:r>
        <w:rPr>
          <w:rFonts w:hint="eastAsia" w:ascii="宋体" w:hAnsi="宋体"/>
          <w:color w:val="000000"/>
          <w:sz w:val="24"/>
          <w:highlight w:val="none"/>
        </w:rPr>
        <w:t>1. 中标人将派出有技术、有能力胜任的服务工程师到现场，提供有关安装管理、调试、空载测试、性能测试、试运转、维修及现场培训维修人员的服务。中标人服务工程师的主要责任与任务如下：</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——给招标人安装人员提供完整的技术指导。</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——指导招标人人员进行合同设备的试运转，运行测试和性能测试。</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——培训招标人人员。</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——设备投入使用后提供现场运行技术支持。</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——质保期内技术服务。</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3.中标人将提供所有的关于装配与组装所用的专用工具,例如:专用测试仪、测量仪和机械工具。</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4.在现场举行由双方参加的会议，对所提供设备进行安装的准备工作进行讨论。</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5. 对于安装指导、测试运转、性能测试、试运转和验收，包括招标人操作和维修人员的现场培训,中标人需免费提供。</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6. 中标人应提供用于招标人自行培训人员需要使用的相关培训资料。</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7. 设备过质保期后，在设备使用寿命内，如招标人需要，中标人应确保服务工程师到现场进行技术服务。</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widowControl/>
        <w:jc w:val="left"/>
        <w:rPr>
          <w:rFonts w:ascii="宋体" w:hAnsi="宋体"/>
          <w:color w:val="000000"/>
          <w:sz w:val="24"/>
          <w:highlight w:val="none"/>
        </w:rPr>
      </w:pPr>
      <w:r>
        <w:rPr>
          <w:rFonts w:ascii="宋体" w:hAnsi="宋体"/>
          <w:color w:val="000000"/>
          <w:sz w:val="24"/>
          <w:highlight w:val="none"/>
        </w:rPr>
        <w:br w:type="page"/>
      </w:r>
    </w:p>
    <w:p>
      <w:pPr>
        <w:pStyle w:val="2"/>
        <w:spacing w:before="120" w:after="120" w:line="360" w:lineRule="auto"/>
        <w:jc w:val="center"/>
        <w:rPr>
          <w:sz w:val="24"/>
          <w:highlight w:val="none"/>
        </w:rPr>
      </w:pPr>
      <w:r>
        <w:rPr>
          <w:rFonts w:hint="eastAsia"/>
          <w:sz w:val="24"/>
          <w:highlight w:val="none"/>
        </w:rPr>
        <w:t>第五节安装、检验、调试、试运行及验收</w:t>
      </w:r>
    </w:p>
    <w:p>
      <w:pPr>
        <w:spacing w:before="120" w:line="360" w:lineRule="auto"/>
        <w:ind w:left="360" w:firstLine="480" w:firstLineChars="200"/>
        <w:rPr>
          <w:rFonts w:ascii="宋体" w:hAnsi="宋体"/>
          <w:color w:val="000000"/>
          <w:sz w:val="24"/>
          <w:highlight w:val="none"/>
        </w:rPr>
      </w:pPr>
      <w:r>
        <w:rPr>
          <w:rFonts w:hint="eastAsia" w:ascii="宋体" w:hAnsi="宋体"/>
          <w:color w:val="000000"/>
          <w:sz w:val="24"/>
          <w:highlight w:val="none"/>
        </w:rPr>
        <w:t>1. 在该附录中：</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安装：意为招标人安装人员在中标人的服务工程人员的监督与指导下，将整套设备或一个系统安装起来。</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试运转：即为在空载条件下测试该设备。</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 xml:space="preserve">性能调试：即在它们的额定负载下测试设备，检查其是否能达到合同规定的所有技术性能。 </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试运行：即为设备按照合同要求性能投入运转。</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验收：即为该设备达到合同规定的试运转、性能调试和试运行技术要求后招标人正式接收。</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2. 设备到货应随机提供出厂验收报告。</w:t>
      </w:r>
    </w:p>
    <w:p>
      <w:pPr>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widowControl/>
        <w:jc w:val="left"/>
        <w:rPr>
          <w:rFonts w:ascii="宋体" w:hAnsi="宋体"/>
          <w:color w:val="000000"/>
          <w:sz w:val="24"/>
          <w:highlight w:val="none"/>
        </w:rPr>
      </w:pPr>
      <w:r>
        <w:rPr>
          <w:rFonts w:ascii="宋体" w:hAnsi="宋体"/>
          <w:color w:val="000000"/>
          <w:sz w:val="24"/>
          <w:highlight w:val="none"/>
        </w:rPr>
        <w:br w:type="page"/>
      </w:r>
    </w:p>
    <w:p>
      <w:pPr>
        <w:pStyle w:val="2"/>
        <w:spacing w:before="120" w:after="120" w:line="360" w:lineRule="auto"/>
        <w:jc w:val="center"/>
        <w:rPr>
          <w:sz w:val="24"/>
          <w:highlight w:val="none"/>
        </w:rPr>
      </w:pPr>
      <w:r>
        <w:rPr>
          <w:rFonts w:hint="eastAsia"/>
          <w:sz w:val="24"/>
          <w:highlight w:val="none"/>
        </w:rPr>
        <w:t>第六节质量保证</w:t>
      </w:r>
    </w:p>
    <w:p>
      <w:pPr>
        <w:spacing w:before="120" w:line="360" w:lineRule="auto"/>
        <w:ind w:left="324" w:firstLine="480" w:firstLineChars="200"/>
        <w:rPr>
          <w:rFonts w:ascii="宋体" w:hAnsi="宋体"/>
          <w:color w:val="000000"/>
          <w:sz w:val="24"/>
          <w:highlight w:val="none"/>
        </w:rPr>
      </w:pPr>
      <w:r>
        <w:rPr>
          <w:rFonts w:hint="eastAsia" w:ascii="宋体" w:hAnsi="宋体"/>
          <w:color w:val="000000"/>
          <w:sz w:val="24"/>
          <w:highlight w:val="none"/>
        </w:rPr>
        <w:t>1. 质保期应为最终验收合格后12个月。对由于设计或质量问题而引起的设备故障，中标方应进一步对此负责。专用合同条款对质保有特殊规定的从其规定。</w:t>
      </w:r>
    </w:p>
    <w:p>
      <w:pPr>
        <w:spacing w:before="120" w:line="360" w:lineRule="auto"/>
        <w:ind w:firstLine="480" w:firstLineChars="200"/>
        <w:rPr>
          <w:rFonts w:ascii="宋体" w:hAnsi="宋体"/>
          <w:color w:val="000000"/>
          <w:sz w:val="24"/>
          <w:highlight w:val="none"/>
        </w:rPr>
      </w:pPr>
      <w:r>
        <w:rPr>
          <w:rFonts w:hint="eastAsia" w:ascii="宋体" w:hAnsi="宋体"/>
          <w:color w:val="000000"/>
          <w:sz w:val="24"/>
          <w:highlight w:val="none"/>
        </w:rPr>
        <w:t>2. 中标方应有质保期内的维修服务承诺，无偿更换零配件、部件承诺。</w:t>
      </w:r>
    </w:p>
    <w:p>
      <w:pPr>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3. 中标方应有对设备大修周期、使用寿命及各主要部件的寿命承诺。</w:t>
      </w:r>
    </w:p>
    <w:p>
      <w:pPr>
        <w:widowControl/>
        <w:jc w:val="left"/>
        <w:rPr>
          <w:rFonts w:ascii="宋体" w:hAnsi="宋体"/>
          <w:color w:val="000000"/>
          <w:sz w:val="24"/>
          <w:highlight w:val="none"/>
        </w:rPr>
      </w:pPr>
      <w:r>
        <w:rPr>
          <w:rFonts w:ascii="宋体" w:hAnsi="宋体"/>
          <w:color w:val="000000"/>
          <w:sz w:val="24"/>
          <w:highlight w:val="none"/>
        </w:rPr>
        <w:br w:type="page"/>
      </w:r>
    </w:p>
    <w:p>
      <w:pPr>
        <w:pStyle w:val="2"/>
        <w:spacing w:before="120" w:after="120" w:line="360" w:lineRule="auto"/>
        <w:jc w:val="center"/>
        <w:rPr>
          <w:sz w:val="24"/>
          <w:highlight w:val="none"/>
        </w:rPr>
      </w:pPr>
      <w:r>
        <w:rPr>
          <w:rFonts w:hint="eastAsia"/>
          <w:sz w:val="24"/>
          <w:highlight w:val="none"/>
        </w:rPr>
        <w:t>第七节技术资料和图纸</w:t>
      </w:r>
    </w:p>
    <w:p>
      <w:pPr>
        <w:spacing w:before="120" w:line="360" w:lineRule="auto"/>
        <w:ind w:left="324" w:firstLine="480" w:firstLineChars="200"/>
        <w:rPr>
          <w:rFonts w:ascii="宋体" w:hAnsi="宋体"/>
          <w:color w:val="000000"/>
          <w:sz w:val="24"/>
          <w:highlight w:val="none"/>
        </w:rPr>
      </w:pPr>
      <w:r>
        <w:rPr>
          <w:rFonts w:hint="eastAsia" w:ascii="宋体" w:hAnsi="宋体"/>
          <w:color w:val="000000"/>
          <w:sz w:val="24"/>
          <w:highlight w:val="none"/>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spacing w:before="120" w:line="360" w:lineRule="auto"/>
        <w:ind w:left="324" w:firstLine="480" w:firstLineChars="200"/>
        <w:rPr>
          <w:rFonts w:ascii="宋体" w:hAnsi="宋体"/>
          <w:color w:val="000000"/>
          <w:sz w:val="24"/>
          <w:highlight w:val="none"/>
        </w:rPr>
      </w:pPr>
      <w:r>
        <w:rPr>
          <w:rFonts w:hint="eastAsia" w:ascii="宋体" w:hAnsi="宋体"/>
          <w:color w:val="000000"/>
          <w:sz w:val="24"/>
          <w:highlight w:val="none"/>
        </w:rPr>
        <w:t>2、厂家配套6套图纸及技术资料，随带所有合格证等，（所有资料要求1正5副装订成册，光盘一份），长期售后服务，保质期一年。</w:t>
      </w:r>
    </w:p>
    <w:p>
      <w:pPr>
        <w:spacing w:before="120" w:line="360" w:lineRule="auto"/>
        <w:ind w:left="324" w:firstLine="480" w:firstLineChars="200"/>
        <w:rPr>
          <w:rFonts w:ascii="宋体" w:hAnsi="宋体"/>
          <w:color w:val="000000"/>
          <w:sz w:val="24"/>
          <w:highlight w:val="none"/>
        </w:rPr>
      </w:pPr>
      <w:r>
        <w:rPr>
          <w:rFonts w:hint="eastAsia" w:ascii="宋体" w:hAnsi="宋体"/>
          <w:color w:val="000000"/>
          <w:sz w:val="24"/>
          <w:highlight w:val="none"/>
        </w:rPr>
        <w:t>3、如果中标人交付的技术文件和图纸不完整、丢失或损坏，中标人在接到招标人索要不完整、丢失或损坏部分的技术文件和图纸的通知后的30天内,应免费向招标人增补丢失或损坏部分的技术文件与图纸。</w:t>
      </w:r>
    </w:p>
    <w:p>
      <w:pPr>
        <w:spacing w:before="120" w:line="360" w:lineRule="auto"/>
        <w:ind w:left="324" w:firstLine="480" w:firstLineChars="200"/>
        <w:rPr>
          <w:rFonts w:ascii="宋体" w:hAnsi="宋体"/>
          <w:color w:val="000000"/>
          <w:sz w:val="24"/>
          <w:highlight w:val="none"/>
        </w:rPr>
      </w:pPr>
      <w:r>
        <w:rPr>
          <w:rFonts w:hint="eastAsia" w:ascii="宋体" w:hAnsi="宋体"/>
          <w:color w:val="000000"/>
          <w:sz w:val="24"/>
          <w:highlight w:val="none"/>
        </w:rPr>
        <w:t>4、中标人有义务对该设备的控制软件、管理软件进行免费升级换代。</w:t>
      </w:r>
    </w:p>
    <w:p>
      <w:pPr>
        <w:spacing w:before="120" w:line="360" w:lineRule="auto"/>
        <w:ind w:left="324" w:firstLine="480" w:firstLineChars="200"/>
        <w:rPr>
          <w:rFonts w:ascii="宋体" w:hAnsi="宋体"/>
          <w:color w:val="000000"/>
          <w:sz w:val="24"/>
          <w:highlight w:val="none"/>
        </w:rPr>
      </w:pPr>
      <w:r>
        <w:rPr>
          <w:rFonts w:hint="eastAsia" w:ascii="宋体" w:hAnsi="宋体"/>
          <w:color w:val="000000"/>
          <w:sz w:val="24"/>
          <w:highlight w:val="none"/>
        </w:rPr>
        <w:t>5、中标人定期对设备进行回访，并对用户提出的问题进行解决。</w:t>
      </w:r>
    </w:p>
    <w:p>
      <w:pPr>
        <w:spacing w:before="120" w:line="360" w:lineRule="auto"/>
        <w:ind w:left="324" w:firstLine="480" w:firstLineChars="200"/>
        <w:rPr>
          <w:rFonts w:ascii="宋体" w:hAnsi="宋体"/>
          <w:color w:val="000000"/>
          <w:sz w:val="24"/>
          <w:highlight w:val="none"/>
        </w:rPr>
      </w:pPr>
      <w:r>
        <w:rPr>
          <w:rFonts w:hint="eastAsia" w:ascii="宋体" w:hAnsi="宋体"/>
          <w:color w:val="000000"/>
          <w:sz w:val="24"/>
          <w:highlight w:val="none"/>
        </w:rPr>
        <w:t>6、技术资料与设备同属合同供货范围，如不能按照上述条款交货，将按照推迟合同交货期执行。</w:t>
      </w:r>
    </w:p>
    <w:p>
      <w:pPr>
        <w:pStyle w:val="20"/>
        <w:tabs>
          <w:tab w:val="left" w:pos="1290"/>
          <w:tab w:val="left" w:pos="1680"/>
        </w:tabs>
        <w:spacing w:line="360" w:lineRule="auto"/>
        <w:ind w:firstLine="480" w:firstLineChars="200"/>
        <w:rPr>
          <w:rFonts w:hAnsi="宋体"/>
          <w:color w:val="000000"/>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Arial Black">
    <w:panose1 w:val="020B0A040201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仿宋体">
    <w:altName w:val="宋体"/>
    <w:panose1 w:val="00000000000000000000"/>
    <w:charset w:val="86"/>
    <w:family w:val="roma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roman"/>
    <w:pitch w:val="default"/>
    <w:sig w:usb0="A00002EF" w:usb1="4000207B"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B6835"/>
    <w:multiLevelType w:val="multilevel"/>
    <w:tmpl w:val="3C7B6835"/>
    <w:lvl w:ilvl="0" w:tentative="0">
      <w:start w:val="4"/>
      <w:numFmt w:val="decimal"/>
      <w:lvlText w:val="%1."/>
      <w:lvlJc w:val="left"/>
      <w:pPr>
        <w:ind w:left="585" w:hanging="585"/>
      </w:pPr>
      <w:rPr>
        <w:rFonts w:hint="default"/>
      </w:rPr>
    </w:lvl>
    <w:lvl w:ilvl="1" w:tentative="0">
      <w:start w:val="1"/>
      <w:numFmt w:val="decimal"/>
      <w:lvlText w:val="%1.%2、"/>
      <w:lvlJc w:val="left"/>
      <w:pPr>
        <w:ind w:left="4123" w:hanging="720"/>
      </w:pPr>
      <w:rPr>
        <w:rFonts w:hint="default"/>
      </w:rPr>
    </w:lvl>
    <w:lvl w:ilvl="2" w:tentative="0">
      <w:start w:val="1"/>
      <w:numFmt w:val="decimal"/>
      <w:lvlText w:val="%1.%2、%3."/>
      <w:lvlJc w:val="left"/>
      <w:pPr>
        <w:ind w:left="1648" w:hanging="1080"/>
      </w:pPr>
      <w:rPr>
        <w:rFonts w:hint="default"/>
      </w:rPr>
    </w:lvl>
    <w:lvl w:ilvl="3" w:tentative="0">
      <w:start w:val="1"/>
      <w:numFmt w:val="decimal"/>
      <w:lvlText w:val="%1.%2、%3.%4."/>
      <w:lvlJc w:val="left"/>
      <w:pPr>
        <w:ind w:left="1932" w:hanging="1080"/>
      </w:pPr>
      <w:rPr>
        <w:rFonts w:hint="default"/>
      </w:rPr>
    </w:lvl>
    <w:lvl w:ilvl="4" w:tentative="0">
      <w:start w:val="1"/>
      <w:numFmt w:val="decimal"/>
      <w:lvlText w:val="%1.%2、%3.%4.%5."/>
      <w:lvlJc w:val="left"/>
      <w:pPr>
        <w:ind w:left="2576" w:hanging="1440"/>
      </w:pPr>
      <w:rPr>
        <w:rFonts w:hint="default"/>
      </w:rPr>
    </w:lvl>
    <w:lvl w:ilvl="5" w:tentative="0">
      <w:start w:val="1"/>
      <w:numFmt w:val="decimal"/>
      <w:lvlText w:val="%1.%2、%3.%4.%5.%6."/>
      <w:lvlJc w:val="left"/>
      <w:pPr>
        <w:ind w:left="3220" w:hanging="1800"/>
      </w:pPr>
      <w:rPr>
        <w:rFonts w:hint="default"/>
      </w:rPr>
    </w:lvl>
    <w:lvl w:ilvl="6" w:tentative="0">
      <w:start w:val="1"/>
      <w:numFmt w:val="decimal"/>
      <w:lvlText w:val="%1.%2、%3.%4.%5.%6.%7."/>
      <w:lvlJc w:val="left"/>
      <w:pPr>
        <w:ind w:left="3504" w:hanging="1800"/>
      </w:pPr>
      <w:rPr>
        <w:rFonts w:hint="default"/>
      </w:rPr>
    </w:lvl>
    <w:lvl w:ilvl="7" w:tentative="0">
      <w:start w:val="1"/>
      <w:numFmt w:val="decimal"/>
      <w:lvlText w:val="%1.%2、%3.%4.%5.%6.%7.%8."/>
      <w:lvlJc w:val="left"/>
      <w:pPr>
        <w:ind w:left="4148" w:hanging="2160"/>
      </w:pPr>
      <w:rPr>
        <w:rFonts w:hint="default"/>
      </w:rPr>
    </w:lvl>
    <w:lvl w:ilvl="8" w:tentative="0">
      <w:start w:val="1"/>
      <w:numFmt w:val="decimal"/>
      <w:lvlText w:val="%1.%2、%3.%4.%5.%6.%7.%8.%9."/>
      <w:lvlJc w:val="left"/>
      <w:pPr>
        <w:ind w:left="4792" w:hanging="2520"/>
      </w:pPr>
      <w:rPr>
        <w:rFonts w:hint="default"/>
      </w:rPr>
    </w:lvl>
  </w:abstractNum>
  <w:abstractNum w:abstractNumId="1">
    <w:nsid w:val="591B942B"/>
    <w:multiLevelType w:val="singleLevel"/>
    <w:tmpl w:val="591B942B"/>
    <w:lvl w:ilvl="0" w:tentative="0">
      <w:start w:val="3"/>
      <w:numFmt w:val="chineseCounting"/>
      <w:suff w:val="nothing"/>
      <w:lvlText w:val="%1、"/>
      <w:lvlJc w:val="left"/>
    </w:lvl>
  </w:abstractNum>
  <w:abstractNum w:abstractNumId="2">
    <w:nsid w:val="591C6C29"/>
    <w:multiLevelType w:val="singleLevel"/>
    <w:tmpl w:val="591C6C29"/>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AFA"/>
    <w:rsid w:val="00003248"/>
    <w:rsid w:val="000038A1"/>
    <w:rsid w:val="00004444"/>
    <w:rsid w:val="00006C69"/>
    <w:rsid w:val="000120AC"/>
    <w:rsid w:val="00012210"/>
    <w:rsid w:val="00014CFA"/>
    <w:rsid w:val="00015544"/>
    <w:rsid w:val="00021A1E"/>
    <w:rsid w:val="0002545F"/>
    <w:rsid w:val="00025C7F"/>
    <w:rsid w:val="000265DA"/>
    <w:rsid w:val="00033E5E"/>
    <w:rsid w:val="00034871"/>
    <w:rsid w:val="00035C76"/>
    <w:rsid w:val="00036477"/>
    <w:rsid w:val="00041B9E"/>
    <w:rsid w:val="00045510"/>
    <w:rsid w:val="00051C46"/>
    <w:rsid w:val="000524B7"/>
    <w:rsid w:val="000565C4"/>
    <w:rsid w:val="00057DC7"/>
    <w:rsid w:val="00061DDE"/>
    <w:rsid w:val="000700F3"/>
    <w:rsid w:val="000709BC"/>
    <w:rsid w:val="000739F7"/>
    <w:rsid w:val="00076196"/>
    <w:rsid w:val="00080AE3"/>
    <w:rsid w:val="0008312F"/>
    <w:rsid w:val="00086350"/>
    <w:rsid w:val="00086774"/>
    <w:rsid w:val="00090270"/>
    <w:rsid w:val="00090599"/>
    <w:rsid w:val="00094535"/>
    <w:rsid w:val="0009469A"/>
    <w:rsid w:val="00094CE5"/>
    <w:rsid w:val="00094D90"/>
    <w:rsid w:val="0009549D"/>
    <w:rsid w:val="00096505"/>
    <w:rsid w:val="000A2973"/>
    <w:rsid w:val="000A2F62"/>
    <w:rsid w:val="000A4534"/>
    <w:rsid w:val="000A5504"/>
    <w:rsid w:val="000A7978"/>
    <w:rsid w:val="000B355C"/>
    <w:rsid w:val="000B4222"/>
    <w:rsid w:val="000B567B"/>
    <w:rsid w:val="000C2424"/>
    <w:rsid w:val="000C362A"/>
    <w:rsid w:val="000C612D"/>
    <w:rsid w:val="000D100B"/>
    <w:rsid w:val="000D1899"/>
    <w:rsid w:val="000D7200"/>
    <w:rsid w:val="000E056B"/>
    <w:rsid w:val="000E1026"/>
    <w:rsid w:val="000F0C76"/>
    <w:rsid w:val="000F291E"/>
    <w:rsid w:val="00100938"/>
    <w:rsid w:val="001011D7"/>
    <w:rsid w:val="00105169"/>
    <w:rsid w:val="00107F5B"/>
    <w:rsid w:val="0011168C"/>
    <w:rsid w:val="0011247E"/>
    <w:rsid w:val="0011293B"/>
    <w:rsid w:val="00113444"/>
    <w:rsid w:val="00117054"/>
    <w:rsid w:val="0012255B"/>
    <w:rsid w:val="00123360"/>
    <w:rsid w:val="00130415"/>
    <w:rsid w:val="00136ABD"/>
    <w:rsid w:val="001441FE"/>
    <w:rsid w:val="0014650F"/>
    <w:rsid w:val="001472B2"/>
    <w:rsid w:val="001476BB"/>
    <w:rsid w:val="00151321"/>
    <w:rsid w:val="00151D6E"/>
    <w:rsid w:val="001559E7"/>
    <w:rsid w:val="00160025"/>
    <w:rsid w:val="0016770E"/>
    <w:rsid w:val="00170401"/>
    <w:rsid w:val="00171678"/>
    <w:rsid w:val="00172EE0"/>
    <w:rsid w:val="00173338"/>
    <w:rsid w:val="00173630"/>
    <w:rsid w:val="00174642"/>
    <w:rsid w:val="00176EDD"/>
    <w:rsid w:val="001770B7"/>
    <w:rsid w:val="00182EA5"/>
    <w:rsid w:val="00190774"/>
    <w:rsid w:val="00190A87"/>
    <w:rsid w:val="00190F50"/>
    <w:rsid w:val="00194B0C"/>
    <w:rsid w:val="001A0353"/>
    <w:rsid w:val="001A3321"/>
    <w:rsid w:val="001A6E94"/>
    <w:rsid w:val="001B0EE9"/>
    <w:rsid w:val="001B11A7"/>
    <w:rsid w:val="001B1FE3"/>
    <w:rsid w:val="001B6760"/>
    <w:rsid w:val="001B75E7"/>
    <w:rsid w:val="001C0601"/>
    <w:rsid w:val="001C0DB7"/>
    <w:rsid w:val="001D01A3"/>
    <w:rsid w:val="001D09CF"/>
    <w:rsid w:val="001D4454"/>
    <w:rsid w:val="001D4A31"/>
    <w:rsid w:val="001D4C68"/>
    <w:rsid w:val="001E255A"/>
    <w:rsid w:val="001E389A"/>
    <w:rsid w:val="001E49D5"/>
    <w:rsid w:val="001E5D28"/>
    <w:rsid w:val="001E6AAE"/>
    <w:rsid w:val="001E6AE5"/>
    <w:rsid w:val="001E70C6"/>
    <w:rsid w:val="001F1F44"/>
    <w:rsid w:val="001F596B"/>
    <w:rsid w:val="001F6E43"/>
    <w:rsid w:val="001F788A"/>
    <w:rsid w:val="001F7A68"/>
    <w:rsid w:val="0020042C"/>
    <w:rsid w:val="00200BAC"/>
    <w:rsid w:val="00206030"/>
    <w:rsid w:val="002109BB"/>
    <w:rsid w:val="002203D2"/>
    <w:rsid w:val="00222B77"/>
    <w:rsid w:val="00223CBE"/>
    <w:rsid w:val="0022441D"/>
    <w:rsid w:val="00230CF1"/>
    <w:rsid w:val="00230D3C"/>
    <w:rsid w:val="00230DC5"/>
    <w:rsid w:val="0023392C"/>
    <w:rsid w:val="002434CA"/>
    <w:rsid w:val="00245101"/>
    <w:rsid w:val="002460F1"/>
    <w:rsid w:val="002479A0"/>
    <w:rsid w:val="002508FF"/>
    <w:rsid w:val="00250C2D"/>
    <w:rsid w:val="0025557E"/>
    <w:rsid w:val="002615AF"/>
    <w:rsid w:val="002724B3"/>
    <w:rsid w:val="0027630F"/>
    <w:rsid w:val="002767D4"/>
    <w:rsid w:val="00276F6F"/>
    <w:rsid w:val="00283033"/>
    <w:rsid w:val="00284E76"/>
    <w:rsid w:val="00284EA1"/>
    <w:rsid w:val="002856C7"/>
    <w:rsid w:val="00286A71"/>
    <w:rsid w:val="00286C3E"/>
    <w:rsid w:val="002915B8"/>
    <w:rsid w:val="0029186E"/>
    <w:rsid w:val="00293C45"/>
    <w:rsid w:val="0029535D"/>
    <w:rsid w:val="00297C02"/>
    <w:rsid w:val="002A4A73"/>
    <w:rsid w:val="002A5A1E"/>
    <w:rsid w:val="002B54A1"/>
    <w:rsid w:val="002C64CD"/>
    <w:rsid w:val="002D1613"/>
    <w:rsid w:val="002D27A9"/>
    <w:rsid w:val="002D29CA"/>
    <w:rsid w:val="002D4DC3"/>
    <w:rsid w:val="002E65E2"/>
    <w:rsid w:val="002E7B25"/>
    <w:rsid w:val="002F1F1B"/>
    <w:rsid w:val="002F589C"/>
    <w:rsid w:val="003015E5"/>
    <w:rsid w:val="00321DEC"/>
    <w:rsid w:val="00324235"/>
    <w:rsid w:val="0032466A"/>
    <w:rsid w:val="00324A1F"/>
    <w:rsid w:val="0032562A"/>
    <w:rsid w:val="00326116"/>
    <w:rsid w:val="0032670E"/>
    <w:rsid w:val="00326B4F"/>
    <w:rsid w:val="00326B79"/>
    <w:rsid w:val="0032702B"/>
    <w:rsid w:val="00333552"/>
    <w:rsid w:val="00336A2D"/>
    <w:rsid w:val="0033733E"/>
    <w:rsid w:val="00337F1D"/>
    <w:rsid w:val="00345805"/>
    <w:rsid w:val="003471E4"/>
    <w:rsid w:val="003513C4"/>
    <w:rsid w:val="003528A8"/>
    <w:rsid w:val="00353FDB"/>
    <w:rsid w:val="0036060E"/>
    <w:rsid w:val="00360CC0"/>
    <w:rsid w:val="00363AAB"/>
    <w:rsid w:val="00363FBF"/>
    <w:rsid w:val="00364616"/>
    <w:rsid w:val="0037608F"/>
    <w:rsid w:val="00376F9A"/>
    <w:rsid w:val="00383E02"/>
    <w:rsid w:val="00384A62"/>
    <w:rsid w:val="00386194"/>
    <w:rsid w:val="00387D80"/>
    <w:rsid w:val="00390F94"/>
    <w:rsid w:val="00391F0F"/>
    <w:rsid w:val="00396E6F"/>
    <w:rsid w:val="003A40A8"/>
    <w:rsid w:val="003A4250"/>
    <w:rsid w:val="003A70FA"/>
    <w:rsid w:val="003B3A81"/>
    <w:rsid w:val="003B44DD"/>
    <w:rsid w:val="003C45A5"/>
    <w:rsid w:val="003C4BBC"/>
    <w:rsid w:val="003C7429"/>
    <w:rsid w:val="003D0637"/>
    <w:rsid w:val="003D5366"/>
    <w:rsid w:val="003D7CB4"/>
    <w:rsid w:val="003E18A1"/>
    <w:rsid w:val="003E2205"/>
    <w:rsid w:val="003E5A16"/>
    <w:rsid w:val="003E6E13"/>
    <w:rsid w:val="003E7C74"/>
    <w:rsid w:val="003E7F94"/>
    <w:rsid w:val="003F579B"/>
    <w:rsid w:val="00400181"/>
    <w:rsid w:val="00402C2C"/>
    <w:rsid w:val="004057B8"/>
    <w:rsid w:val="00407151"/>
    <w:rsid w:val="00412280"/>
    <w:rsid w:val="0041308F"/>
    <w:rsid w:val="004151D6"/>
    <w:rsid w:val="00415990"/>
    <w:rsid w:val="00415AB5"/>
    <w:rsid w:val="004174FD"/>
    <w:rsid w:val="00423168"/>
    <w:rsid w:val="004235C8"/>
    <w:rsid w:val="00426950"/>
    <w:rsid w:val="00430F76"/>
    <w:rsid w:val="00432FA3"/>
    <w:rsid w:val="00433687"/>
    <w:rsid w:val="00434ABD"/>
    <w:rsid w:val="00437507"/>
    <w:rsid w:val="00450849"/>
    <w:rsid w:val="0045202A"/>
    <w:rsid w:val="004526FB"/>
    <w:rsid w:val="004608F7"/>
    <w:rsid w:val="00461F38"/>
    <w:rsid w:val="00464E11"/>
    <w:rsid w:val="0046540C"/>
    <w:rsid w:val="00465491"/>
    <w:rsid w:val="00465AAF"/>
    <w:rsid w:val="00467B4E"/>
    <w:rsid w:val="00471FF4"/>
    <w:rsid w:val="004720E6"/>
    <w:rsid w:val="00472468"/>
    <w:rsid w:val="00474927"/>
    <w:rsid w:val="004835D7"/>
    <w:rsid w:val="004853FC"/>
    <w:rsid w:val="00486BF5"/>
    <w:rsid w:val="00492A7F"/>
    <w:rsid w:val="004954AB"/>
    <w:rsid w:val="00496B21"/>
    <w:rsid w:val="004970F0"/>
    <w:rsid w:val="004A01B3"/>
    <w:rsid w:val="004A107A"/>
    <w:rsid w:val="004A2780"/>
    <w:rsid w:val="004A3E7E"/>
    <w:rsid w:val="004A5226"/>
    <w:rsid w:val="004A6692"/>
    <w:rsid w:val="004A733B"/>
    <w:rsid w:val="004A7B9F"/>
    <w:rsid w:val="004B10C3"/>
    <w:rsid w:val="004B2171"/>
    <w:rsid w:val="004B3673"/>
    <w:rsid w:val="004B6417"/>
    <w:rsid w:val="004C07FC"/>
    <w:rsid w:val="004C222B"/>
    <w:rsid w:val="004C314D"/>
    <w:rsid w:val="004C3811"/>
    <w:rsid w:val="004C5371"/>
    <w:rsid w:val="004D040F"/>
    <w:rsid w:val="004D1327"/>
    <w:rsid w:val="004D29CC"/>
    <w:rsid w:val="004E49B9"/>
    <w:rsid w:val="004E66C2"/>
    <w:rsid w:val="004E6B34"/>
    <w:rsid w:val="004F4949"/>
    <w:rsid w:val="004F4B1C"/>
    <w:rsid w:val="005031B3"/>
    <w:rsid w:val="00503C8F"/>
    <w:rsid w:val="00513896"/>
    <w:rsid w:val="005206A5"/>
    <w:rsid w:val="00522372"/>
    <w:rsid w:val="0053019D"/>
    <w:rsid w:val="005309D8"/>
    <w:rsid w:val="00534596"/>
    <w:rsid w:val="005355BE"/>
    <w:rsid w:val="00535F33"/>
    <w:rsid w:val="005407BF"/>
    <w:rsid w:val="005435A7"/>
    <w:rsid w:val="00545DDA"/>
    <w:rsid w:val="005469C6"/>
    <w:rsid w:val="00546F38"/>
    <w:rsid w:val="005509C8"/>
    <w:rsid w:val="00551504"/>
    <w:rsid w:val="00552E82"/>
    <w:rsid w:val="005547F3"/>
    <w:rsid w:val="00557665"/>
    <w:rsid w:val="005578D1"/>
    <w:rsid w:val="005609CD"/>
    <w:rsid w:val="00561074"/>
    <w:rsid w:val="005632D4"/>
    <w:rsid w:val="005639A9"/>
    <w:rsid w:val="00566275"/>
    <w:rsid w:val="00566318"/>
    <w:rsid w:val="005675E3"/>
    <w:rsid w:val="00572300"/>
    <w:rsid w:val="00574146"/>
    <w:rsid w:val="005742C5"/>
    <w:rsid w:val="0057569D"/>
    <w:rsid w:val="0057781A"/>
    <w:rsid w:val="0058099F"/>
    <w:rsid w:val="00581087"/>
    <w:rsid w:val="00582D87"/>
    <w:rsid w:val="00590149"/>
    <w:rsid w:val="005918E5"/>
    <w:rsid w:val="0059347C"/>
    <w:rsid w:val="0059368D"/>
    <w:rsid w:val="005942B4"/>
    <w:rsid w:val="00594BA7"/>
    <w:rsid w:val="005A188E"/>
    <w:rsid w:val="005A1ADF"/>
    <w:rsid w:val="005A3F3E"/>
    <w:rsid w:val="005A488D"/>
    <w:rsid w:val="005A7B5A"/>
    <w:rsid w:val="005B0B7F"/>
    <w:rsid w:val="005B3449"/>
    <w:rsid w:val="005B3AFA"/>
    <w:rsid w:val="005B4654"/>
    <w:rsid w:val="005B56ED"/>
    <w:rsid w:val="005B5F75"/>
    <w:rsid w:val="005C043F"/>
    <w:rsid w:val="005C3C1E"/>
    <w:rsid w:val="005C5D5B"/>
    <w:rsid w:val="005C652E"/>
    <w:rsid w:val="005C668D"/>
    <w:rsid w:val="005D4117"/>
    <w:rsid w:val="005E228E"/>
    <w:rsid w:val="005E23E3"/>
    <w:rsid w:val="005E2916"/>
    <w:rsid w:val="005E67D2"/>
    <w:rsid w:val="005F1CC3"/>
    <w:rsid w:val="005F429F"/>
    <w:rsid w:val="005F60F9"/>
    <w:rsid w:val="005F6A12"/>
    <w:rsid w:val="0060197C"/>
    <w:rsid w:val="00604253"/>
    <w:rsid w:val="0060477B"/>
    <w:rsid w:val="0061319E"/>
    <w:rsid w:val="00613465"/>
    <w:rsid w:val="006160A8"/>
    <w:rsid w:val="0062023E"/>
    <w:rsid w:val="00625741"/>
    <w:rsid w:val="00625B5C"/>
    <w:rsid w:val="0063105F"/>
    <w:rsid w:val="0063291D"/>
    <w:rsid w:val="00632C0B"/>
    <w:rsid w:val="006333F1"/>
    <w:rsid w:val="006340F0"/>
    <w:rsid w:val="00634510"/>
    <w:rsid w:val="006374F0"/>
    <w:rsid w:val="00641625"/>
    <w:rsid w:val="00641AF8"/>
    <w:rsid w:val="00645EB7"/>
    <w:rsid w:val="00650E57"/>
    <w:rsid w:val="00650EC2"/>
    <w:rsid w:val="006530B2"/>
    <w:rsid w:val="0065384F"/>
    <w:rsid w:val="0065670E"/>
    <w:rsid w:val="00656C09"/>
    <w:rsid w:val="00662981"/>
    <w:rsid w:val="00663E3C"/>
    <w:rsid w:val="0066431E"/>
    <w:rsid w:val="00664AA6"/>
    <w:rsid w:val="006650C4"/>
    <w:rsid w:val="006658B9"/>
    <w:rsid w:val="00665B4B"/>
    <w:rsid w:val="00666A85"/>
    <w:rsid w:val="00666AA9"/>
    <w:rsid w:val="00671601"/>
    <w:rsid w:val="00671BB7"/>
    <w:rsid w:val="00672263"/>
    <w:rsid w:val="0067343B"/>
    <w:rsid w:val="00673666"/>
    <w:rsid w:val="00676767"/>
    <w:rsid w:val="0067717E"/>
    <w:rsid w:val="0068012A"/>
    <w:rsid w:val="00681A17"/>
    <w:rsid w:val="006919EF"/>
    <w:rsid w:val="00692A56"/>
    <w:rsid w:val="00695801"/>
    <w:rsid w:val="0069648C"/>
    <w:rsid w:val="006965A7"/>
    <w:rsid w:val="00696FFE"/>
    <w:rsid w:val="006A38F8"/>
    <w:rsid w:val="006A4993"/>
    <w:rsid w:val="006A52D5"/>
    <w:rsid w:val="006A6886"/>
    <w:rsid w:val="006B03F4"/>
    <w:rsid w:val="006B0A87"/>
    <w:rsid w:val="006B35E9"/>
    <w:rsid w:val="006B3A31"/>
    <w:rsid w:val="006B49CE"/>
    <w:rsid w:val="006B602B"/>
    <w:rsid w:val="006C08DB"/>
    <w:rsid w:val="006C2E7A"/>
    <w:rsid w:val="006C3DA5"/>
    <w:rsid w:val="006C41EB"/>
    <w:rsid w:val="006C5F0D"/>
    <w:rsid w:val="006C6D51"/>
    <w:rsid w:val="006C6FE3"/>
    <w:rsid w:val="006D019E"/>
    <w:rsid w:val="006D1094"/>
    <w:rsid w:val="006D2591"/>
    <w:rsid w:val="006D3FD4"/>
    <w:rsid w:val="006D45AF"/>
    <w:rsid w:val="006D4970"/>
    <w:rsid w:val="006E1C33"/>
    <w:rsid w:val="006E27BF"/>
    <w:rsid w:val="006E2B59"/>
    <w:rsid w:val="006F5B05"/>
    <w:rsid w:val="007012D1"/>
    <w:rsid w:val="00704827"/>
    <w:rsid w:val="00710C7C"/>
    <w:rsid w:val="0071175C"/>
    <w:rsid w:val="0071223C"/>
    <w:rsid w:val="0071267F"/>
    <w:rsid w:val="00713E07"/>
    <w:rsid w:val="0071410D"/>
    <w:rsid w:val="00716155"/>
    <w:rsid w:val="00722DF8"/>
    <w:rsid w:val="00725147"/>
    <w:rsid w:val="0073525B"/>
    <w:rsid w:val="00736B71"/>
    <w:rsid w:val="00736E4B"/>
    <w:rsid w:val="00737155"/>
    <w:rsid w:val="00741AF0"/>
    <w:rsid w:val="007466E0"/>
    <w:rsid w:val="00747011"/>
    <w:rsid w:val="007529E5"/>
    <w:rsid w:val="0075495B"/>
    <w:rsid w:val="00756774"/>
    <w:rsid w:val="00756901"/>
    <w:rsid w:val="00757D12"/>
    <w:rsid w:val="0076102C"/>
    <w:rsid w:val="00761511"/>
    <w:rsid w:val="007624AA"/>
    <w:rsid w:val="0077093E"/>
    <w:rsid w:val="007740E5"/>
    <w:rsid w:val="00774D81"/>
    <w:rsid w:val="007756E2"/>
    <w:rsid w:val="00776222"/>
    <w:rsid w:val="007779E4"/>
    <w:rsid w:val="0078263F"/>
    <w:rsid w:val="00786425"/>
    <w:rsid w:val="00786782"/>
    <w:rsid w:val="00791507"/>
    <w:rsid w:val="00791780"/>
    <w:rsid w:val="00796314"/>
    <w:rsid w:val="007970C7"/>
    <w:rsid w:val="00797708"/>
    <w:rsid w:val="007A0358"/>
    <w:rsid w:val="007A2EAD"/>
    <w:rsid w:val="007A33DC"/>
    <w:rsid w:val="007A3582"/>
    <w:rsid w:val="007A397D"/>
    <w:rsid w:val="007A4615"/>
    <w:rsid w:val="007A525A"/>
    <w:rsid w:val="007A57C4"/>
    <w:rsid w:val="007B70FF"/>
    <w:rsid w:val="007C464E"/>
    <w:rsid w:val="007C6E25"/>
    <w:rsid w:val="007D1DD1"/>
    <w:rsid w:val="007D4513"/>
    <w:rsid w:val="007D4E57"/>
    <w:rsid w:val="007D4FB6"/>
    <w:rsid w:val="007D661F"/>
    <w:rsid w:val="007D6955"/>
    <w:rsid w:val="007D78C0"/>
    <w:rsid w:val="007E4FFB"/>
    <w:rsid w:val="007E6759"/>
    <w:rsid w:val="007F0718"/>
    <w:rsid w:val="007F0D8D"/>
    <w:rsid w:val="007F13BF"/>
    <w:rsid w:val="007F30EC"/>
    <w:rsid w:val="007F4CEF"/>
    <w:rsid w:val="007F5752"/>
    <w:rsid w:val="007F589B"/>
    <w:rsid w:val="007F7830"/>
    <w:rsid w:val="007F7D2C"/>
    <w:rsid w:val="007F7EF0"/>
    <w:rsid w:val="00801C97"/>
    <w:rsid w:val="00803B71"/>
    <w:rsid w:val="0080436C"/>
    <w:rsid w:val="00805621"/>
    <w:rsid w:val="0081467C"/>
    <w:rsid w:val="00815D0C"/>
    <w:rsid w:val="00820545"/>
    <w:rsid w:val="00823860"/>
    <w:rsid w:val="00823BC0"/>
    <w:rsid w:val="00825D4F"/>
    <w:rsid w:val="0082675C"/>
    <w:rsid w:val="0083057C"/>
    <w:rsid w:val="008321D6"/>
    <w:rsid w:val="0083284E"/>
    <w:rsid w:val="00832C53"/>
    <w:rsid w:val="008340AD"/>
    <w:rsid w:val="0083440D"/>
    <w:rsid w:val="008349FC"/>
    <w:rsid w:val="00840F76"/>
    <w:rsid w:val="00842E96"/>
    <w:rsid w:val="00843BB3"/>
    <w:rsid w:val="00846436"/>
    <w:rsid w:val="00846A3B"/>
    <w:rsid w:val="00847881"/>
    <w:rsid w:val="0085603E"/>
    <w:rsid w:val="00861E35"/>
    <w:rsid w:val="0086521A"/>
    <w:rsid w:val="008704F3"/>
    <w:rsid w:val="008716E1"/>
    <w:rsid w:val="00872554"/>
    <w:rsid w:val="00875DE7"/>
    <w:rsid w:val="0088065F"/>
    <w:rsid w:val="00885049"/>
    <w:rsid w:val="008860D5"/>
    <w:rsid w:val="008A1047"/>
    <w:rsid w:val="008A109C"/>
    <w:rsid w:val="008A2803"/>
    <w:rsid w:val="008A458E"/>
    <w:rsid w:val="008A6BB6"/>
    <w:rsid w:val="008A7C38"/>
    <w:rsid w:val="008B07C3"/>
    <w:rsid w:val="008B2E98"/>
    <w:rsid w:val="008B3905"/>
    <w:rsid w:val="008B51ED"/>
    <w:rsid w:val="008B667E"/>
    <w:rsid w:val="008B7F2A"/>
    <w:rsid w:val="008C1AF1"/>
    <w:rsid w:val="008C26FC"/>
    <w:rsid w:val="008C2A68"/>
    <w:rsid w:val="008C30C7"/>
    <w:rsid w:val="008C43E5"/>
    <w:rsid w:val="008D3322"/>
    <w:rsid w:val="008D4E60"/>
    <w:rsid w:val="008D59F8"/>
    <w:rsid w:val="008E4AC2"/>
    <w:rsid w:val="008F0F41"/>
    <w:rsid w:val="008F50E4"/>
    <w:rsid w:val="009052D3"/>
    <w:rsid w:val="00907998"/>
    <w:rsid w:val="00907DB9"/>
    <w:rsid w:val="00911522"/>
    <w:rsid w:val="009142E9"/>
    <w:rsid w:val="009167AF"/>
    <w:rsid w:val="00916BD5"/>
    <w:rsid w:val="00921CA1"/>
    <w:rsid w:val="00924F3B"/>
    <w:rsid w:val="00936A57"/>
    <w:rsid w:val="00942835"/>
    <w:rsid w:val="00944CB2"/>
    <w:rsid w:val="009476E5"/>
    <w:rsid w:val="00952D3A"/>
    <w:rsid w:val="009545D7"/>
    <w:rsid w:val="00955AB7"/>
    <w:rsid w:val="00955BAD"/>
    <w:rsid w:val="00967A8C"/>
    <w:rsid w:val="0097157D"/>
    <w:rsid w:val="009761E5"/>
    <w:rsid w:val="009775DE"/>
    <w:rsid w:val="00977B6C"/>
    <w:rsid w:val="00980A62"/>
    <w:rsid w:val="009835EE"/>
    <w:rsid w:val="00986572"/>
    <w:rsid w:val="0099013F"/>
    <w:rsid w:val="009906D6"/>
    <w:rsid w:val="00997752"/>
    <w:rsid w:val="009A10B6"/>
    <w:rsid w:val="009A70FC"/>
    <w:rsid w:val="009A7ECD"/>
    <w:rsid w:val="009B1975"/>
    <w:rsid w:val="009B1B6A"/>
    <w:rsid w:val="009B4EBB"/>
    <w:rsid w:val="009B7C15"/>
    <w:rsid w:val="009C2741"/>
    <w:rsid w:val="009C2B4B"/>
    <w:rsid w:val="009C6286"/>
    <w:rsid w:val="009C7D9E"/>
    <w:rsid w:val="009D0266"/>
    <w:rsid w:val="009D0805"/>
    <w:rsid w:val="009D3B3D"/>
    <w:rsid w:val="009D47F7"/>
    <w:rsid w:val="009D4B9A"/>
    <w:rsid w:val="009E1D1D"/>
    <w:rsid w:val="009E242A"/>
    <w:rsid w:val="009E4234"/>
    <w:rsid w:val="009E5C34"/>
    <w:rsid w:val="009E6545"/>
    <w:rsid w:val="009F0039"/>
    <w:rsid w:val="009F183F"/>
    <w:rsid w:val="009F28B3"/>
    <w:rsid w:val="009F2D41"/>
    <w:rsid w:val="009F308B"/>
    <w:rsid w:val="009F56CE"/>
    <w:rsid w:val="009F59B2"/>
    <w:rsid w:val="00A02630"/>
    <w:rsid w:val="00A052EB"/>
    <w:rsid w:val="00A10261"/>
    <w:rsid w:val="00A10CC8"/>
    <w:rsid w:val="00A14C19"/>
    <w:rsid w:val="00A15754"/>
    <w:rsid w:val="00A168ED"/>
    <w:rsid w:val="00A169EA"/>
    <w:rsid w:val="00A17AF8"/>
    <w:rsid w:val="00A219E0"/>
    <w:rsid w:val="00A24265"/>
    <w:rsid w:val="00A32472"/>
    <w:rsid w:val="00A3257F"/>
    <w:rsid w:val="00A368B4"/>
    <w:rsid w:val="00A372E3"/>
    <w:rsid w:val="00A41ECD"/>
    <w:rsid w:val="00A43E17"/>
    <w:rsid w:val="00A45B5E"/>
    <w:rsid w:val="00A50566"/>
    <w:rsid w:val="00A5585D"/>
    <w:rsid w:val="00A56513"/>
    <w:rsid w:val="00A56574"/>
    <w:rsid w:val="00A61000"/>
    <w:rsid w:val="00A623A2"/>
    <w:rsid w:val="00A64A30"/>
    <w:rsid w:val="00A66CE8"/>
    <w:rsid w:val="00A7028D"/>
    <w:rsid w:val="00A7209A"/>
    <w:rsid w:val="00A73153"/>
    <w:rsid w:val="00A737BA"/>
    <w:rsid w:val="00A74E9B"/>
    <w:rsid w:val="00A81B94"/>
    <w:rsid w:val="00A849DB"/>
    <w:rsid w:val="00A85962"/>
    <w:rsid w:val="00A85DDA"/>
    <w:rsid w:val="00A90265"/>
    <w:rsid w:val="00A906BB"/>
    <w:rsid w:val="00A90716"/>
    <w:rsid w:val="00A912EE"/>
    <w:rsid w:val="00A94F54"/>
    <w:rsid w:val="00A952F0"/>
    <w:rsid w:val="00A97660"/>
    <w:rsid w:val="00AA1E52"/>
    <w:rsid w:val="00AA296A"/>
    <w:rsid w:val="00AA6134"/>
    <w:rsid w:val="00AB0F4D"/>
    <w:rsid w:val="00AB2ED3"/>
    <w:rsid w:val="00AB4208"/>
    <w:rsid w:val="00AB6C10"/>
    <w:rsid w:val="00AB71CE"/>
    <w:rsid w:val="00AC10AA"/>
    <w:rsid w:val="00AC1120"/>
    <w:rsid w:val="00AC2638"/>
    <w:rsid w:val="00AC3AD5"/>
    <w:rsid w:val="00AC3C55"/>
    <w:rsid w:val="00AC4685"/>
    <w:rsid w:val="00AC797A"/>
    <w:rsid w:val="00AC7A4F"/>
    <w:rsid w:val="00AD02B2"/>
    <w:rsid w:val="00AD126D"/>
    <w:rsid w:val="00AD4326"/>
    <w:rsid w:val="00AD4462"/>
    <w:rsid w:val="00AE410C"/>
    <w:rsid w:val="00AF1E1F"/>
    <w:rsid w:val="00AF3605"/>
    <w:rsid w:val="00AF411A"/>
    <w:rsid w:val="00B04A87"/>
    <w:rsid w:val="00B061DA"/>
    <w:rsid w:val="00B11ED4"/>
    <w:rsid w:val="00B12CE1"/>
    <w:rsid w:val="00B14EFA"/>
    <w:rsid w:val="00B17977"/>
    <w:rsid w:val="00B26288"/>
    <w:rsid w:val="00B31B0C"/>
    <w:rsid w:val="00B325F3"/>
    <w:rsid w:val="00B329E5"/>
    <w:rsid w:val="00B35BFD"/>
    <w:rsid w:val="00B35EA4"/>
    <w:rsid w:val="00B36A20"/>
    <w:rsid w:val="00B40860"/>
    <w:rsid w:val="00B467A2"/>
    <w:rsid w:val="00B47A27"/>
    <w:rsid w:val="00B53ECF"/>
    <w:rsid w:val="00B54AE4"/>
    <w:rsid w:val="00B6225B"/>
    <w:rsid w:val="00B64DE2"/>
    <w:rsid w:val="00B651EC"/>
    <w:rsid w:val="00B72126"/>
    <w:rsid w:val="00B75B8B"/>
    <w:rsid w:val="00B77653"/>
    <w:rsid w:val="00B96E87"/>
    <w:rsid w:val="00BA0A3E"/>
    <w:rsid w:val="00BA1AE7"/>
    <w:rsid w:val="00BA2387"/>
    <w:rsid w:val="00BA3869"/>
    <w:rsid w:val="00BA3DC3"/>
    <w:rsid w:val="00BA67F2"/>
    <w:rsid w:val="00BB3A8F"/>
    <w:rsid w:val="00BB567C"/>
    <w:rsid w:val="00BB5BB1"/>
    <w:rsid w:val="00BB70CE"/>
    <w:rsid w:val="00BC0565"/>
    <w:rsid w:val="00BC0571"/>
    <w:rsid w:val="00BC15DA"/>
    <w:rsid w:val="00BC19D6"/>
    <w:rsid w:val="00BC47C5"/>
    <w:rsid w:val="00BD18D2"/>
    <w:rsid w:val="00BD215B"/>
    <w:rsid w:val="00BD3BBB"/>
    <w:rsid w:val="00BD472F"/>
    <w:rsid w:val="00BE1ED0"/>
    <w:rsid w:val="00BE3723"/>
    <w:rsid w:val="00BF3E33"/>
    <w:rsid w:val="00BF4395"/>
    <w:rsid w:val="00BF7CC4"/>
    <w:rsid w:val="00C006C7"/>
    <w:rsid w:val="00C031F7"/>
    <w:rsid w:val="00C06F4A"/>
    <w:rsid w:val="00C16BFE"/>
    <w:rsid w:val="00C179C9"/>
    <w:rsid w:val="00C2398A"/>
    <w:rsid w:val="00C23BA9"/>
    <w:rsid w:val="00C243FB"/>
    <w:rsid w:val="00C24988"/>
    <w:rsid w:val="00C252BE"/>
    <w:rsid w:val="00C27AFB"/>
    <w:rsid w:val="00C32DA5"/>
    <w:rsid w:val="00C34071"/>
    <w:rsid w:val="00C36904"/>
    <w:rsid w:val="00C40FCA"/>
    <w:rsid w:val="00C43EA0"/>
    <w:rsid w:val="00C46087"/>
    <w:rsid w:val="00C50398"/>
    <w:rsid w:val="00C5542C"/>
    <w:rsid w:val="00C55472"/>
    <w:rsid w:val="00C55582"/>
    <w:rsid w:val="00C55DBB"/>
    <w:rsid w:val="00C601D1"/>
    <w:rsid w:val="00C60C44"/>
    <w:rsid w:val="00C61183"/>
    <w:rsid w:val="00C71E9A"/>
    <w:rsid w:val="00C72299"/>
    <w:rsid w:val="00C73CF8"/>
    <w:rsid w:val="00C82CCE"/>
    <w:rsid w:val="00C82FAE"/>
    <w:rsid w:val="00C919D1"/>
    <w:rsid w:val="00C91C88"/>
    <w:rsid w:val="00C927BE"/>
    <w:rsid w:val="00C958C3"/>
    <w:rsid w:val="00C961AE"/>
    <w:rsid w:val="00C9782E"/>
    <w:rsid w:val="00CA3BAE"/>
    <w:rsid w:val="00CA4A47"/>
    <w:rsid w:val="00CA53FA"/>
    <w:rsid w:val="00CA685B"/>
    <w:rsid w:val="00CB1390"/>
    <w:rsid w:val="00CB19E8"/>
    <w:rsid w:val="00CB3413"/>
    <w:rsid w:val="00CB68DE"/>
    <w:rsid w:val="00CB77F0"/>
    <w:rsid w:val="00CC0711"/>
    <w:rsid w:val="00CC3CFF"/>
    <w:rsid w:val="00CC4D5E"/>
    <w:rsid w:val="00CC5C79"/>
    <w:rsid w:val="00CC5E5C"/>
    <w:rsid w:val="00CD0726"/>
    <w:rsid w:val="00CD2D29"/>
    <w:rsid w:val="00CD5731"/>
    <w:rsid w:val="00CD6ACE"/>
    <w:rsid w:val="00CD6F62"/>
    <w:rsid w:val="00CE1E05"/>
    <w:rsid w:val="00CE3174"/>
    <w:rsid w:val="00CE4555"/>
    <w:rsid w:val="00CE5630"/>
    <w:rsid w:val="00CE5868"/>
    <w:rsid w:val="00CE758C"/>
    <w:rsid w:val="00CF370F"/>
    <w:rsid w:val="00CF40E0"/>
    <w:rsid w:val="00CF6DBC"/>
    <w:rsid w:val="00D01684"/>
    <w:rsid w:val="00D02B4D"/>
    <w:rsid w:val="00D053F6"/>
    <w:rsid w:val="00D0715D"/>
    <w:rsid w:val="00D1130E"/>
    <w:rsid w:val="00D11BF3"/>
    <w:rsid w:val="00D12399"/>
    <w:rsid w:val="00D15082"/>
    <w:rsid w:val="00D17593"/>
    <w:rsid w:val="00D2155D"/>
    <w:rsid w:val="00D2462E"/>
    <w:rsid w:val="00D26D3B"/>
    <w:rsid w:val="00D35E5D"/>
    <w:rsid w:val="00D40365"/>
    <w:rsid w:val="00D43279"/>
    <w:rsid w:val="00D44FDE"/>
    <w:rsid w:val="00D46469"/>
    <w:rsid w:val="00D527B1"/>
    <w:rsid w:val="00D5321E"/>
    <w:rsid w:val="00D5342B"/>
    <w:rsid w:val="00D5396D"/>
    <w:rsid w:val="00D57C66"/>
    <w:rsid w:val="00D6337F"/>
    <w:rsid w:val="00D66B6F"/>
    <w:rsid w:val="00D67172"/>
    <w:rsid w:val="00D701F7"/>
    <w:rsid w:val="00D70FC2"/>
    <w:rsid w:val="00D70FF4"/>
    <w:rsid w:val="00D71E47"/>
    <w:rsid w:val="00D74FB6"/>
    <w:rsid w:val="00D774D0"/>
    <w:rsid w:val="00D7781B"/>
    <w:rsid w:val="00D81E5D"/>
    <w:rsid w:val="00D82C3E"/>
    <w:rsid w:val="00D83C1D"/>
    <w:rsid w:val="00D975B2"/>
    <w:rsid w:val="00DA19EE"/>
    <w:rsid w:val="00DA3966"/>
    <w:rsid w:val="00DA3D25"/>
    <w:rsid w:val="00DB4236"/>
    <w:rsid w:val="00DB45FB"/>
    <w:rsid w:val="00DB55FD"/>
    <w:rsid w:val="00DB64BA"/>
    <w:rsid w:val="00DB7FD8"/>
    <w:rsid w:val="00DC01A3"/>
    <w:rsid w:val="00DC021D"/>
    <w:rsid w:val="00DC024F"/>
    <w:rsid w:val="00DC031B"/>
    <w:rsid w:val="00DC0508"/>
    <w:rsid w:val="00DC17A3"/>
    <w:rsid w:val="00DC1F07"/>
    <w:rsid w:val="00DC378D"/>
    <w:rsid w:val="00DC4087"/>
    <w:rsid w:val="00DC7BF0"/>
    <w:rsid w:val="00DD06F3"/>
    <w:rsid w:val="00DD1A07"/>
    <w:rsid w:val="00DD35EF"/>
    <w:rsid w:val="00DD40D9"/>
    <w:rsid w:val="00DD4DCD"/>
    <w:rsid w:val="00DD63AD"/>
    <w:rsid w:val="00DE1526"/>
    <w:rsid w:val="00DE30D9"/>
    <w:rsid w:val="00DE5F91"/>
    <w:rsid w:val="00DE61E8"/>
    <w:rsid w:val="00DF3B7F"/>
    <w:rsid w:val="00E0193A"/>
    <w:rsid w:val="00E01BE3"/>
    <w:rsid w:val="00E03D4A"/>
    <w:rsid w:val="00E05D6A"/>
    <w:rsid w:val="00E062EB"/>
    <w:rsid w:val="00E1102E"/>
    <w:rsid w:val="00E11B55"/>
    <w:rsid w:val="00E13499"/>
    <w:rsid w:val="00E1793E"/>
    <w:rsid w:val="00E20E56"/>
    <w:rsid w:val="00E21C31"/>
    <w:rsid w:val="00E225AB"/>
    <w:rsid w:val="00E2341C"/>
    <w:rsid w:val="00E23CE6"/>
    <w:rsid w:val="00E31D9A"/>
    <w:rsid w:val="00E357A5"/>
    <w:rsid w:val="00E35BA5"/>
    <w:rsid w:val="00E418AE"/>
    <w:rsid w:val="00E450B7"/>
    <w:rsid w:val="00E4621C"/>
    <w:rsid w:val="00E5094A"/>
    <w:rsid w:val="00E50ABF"/>
    <w:rsid w:val="00E53609"/>
    <w:rsid w:val="00E54162"/>
    <w:rsid w:val="00E55B7C"/>
    <w:rsid w:val="00E56BC9"/>
    <w:rsid w:val="00E57ECA"/>
    <w:rsid w:val="00E57F46"/>
    <w:rsid w:val="00E614D6"/>
    <w:rsid w:val="00E66648"/>
    <w:rsid w:val="00E67ECA"/>
    <w:rsid w:val="00E7242D"/>
    <w:rsid w:val="00E72993"/>
    <w:rsid w:val="00E734DF"/>
    <w:rsid w:val="00E73B1B"/>
    <w:rsid w:val="00E7409A"/>
    <w:rsid w:val="00E7614C"/>
    <w:rsid w:val="00E82DE8"/>
    <w:rsid w:val="00E874B3"/>
    <w:rsid w:val="00E912FE"/>
    <w:rsid w:val="00E9332A"/>
    <w:rsid w:val="00E950A6"/>
    <w:rsid w:val="00E96F86"/>
    <w:rsid w:val="00E97529"/>
    <w:rsid w:val="00E97AFA"/>
    <w:rsid w:val="00EA0593"/>
    <w:rsid w:val="00EA0A2A"/>
    <w:rsid w:val="00EA0CE1"/>
    <w:rsid w:val="00EA2CD0"/>
    <w:rsid w:val="00EA36E0"/>
    <w:rsid w:val="00EA4544"/>
    <w:rsid w:val="00EB418C"/>
    <w:rsid w:val="00EB645C"/>
    <w:rsid w:val="00EC0AD7"/>
    <w:rsid w:val="00EC0D74"/>
    <w:rsid w:val="00EC3D77"/>
    <w:rsid w:val="00EC510B"/>
    <w:rsid w:val="00EC53D8"/>
    <w:rsid w:val="00ED0208"/>
    <w:rsid w:val="00ED1342"/>
    <w:rsid w:val="00ED4183"/>
    <w:rsid w:val="00ED5544"/>
    <w:rsid w:val="00EE0612"/>
    <w:rsid w:val="00EE38C7"/>
    <w:rsid w:val="00EE4B8F"/>
    <w:rsid w:val="00EE7AF6"/>
    <w:rsid w:val="00EF0B52"/>
    <w:rsid w:val="00EF11CC"/>
    <w:rsid w:val="00EF182F"/>
    <w:rsid w:val="00EF3214"/>
    <w:rsid w:val="00EF36F6"/>
    <w:rsid w:val="00EF3A32"/>
    <w:rsid w:val="00EF4769"/>
    <w:rsid w:val="00EF7185"/>
    <w:rsid w:val="00F03904"/>
    <w:rsid w:val="00F06A61"/>
    <w:rsid w:val="00F07544"/>
    <w:rsid w:val="00F20B2E"/>
    <w:rsid w:val="00F23071"/>
    <w:rsid w:val="00F24808"/>
    <w:rsid w:val="00F25BCA"/>
    <w:rsid w:val="00F269BF"/>
    <w:rsid w:val="00F273A7"/>
    <w:rsid w:val="00F32061"/>
    <w:rsid w:val="00F32DE7"/>
    <w:rsid w:val="00F35A10"/>
    <w:rsid w:val="00F4205D"/>
    <w:rsid w:val="00F420DD"/>
    <w:rsid w:val="00F421B1"/>
    <w:rsid w:val="00F43674"/>
    <w:rsid w:val="00F470E9"/>
    <w:rsid w:val="00F47777"/>
    <w:rsid w:val="00F51090"/>
    <w:rsid w:val="00F56470"/>
    <w:rsid w:val="00F57E10"/>
    <w:rsid w:val="00F60A01"/>
    <w:rsid w:val="00F612FB"/>
    <w:rsid w:val="00F6252B"/>
    <w:rsid w:val="00F63AA1"/>
    <w:rsid w:val="00F64914"/>
    <w:rsid w:val="00F663E2"/>
    <w:rsid w:val="00F66701"/>
    <w:rsid w:val="00F67440"/>
    <w:rsid w:val="00F7010F"/>
    <w:rsid w:val="00F70AAC"/>
    <w:rsid w:val="00F84CC6"/>
    <w:rsid w:val="00F85136"/>
    <w:rsid w:val="00F868CC"/>
    <w:rsid w:val="00F8778B"/>
    <w:rsid w:val="00F8781A"/>
    <w:rsid w:val="00F87C2E"/>
    <w:rsid w:val="00F919AA"/>
    <w:rsid w:val="00F95626"/>
    <w:rsid w:val="00F9751C"/>
    <w:rsid w:val="00F97B27"/>
    <w:rsid w:val="00FA2875"/>
    <w:rsid w:val="00FA39EF"/>
    <w:rsid w:val="00FB0EF8"/>
    <w:rsid w:val="00FB1E85"/>
    <w:rsid w:val="00FB3A88"/>
    <w:rsid w:val="00FB48D6"/>
    <w:rsid w:val="00FB4E50"/>
    <w:rsid w:val="00FB50F4"/>
    <w:rsid w:val="00FB5AE1"/>
    <w:rsid w:val="00FB61C7"/>
    <w:rsid w:val="00FC012F"/>
    <w:rsid w:val="00FC2EAE"/>
    <w:rsid w:val="00FC463A"/>
    <w:rsid w:val="00FC6B2C"/>
    <w:rsid w:val="00FD208B"/>
    <w:rsid w:val="00FD4C6C"/>
    <w:rsid w:val="00FD61B5"/>
    <w:rsid w:val="00FE2F60"/>
    <w:rsid w:val="00FF43F9"/>
    <w:rsid w:val="00FF49A3"/>
    <w:rsid w:val="00FF65DD"/>
    <w:rsid w:val="020C6CE3"/>
    <w:rsid w:val="0CCD6CFE"/>
    <w:rsid w:val="194D6B02"/>
    <w:rsid w:val="238050BA"/>
    <w:rsid w:val="2FD40DF3"/>
    <w:rsid w:val="540E4513"/>
    <w:rsid w:val="5AF27C2D"/>
    <w:rsid w:val="5D1A6813"/>
    <w:rsid w:val="5E2929EC"/>
    <w:rsid w:val="68331C82"/>
    <w:rsid w:val="6A272779"/>
    <w:rsid w:val="6A564906"/>
    <w:rsid w:val="769039E2"/>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6">
    <w:name w:val="Normal Indent"/>
    <w:basedOn w:val="1"/>
    <w:link w:val="27"/>
    <w:qFormat/>
    <w:uiPriority w:val="0"/>
    <w:pPr>
      <w:spacing w:line="360" w:lineRule="auto"/>
      <w:ind w:firstLine="200" w:firstLineChars="200"/>
    </w:pPr>
    <w:rPr>
      <w:rFonts w:ascii="宋体" w:hAnsi="Arial Unicode MS" w:cs="Arial Unicode MS"/>
      <w:sz w:val="24"/>
    </w:rPr>
  </w:style>
  <w:style w:type="paragraph" w:styleId="7">
    <w:name w:val="Plain Text"/>
    <w:basedOn w:val="1"/>
    <w:link w:val="18"/>
    <w:qFormat/>
    <w:uiPriority w:val="0"/>
    <w:rPr>
      <w:rFonts w:ascii="宋体" w:hAnsi="Courier New" w:cs="Courier New"/>
      <w:szCs w:val="21"/>
    </w:rPr>
  </w:style>
  <w:style w:type="paragraph" w:styleId="8">
    <w:name w:val="footer"/>
    <w:basedOn w:val="1"/>
    <w:link w:val="29"/>
    <w:unhideWhenUsed/>
    <w:qFormat/>
    <w:uiPriority w:val="99"/>
    <w:pPr>
      <w:tabs>
        <w:tab w:val="center" w:pos="4153"/>
        <w:tab w:val="right" w:pos="8306"/>
      </w:tabs>
      <w:snapToGrid w:val="0"/>
      <w:jc w:val="left"/>
    </w:pPr>
    <w:rPr>
      <w:sz w:val="18"/>
      <w:szCs w:val="18"/>
    </w:rPr>
  </w:style>
  <w:style w:type="paragraph" w:styleId="9">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9"/>
    <w:qFormat/>
    <w:uiPriority w:val="0"/>
    <w:pPr>
      <w:snapToGrid w:val="0"/>
      <w:jc w:val="left"/>
    </w:pPr>
    <w:rPr>
      <w:sz w:val="18"/>
      <w:szCs w:val="18"/>
    </w:rPr>
  </w:style>
  <w:style w:type="character" w:styleId="12">
    <w:name w:val="Strong"/>
    <w:basedOn w:val="11"/>
    <w:qFormat/>
    <w:uiPriority w:val="22"/>
    <w:rPr>
      <w:b/>
      <w:bCs/>
    </w:rPr>
  </w:style>
  <w:style w:type="character" w:styleId="13">
    <w:name w:val="Emphasis"/>
    <w:basedOn w:val="11"/>
    <w:qFormat/>
    <w:uiPriority w:val="20"/>
  </w:style>
  <w:style w:type="character" w:styleId="14">
    <w:name w:val="Hyperlink"/>
    <w:basedOn w:val="11"/>
    <w:unhideWhenUsed/>
    <w:qFormat/>
    <w:uiPriority w:val="99"/>
    <w:rPr>
      <w:color w:val="000000"/>
      <w:u w:val="none"/>
    </w:rPr>
  </w:style>
  <w:style w:type="character" w:styleId="15">
    <w:name w:val="footnote reference"/>
    <w:qFormat/>
    <w:uiPriority w:val="0"/>
    <w:rPr>
      <w:vertAlign w:val="superscript"/>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8">
    <w:name w:val="纯文本 Char"/>
    <w:basedOn w:val="11"/>
    <w:link w:val="7"/>
    <w:qFormat/>
    <w:uiPriority w:val="0"/>
    <w:rPr>
      <w:rFonts w:ascii="宋体" w:hAnsi="Courier New" w:eastAsia="宋体" w:cs="Courier New"/>
      <w:szCs w:val="21"/>
    </w:rPr>
  </w:style>
  <w:style w:type="character" w:customStyle="1" w:styleId="19">
    <w:name w:val="脚注文本 Char"/>
    <w:basedOn w:val="11"/>
    <w:link w:val="10"/>
    <w:qFormat/>
    <w:uiPriority w:val="0"/>
    <w:rPr>
      <w:rFonts w:ascii="Times New Roman" w:hAnsi="Times New Roman" w:eastAsia="宋体" w:cs="Times New Roman"/>
      <w:sz w:val="18"/>
      <w:szCs w:val="18"/>
    </w:rPr>
  </w:style>
  <w:style w:type="paragraph" w:customStyle="1" w:styleId="20">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1">
    <w:name w:val="标题 1 Char"/>
    <w:basedOn w:val="11"/>
    <w:link w:val="2"/>
    <w:qFormat/>
    <w:uiPriority w:val="9"/>
    <w:rPr>
      <w:rFonts w:ascii="Times New Roman" w:hAnsi="Times New Roman" w:eastAsia="宋体" w:cs="Times New Roman"/>
      <w:b/>
      <w:bCs/>
      <w:kern w:val="44"/>
      <w:sz w:val="44"/>
      <w:szCs w:val="44"/>
    </w:rPr>
  </w:style>
  <w:style w:type="character" w:customStyle="1" w:styleId="22">
    <w:name w:val="标题 2 Char"/>
    <w:basedOn w:val="11"/>
    <w:link w:val="3"/>
    <w:qFormat/>
    <w:uiPriority w:val="9"/>
    <w:rPr>
      <w:rFonts w:asciiTheme="majorHAnsi" w:hAnsiTheme="majorHAnsi" w:eastAsiaTheme="majorEastAsia" w:cstheme="majorBidi"/>
      <w:b/>
      <w:bCs/>
      <w:sz w:val="32"/>
      <w:szCs w:val="32"/>
    </w:rPr>
  </w:style>
  <w:style w:type="paragraph" w:customStyle="1" w:styleId="23">
    <w:name w:val="List Paragraph"/>
    <w:basedOn w:val="1"/>
    <w:qFormat/>
    <w:uiPriority w:val="34"/>
    <w:pPr>
      <w:ind w:firstLine="420" w:firstLineChars="200"/>
    </w:pPr>
  </w:style>
  <w:style w:type="character" w:customStyle="1" w:styleId="24">
    <w:name w:val="标题 3 Char"/>
    <w:basedOn w:val="11"/>
    <w:link w:val="4"/>
    <w:qFormat/>
    <w:uiPriority w:val="9"/>
    <w:rPr>
      <w:rFonts w:ascii="Times New Roman" w:hAnsi="Times New Roman" w:eastAsia="宋体" w:cs="Times New Roman"/>
      <w:b/>
      <w:bCs/>
      <w:sz w:val="32"/>
      <w:szCs w:val="32"/>
    </w:rPr>
  </w:style>
  <w:style w:type="character" w:customStyle="1" w:styleId="25">
    <w:name w:val="标题 4 Char"/>
    <w:basedOn w:val="11"/>
    <w:link w:val="5"/>
    <w:qFormat/>
    <w:uiPriority w:val="9"/>
    <w:rPr>
      <w:rFonts w:asciiTheme="majorHAnsi" w:hAnsiTheme="majorHAnsi" w:eastAsiaTheme="majorEastAsia" w:cstheme="majorBidi"/>
      <w:b/>
      <w:bCs/>
      <w:sz w:val="28"/>
      <w:szCs w:val="28"/>
    </w:rPr>
  </w:style>
  <w:style w:type="character" w:customStyle="1" w:styleId="26">
    <w:name w:val="text"/>
    <w:basedOn w:val="11"/>
    <w:qFormat/>
    <w:uiPriority w:val="0"/>
  </w:style>
  <w:style w:type="character" w:customStyle="1" w:styleId="27">
    <w:name w:val="正文缩进 Char1"/>
    <w:link w:val="6"/>
    <w:qFormat/>
    <w:uiPriority w:val="0"/>
    <w:rPr>
      <w:rFonts w:ascii="宋体" w:hAnsi="Arial Unicode MS" w:eastAsia="宋体" w:cs="Arial Unicode MS"/>
      <w:sz w:val="24"/>
      <w:szCs w:val="24"/>
    </w:rPr>
  </w:style>
  <w:style w:type="character" w:customStyle="1" w:styleId="28">
    <w:name w:val="页眉 Char"/>
    <w:basedOn w:val="11"/>
    <w:link w:val="9"/>
    <w:qFormat/>
    <w:uiPriority w:val="99"/>
    <w:rPr>
      <w:rFonts w:ascii="Times New Roman" w:hAnsi="Times New Roman" w:eastAsia="宋体" w:cs="Times New Roman"/>
      <w:sz w:val="18"/>
      <w:szCs w:val="18"/>
    </w:rPr>
  </w:style>
  <w:style w:type="character" w:customStyle="1" w:styleId="29">
    <w:name w:val="页脚 Char"/>
    <w:basedOn w:val="11"/>
    <w:link w:val="8"/>
    <w:qFormat/>
    <w:uiPriority w:val="99"/>
    <w:rPr>
      <w:rFonts w:ascii="Times New Roman" w:hAnsi="Times New Roman" w:eastAsia="宋体" w:cs="Times New Roman"/>
      <w:sz w:val="18"/>
      <w:szCs w:val="18"/>
    </w:rPr>
  </w:style>
  <w:style w:type="character" w:customStyle="1" w:styleId="30">
    <w:name w:val="param-name"/>
    <w:basedOn w:val="11"/>
    <w:qFormat/>
    <w:uiPriority w:val="0"/>
  </w:style>
  <w:style w:type="character" w:customStyle="1" w:styleId="31">
    <w:name w:val="apple-converted-space"/>
    <w:basedOn w:val="11"/>
    <w:qFormat/>
    <w:uiPriority w:val="0"/>
  </w:style>
  <w:style w:type="paragraph" w:customStyle="1" w:styleId="32">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1140</Words>
  <Characters>6502</Characters>
  <Lines>54</Lines>
  <Paragraphs>15</Paragraphs>
  <ScaleCrop>false</ScaleCrop>
  <LinksUpToDate>false</LinksUpToDate>
  <CharactersWithSpaces>7627</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2014-04-07T03:01:00Z</dcterms:created>
  <dc:creator>张灏</dc:creator>
  <cp:lastModifiedBy>Administrator</cp:lastModifiedBy>
  <dcterms:modified xsi:type="dcterms:W3CDTF">2017-06-21T07:01:56Z</dcterms:modified>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