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8"/>
          <w:szCs w:val="48"/>
        </w:rPr>
      </w:pPr>
      <w:r>
        <w:rPr>
          <w:rFonts w:hint="eastAsia"/>
          <w:b/>
          <w:sz w:val="48"/>
          <w:szCs w:val="48"/>
        </w:rPr>
        <w:t>材料购置技术标书审批表</w:t>
      </w:r>
    </w:p>
    <w:p>
      <w:pPr>
        <w:ind w:right="150"/>
        <w:jc w:val="right"/>
        <w:rPr>
          <w:rFonts w:ascii="宋体" w:hAnsi="宋体"/>
          <w:color w:val="000000"/>
          <w:sz w:val="28"/>
          <w:szCs w:val="28"/>
        </w:rPr>
      </w:pPr>
      <w:r>
        <w:rPr>
          <w:rFonts w:hint="eastAsia" w:ascii="宋体" w:hAnsi="宋体"/>
          <w:color w:val="000000"/>
          <w:sz w:val="28"/>
          <w:szCs w:val="28"/>
        </w:rPr>
        <w:t>201</w:t>
      </w:r>
      <w:r>
        <w:rPr>
          <w:rFonts w:hint="eastAsia" w:ascii="宋体" w:hAnsi="宋体"/>
          <w:color w:val="000000"/>
          <w:sz w:val="28"/>
          <w:szCs w:val="28"/>
          <w:lang w:val="en-US" w:eastAsia="zh-CN"/>
        </w:rPr>
        <w:t>7</w:t>
      </w:r>
      <w:r>
        <w:rPr>
          <w:rFonts w:hint="eastAsia" w:ascii="宋体" w:hAnsi="宋体"/>
          <w:color w:val="000000"/>
          <w:sz w:val="28"/>
          <w:szCs w:val="28"/>
        </w:rPr>
        <w:t>年</w:t>
      </w:r>
      <w:r>
        <w:rPr>
          <w:rFonts w:hint="eastAsia" w:ascii="宋体" w:hAnsi="宋体"/>
          <w:color w:val="000000"/>
          <w:sz w:val="28"/>
          <w:szCs w:val="28"/>
          <w:lang w:val="en-US" w:eastAsia="zh-CN"/>
        </w:rPr>
        <w:t>6</w:t>
      </w:r>
      <w:r>
        <w:rPr>
          <w:rFonts w:hint="eastAsia" w:ascii="宋体" w:hAnsi="宋体"/>
          <w:color w:val="000000"/>
          <w:sz w:val="28"/>
          <w:szCs w:val="28"/>
        </w:rPr>
        <w:t>月</w:t>
      </w:r>
      <w:r>
        <w:rPr>
          <w:rFonts w:hint="eastAsia" w:ascii="宋体" w:hAnsi="宋体"/>
          <w:color w:val="000000"/>
          <w:sz w:val="28"/>
          <w:szCs w:val="28"/>
          <w:lang w:val="en-US" w:eastAsia="zh-CN"/>
        </w:rPr>
        <w:t>7</w:t>
      </w:r>
      <w:r>
        <w:rPr>
          <w:rFonts w:hint="eastAsia" w:ascii="宋体" w:hAnsi="宋体"/>
          <w:color w:val="000000"/>
          <w:sz w:val="28"/>
          <w:szCs w:val="28"/>
        </w:rPr>
        <w:t>日</w:t>
      </w:r>
    </w:p>
    <w:tbl>
      <w:tblPr>
        <w:tblStyle w:val="19"/>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1559"/>
        <w:gridCol w:w="2688"/>
        <w:gridCol w:w="1990"/>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6" w:hRule="atLeast"/>
          <w:jc w:val="center"/>
        </w:trPr>
        <w:tc>
          <w:tcPr>
            <w:tcW w:w="2563" w:type="dxa"/>
            <w:gridSpan w:val="2"/>
            <w:vAlign w:val="center"/>
          </w:tcPr>
          <w:p>
            <w:pPr>
              <w:jc w:val="center"/>
              <w:rPr>
                <w:rFonts w:ascii="宋体" w:hAnsi="宋体"/>
                <w:sz w:val="28"/>
                <w:szCs w:val="28"/>
              </w:rPr>
            </w:pPr>
            <w:r>
              <w:rPr>
                <w:rFonts w:hint="eastAsia" w:ascii="宋体" w:hAnsi="宋体"/>
                <w:sz w:val="28"/>
                <w:szCs w:val="28"/>
              </w:rPr>
              <w:t>物资名称</w:t>
            </w:r>
          </w:p>
        </w:tc>
        <w:tc>
          <w:tcPr>
            <w:tcW w:w="2688" w:type="dxa"/>
            <w:vAlign w:val="center"/>
          </w:tcPr>
          <w:p>
            <w:pPr>
              <w:adjustRightInd w:val="0"/>
              <w:snapToGrid w:val="0"/>
              <w:spacing w:line="360" w:lineRule="auto"/>
              <w:rPr>
                <w:rFonts w:ascii="宋体" w:hAnsi="宋体"/>
                <w:sz w:val="28"/>
                <w:szCs w:val="28"/>
              </w:rPr>
            </w:pPr>
            <w:r>
              <w:rPr>
                <w:rFonts w:hint="eastAsia" w:ascii="宋体" w:hAnsi="宋体"/>
                <w:sz w:val="28"/>
                <w:szCs w:val="28"/>
              </w:rPr>
              <w:t>短纤维酚醛树脂、聚甲醛</w:t>
            </w:r>
          </w:p>
        </w:tc>
        <w:tc>
          <w:tcPr>
            <w:tcW w:w="1990" w:type="dxa"/>
            <w:vAlign w:val="center"/>
          </w:tcPr>
          <w:p>
            <w:pPr>
              <w:ind w:right="480"/>
              <w:rPr>
                <w:rFonts w:ascii="宋体" w:hAnsi="宋体"/>
                <w:sz w:val="28"/>
                <w:szCs w:val="28"/>
              </w:rPr>
            </w:pPr>
            <w:r>
              <w:rPr>
                <w:rFonts w:hint="eastAsia" w:ascii="宋体" w:hAnsi="宋体"/>
                <w:sz w:val="28"/>
                <w:szCs w:val="28"/>
              </w:rPr>
              <w:t>购置数量</w:t>
            </w:r>
          </w:p>
        </w:tc>
        <w:tc>
          <w:tcPr>
            <w:tcW w:w="2047" w:type="dxa"/>
            <w:vAlign w:val="center"/>
          </w:tcPr>
          <w:p>
            <w:pPr>
              <w:adjustRightInd w:val="0"/>
              <w:snapToGrid w:val="0"/>
              <w:spacing w:line="360" w:lineRule="auto"/>
              <w:ind w:firstLine="280" w:firstLineChars="100"/>
              <w:rPr>
                <w:rFonts w:ascii="宋体" w:hAnsi="宋体"/>
                <w:sz w:val="28"/>
                <w:szCs w:val="28"/>
              </w:rPr>
            </w:pPr>
            <w:r>
              <w:rPr>
                <w:rFonts w:hint="eastAsia" w:ascii="宋体" w:hAnsi="宋体"/>
                <w:sz w:val="28"/>
                <w:szCs w:val="28"/>
              </w:rPr>
              <w:t>4000kg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2563" w:type="dxa"/>
            <w:gridSpan w:val="2"/>
            <w:vAlign w:val="center"/>
          </w:tcPr>
          <w:p>
            <w:pPr>
              <w:jc w:val="center"/>
              <w:rPr>
                <w:rFonts w:ascii="宋体" w:hAnsi="宋体"/>
                <w:sz w:val="28"/>
                <w:szCs w:val="28"/>
              </w:rPr>
            </w:pPr>
            <w:r>
              <w:rPr>
                <w:rFonts w:hint="eastAsia" w:ascii="宋体" w:hAnsi="宋体"/>
                <w:sz w:val="28"/>
                <w:szCs w:val="28"/>
              </w:rPr>
              <w:t>计划来源</w:t>
            </w:r>
          </w:p>
        </w:tc>
        <w:tc>
          <w:tcPr>
            <w:tcW w:w="6725" w:type="dxa"/>
            <w:gridSpan w:val="3"/>
            <w:vAlign w:val="center"/>
          </w:tcPr>
          <w:p>
            <w:pPr>
              <w:rPr>
                <w:rFonts w:ascii="宋体" w:hAnsi="宋体"/>
                <w:sz w:val="28"/>
                <w:szCs w:val="28"/>
              </w:rPr>
            </w:pPr>
            <w:r>
              <w:rPr>
                <w:rFonts w:hint="eastAsia" w:ascii="宋体" w:hAnsi="宋体"/>
                <w:sz w:val="28"/>
                <w:szCs w:val="28"/>
              </w:rPr>
              <w:t>201</w:t>
            </w:r>
            <w:r>
              <w:rPr>
                <w:rFonts w:hint="eastAsia" w:ascii="宋体" w:hAnsi="宋体"/>
                <w:sz w:val="28"/>
                <w:szCs w:val="28"/>
                <w:lang w:val="en-US" w:eastAsia="zh-CN"/>
              </w:rPr>
              <w:t>7</w:t>
            </w:r>
            <w:r>
              <w:rPr>
                <w:rFonts w:hint="eastAsia" w:ascii="宋体" w:hAnsi="宋体"/>
                <w:sz w:val="28"/>
                <w:szCs w:val="28"/>
              </w:rPr>
              <w:t>年生产物资需求计划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7" w:hRule="atLeast"/>
          <w:jc w:val="center"/>
        </w:trPr>
        <w:tc>
          <w:tcPr>
            <w:tcW w:w="2563" w:type="dxa"/>
            <w:gridSpan w:val="2"/>
            <w:vAlign w:val="center"/>
          </w:tcPr>
          <w:p>
            <w:pPr>
              <w:jc w:val="center"/>
              <w:rPr>
                <w:rFonts w:ascii="宋体" w:hAnsi="宋体"/>
                <w:sz w:val="28"/>
                <w:szCs w:val="28"/>
              </w:rPr>
            </w:pPr>
            <w:r>
              <w:rPr>
                <w:rFonts w:hint="eastAsia" w:ascii="宋体" w:hAnsi="宋体"/>
                <w:sz w:val="28"/>
                <w:szCs w:val="28"/>
              </w:rPr>
              <w:t>主要技术参数</w:t>
            </w:r>
          </w:p>
        </w:tc>
        <w:tc>
          <w:tcPr>
            <w:tcW w:w="6725" w:type="dxa"/>
            <w:gridSpan w:val="3"/>
            <w:vAlign w:val="center"/>
          </w:tcPr>
          <w:p>
            <w:pPr>
              <w:adjustRightInd w:val="0"/>
              <w:snapToGrid w:val="0"/>
              <w:spacing w:line="360" w:lineRule="auto"/>
              <w:rPr>
                <w:rFonts w:ascii="宋体" w:hAnsi="宋体"/>
                <w:sz w:val="28"/>
                <w:szCs w:val="28"/>
              </w:rPr>
            </w:pPr>
            <w:r>
              <w:rPr>
                <w:rFonts w:hint="eastAsia" w:ascii="宋体" w:hAnsi="宋体"/>
                <w:sz w:val="28"/>
                <w:szCs w:val="28"/>
              </w:rPr>
              <w:t>1、短纤维酚醛树脂硬度：≥75 ShoreD； ≥100 ShoreA；</w:t>
            </w:r>
          </w:p>
          <w:p>
            <w:pPr>
              <w:adjustRightInd w:val="0"/>
              <w:snapToGrid w:val="0"/>
              <w:spacing w:line="360" w:lineRule="auto"/>
              <w:rPr>
                <w:rFonts w:ascii="宋体" w:hAnsi="宋体"/>
                <w:sz w:val="28"/>
                <w:szCs w:val="28"/>
              </w:rPr>
            </w:pPr>
            <w:r>
              <w:rPr>
                <w:rFonts w:hint="eastAsia" w:ascii="宋体" w:hAnsi="宋体"/>
                <w:sz w:val="28"/>
                <w:szCs w:val="28"/>
              </w:rPr>
              <w:t>2、短纤维酚醛树脂和层次垂直的抗压强度≥340</w:t>
            </w:r>
            <w:r>
              <w:rPr>
                <w:rFonts w:ascii="宋体" w:hAnsi="宋体"/>
                <w:sz w:val="28"/>
                <w:szCs w:val="28"/>
              </w:rPr>
              <w:t xml:space="preserve"> N/mm</w:t>
            </w:r>
            <w:r>
              <w:rPr>
                <w:rFonts w:ascii="宋体" w:hAnsi="宋体"/>
                <w:sz w:val="28"/>
                <w:szCs w:val="28"/>
                <w:vertAlign w:val="superscript"/>
              </w:rPr>
              <w:t>2</w:t>
            </w:r>
            <w:r>
              <w:rPr>
                <w:rFonts w:hint="eastAsia" w:ascii="宋体" w:hAnsi="宋体"/>
                <w:sz w:val="28"/>
                <w:szCs w:val="28"/>
              </w:rPr>
              <w:t>；</w:t>
            </w:r>
          </w:p>
          <w:p>
            <w:pPr>
              <w:adjustRightInd w:val="0"/>
              <w:snapToGrid w:val="0"/>
              <w:spacing w:line="360" w:lineRule="auto"/>
              <w:rPr>
                <w:rFonts w:ascii="宋体" w:hAnsi="宋体"/>
                <w:sz w:val="28"/>
                <w:szCs w:val="28"/>
              </w:rPr>
            </w:pPr>
            <w:r>
              <w:rPr>
                <w:rFonts w:hint="eastAsia" w:ascii="宋体" w:hAnsi="宋体"/>
                <w:sz w:val="28"/>
                <w:szCs w:val="28"/>
              </w:rPr>
              <w:t>3、短纤维酚醛树脂和层次垂直的布氏硬度≥150</w:t>
            </w:r>
            <w:r>
              <w:rPr>
                <w:rFonts w:ascii="宋体" w:hAnsi="宋体"/>
                <w:sz w:val="28"/>
                <w:szCs w:val="28"/>
              </w:rPr>
              <w:t xml:space="preserve"> N/mm</w:t>
            </w:r>
            <w:r>
              <w:rPr>
                <w:rFonts w:ascii="宋体" w:hAnsi="宋体"/>
                <w:sz w:val="28"/>
                <w:szCs w:val="28"/>
                <w:vertAlign w:val="superscript"/>
              </w:rPr>
              <w:t>2</w:t>
            </w:r>
            <w:r>
              <w:rPr>
                <w:rFonts w:hint="eastAsia" w:ascii="宋体" w:hAnsi="宋体"/>
                <w:sz w:val="28"/>
                <w:szCs w:val="28"/>
              </w:rPr>
              <w:t>；</w:t>
            </w:r>
          </w:p>
          <w:p>
            <w:pPr>
              <w:adjustRightInd w:val="0"/>
              <w:snapToGrid w:val="0"/>
              <w:spacing w:line="360" w:lineRule="auto"/>
              <w:jc w:val="left"/>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2" w:hRule="atLeast"/>
          <w:jc w:val="center"/>
        </w:trPr>
        <w:tc>
          <w:tcPr>
            <w:tcW w:w="2563" w:type="dxa"/>
            <w:gridSpan w:val="2"/>
            <w:vAlign w:val="center"/>
          </w:tcPr>
          <w:p>
            <w:pPr>
              <w:jc w:val="center"/>
              <w:rPr>
                <w:rFonts w:ascii="宋体" w:hAnsi="宋体"/>
                <w:sz w:val="28"/>
                <w:szCs w:val="28"/>
              </w:rPr>
            </w:pPr>
            <w:r>
              <w:rPr>
                <w:rFonts w:hint="eastAsia" w:ascii="宋体" w:hAnsi="宋体"/>
                <w:sz w:val="28"/>
                <w:szCs w:val="28"/>
              </w:rPr>
              <w:t>项目提报单位</w:t>
            </w:r>
          </w:p>
        </w:tc>
        <w:tc>
          <w:tcPr>
            <w:tcW w:w="6725" w:type="dxa"/>
            <w:gridSpan w:val="3"/>
            <w:vAlign w:val="center"/>
          </w:tcPr>
          <w:p>
            <w:pPr>
              <w:rPr>
                <w:rFonts w:ascii="宋体" w:hAnsi="宋体"/>
                <w:sz w:val="28"/>
                <w:szCs w:val="28"/>
              </w:rPr>
            </w:pPr>
            <w:r>
              <w:rPr>
                <w:rFonts w:hint="eastAsia" w:ascii="宋体" w:hAnsi="宋体"/>
                <w:sz w:val="28"/>
                <w:szCs w:val="28"/>
              </w:rPr>
              <w:t>维修中心</w:t>
            </w:r>
            <w:r>
              <w:rPr>
                <w:rFonts w:hint="eastAsia" w:ascii="宋体" w:hAnsi="宋体"/>
                <w:sz w:val="28"/>
                <w:szCs w:val="28"/>
                <w:lang w:eastAsia="zh-CN"/>
              </w:rPr>
              <w:t>一</w:t>
            </w:r>
            <w:r>
              <w:rPr>
                <w:rFonts w:hint="eastAsia" w:ascii="宋体" w:hAnsi="宋体"/>
                <w:sz w:val="28"/>
                <w:szCs w:val="28"/>
              </w:rPr>
              <w:t>厂三部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8" w:hRule="atLeast"/>
          <w:jc w:val="center"/>
        </w:trPr>
        <w:tc>
          <w:tcPr>
            <w:tcW w:w="1004" w:type="dxa"/>
            <w:vMerge w:val="restart"/>
            <w:vAlign w:val="center"/>
          </w:tcPr>
          <w:p>
            <w:pPr>
              <w:jc w:val="center"/>
              <w:rPr>
                <w:rFonts w:ascii="宋体" w:hAnsi="宋体"/>
                <w:sz w:val="28"/>
                <w:szCs w:val="28"/>
              </w:rPr>
            </w:pPr>
            <w:r>
              <w:rPr>
                <w:rFonts w:hint="eastAsia" w:ascii="宋体" w:hAnsi="宋体"/>
                <w:sz w:val="28"/>
                <w:szCs w:val="28"/>
              </w:rPr>
              <w:t>设备维修中心</w:t>
            </w:r>
          </w:p>
          <w:p>
            <w:pPr>
              <w:jc w:val="center"/>
              <w:rPr>
                <w:rFonts w:ascii="宋体" w:hAnsi="宋体"/>
                <w:sz w:val="28"/>
                <w:szCs w:val="28"/>
              </w:rPr>
            </w:pPr>
          </w:p>
        </w:tc>
        <w:tc>
          <w:tcPr>
            <w:tcW w:w="1559" w:type="dxa"/>
            <w:vAlign w:val="center"/>
          </w:tcPr>
          <w:p>
            <w:pPr>
              <w:jc w:val="center"/>
              <w:rPr>
                <w:rFonts w:ascii="宋体" w:hAnsi="宋体"/>
                <w:sz w:val="28"/>
                <w:szCs w:val="28"/>
              </w:rPr>
            </w:pPr>
            <w:r>
              <w:rPr>
                <w:rFonts w:hint="eastAsia" w:ascii="宋体" w:hAnsi="宋体"/>
                <w:sz w:val="28"/>
                <w:szCs w:val="28"/>
              </w:rPr>
              <w:t>部门领导</w:t>
            </w:r>
          </w:p>
        </w:tc>
        <w:tc>
          <w:tcPr>
            <w:tcW w:w="6725" w:type="dxa"/>
            <w:gridSpan w:val="3"/>
            <w:vAlign w:val="center"/>
          </w:tcPr>
          <w:p>
            <w:pP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0" w:hRule="atLeast"/>
          <w:jc w:val="center"/>
        </w:trPr>
        <w:tc>
          <w:tcPr>
            <w:tcW w:w="1004" w:type="dxa"/>
            <w:vMerge w:val="continue"/>
            <w:vAlign w:val="center"/>
          </w:tcPr>
          <w:p>
            <w:pPr>
              <w:rPr>
                <w:rFonts w:ascii="宋体" w:hAnsi="宋体"/>
                <w:sz w:val="28"/>
                <w:szCs w:val="28"/>
              </w:rPr>
            </w:pPr>
          </w:p>
        </w:tc>
        <w:tc>
          <w:tcPr>
            <w:tcW w:w="1559" w:type="dxa"/>
            <w:vAlign w:val="center"/>
          </w:tcPr>
          <w:p>
            <w:pPr>
              <w:jc w:val="center"/>
              <w:rPr>
                <w:rFonts w:ascii="宋体" w:hAnsi="宋体"/>
                <w:color w:val="000000"/>
                <w:sz w:val="28"/>
                <w:szCs w:val="28"/>
              </w:rPr>
            </w:pPr>
            <w:r>
              <w:rPr>
                <w:rFonts w:hint="eastAsia" w:ascii="宋体" w:hAnsi="宋体"/>
                <w:color w:val="000000"/>
                <w:sz w:val="28"/>
                <w:szCs w:val="28"/>
              </w:rPr>
              <w:t>分管领导</w:t>
            </w:r>
          </w:p>
        </w:tc>
        <w:tc>
          <w:tcPr>
            <w:tcW w:w="6725" w:type="dxa"/>
            <w:gridSpan w:val="3"/>
            <w:vAlign w:val="center"/>
          </w:tcPr>
          <w:p>
            <w:pPr>
              <w:jc w:val="center"/>
              <w:rPr>
                <w:rFonts w:ascii="宋体" w:hAnsi="宋体"/>
                <w:sz w:val="28"/>
                <w:szCs w:val="28"/>
              </w:rPr>
            </w:pPr>
          </w:p>
        </w:tc>
      </w:tr>
    </w:tbl>
    <w:p>
      <w:pPr>
        <w:pStyle w:val="21"/>
        <w:jc w:val="center"/>
        <w:rPr>
          <w:rFonts w:ascii="黑体" w:hAnsi="宋体"/>
          <w:b/>
          <w:sz w:val="32"/>
          <w:szCs w:val="32"/>
        </w:rPr>
      </w:pPr>
      <w:r>
        <w:rPr>
          <w:rFonts w:hint="eastAsia" w:ascii="黑体" w:hAnsi="宋体"/>
          <w:b/>
          <w:sz w:val="32"/>
          <w:szCs w:val="32"/>
        </w:rPr>
        <w:t>密封原材料技术要求</w:t>
      </w:r>
    </w:p>
    <w:p>
      <w:pPr>
        <w:tabs>
          <w:tab w:val="left" w:pos="2340"/>
        </w:tabs>
        <w:spacing w:line="480" w:lineRule="auto"/>
        <w:ind w:left="630" w:leftChars="300" w:firstLine="321" w:firstLineChars="100"/>
        <w:jc w:val="center"/>
        <w:rPr>
          <w:rFonts w:ascii="黑体" w:hAnsi="黑体" w:eastAsia="黑体"/>
          <w:b/>
          <w:bCs/>
          <w:sz w:val="32"/>
        </w:rPr>
      </w:pPr>
    </w:p>
    <w:p>
      <w:pPr>
        <w:tabs>
          <w:tab w:val="left" w:pos="2340"/>
        </w:tabs>
        <w:spacing w:line="480" w:lineRule="auto"/>
        <w:ind w:left="630" w:leftChars="300" w:firstLine="240" w:firstLineChars="100"/>
        <w:jc w:val="left"/>
        <w:rPr>
          <w:rFonts w:ascii="宋体" w:hAnsi="宋体"/>
          <w:sz w:val="24"/>
        </w:rPr>
      </w:pPr>
      <w:r>
        <w:rPr>
          <w:rFonts w:hint="eastAsia" w:ascii="宋体" w:hAnsi="宋体"/>
          <w:sz w:val="24"/>
        </w:rPr>
        <w:t>第一节  供货范围、技术规格、参数与要求</w:t>
      </w:r>
    </w:p>
    <w:p>
      <w:pPr>
        <w:tabs>
          <w:tab w:val="left" w:pos="2340"/>
        </w:tabs>
        <w:spacing w:line="480" w:lineRule="auto"/>
        <w:ind w:left="630" w:leftChars="300" w:firstLine="240" w:firstLineChars="100"/>
        <w:jc w:val="left"/>
        <w:rPr>
          <w:rFonts w:ascii="宋体" w:hAnsi="宋体"/>
          <w:sz w:val="24"/>
        </w:rPr>
      </w:pPr>
      <w:r>
        <w:rPr>
          <w:rFonts w:hint="eastAsia" w:ascii="宋体" w:hAnsi="宋体"/>
          <w:sz w:val="24"/>
        </w:rPr>
        <w:t>第二节  出厂前检验与交货验收</w:t>
      </w:r>
    </w:p>
    <w:p>
      <w:pPr>
        <w:tabs>
          <w:tab w:val="left" w:pos="2340"/>
        </w:tabs>
        <w:spacing w:line="480" w:lineRule="auto"/>
        <w:ind w:left="630" w:leftChars="300" w:firstLine="240" w:firstLineChars="100"/>
        <w:jc w:val="left"/>
        <w:rPr>
          <w:rFonts w:ascii="宋体" w:hAnsi="宋体"/>
          <w:sz w:val="24"/>
        </w:rPr>
      </w:pPr>
      <w:r>
        <w:rPr>
          <w:rFonts w:hint="eastAsia" w:ascii="宋体" w:hAnsi="宋体"/>
          <w:sz w:val="24"/>
        </w:rPr>
        <w:t>第三节  质量保证</w:t>
      </w:r>
    </w:p>
    <w:p>
      <w:pPr>
        <w:tabs>
          <w:tab w:val="left" w:pos="2340"/>
        </w:tabs>
        <w:spacing w:line="480" w:lineRule="auto"/>
        <w:ind w:left="630" w:leftChars="300" w:firstLine="240" w:firstLineChars="100"/>
        <w:jc w:val="left"/>
        <w:rPr>
          <w:rFonts w:ascii="宋体" w:hAnsi="宋体"/>
          <w:sz w:val="24"/>
        </w:rPr>
      </w:pPr>
      <w:r>
        <w:rPr>
          <w:rFonts w:hint="eastAsia" w:ascii="宋体" w:hAnsi="宋体"/>
          <w:sz w:val="24"/>
        </w:rPr>
        <w:t>第四节  标准</w:t>
      </w:r>
      <w:r>
        <w:br w:type="page"/>
      </w:r>
      <w:bookmarkStart w:id="0" w:name="_Toc357082526"/>
      <w:bookmarkStart w:id="1" w:name="_Toc356204538"/>
      <w:r>
        <w:rPr>
          <w:rFonts w:hint="eastAsia"/>
          <w:b/>
          <w:sz w:val="32"/>
          <w:szCs w:val="32"/>
        </w:rPr>
        <w:t>第一节供货范围、技术规格、参数与要求</w:t>
      </w:r>
      <w:bookmarkEnd w:id="0"/>
      <w:bookmarkEnd w:id="1"/>
    </w:p>
    <w:p>
      <w:pPr>
        <w:adjustRightInd w:val="0"/>
        <w:snapToGrid w:val="0"/>
        <w:spacing w:beforeLines="100" w:afterLines="100" w:line="360" w:lineRule="auto"/>
        <w:ind w:left="2246" w:leftChars="-5" w:hanging="2256" w:hangingChars="1070"/>
        <w:rPr>
          <w:b/>
        </w:rPr>
      </w:pPr>
      <w:r>
        <w:rPr>
          <w:rFonts w:hint="eastAsia"/>
          <w:b/>
        </w:rPr>
        <w:t>一、货物需求一览表</w:t>
      </w:r>
    </w:p>
    <w:tbl>
      <w:tblPr>
        <w:tblStyle w:val="19"/>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1568"/>
        <w:gridCol w:w="1162"/>
        <w:gridCol w:w="708"/>
        <w:gridCol w:w="993"/>
        <w:gridCol w:w="1842"/>
        <w:gridCol w:w="1560"/>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b/>
                <w:szCs w:val="21"/>
              </w:rPr>
              <w:t>序</w:t>
            </w:r>
            <w:r>
              <w:rPr>
                <w:rFonts w:hint="eastAsia" w:ascii="宋体" w:hAnsi="宋体"/>
                <w:b/>
                <w:szCs w:val="21"/>
              </w:rPr>
              <w:t>号</w:t>
            </w:r>
          </w:p>
        </w:tc>
        <w:tc>
          <w:tcPr>
            <w:tcW w:w="156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b/>
                <w:szCs w:val="21"/>
              </w:rPr>
              <w:t>名称</w:t>
            </w:r>
          </w:p>
        </w:tc>
        <w:tc>
          <w:tcPr>
            <w:tcW w:w="116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hint="eastAsia" w:ascii="宋体" w:hAnsi="宋体"/>
                <w:b/>
                <w:szCs w:val="21"/>
              </w:rPr>
              <w:t>规格型号</w:t>
            </w:r>
          </w:p>
        </w:tc>
        <w:tc>
          <w:tcPr>
            <w:tcW w:w="7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b/>
                <w:szCs w:val="21"/>
              </w:rPr>
              <w:t>单位</w:t>
            </w:r>
          </w:p>
        </w:tc>
        <w:tc>
          <w:tcPr>
            <w:tcW w:w="99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b/>
                <w:szCs w:val="21"/>
              </w:rPr>
              <w:t>数量</w:t>
            </w:r>
          </w:p>
        </w:tc>
        <w:tc>
          <w:tcPr>
            <w:tcW w:w="184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hint="eastAsia" w:ascii="宋体" w:hAnsi="宋体"/>
                <w:b/>
                <w:szCs w:val="21"/>
              </w:rPr>
              <w:t>交货时间</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hint="eastAsia" w:ascii="宋体" w:hAnsi="宋体"/>
                <w:b/>
                <w:szCs w:val="21"/>
              </w:rPr>
              <w:t>交货地点</w:t>
            </w:r>
          </w:p>
        </w:tc>
        <w:tc>
          <w:tcPr>
            <w:tcW w:w="121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2"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1</w:t>
            </w:r>
          </w:p>
        </w:tc>
        <w:tc>
          <w:tcPr>
            <w:tcW w:w="1568" w:type="dxa"/>
            <w:tcBorders>
              <w:top w:val="single" w:color="auto" w:sz="4" w:space="0"/>
              <w:left w:val="single" w:color="auto" w:sz="4" w:space="0"/>
              <w:bottom w:val="single" w:color="auto" w:sz="4" w:space="0"/>
              <w:right w:val="single" w:color="auto" w:sz="4" w:space="0"/>
            </w:tcBorders>
            <w:vAlign w:val="center"/>
          </w:tcPr>
          <w:p>
            <w:pPr>
              <w:pStyle w:val="8"/>
              <w:spacing w:line="360" w:lineRule="auto"/>
              <w:jc w:val="center"/>
              <w:rPr>
                <w:rFonts w:hAnsi="宋体"/>
                <w:szCs w:val="21"/>
              </w:rPr>
            </w:pPr>
            <w:r>
              <w:rPr>
                <w:rFonts w:hint="eastAsia" w:hAnsi="宋体"/>
                <w:szCs w:val="21"/>
              </w:rPr>
              <w:t>短纤维酚醛树脂</w:t>
            </w:r>
          </w:p>
        </w:tc>
        <w:tc>
          <w:tcPr>
            <w:tcW w:w="1162"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kg</w:t>
            </w: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4000</w:t>
            </w:r>
          </w:p>
        </w:tc>
        <w:tc>
          <w:tcPr>
            <w:tcW w:w="1842" w:type="dxa"/>
            <w:tcBorders>
              <w:top w:val="single" w:color="auto" w:sz="4" w:space="0"/>
              <w:left w:val="single" w:color="auto" w:sz="4" w:space="0"/>
              <w:bottom w:val="single" w:color="auto" w:sz="4" w:space="0"/>
              <w:right w:val="single" w:color="auto" w:sz="4" w:space="0"/>
            </w:tcBorders>
          </w:tcPr>
          <w:p/>
        </w:tc>
        <w:tc>
          <w:tcPr>
            <w:tcW w:w="156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hAnsi="宋体"/>
                <w:szCs w:val="21"/>
              </w:rPr>
              <w:t>甲方指定地点</w:t>
            </w:r>
          </w:p>
        </w:tc>
        <w:tc>
          <w:tcPr>
            <w:tcW w:w="121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rPr>
            </w:pPr>
          </w:p>
        </w:tc>
      </w:tr>
    </w:tbl>
    <w:p>
      <w:pPr>
        <w:adjustRightInd w:val="0"/>
        <w:snapToGrid w:val="0"/>
        <w:spacing w:beforeLines="100" w:afterLines="100" w:line="360" w:lineRule="auto"/>
        <w:jc w:val="left"/>
        <w:rPr>
          <w:b/>
        </w:rPr>
      </w:pPr>
      <w:r>
        <w:rPr>
          <w:rFonts w:hint="eastAsia"/>
          <w:b/>
        </w:rPr>
        <w:t>二、工作环境</w:t>
      </w:r>
    </w:p>
    <w:p>
      <w:pPr>
        <w:adjustRightInd w:val="0"/>
        <w:snapToGrid w:val="0"/>
        <w:spacing w:line="360" w:lineRule="auto"/>
        <w:ind w:firstLine="210" w:firstLineChars="100"/>
        <w:jc w:val="left"/>
        <w:rPr>
          <w:rFonts w:ascii="宋体" w:hAnsi="宋体"/>
          <w:szCs w:val="21"/>
        </w:rPr>
      </w:pPr>
      <w:r>
        <w:rPr>
          <w:rFonts w:hint="eastAsia" w:ascii="宋体" w:hAnsi="宋体"/>
          <w:szCs w:val="21"/>
        </w:rPr>
        <w:t>1.工作环境</w:t>
      </w:r>
    </w:p>
    <w:p>
      <w:pPr>
        <w:adjustRightInd w:val="0"/>
        <w:snapToGrid w:val="0"/>
        <w:spacing w:line="360" w:lineRule="auto"/>
        <w:ind w:firstLine="210" w:firstLineChars="100"/>
        <w:jc w:val="left"/>
        <w:rPr>
          <w:rFonts w:ascii="宋体" w:hAnsi="宋体"/>
          <w:b/>
          <w:szCs w:val="21"/>
        </w:rPr>
      </w:pPr>
      <w:r>
        <w:rPr>
          <w:rFonts w:hint="eastAsia" w:ascii="宋体" w:hAnsi="宋体"/>
          <w:szCs w:val="21"/>
        </w:rPr>
        <w:t xml:space="preserve">  用于各类油缸密封的加工,使用介质为水包油结构乳化液或者液压油。</w:t>
      </w:r>
    </w:p>
    <w:p>
      <w:pPr>
        <w:adjustRightInd w:val="0"/>
        <w:snapToGrid w:val="0"/>
        <w:spacing w:beforeLines="100" w:afterLines="100" w:line="360" w:lineRule="auto"/>
        <w:jc w:val="left"/>
        <w:rPr>
          <w:b/>
        </w:rPr>
      </w:pPr>
      <w:r>
        <w:rPr>
          <w:rFonts w:hint="eastAsia"/>
          <w:b/>
        </w:rPr>
        <w:t>三、技术参数及要求</w:t>
      </w:r>
    </w:p>
    <w:p>
      <w:pPr>
        <w:numPr>
          <w:ilvl w:val="0"/>
          <w:numId w:val="1"/>
        </w:numPr>
        <w:adjustRightInd w:val="0"/>
        <w:snapToGrid w:val="0"/>
        <w:spacing w:line="360" w:lineRule="auto"/>
        <w:rPr>
          <w:b/>
          <w:szCs w:val="21"/>
        </w:rPr>
      </w:pPr>
      <w:r>
        <w:rPr>
          <w:rFonts w:hint="eastAsia" w:hAnsi="宋体"/>
          <w:b/>
          <w:szCs w:val="21"/>
        </w:rPr>
        <w:t>短纤维酚醛树脂</w:t>
      </w:r>
      <w:r>
        <w:rPr>
          <w:rFonts w:hint="eastAsia"/>
          <w:b/>
          <w:szCs w:val="21"/>
        </w:rPr>
        <w:t>材料技术要求</w:t>
      </w:r>
    </w:p>
    <w:p>
      <w:pPr>
        <w:adjustRightInd w:val="0"/>
        <w:snapToGrid w:val="0"/>
        <w:spacing w:line="360" w:lineRule="auto"/>
        <w:ind w:firstLine="210" w:firstLineChars="100"/>
        <w:jc w:val="left"/>
        <w:rPr>
          <w:rFonts w:ascii="宋体" w:hAnsi="宋体"/>
          <w:szCs w:val="21"/>
        </w:rPr>
      </w:pPr>
      <w:r>
        <w:rPr>
          <w:rFonts w:hint="eastAsia" w:ascii="宋体" w:hAnsi="宋体"/>
          <w:szCs w:val="21"/>
        </w:rPr>
        <w:t>*1.0硬度：≥75 ShoreD；</w:t>
      </w:r>
    </w:p>
    <w:p>
      <w:pPr>
        <w:adjustRightInd w:val="0"/>
        <w:snapToGrid w:val="0"/>
        <w:spacing w:line="360" w:lineRule="auto"/>
        <w:jc w:val="left"/>
        <w:rPr>
          <w:rFonts w:ascii="宋体" w:hAnsi="宋体"/>
          <w:szCs w:val="21"/>
        </w:rPr>
      </w:pPr>
      <w:r>
        <w:rPr>
          <w:rFonts w:hint="eastAsia" w:ascii="宋体" w:hAnsi="宋体"/>
          <w:szCs w:val="21"/>
        </w:rPr>
        <w:t xml:space="preserve">           ≥100 ShoreA；</w:t>
      </w:r>
    </w:p>
    <w:p>
      <w:pPr>
        <w:adjustRightInd w:val="0"/>
        <w:snapToGrid w:val="0"/>
        <w:spacing w:line="360" w:lineRule="auto"/>
        <w:jc w:val="left"/>
        <w:rPr>
          <w:rFonts w:ascii="宋体" w:hAnsi="宋体" w:cs="宋体"/>
          <w:color w:val="000000"/>
          <w:kern w:val="0"/>
          <w:sz w:val="22"/>
        </w:rPr>
      </w:pPr>
      <w:r>
        <w:rPr>
          <w:rFonts w:hint="eastAsia" w:ascii="宋体" w:hAnsi="宋体"/>
          <w:szCs w:val="21"/>
        </w:rPr>
        <w:t xml:space="preserve">  *1.1</w:t>
      </w:r>
      <w:r>
        <w:rPr>
          <w:rFonts w:hint="eastAsia" w:ascii="宋体" w:hAnsi="宋体" w:cs="宋体"/>
          <w:color w:val="000000"/>
          <w:kern w:val="0"/>
          <w:sz w:val="22"/>
        </w:rPr>
        <w:t>和层次垂直的抗压强度</w:t>
      </w:r>
      <w:r>
        <w:rPr>
          <w:rFonts w:hint="eastAsia" w:ascii="宋体" w:hAnsi="宋体"/>
          <w:szCs w:val="21"/>
        </w:rPr>
        <w:t>≥</w:t>
      </w:r>
      <w:r>
        <w:rPr>
          <w:rFonts w:hint="eastAsia" w:ascii="宋体" w:hAnsi="宋体" w:cs="宋体"/>
          <w:color w:val="000000"/>
          <w:kern w:val="0"/>
          <w:sz w:val="22"/>
        </w:rPr>
        <w:t>340</w:t>
      </w:r>
      <w:r>
        <w:rPr>
          <w:rFonts w:ascii="Calibri" w:hAnsi="Calibri" w:cs="宋体"/>
          <w:color w:val="000000"/>
          <w:kern w:val="0"/>
          <w:szCs w:val="21"/>
        </w:rPr>
        <w:t xml:space="preserve"> N/mm</w:t>
      </w:r>
      <w:r>
        <w:rPr>
          <w:rFonts w:ascii="Calibri" w:hAnsi="Calibri" w:cs="宋体"/>
          <w:color w:val="000000"/>
          <w:kern w:val="0"/>
          <w:szCs w:val="21"/>
          <w:vertAlign w:val="superscript"/>
        </w:rPr>
        <w:t>2</w:t>
      </w:r>
      <w:r>
        <w:rPr>
          <w:rFonts w:hint="eastAsia" w:ascii="宋体" w:hAnsi="宋体" w:cs="宋体"/>
          <w:color w:val="000000"/>
          <w:kern w:val="0"/>
          <w:sz w:val="22"/>
        </w:rPr>
        <w:t xml:space="preserve">    （试验方法ISO604）</w:t>
      </w:r>
    </w:p>
    <w:p>
      <w:pPr>
        <w:adjustRightInd w:val="0"/>
        <w:snapToGrid w:val="0"/>
        <w:spacing w:line="360" w:lineRule="auto"/>
        <w:ind w:firstLine="210" w:firstLineChars="100"/>
        <w:jc w:val="left"/>
        <w:rPr>
          <w:rFonts w:ascii="宋体" w:hAnsi="宋体" w:cs="宋体"/>
          <w:color w:val="000000"/>
          <w:kern w:val="0"/>
          <w:sz w:val="22"/>
        </w:rPr>
      </w:pPr>
      <w:r>
        <w:rPr>
          <w:rFonts w:hint="eastAsia" w:ascii="宋体" w:hAnsi="宋体"/>
          <w:szCs w:val="21"/>
        </w:rPr>
        <w:t>*1.2</w:t>
      </w:r>
      <w:r>
        <w:rPr>
          <w:rFonts w:hint="eastAsia" w:ascii="宋体" w:hAnsi="宋体" w:cs="宋体"/>
          <w:color w:val="000000"/>
          <w:kern w:val="0"/>
          <w:sz w:val="22"/>
        </w:rPr>
        <w:t>和层次垂直的布氏硬度</w:t>
      </w:r>
      <w:r>
        <w:rPr>
          <w:rFonts w:hint="eastAsia" w:ascii="宋体" w:hAnsi="宋体"/>
          <w:szCs w:val="21"/>
        </w:rPr>
        <w:t>≥</w:t>
      </w:r>
      <w:r>
        <w:rPr>
          <w:rFonts w:hint="eastAsia" w:ascii="宋体" w:hAnsi="宋体" w:cs="宋体"/>
          <w:color w:val="000000"/>
          <w:kern w:val="0"/>
          <w:sz w:val="22"/>
        </w:rPr>
        <w:t>150</w:t>
      </w:r>
      <w:r>
        <w:rPr>
          <w:rFonts w:ascii="Calibri" w:hAnsi="Calibri" w:cs="宋体"/>
          <w:color w:val="000000"/>
          <w:kern w:val="0"/>
          <w:szCs w:val="21"/>
        </w:rPr>
        <w:t xml:space="preserve"> N/mm</w:t>
      </w:r>
      <w:r>
        <w:rPr>
          <w:rFonts w:ascii="Calibri" w:hAnsi="Calibri" w:cs="宋体"/>
          <w:color w:val="000000"/>
          <w:kern w:val="0"/>
          <w:szCs w:val="21"/>
          <w:vertAlign w:val="superscript"/>
        </w:rPr>
        <w:t>2</w:t>
      </w:r>
      <w:r>
        <w:rPr>
          <w:rFonts w:hint="eastAsia" w:ascii="宋体" w:hAnsi="宋体" w:cs="宋体"/>
          <w:color w:val="000000"/>
          <w:kern w:val="0"/>
          <w:sz w:val="22"/>
        </w:rPr>
        <w:t xml:space="preserve"> （试验方法ISO2039</w:t>
      </w:r>
      <w:r>
        <w:rPr>
          <w:rFonts w:ascii="宋体" w:hAnsi="宋体" w:cs="宋体"/>
          <w:color w:val="000000"/>
          <w:kern w:val="0"/>
          <w:sz w:val="22"/>
        </w:rPr>
        <w:t>）</w:t>
      </w:r>
      <w:r>
        <w:rPr>
          <w:rFonts w:hint="eastAsia" w:ascii="宋体" w:hAnsi="宋体" w:cs="宋体"/>
          <w:color w:val="000000"/>
          <w:kern w:val="0"/>
          <w:sz w:val="22"/>
        </w:rPr>
        <w:t>；</w:t>
      </w:r>
    </w:p>
    <w:p>
      <w:pPr>
        <w:adjustRightInd w:val="0"/>
        <w:snapToGrid w:val="0"/>
        <w:spacing w:line="360" w:lineRule="auto"/>
        <w:ind w:firstLine="210" w:firstLineChars="100"/>
        <w:jc w:val="left"/>
        <w:rPr>
          <w:rFonts w:ascii="宋体" w:hAnsi="宋体" w:cs="宋体"/>
          <w:color w:val="000000"/>
          <w:kern w:val="0"/>
          <w:sz w:val="22"/>
        </w:rPr>
      </w:pPr>
      <w:r>
        <w:rPr>
          <w:rFonts w:hint="eastAsia" w:ascii="宋体" w:hAnsi="宋体"/>
          <w:szCs w:val="21"/>
        </w:rPr>
        <w:t>*1.3</w:t>
      </w:r>
      <w:r>
        <w:rPr>
          <w:rFonts w:hint="eastAsia" w:ascii="宋体" w:hAnsi="宋体" w:cs="宋体"/>
          <w:color w:val="000000"/>
          <w:kern w:val="0"/>
          <w:sz w:val="22"/>
        </w:rPr>
        <w:t>和层次平行的布氏硬度</w:t>
      </w:r>
      <w:r>
        <w:rPr>
          <w:rFonts w:hint="eastAsia" w:ascii="宋体" w:hAnsi="宋体"/>
          <w:szCs w:val="21"/>
        </w:rPr>
        <w:t>≥</w:t>
      </w:r>
      <w:r>
        <w:rPr>
          <w:rFonts w:hint="eastAsia" w:ascii="宋体" w:hAnsi="宋体" w:cs="宋体"/>
          <w:color w:val="000000"/>
          <w:kern w:val="0"/>
          <w:sz w:val="22"/>
        </w:rPr>
        <w:t>140</w:t>
      </w:r>
      <w:r>
        <w:rPr>
          <w:rFonts w:ascii="Calibri" w:hAnsi="Calibri" w:cs="宋体"/>
          <w:color w:val="000000"/>
          <w:kern w:val="0"/>
          <w:szCs w:val="21"/>
        </w:rPr>
        <w:t xml:space="preserve"> N/mm</w:t>
      </w:r>
      <w:r>
        <w:rPr>
          <w:rFonts w:ascii="Calibri" w:hAnsi="Calibri" w:cs="宋体"/>
          <w:color w:val="000000"/>
          <w:kern w:val="0"/>
          <w:szCs w:val="21"/>
          <w:vertAlign w:val="superscript"/>
        </w:rPr>
        <w:t>2</w:t>
      </w:r>
      <w:r>
        <w:rPr>
          <w:rFonts w:hint="eastAsia" w:ascii="宋体" w:hAnsi="宋体" w:cs="宋体"/>
          <w:color w:val="000000"/>
          <w:kern w:val="0"/>
          <w:sz w:val="22"/>
        </w:rPr>
        <w:t xml:space="preserve">     （试验方法ISO2039</w:t>
      </w:r>
      <w:r>
        <w:rPr>
          <w:rFonts w:ascii="宋体" w:hAnsi="宋体" w:cs="宋体"/>
          <w:color w:val="000000"/>
          <w:kern w:val="0"/>
          <w:sz w:val="22"/>
        </w:rPr>
        <w:t>）</w:t>
      </w:r>
      <w:r>
        <w:rPr>
          <w:rFonts w:hint="eastAsia" w:ascii="宋体" w:hAnsi="宋体" w:cs="宋体"/>
          <w:color w:val="000000"/>
          <w:kern w:val="0"/>
          <w:sz w:val="22"/>
        </w:rPr>
        <w:t>；</w:t>
      </w:r>
    </w:p>
    <w:p>
      <w:pPr>
        <w:adjustRightInd w:val="0"/>
        <w:snapToGrid w:val="0"/>
        <w:spacing w:line="360" w:lineRule="auto"/>
        <w:jc w:val="left"/>
        <w:rPr>
          <w:rFonts w:ascii="宋体" w:hAnsi="宋体"/>
          <w:szCs w:val="21"/>
        </w:rPr>
      </w:pPr>
      <w:r>
        <w:rPr>
          <w:rFonts w:hint="eastAsia" w:ascii="宋体" w:hAnsi="宋体"/>
          <w:szCs w:val="21"/>
        </w:rPr>
        <w:t xml:space="preserve">  *1.4</w:t>
      </w:r>
      <w:r>
        <w:rPr>
          <w:rFonts w:hint="eastAsia" w:ascii="宋体" w:hAnsi="宋体" w:cs="宋体"/>
          <w:color w:val="000000"/>
          <w:kern w:val="0"/>
          <w:sz w:val="22"/>
        </w:rPr>
        <w:t>抗弯强度</w:t>
      </w:r>
      <w:r>
        <w:rPr>
          <w:rFonts w:hint="eastAsia" w:ascii="宋体" w:hAnsi="宋体"/>
          <w:szCs w:val="21"/>
        </w:rPr>
        <w:t>≥</w:t>
      </w:r>
      <w:r>
        <w:rPr>
          <w:rFonts w:hint="eastAsia" w:ascii="宋体" w:hAnsi="宋体" w:cs="宋体"/>
          <w:color w:val="000000"/>
          <w:kern w:val="0"/>
          <w:sz w:val="22"/>
        </w:rPr>
        <w:t>80</w:t>
      </w:r>
      <w:r>
        <w:rPr>
          <w:rFonts w:ascii="Calibri" w:hAnsi="Calibri" w:cs="宋体"/>
          <w:color w:val="000000"/>
          <w:kern w:val="0"/>
          <w:szCs w:val="21"/>
        </w:rPr>
        <w:t xml:space="preserve"> N/mm</w:t>
      </w:r>
      <w:r>
        <w:rPr>
          <w:rFonts w:ascii="Calibri" w:hAnsi="Calibri" w:cs="宋体"/>
          <w:color w:val="000000"/>
          <w:kern w:val="0"/>
          <w:szCs w:val="21"/>
          <w:vertAlign w:val="superscript"/>
        </w:rPr>
        <w:t>2</w:t>
      </w:r>
      <w:r>
        <w:rPr>
          <w:rFonts w:hint="eastAsia" w:ascii="宋体" w:hAnsi="宋体" w:cs="宋体"/>
          <w:color w:val="000000"/>
          <w:kern w:val="0"/>
          <w:sz w:val="22"/>
        </w:rPr>
        <w:t xml:space="preserve">                  （试验方法ISO178</w:t>
      </w:r>
      <w:r>
        <w:rPr>
          <w:rFonts w:ascii="宋体" w:hAnsi="宋体" w:cs="宋体"/>
          <w:color w:val="000000"/>
          <w:kern w:val="0"/>
          <w:sz w:val="22"/>
        </w:rPr>
        <w:t>）</w:t>
      </w:r>
      <w:r>
        <w:rPr>
          <w:rFonts w:hint="eastAsia" w:ascii="宋体" w:hAnsi="宋体" w:cs="宋体"/>
          <w:color w:val="000000"/>
          <w:kern w:val="0"/>
          <w:sz w:val="22"/>
        </w:rPr>
        <w:t>；</w:t>
      </w:r>
    </w:p>
    <w:p>
      <w:pPr>
        <w:adjustRightInd w:val="0"/>
        <w:snapToGrid w:val="0"/>
        <w:spacing w:line="360" w:lineRule="auto"/>
        <w:jc w:val="left"/>
        <w:rPr>
          <w:rFonts w:ascii="宋体" w:hAnsi="宋体"/>
          <w:szCs w:val="21"/>
        </w:rPr>
      </w:pPr>
      <w:r>
        <w:rPr>
          <w:rFonts w:hint="eastAsia" w:ascii="宋体" w:hAnsi="宋体"/>
          <w:szCs w:val="21"/>
        </w:rPr>
        <w:t xml:space="preserve">  *1.5</w:t>
      </w:r>
      <w:r>
        <w:rPr>
          <w:rFonts w:hint="eastAsia" w:ascii="宋体" w:hAnsi="宋体" w:cs="宋体"/>
          <w:color w:val="000000"/>
          <w:kern w:val="0"/>
          <w:sz w:val="22"/>
        </w:rPr>
        <w:t>抗张强度</w:t>
      </w:r>
      <w:r>
        <w:rPr>
          <w:rFonts w:hint="eastAsia" w:ascii="宋体" w:hAnsi="宋体"/>
          <w:szCs w:val="21"/>
        </w:rPr>
        <w:t>≥</w:t>
      </w:r>
      <w:r>
        <w:rPr>
          <w:rFonts w:hint="eastAsia" w:ascii="宋体" w:hAnsi="宋体" w:cs="宋体"/>
          <w:color w:val="000000"/>
          <w:kern w:val="0"/>
          <w:sz w:val="22"/>
        </w:rPr>
        <w:t>45</w:t>
      </w:r>
      <w:r>
        <w:rPr>
          <w:rFonts w:ascii="Calibri" w:hAnsi="Calibri" w:cs="宋体"/>
          <w:color w:val="000000"/>
          <w:kern w:val="0"/>
          <w:szCs w:val="21"/>
        </w:rPr>
        <w:t xml:space="preserve"> N/mm</w:t>
      </w:r>
      <w:r>
        <w:rPr>
          <w:rFonts w:ascii="Calibri" w:hAnsi="Calibri" w:cs="宋体"/>
          <w:color w:val="000000"/>
          <w:kern w:val="0"/>
          <w:szCs w:val="21"/>
          <w:vertAlign w:val="superscript"/>
        </w:rPr>
        <w:t>2</w:t>
      </w:r>
      <w:r>
        <w:rPr>
          <w:rFonts w:hint="eastAsia" w:ascii="宋体" w:hAnsi="宋体" w:cs="宋体"/>
          <w:color w:val="000000"/>
          <w:kern w:val="0"/>
          <w:sz w:val="22"/>
        </w:rPr>
        <w:t xml:space="preserve">                 （试验方法ISO527</w:t>
      </w:r>
      <w:r>
        <w:rPr>
          <w:rFonts w:ascii="宋体" w:hAnsi="宋体" w:cs="宋体"/>
          <w:color w:val="000000"/>
          <w:kern w:val="0"/>
          <w:sz w:val="22"/>
        </w:rPr>
        <w:t>）</w:t>
      </w:r>
      <w:r>
        <w:rPr>
          <w:rFonts w:hint="eastAsia" w:ascii="宋体" w:hAnsi="宋体"/>
          <w:szCs w:val="21"/>
        </w:rPr>
        <w:t>；</w:t>
      </w:r>
    </w:p>
    <w:p>
      <w:pPr>
        <w:adjustRightInd w:val="0"/>
        <w:snapToGrid w:val="0"/>
        <w:spacing w:line="360" w:lineRule="auto"/>
        <w:jc w:val="left"/>
        <w:rPr>
          <w:rFonts w:ascii="宋体" w:hAnsi="宋体"/>
          <w:szCs w:val="21"/>
        </w:rPr>
      </w:pPr>
      <w:r>
        <w:rPr>
          <w:rFonts w:hint="eastAsia" w:ascii="宋体" w:hAnsi="宋体"/>
          <w:szCs w:val="21"/>
        </w:rPr>
        <w:t xml:space="preserve">  *1.6</w:t>
      </w:r>
      <w:r>
        <w:rPr>
          <w:rFonts w:hint="eastAsia" w:ascii="宋体" w:hAnsi="宋体" w:cs="宋体"/>
          <w:color w:val="000000"/>
          <w:kern w:val="0"/>
          <w:sz w:val="22"/>
        </w:rPr>
        <w:t>弹性系数4000</w:t>
      </w:r>
      <w:r>
        <w:rPr>
          <w:rFonts w:ascii="Calibri" w:hAnsi="Calibri" w:cs="宋体"/>
          <w:color w:val="000000"/>
          <w:kern w:val="0"/>
          <w:szCs w:val="21"/>
        </w:rPr>
        <w:t xml:space="preserve"> N/mm</w:t>
      </w:r>
      <w:r>
        <w:rPr>
          <w:rFonts w:ascii="Calibri" w:hAnsi="Calibri" w:cs="宋体"/>
          <w:color w:val="000000"/>
          <w:kern w:val="0"/>
          <w:szCs w:val="21"/>
          <w:vertAlign w:val="superscript"/>
        </w:rPr>
        <w:t>2</w:t>
      </w:r>
      <w:r>
        <w:rPr>
          <w:rFonts w:hint="eastAsia" w:ascii="宋体" w:hAnsi="宋体" w:cs="宋体"/>
          <w:color w:val="000000"/>
          <w:kern w:val="0"/>
          <w:sz w:val="22"/>
        </w:rPr>
        <w:t xml:space="preserve">                 （试验方法ISO604</w:t>
      </w:r>
      <w:r>
        <w:rPr>
          <w:rFonts w:ascii="宋体" w:hAnsi="宋体" w:cs="宋体"/>
          <w:color w:val="000000"/>
          <w:kern w:val="0"/>
          <w:sz w:val="22"/>
        </w:rPr>
        <w:t>）</w:t>
      </w:r>
      <w:r>
        <w:rPr>
          <w:rFonts w:hint="eastAsia" w:ascii="宋体" w:hAnsi="宋体"/>
          <w:szCs w:val="21"/>
        </w:rPr>
        <w:t>；</w:t>
      </w:r>
    </w:p>
    <w:p>
      <w:pPr>
        <w:adjustRightInd w:val="0"/>
        <w:snapToGrid w:val="0"/>
        <w:spacing w:line="360" w:lineRule="auto"/>
        <w:jc w:val="left"/>
        <w:rPr>
          <w:rFonts w:ascii="宋体" w:hAnsi="宋体"/>
          <w:szCs w:val="21"/>
        </w:rPr>
      </w:pPr>
      <w:r>
        <w:rPr>
          <w:rFonts w:hint="eastAsia" w:ascii="宋体" w:hAnsi="宋体"/>
          <w:szCs w:val="21"/>
        </w:rPr>
        <w:t xml:space="preserve">  *1.7</w:t>
      </w:r>
      <w:r>
        <w:rPr>
          <w:rFonts w:hint="eastAsia" w:ascii="宋体" w:hAnsi="宋体" w:cs="宋体"/>
          <w:color w:val="000000"/>
          <w:kern w:val="0"/>
          <w:sz w:val="22"/>
        </w:rPr>
        <w:t>和钢之间的摩擦系数：0.05</w:t>
      </w:r>
      <w:r>
        <w:rPr>
          <w:rFonts w:ascii="Calibri" w:hAnsi="Calibri" w:cs="宋体"/>
          <w:color w:val="000000"/>
          <w:kern w:val="0"/>
          <w:szCs w:val="21"/>
        </w:rPr>
        <w:t>μ</w:t>
      </w:r>
      <w:r>
        <w:rPr>
          <w:rFonts w:hint="eastAsia" w:ascii="宋体" w:hAnsi="宋体" w:cs="宋体"/>
          <w:color w:val="000000"/>
          <w:kern w:val="0"/>
          <w:sz w:val="22"/>
        </w:rPr>
        <w:t>（试验方法ASTMD1894</w:t>
      </w:r>
      <w:r>
        <w:rPr>
          <w:rFonts w:ascii="宋体" w:hAnsi="宋体" w:cs="宋体"/>
          <w:color w:val="000000"/>
          <w:kern w:val="0"/>
          <w:sz w:val="22"/>
        </w:rPr>
        <w:t>）</w:t>
      </w:r>
      <w:r>
        <w:rPr>
          <w:rFonts w:hint="eastAsia" w:ascii="宋体" w:hAnsi="宋体"/>
          <w:szCs w:val="21"/>
        </w:rPr>
        <w:t>；</w:t>
      </w:r>
    </w:p>
    <w:p>
      <w:pPr>
        <w:adjustRightInd w:val="0"/>
        <w:snapToGrid w:val="0"/>
        <w:spacing w:line="360" w:lineRule="auto"/>
        <w:ind w:firstLine="210" w:firstLineChars="100"/>
        <w:jc w:val="left"/>
        <w:rPr>
          <w:rFonts w:ascii="宋体" w:hAnsi="宋体" w:cs="宋体"/>
          <w:color w:val="000000"/>
          <w:kern w:val="0"/>
          <w:sz w:val="22"/>
        </w:rPr>
      </w:pPr>
      <w:r>
        <w:rPr>
          <w:rFonts w:hint="eastAsia" w:ascii="宋体" w:hAnsi="宋体"/>
          <w:szCs w:val="21"/>
        </w:rPr>
        <w:t>*1.8</w:t>
      </w:r>
      <w:r>
        <w:rPr>
          <w:rFonts w:hint="eastAsia" w:ascii="宋体" w:hAnsi="宋体" w:cs="宋体"/>
          <w:color w:val="000000"/>
          <w:kern w:val="0"/>
          <w:sz w:val="22"/>
        </w:rPr>
        <w:t>密度</w:t>
      </w:r>
      <w:r>
        <w:rPr>
          <w:rFonts w:hint="eastAsia" w:ascii="宋体" w:hAnsi="宋体"/>
          <w:highlight w:val="yellow"/>
        </w:rPr>
        <w:t>≥</w:t>
      </w:r>
      <w:r>
        <w:rPr>
          <w:rFonts w:hint="eastAsia" w:ascii="宋体" w:hAnsi="宋体" w:cs="宋体"/>
          <w:color w:val="000000"/>
          <w:kern w:val="0"/>
          <w:sz w:val="22"/>
        </w:rPr>
        <w:t>1.2</w:t>
      </w:r>
      <w:r>
        <w:rPr>
          <w:rFonts w:ascii="Calibri" w:hAnsi="Calibri" w:cs="宋体"/>
          <w:color w:val="000000"/>
          <w:kern w:val="0"/>
          <w:szCs w:val="21"/>
        </w:rPr>
        <w:t xml:space="preserve"> g/cm</w:t>
      </w:r>
      <w:r>
        <w:rPr>
          <w:rFonts w:ascii="Calibri" w:hAnsi="Calibri" w:cs="宋体"/>
          <w:color w:val="000000"/>
          <w:kern w:val="0"/>
          <w:szCs w:val="21"/>
          <w:vertAlign w:val="superscript"/>
        </w:rPr>
        <w:t>3</w:t>
      </w:r>
      <w:r>
        <w:rPr>
          <w:rFonts w:hint="eastAsia" w:ascii="宋体" w:hAnsi="宋体" w:cs="宋体"/>
          <w:color w:val="000000"/>
          <w:kern w:val="0"/>
          <w:sz w:val="22"/>
        </w:rPr>
        <w:t xml:space="preserve">                    （试验方法DIN53479）；</w:t>
      </w:r>
    </w:p>
    <w:p>
      <w:pPr>
        <w:adjustRightInd w:val="0"/>
        <w:snapToGrid w:val="0"/>
        <w:spacing w:line="360" w:lineRule="auto"/>
        <w:ind w:firstLine="210" w:firstLineChars="100"/>
        <w:jc w:val="left"/>
        <w:rPr>
          <w:rFonts w:ascii="宋体" w:hAnsi="宋体" w:cs="宋体"/>
          <w:color w:val="000000"/>
          <w:kern w:val="0"/>
          <w:sz w:val="22"/>
        </w:rPr>
      </w:pPr>
      <w:r>
        <w:rPr>
          <w:rFonts w:hint="eastAsia" w:ascii="宋体" w:hAnsi="宋体"/>
          <w:szCs w:val="21"/>
        </w:rPr>
        <w:t>*1.9</w:t>
      </w:r>
      <w:r>
        <w:rPr>
          <w:rFonts w:hint="eastAsia" w:ascii="宋体" w:hAnsi="宋体" w:cs="宋体"/>
          <w:color w:val="000000"/>
          <w:kern w:val="0"/>
          <w:sz w:val="22"/>
        </w:rPr>
        <w:t>吸水率</w:t>
      </w:r>
      <w:r>
        <w:rPr>
          <w:rFonts w:hint="eastAsia" w:ascii="宋体" w:hAnsi="宋体"/>
          <w:highlight w:val="yellow"/>
        </w:rPr>
        <w:t>≤</w:t>
      </w:r>
      <w:r>
        <w:rPr>
          <w:rFonts w:hint="eastAsia" w:ascii="宋体" w:hAnsi="宋体" w:cs="宋体"/>
          <w:color w:val="000000"/>
          <w:kern w:val="0"/>
          <w:sz w:val="22"/>
        </w:rPr>
        <w:t>0.3</w:t>
      </w:r>
      <w:r>
        <w:rPr>
          <w:rFonts w:hint="eastAsia" w:ascii="宋体" w:hAnsi="宋体" w:cs="宋体"/>
          <w:color w:val="000000"/>
          <w:kern w:val="0"/>
          <w:szCs w:val="21"/>
        </w:rPr>
        <w:t>％                        （试验方法</w:t>
      </w:r>
      <w:r>
        <w:rPr>
          <w:rFonts w:hint="eastAsia" w:ascii="宋体" w:hAnsi="宋体" w:cs="宋体"/>
          <w:color w:val="000000"/>
          <w:kern w:val="0"/>
          <w:sz w:val="22"/>
        </w:rPr>
        <w:t>DIN53495）；</w:t>
      </w:r>
    </w:p>
    <w:p>
      <w:pPr>
        <w:adjustRightInd w:val="0"/>
        <w:snapToGrid w:val="0"/>
        <w:spacing w:line="360" w:lineRule="auto"/>
        <w:ind w:firstLine="210" w:firstLineChars="100"/>
        <w:jc w:val="left"/>
        <w:rPr>
          <w:rFonts w:ascii="宋体" w:hAnsi="宋体" w:cs="宋体"/>
          <w:color w:val="000000"/>
          <w:kern w:val="0"/>
          <w:sz w:val="22"/>
        </w:rPr>
      </w:pPr>
      <w:r>
        <w:rPr>
          <w:rFonts w:hint="eastAsia" w:ascii="宋体" w:hAnsi="宋体"/>
          <w:szCs w:val="21"/>
        </w:rPr>
        <w:t>*1.10</w:t>
      </w:r>
      <w:r>
        <w:rPr>
          <w:rFonts w:hint="eastAsia" w:ascii="宋体" w:hAnsi="宋体" w:cs="宋体"/>
          <w:color w:val="000000"/>
          <w:kern w:val="0"/>
          <w:sz w:val="22"/>
        </w:rPr>
        <w:t>耐热性</w:t>
      </w:r>
      <w:r>
        <w:rPr>
          <w:rFonts w:hint="eastAsia" w:ascii="宋体" w:hAnsi="宋体"/>
          <w:szCs w:val="21"/>
        </w:rPr>
        <w:t>≥</w:t>
      </w:r>
      <w:r>
        <w:rPr>
          <w:rFonts w:hint="eastAsia" w:ascii="宋体" w:hAnsi="宋体" w:cs="宋体"/>
          <w:color w:val="000000"/>
          <w:kern w:val="0"/>
          <w:sz w:val="22"/>
        </w:rPr>
        <w:t>130</w:t>
      </w:r>
      <w:r>
        <w:rPr>
          <w:rFonts w:hint="eastAsia" w:ascii="宋体" w:hAnsi="宋体" w:cs="宋体"/>
          <w:color w:val="000000"/>
          <w:kern w:val="0"/>
          <w:szCs w:val="21"/>
        </w:rPr>
        <w:t xml:space="preserve">℃                     </w:t>
      </w:r>
      <w:r>
        <w:rPr>
          <w:rFonts w:hint="eastAsia" w:ascii="宋体" w:hAnsi="宋体" w:cs="宋体"/>
          <w:color w:val="000000"/>
          <w:kern w:val="0"/>
          <w:sz w:val="22"/>
        </w:rPr>
        <w:t>（试验方法ISO75-3）；</w:t>
      </w:r>
    </w:p>
    <w:p>
      <w:pPr>
        <w:adjustRightInd w:val="0"/>
        <w:snapToGrid w:val="0"/>
        <w:spacing w:line="360" w:lineRule="auto"/>
        <w:ind w:firstLine="210" w:firstLineChars="100"/>
        <w:jc w:val="left"/>
        <w:rPr>
          <w:rFonts w:ascii="宋体" w:hAnsi="宋体" w:cs="宋体"/>
          <w:color w:val="000000"/>
          <w:kern w:val="0"/>
          <w:sz w:val="22"/>
        </w:rPr>
      </w:pPr>
      <w:r>
        <w:rPr>
          <w:rFonts w:hint="eastAsia" w:ascii="宋体" w:hAnsi="宋体"/>
          <w:szCs w:val="21"/>
        </w:rPr>
        <w:t>*1.11</w:t>
      </w:r>
      <w:r>
        <w:rPr>
          <w:rFonts w:hint="eastAsia"/>
          <w:szCs w:val="21"/>
        </w:rPr>
        <w:t>材料选用</w:t>
      </w:r>
      <w:r>
        <w:rPr>
          <w:szCs w:val="21"/>
        </w:rPr>
        <w:t>人造纤维物+</w:t>
      </w:r>
      <w:r>
        <w:rPr>
          <w:rFonts w:hint="eastAsia"/>
          <w:szCs w:val="21"/>
        </w:rPr>
        <w:t>改良酚醛树脂</w:t>
      </w:r>
      <w:r>
        <w:rPr>
          <w:szCs w:val="21"/>
        </w:rPr>
        <w:t>+</w:t>
      </w:r>
      <w:r>
        <w:rPr>
          <w:rFonts w:hint="eastAsia"/>
          <w:szCs w:val="21"/>
        </w:rPr>
        <w:t>减摩材料；有良好的减震效果，耐磨损，安装方便，磨损下来的是粉末状，</w:t>
      </w:r>
      <w:r>
        <w:rPr>
          <w:rFonts w:hint="eastAsia" w:ascii="宋体" w:hAnsi="宋体"/>
          <w:szCs w:val="21"/>
        </w:rPr>
        <w:t>内部分子结构形式为短纤维状。</w:t>
      </w:r>
      <w:r>
        <w:rPr>
          <w:rFonts w:hint="eastAsia"/>
          <w:szCs w:val="21"/>
        </w:rPr>
        <w:t>不会造成阀孔的堵塞，润滑性能良好。</w:t>
      </w:r>
    </w:p>
    <w:p>
      <w:pPr>
        <w:adjustRightInd w:val="0"/>
        <w:snapToGrid w:val="0"/>
        <w:spacing w:line="360" w:lineRule="auto"/>
        <w:jc w:val="left"/>
        <w:rPr>
          <w:rFonts w:ascii="宋体" w:hAnsi="宋体"/>
          <w:szCs w:val="21"/>
        </w:rPr>
      </w:pPr>
      <w:r>
        <w:rPr>
          <w:rFonts w:hint="eastAsia" w:ascii="宋体" w:hAnsi="宋体"/>
          <w:szCs w:val="21"/>
        </w:rPr>
        <w:t xml:space="preserve">  *1.12质保期：3年</w:t>
      </w:r>
    </w:p>
    <w:p>
      <w:pPr>
        <w:pStyle w:val="24"/>
        <w:tabs>
          <w:tab w:val="left" w:pos="1290"/>
          <w:tab w:val="left" w:pos="1680"/>
        </w:tabs>
        <w:adjustRightInd w:val="0"/>
        <w:snapToGrid w:val="0"/>
        <w:spacing w:line="360" w:lineRule="auto"/>
        <w:rPr>
          <w:b/>
          <w:sz w:val="21"/>
          <w:szCs w:val="21"/>
        </w:rPr>
      </w:pPr>
      <w:r>
        <w:rPr>
          <w:rFonts w:hint="eastAsia"/>
          <w:b/>
          <w:sz w:val="21"/>
          <w:szCs w:val="21"/>
          <w:lang w:val="en-US" w:eastAsia="zh-CN"/>
        </w:rPr>
        <w:t>2</w:t>
      </w:r>
      <w:r>
        <w:rPr>
          <w:rFonts w:hint="eastAsia"/>
          <w:b/>
          <w:sz w:val="21"/>
          <w:szCs w:val="21"/>
        </w:rPr>
        <w:t>.招标人提出的特别技术要求</w:t>
      </w:r>
    </w:p>
    <w:p>
      <w:pPr>
        <w:pStyle w:val="24"/>
        <w:tabs>
          <w:tab w:val="left" w:pos="1290"/>
          <w:tab w:val="left" w:pos="1680"/>
        </w:tabs>
        <w:adjustRightInd w:val="0"/>
        <w:snapToGrid w:val="0"/>
        <w:spacing w:before="0" w:after="0" w:line="360" w:lineRule="auto"/>
        <w:rPr>
          <w:sz w:val="21"/>
          <w:szCs w:val="21"/>
        </w:rPr>
      </w:pPr>
      <w:r>
        <w:rPr>
          <w:rFonts w:hint="eastAsia"/>
          <w:sz w:val="21"/>
          <w:szCs w:val="21"/>
        </w:rPr>
        <w:t>*</w:t>
      </w:r>
      <w:r>
        <w:rPr>
          <w:rFonts w:hint="eastAsia"/>
          <w:sz w:val="21"/>
          <w:szCs w:val="21"/>
          <w:lang w:val="en-US" w:eastAsia="zh-CN"/>
        </w:rPr>
        <w:t>2</w:t>
      </w:r>
      <w:r>
        <w:rPr>
          <w:rFonts w:hint="eastAsia"/>
          <w:sz w:val="21"/>
          <w:szCs w:val="21"/>
        </w:rPr>
        <w:t>.1.投标厂家必须对招标文件中的技术条款逐条解释并满足工作环境；</w:t>
      </w:r>
    </w:p>
    <w:p>
      <w:pPr>
        <w:pStyle w:val="24"/>
        <w:tabs>
          <w:tab w:val="left" w:pos="1290"/>
          <w:tab w:val="left" w:pos="1680"/>
        </w:tabs>
        <w:adjustRightInd w:val="0"/>
        <w:snapToGrid w:val="0"/>
        <w:spacing w:before="0" w:after="0" w:line="360" w:lineRule="auto"/>
        <w:rPr>
          <w:sz w:val="21"/>
          <w:szCs w:val="21"/>
        </w:rPr>
      </w:pPr>
      <w:r>
        <w:rPr>
          <w:rFonts w:hint="eastAsia"/>
          <w:sz w:val="21"/>
          <w:szCs w:val="21"/>
        </w:rPr>
        <w:t>*</w:t>
      </w:r>
      <w:r>
        <w:rPr>
          <w:rFonts w:hint="eastAsia"/>
          <w:sz w:val="21"/>
          <w:szCs w:val="21"/>
          <w:lang w:val="en-US" w:eastAsia="zh-CN"/>
        </w:rPr>
        <w:t>2</w:t>
      </w:r>
      <w:r>
        <w:rPr>
          <w:rFonts w:hint="eastAsia"/>
          <w:sz w:val="21"/>
          <w:szCs w:val="21"/>
        </w:rPr>
        <w:t>.2.要求聚甲醛与夹布增强酚醛树脂两种材料按重量提供成品，成品规格由使用方提出；</w:t>
      </w:r>
    </w:p>
    <w:p>
      <w:pPr>
        <w:pStyle w:val="24"/>
        <w:tabs>
          <w:tab w:val="left" w:pos="1290"/>
          <w:tab w:val="left" w:pos="1680"/>
        </w:tabs>
        <w:adjustRightInd w:val="0"/>
        <w:snapToGrid w:val="0"/>
        <w:spacing w:before="0" w:after="0" w:line="360" w:lineRule="auto"/>
        <w:rPr>
          <w:szCs w:val="21"/>
        </w:rPr>
      </w:pPr>
      <w:r>
        <w:rPr>
          <w:rFonts w:hint="eastAsia"/>
          <w:szCs w:val="21"/>
        </w:rPr>
        <w:t>*</w:t>
      </w:r>
      <w:r>
        <w:rPr>
          <w:rFonts w:hint="eastAsia"/>
          <w:sz w:val="21"/>
          <w:szCs w:val="21"/>
          <w:lang w:val="en-US" w:eastAsia="zh-CN"/>
        </w:rPr>
        <w:t>2</w:t>
      </w:r>
      <w:r>
        <w:rPr>
          <w:rFonts w:hint="eastAsia"/>
          <w:sz w:val="21"/>
          <w:szCs w:val="21"/>
        </w:rPr>
        <w:t>.3 中标聚氨酯和丁晴橡胶厂家必须无偿提供现有两台密封加工设备的操作培训、设备易损件及加工刀具计划提报的指导、设备的维护保养。</w:t>
      </w:r>
    </w:p>
    <w:p>
      <w:pPr>
        <w:pStyle w:val="24"/>
        <w:tabs>
          <w:tab w:val="left" w:pos="1290"/>
          <w:tab w:val="left" w:pos="1680"/>
        </w:tabs>
        <w:adjustRightInd w:val="0"/>
        <w:snapToGrid w:val="0"/>
        <w:spacing w:before="0" w:after="0" w:line="360" w:lineRule="auto"/>
        <w:rPr>
          <w:sz w:val="21"/>
          <w:szCs w:val="21"/>
        </w:rPr>
      </w:pPr>
      <w:r>
        <w:rPr>
          <w:rFonts w:hint="eastAsia"/>
          <w:szCs w:val="21"/>
        </w:rPr>
        <w:t>*</w:t>
      </w:r>
      <w:r>
        <w:rPr>
          <w:rFonts w:hint="eastAsia"/>
          <w:sz w:val="21"/>
          <w:szCs w:val="21"/>
          <w:lang w:val="en-US" w:eastAsia="zh-CN"/>
        </w:rPr>
        <w:t>2.</w:t>
      </w:r>
      <w:r>
        <w:rPr>
          <w:rFonts w:hint="eastAsia"/>
          <w:sz w:val="21"/>
          <w:szCs w:val="21"/>
        </w:rPr>
        <w:t>4投标厂家需要对甲方设备维修中心人员进行免费的密封加工培训，直到维修中心密封加工人员能独立进行密封加工为止。</w:t>
      </w:r>
    </w:p>
    <w:p>
      <w:pPr>
        <w:adjustRightInd w:val="0"/>
        <w:snapToGrid w:val="0"/>
        <w:spacing w:beforeLines="100" w:afterLines="100" w:line="360" w:lineRule="auto"/>
        <w:rPr>
          <w:rFonts w:ascii="宋体" w:hAnsi="宋体"/>
          <w:b/>
          <w:szCs w:val="21"/>
        </w:rPr>
      </w:pPr>
      <w:r>
        <w:rPr>
          <w:rFonts w:hint="eastAsia" w:ascii="宋体" w:hAnsi="宋体"/>
          <w:b/>
          <w:szCs w:val="21"/>
        </w:rPr>
        <w:t>四. 需投标人提供的技术参数</w:t>
      </w:r>
    </w:p>
    <w:p>
      <w:pPr>
        <w:adjustRightInd w:val="0"/>
        <w:snapToGrid w:val="0"/>
        <w:spacing w:line="360" w:lineRule="auto"/>
        <w:rPr>
          <w:rFonts w:ascii="宋体" w:hAnsi="宋体"/>
          <w:szCs w:val="21"/>
        </w:rPr>
      </w:pPr>
      <w:r>
        <w:rPr>
          <w:rFonts w:hint="eastAsia"/>
          <w:b/>
          <w:szCs w:val="21"/>
        </w:rPr>
        <w:t>1</w:t>
      </w:r>
      <w:r>
        <w:rPr>
          <w:rFonts w:hint="eastAsia"/>
          <w:b/>
          <w:szCs w:val="21"/>
          <w:lang w:val="en-US" w:eastAsia="zh-CN"/>
        </w:rPr>
        <w:t xml:space="preserve">. </w:t>
      </w:r>
      <w:bookmarkStart w:id="3" w:name="_GoBack"/>
      <w:bookmarkEnd w:id="3"/>
      <w:r>
        <w:rPr>
          <w:rFonts w:hint="eastAsia"/>
          <w:b/>
          <w:szCs w:val="21"/>
        </w:rPr>
        <w:t>短纤维酚醛树脂材料技术要求：</w:t>
      </w:r>
    </w:p>
    <w:p>
      <w:pPr>
        <w:adjustRightInd w:val="0"/>
        <w:snapToGrid w:val="0"/>
        <w:spacing w:line="360" w:lineRule="auto"/>
        <w:ind w:firstLine="210" w:firstLineChars="100"/>
        <w:jc w:val="left"/>
        <w:rPr>
          <w:rFonts w:ascii="宋体" w:hAnsi="宋体"/>
          <w:szCs w:val="21"/>
        </w:rPr>
      </w:pPr>
      <w:r>
        <w:rPr>
          <w:rFonts w:hint="eastAsia" w:ascii="宋体" w:hAnsi="宋体"/>
          <w:szCs w:val="21"/>
        </w:rPr>
        <w:t>*1.0硬度：；</w:t>
      </w:r>
    </w:p>
    <w:p>
      <w:pPr>
        <w:adjustRightInd w:val="0"/>
        <w:snapToGrid w:val="0"/>
        <w:spacing w:line="360" w:lineRule="auto"/>
        <w:jc w:val="left"/>
        <w:rPr>
          <w:rFonts w:ascii="宋体" w:hAnsi="宋体" w:cs="宋体"/>
          <w:color w:val="000000"/>
          <w:kern w:val="0"/>
          <w:sz w:val="22"/>
        </w:rPr>
      </w:pPr>
      <w:r>
        <w:rPr>
          <w:rFonts w:hint="eastAsia" w:ascii="宋体" w:hAnsi="宋体"/>
          <w:szCs w:val="21"/>
        </w:rPr>
        <w:t xml:space="preserve">  *1.1</w:t>
      </w:r>
      <w:r>
        <w:rPr>
          <w:rFonts w:hint="eastAsia" w:ascii="宋体" w:hAnsi="宋体" w:cs="宋体"/>
          <w:color w:val="000000"/>
          <w:kern w:val="0"/>
          <w:sz w:val="22"/>
        </w:rPr>
        <w:t>和层次垂直的抗压强度</w:t>
      </w:r>
    </w:p>
    <w:p>
      <w:pPr>
        <w:adjustRightInd w:val="0"/>
        <w:snapToGrid w:val="0"/>
        <w:spacing w:line="360" w:lineRule="auto"/>
        <w:ind w:firstLine="210" w:firstLineChars="100"/>
        <w:jc w:val="left"/>
        <w:rPr>
          <w:rFonts w:ascii="宋体" w:hAnsi="宋体" w:cs="宋体"/>
          <w:color w:val="000000"/>
          <w:kern w:val="0"/>
          <w:sz w:val="22"/>
        </w:rPr>
      </w:pPr>
      <w:r>
        <w:rPr>
          <w:rFonts w:hint="eastAsia" w:ascii="宋体" w:hAnsi="宋体"/>
          <w:szCs w:val="21"/>
        </w:rPr>
        <w:t>*1.2</w:t>
      </w:r>
      <w:r>
        <w:rPr>
          <w:rFonts w:hint="eastAsia" w:ascii="宋体" w:hAnsi="宋体" w:cs="宋体"/>
          <w:color w:val="000000"/>
          <w:kern w:val="0"/>
          <w:sz w:val="22"/>
        </w:rPr>
        <w:t>和层次垂直的布氏硬度；</w:t>
      </w:r>
    </w:p>
    <w:p>
      <w:pPr>
        <w:adjustRightInd w:val="0"/>
        <w:snapToGrid w:val="0"/>
        <w:spacing w:line="360" w:lineRule="auto"/>
        <w:ind w:firstLine="210" w:firstLineChars="100"/>
        <w:jc w:val="left"/>
        <w:rPr>
          <w:rFonts w:ascii="宋体" w:hAnsi="宋体" w:cs="宋体"/>
          <w:color w:val="000000"/>
          <w:kern w:val="0"/>
          <w:sz w:val="22"/>
        </w:rPr>
      </w:pPr>
      <w:r>
        <w:rPr>
          <w:rFonts w:hint="eastAsia" w:ascii="宋体" w:hAnsi="宋体"/>
          <w:szCs w:val="21"/>
        </w:rPr>
        <w:t>*1.3</w:t>
      </w:r>
      <w:r>
        <w:rPr>
          <w:rFonts w:hint="eastAsia" w:ascii="宋体" w:hAnsi="宋体" w:cs="宋体"/>
          <w:color w:val="000000"/>
          <w:kern w:val="0"/>
          <w:sz w:val="22"/>
        </w:rPr>
        <w:t>和层次平行的布氏硬度；</w:t>
      </w:r>
    </w:p>
    <w:p>
      <w:pPr>
        <w:adjustRightInd w:val="0"/>
        <w:snapToGrid w:val="0"/>
        <w:spacing w:line="360" w:lineRule="auto"/>
        <w:jc w:val="left"/>
        <w:rPr>
          <w:rFonts w:ascii="宋体" w:hAnsi="宋体"/>
          <w:szCs w:val="21"/>
        </w:rPr>
      </w:pPr>
      <w:r>
        <w:rPr>
          <w:rFonts w:hint="eastAsia" w:ascii="宋体" w:hAnsi="宋体"/>
          <w:szCs w:val="21"/>
        </w:rPr>
        <w:t xml:space="preserve">  *1.4</w:t>
      </w:r>
      <w:r>
        <w:rPr>
          <w:rFonts w:hint="eastAsia" w:ascii="宋体" w:hAnsi="宋体" w:cs="宋体"/>
          <w:color w:val="000000"/>
          <w:kern w:val="0"/>
          <w:sz w:val="22"/>
        </w:rPr>
        <w:t>抗弯强度；</w:t>
      </w:r>
    </w:p>
    <w:p>
      <w:pPr>
        <w:adjustRightInd w:val="0"/>
        <w:snapToGrid w:val="0"/>
        <w:spacing w:line="360" w:lineRule="auto"/>
        <w:jc w:val="left"/>
        <w:rPr>
          <w:rFonts w:ascii="宋体" w:hAnsi="宋体"/>
          <w:szCs w:val="21"/>
        </w:rPr>
      </w:pPr>
      <w:r>
        <w:rPr>
          <w:rFonts w:hint="eastAsia" w:ascii="宋体" w:hAnsi="宋体"/>
          <w:szCs w:val="21"/>
        </w:rPr>
        <w:t xml:space="preserve">  *1.5</w:t>
      </w:r>
      <w:r>
        <w:rPr>
          <w:rFonts w:hint="eastAsia" w:ascii="宋体" w:hAnsi="宋体" w:cs="宋体"/>
          <w:color w:val="000000"/>
          <w:kern w:val="0"/>
          <w:sz w:val="22"/>
        </w:rPr>
        <w:t>抗张强度</w:t>
      </w:r>
      <w:r>
        <w:rPr>
          <w:rFonts w:hint="eastAsia" w:ascii="宋体" w:hAnsi="宋体"/>
          <w:szCs w:val="21"/>
        </w:rPr>
        <w:t>；</w:t>
      </w:r>
    </w:p>
    <w:p>
      <w:pPr>
        <w:adjustRightInd w:val="0"/>
        <w:snapToGrid w:val="0"/>
        <w:spacing w:line="360" w:lineRule="auto"/>
        <w:jc w:val="left"/>
        <w:rPr>
          <w:rFonts w:ascii="宋体" w:hAnsi="宋体"/>
          <w:szCs w:val="21"/>
        </w:rPr>
      </w:pPr>
      <w:r>
        <w:rPr>
          <w:rFonts w:hint="eastAsia" w:ascii="宋体" w:hAnsi="宋体"/>
          <w:szCs w:val="21"/>
        </w:rPr>
        <w:t xml:space="preserve">  *1.6</w:t>
      </w:r>
      <w:r>
        <w:rPr>
          <w:rFonts w:hint="eastAsia" w:ascii="宋体" w:hAnsi="宋体" w:cs="宋体"/>
          <w:color w:val="000000"/>
          <w:kern w:val="0"/>
          <w:sz w:val="22"/>
        </w:rPr>
        <w:t>弹性系数</w:t>
      </w:r>
      <w:r>
        <w:rPr>
          <w:rFonts w:hint="eastAsia" w:ascii="宋体" w:hAnsi="宋体"/>
          <w:szCs w:val="21"/>
        </w:rPr>
        <w:t>；</w:t>
      </w:r>
    </w:p>
    <w:p>
      <w:pPr>
        <w:adjustRightInd w:val="0"/>
        <w:snapToGrid w:val="0"/>
        <w:spacing w:line="360" w:lineRule="auto"/>
        <w:jc w:val="left"/>
        <w:rPr>
          <w:rFonts w:ascii="宋体" w:hAnsi="宋体"/>
          <w:szCs w:val="21"/>
        </w:rPr>
      </w:pPr>
      <w:r>
        <w:rPr>
          <w:rFonts w:hint="eastAsia" w:ascii="宋体" w:hAnsi="宋体"/>
          <w:szCs w:val="21"/>
        </w:rPr>
        <w:t xml:space="preserve">  *1.7</w:t>
      </w:r>
      <w:r>
        <w:rPr>
          <w:rFonts w:hint="eastAsia" w:ascii="宋体" w:hAnsi="宋体" w:cs="宋体"/>
          <w:color w:val="000000"/>
          <w:kern w:val="0"/>
          <w:sz w:val="22"/>
        </w:rPr>
        <w:t>和钢之间的摩擦系数：</w:t>
      </w:r>
      <w:r>
        <w:rPr>
          <w:rFonts w:hint="eastAsia" w:ascii="宋体" w:hAnsi="宋体"/>
          <w:szCs w:val="21"/>
        </w:rPr>
        <w:t>；</w:t>
      </w:r>
    </w:p>
    <w:p>
      <w:pPr>
        <w:adjustRightInd w:val="0"/>
        <w:snapToGrid w:val="0"/>
        <w:spacing w:line="360" w:lineRule="auto"/>
        <w:ind w:firstLine="210" w:firstLineChars="100"/>
        <w:jc w:val="left"/>
        <w:rPr>
          <w:rFonts w:ascii="宋体" w:hAnsi="宋体" w:cs="宋体"/>
          <w:color w:val="000000"/>
          <w:kern w:val="0"/>
          <w:sz w:val="22"/>
        </w:rPr>
      </w:pPr>
      <w:r>
        <w:rPr>
          <w:rFonts w:hint="eastAsia" w:ascii="宋体" w:hAnsi="宋体"/>
          <w:szCs w:val="21"/>
        </w:rPr>
        <w:t>*1.8</w:t>
      </w:r>
      <w:r>
        <w:rPr>
          <w:rFonts w:hint="eastAsia" w:ascii="宋体" w:hAnsi="宋体" w:cs="宋体"/>
          <w:color w:val="000000"/>
          <w:kern w:val="0"/>
          <w:sz w:val="22"/>
        </w:rPr>
        <w:t>密度</w:t>
      </w:r>
    </w:p>
    <w:p>
      <w:pPr>
        <w:adjustRightInd w:val="0"/>
        <w:snapToGrid w:val="0"/>
        <w:spacing w:line="360" w:lineRule="auto"/>
        <w:ind w:firstLine="210" w:firstLineChars="100"/>
        <w:jc w:val="left"/>
        <w:rPr>
          <w:rFonts w:ascii="宋体" w:hAnsi="宋体" w:cs="宋体"/>
          <w:color w:val="000000"/>
          <w:kern w:val="0"/>
          <w:sz w:val="22"/>
          <w:u w:val="single"/>
        </w:rPr>
      </w:pPr>
      <w:r>
        <w:rPr>
          <w:rFonts w:hint="eastAsia" w:ascii="宋体" w:hAnsi="宋体"/>
          <w:szCs w:val="21"/>
        </w:rPr>
        <w:t>*1.9</w:t>
      </w:r>
      <w:r>
        <w:rPr>
          <w:rFonts w:hint="eastAsia" w:ascii="宋体" w:hAnsi="宋体" w:cs="宋体"/>
          <w:color w:val="000000"/>
          <w:kern w:val="0"/>
          <w:sz w:val="22"/>
        </w:rPr>
        <w:t>吸水率</w:t>
      </w:r>
    </w:p>
    <w:p>
      <w:pPr>
        <w:adjustRightInd w:val="0"/>
        <w:snapToGrid w:val="0"/>
        <w:spacing w:line="360" w:lineRule="auto"/>
        <w:ind w:firstLine="210" w:firstLineChars="100"/>
        <w:jc w:val="left"/>
        <w:rPr>
          <w:rFonts w:ascii="宋体" w:hAnsi="宋体" w:cs="宋体"/>
          <w:color w:val="000000"/>
          <w:kern w:val="0"/>
          <w:sz w:val="22"/>
        </w:rPr>
      </w:pPr>
      <w:r>
        <w:rPr>
          <w:rFonts w:hint="eastAsia" w:ascii="宋体" w:hAnsi="宋体"/>
          <w:szCs w:val="21"/>
        </w:rPr>
        <w:t>*1.10</w:t>
      </w:r>
      <w:r>
        <w:rPr>
          <w:rFonts w:hint="eastAsia" w:ascii="宋体" w:hAnsi="宋体" w:cs="宋体"/>
          <w:color w:val="000000"/>
          <w:kern w:val="0"/>
          <w:sz w:val="22"/>
        </w:rPr>
        <w:t>耐热性</w:t>
      </w:r>
    </w:p>
    <w:p>
      <w:pPr>
        <w:adjustRightInd w:val="0"/>
        <w:snapToGrid w:val="0"/>
        <w:spacing w:line="360" w:lineRule="auto"/>
        <w:jc w:val="left"/>
        <w:rPr>
          <w:rFonts w:ascii="宋体" w:hAnsi="宋体"/>
          <w:szCs w:val="21"/>
        </w:rPr>
      </w:pPr>
      <w:r>
        <w:rPr>
          <w:rFonts w:hint="eastAsia" w:ascii="宋体" w:hAnsi="宋体"/>
          <w:szCs w:val="21"/>
        </w:rPr>
        <w:t xml:space="preserve">  *1.11质保期：年</w:t>
      </w:r>
    </w:p>
    <w:p>
      <w:pPr>
        <w:pStyle w:val="21"/>
        <w:ind w:firstLine="1928" w:firstLineChars="600"/>
        <w:jc w:val="both"/>
        <w:rPr>
          <w:rFonts w:ascii="黑体" w:hAnsi="宋体"/>
          <w:b/>
          <w:sz w:val="32"/>
          <w:szCs w:val="32"/>
        </w:rPr>
      </w:pPr>
      <w:bookmarkStart w:id="2" w:name="_Toc357086144"/>
      <w:r>
        <w:rPr>
          <w:rFonts w:hint="eastAsia" w:ascii="黑体" w:hAnsi="宋体"/>
          <w:b/>
          <w:sz w:val="32"/>
          <w:szCs w:val="32"/>
        </w:rPr>
        <w:t xml:space="preserve">第二节 </w:t>
      </w:r>
      <w:bookmarkEnd w:id="2"/>
      <w:r>
        <w:rPr>
          <w:rFonts w:hint="eastAsia" w:ascii="黑体" w:hAnsi="宋体"/>
          <w:b/>
          <w:sz w:val="32"/>
          <w:szCs w:val="32"/>
        </w:rPr>
        <w:t>出厂前检验与交货验收</w:t>
      </w:r>
    </w:p>
    <w:p>
      <w:pPr>
        <w:adjustRightInd w:val="0"/>
        <w:snapToGrid w:val="0"/>
        <w:spacing w:line="360" w:lineRule="auto"/>
        <w:jc w:val="center"/>
        <w:rPr>
          <w:rFonts w:ascii="宋体" w:hAnsi="宋体"/>
          <w:sz w:val="24"/>
        </w:rPr>
      </w:pPr>
    </w:p>
    <w:p>
      <w:pPr>
        <w:adjustRightInd w:val="0"/>
        <w:snapToGrid w:val="0"/>
        <w:spacing w:line="360" w:lineRule="auto"/>
        <w:ind w:firstLine="105" w:firstLineChars="50"/>
        <w:rPr>
          <w:rFonts w:ascii="宋体" w:hAnsi="宋体"/>
          <w:szCs w:val="21"/>
        </w:rPr>
      </w:pPr>
      <w:r>
        <w:rPr>
          <w:rFonts w:hint="eastAsia" w:ascii="宋体" w:hAnsi="宋体"/>
          <w:szCs w:val="21"/>
        </w:rPr>
        <w:t>1.  密封材料</w:t>
      </w:r>
      <w:r>
        <w:rPr>
          <w:rFonts w:ascii="宋体" w:hAnsi="宋体"/>
          <w:szCs w:val="21"/>
        </w:rPr>
        <w:t>的检验和试验应在供货商的车间完成，检验和试验包括以下内容：</w:t>
      </w:r>
    </w:p>
    <w:p>
      <w:pPr>
        <w:adjustRightInd w:val="0"/>
        <w:snapToGrid w:val="0"/>
        <w:spacing w:line="360" w:lineRule="auto"/>
        <w:ind w:firstLine="210" w:firstLineChars="100"/>
        <w:rPr>
          <w:rFonts w:ascii="宋体" w:hAnsi="宋体"/>
          <w:szCs w:val="21"/>
        </w:rPr>
      </w:pPr>
      <w:r>
        <w:rPr>
          <w:rFonts w:hint="eastAsia" w:ascii="宋体" w:hAnsi="宋体"/>
          <w:szCs w:val="21"/>
        </w:rPr>
        <w:t>1.1包装检验：根据密封材料的种类、形状、尺寸、精度、防腐确定。非散装的材料应包装应完整。</w:t>
      </w:r>
    </w:p>
    <w:p>
      <w:pPr>
        <w:adjustRightInd w:val="0"/>
        <w:snapToGrid w:val="0"/>
        <w:spacing w:line="360" w:lineRule="auto"/>
        <w:ind w:firstLine="210" w:firstLineChars="100"/>
        <w:rPr>
          <w:rFonts w:ascii="宋体" w:hAnsi="宋体"/>
          <w:szCs w:val="21"/>
        </w:rPr>
      </w:pPr>
      <w:r>
        <w:rPr>
          <w:rFonts w:hint="eastAsia" w:ascii="宋体" w:hAnsi="宋体"/>
          <w:szCs w:val="21"/>
        </w:rPr>
        <w:t>1.2标志检验：每件密封材料的外包装至少应标有：材料型号、标准号、规格、批号、检验号、净重、制造厂名称、厂址、生产日期。</w:t>
      </w:r>
    </w:p>
    <w:p>
      <w:pPr>
        <w:adjustRightInd w:val="0"/>
        <w:snapToGrid w:val="0"/>
        <w:spacing w:line="360" w:lineRule="auto"/>
        <w:ind w:firstLine="210" w:firstLineChars="100"/>
        <w:rPr>
          <w:rFonts w:ascii="宋体" w:hAnsi="宋体"/>
          <w:szCs w:val="21"/>
        </w:rPr>
      </w:pPr>
      <w:r>
        <w:rPr>
          <w:rFonts w:hint="eastAsia" w:ascii="宋体" w:hAnsi="宋体"/>
          <w:szCs w:val="21"/>
        </w:rPr>
        <w:t>1.3规格尺寸的检验：</w:t>
      </w:r>
    </w:p>
    <w:p>
      <w:pPr>
        <w:adjustRightInd w:val="0"/>
        <w:snapToGrid w:val="0"/>
        <w:spacing w:line="360" w:lineRule="auto"/>
        <w:rPr>
          <w:rFonts w:ascii="宋体" w:hAnsi="宋体"/>
          <w:szCs w:val="21"/>
        </w:rPr>
      </w:pPr>
      <w:r>
        <w:rPr>
          <w:rFonts w:hint="eastAsia" w:ascii="宋体" w:hAnsi="宋体"/>
          <w:szCs w:val="21"/>
        </w:rPr>
        <w:t>对密封筒料主要部位直径进行测量，并满足下表规定：</w:t>
      </w:r>
    </w:p>
    <w:tbl>
      <w:tblPr>
        <w:tblStyle w:val="19"/>
        <w:tblW w:w="5713"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4"/>
        <w:gridCol w:w="3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2044" w:type="dxa"/>
            <w:vAlign w:val="center"/>
          </w:tcPr>
          <w:p>
            <w:pPr>
              <w:adjustRightInd w:val="0"/>
              <w:snapToGrid w:val="0"/>
              <w:spacing w:line="360" w:lineRule="auto"/>
              <w:jc w:val="center"/>
              <w:rPr>
                <w:rFonts w:ascii="宋体" w:hAnsi="宋体"/>
                <w:szCs w:val="21"/>
              </w:rPr>
            </w:pPr>
            <w:r>
              <w:rPr>
                <w:rFonts w:hint="eastAsia" w:ascii="宋体" w:hAnsi="宋体"/>
                <w:szCs w:val="21"/>
              </w:rPr>
              <w:t>筒料直径（mm）</w:t>
            </w:r>
          </w:p>
        </w:tc>
        <w:tc>
          <w:tcPr>
            <w:tcW w:w="3669" w:type="dxa"/>
            <w:vAlign w:val="center"/>
          </w:tcPr>
          <w:p>
            <w:pPr>
              <w:adjustRightInd w:val="0"/>
              <w:snapToGrid w:val="0"/>
              <w:spacing w:line="360" w:lineRule="auto"/>
              <w:jc w:val="center"/>
              <w:rPr>
                <w:rFonts w:ascii="宋体" w:hAnsi="宋体"/>
                <w:szCs w:val="21"/>
              </w:rPr>
            </w:pPr>
            <w:r>
              <w:rPr>
                <w:rFonts w:hint="eastAsia" w:ascii="宋体" w:hAnsi="宋体"/>
                <w:szCs w:val="21"/>
              </w:rPr>
              <w:t>所有规格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6" w:hRule="atLeast"/>
        </w:trPr>
        <w:tc>
          <w:tcPr>
            <w:tcW w:w="2044" w:type="dxa"/>
            <w:vAlign w:val="center"/>
          </w:tcPr>
          <w:p>
            <w:pPr>
              <w:adjustRightInd w:val="0"/>
              <w:snapToGrid w:val="0"/>
              <w:spacing w:line="360" w:lineRule="auto"/>
              <w:jc w:val="center"/>
              <w:rPr>
                <w:rFonts w:ascii="宋体" w:hAnsi="宋体"/>
                <w:szCs w:val="21"/>
              </w:rPr>
            </w:pPr>
            <w:r>
              <w:rPr>
                <w:rFonts w:hint="eastAsia" w:ascii="宋体" w:hAnsi="宋体"/>
                <w:szCs w:val="21"/>
              </w:rPr>
              <w:t>极限偏差（mm）</w:t>
            </w:r>
          </w:p>
        </w:tc>
        <w:tc>
          <w:tcPr>
            <w:tcW w:w="3669" w:type="dxa"/>
            <w:vAlign w:val="center"/>
          </w:tcPr>
          <w:p>
            <w:pPr>
              <w:adjustRightInd w:val="0"/>
              <w:snapToGrid w:val="0"/>
              <w:spacing w:line="360" w:lineRule="auto"/>
              <w:jc w:val="center"/>
              <w:rPr>
                <w:rFonts w:ascii="宋体" w:hAnsi="宋体"/>
                <w:szCs w:val="21"/>
              </w:rPr>
            </w:pPr>
            <w:r>
              <w:rPr>
                <w:rFonts w:hint="eastAsia" w:ascii="宋体" w:hAnsi="宋体"/>
                <w:szCs w:val="21"/>
              </w:rPr>
              <w:t>±1</w:t>
            </w:r>
          </w:p>
        </w:tc>
      </w:tr>
    </w:tbl>
    <w:p>
      <w:pPr>
        <w:adjustRightInd w:val="0"/>
        <w:snapToGrid w:val="0"/>
        <w:spacing w:line="360" w:lineRule="auto"/>
        <w:ind w:firstLine="210" w:firstLineChars="100"/>
        <w:rPr>
          <w:rFonts w:ascii="宋体" w:hAnsi="宋体"/>
          <w:szCs w:val="21"/>
        </w:rPr>
      </w:pPr>
      <w:r>
        <w:rPr>
          <w:rFonts w:hint="eastAsia" w:ascii="宋体" w:hAnsi="宋体"/>
          <w:szCs w:val="21"/>
        </w:rPr>
        <w:t>1.4外形检验：主要是对材料外观形状、表面缺陷的检验。</w:t>
      </w:r>
    </w:p>
    <w:p>
      <w:pPr>
        <w:adjustRightInd w:val="0"/>
        <w:snapToGrid w:val="0"/>
        <w:spacing w:line="360" w:lineRule="auto"/>
        <w:ind w:firstLine="210" w:firstLineChars="100"/>
        <w:rPr>
          <w:rFonts w:ascii="宋体" w:hAnsi="宋体"/>
          <w:szCs w:val="21"/>
        </w:rPr>
      </w:pPr>
      <w:r>
        <w:rPr>
          <w:rFonts w:hint="eastAsia" w:ascii="宋体" w:hAnsi="宋体"/>
          <w:szCs w:val="21"/>
        </w:rPr>
        <w:t>1.5外形检验的方法</w:t>
      </w:r>
    </w:p>
    <w:p>
      <w:pPr>
        <w:adjustRightInd w:val="0"/>
        <w:snapToGrid w:val="0"/>
        <w:spacing w:line="360" w:lineRule="auto"/>
        <w:ind w:firstLine="315" w:firstLineChars="150"/>
        <w:rPr>
          <w:rFonts w:ascii="宋体" w:hAnsi="宋体"/>
          <w:szCs w:val="21"/>
        </w:rPr>
      </w:pPr>
      <w:r>
        <w:rPr>
          <w:rFonts w:hint="eastAsia" w:ascii="宋体" w:hAnsi="宋体"/>
          <w:szCs w:val="21"/>
        </w:rPr>
        <w:t>(1)目视能检验的外观不良，采用目视检验的方法进行检验；</w:t>
      </w:r>
    </w:p>
    <w:p>
      <w:pPr>
        <w:adjustRightInd w:val="0"/>
        <w:snapToGrid w:val="0"/>
        <w:spacing w:line="360" w:lineRule="auto"/>
        <w:ind w:firstLine="315" w:firstLineChars="150"/>
        <w:rPr>
          <w:rFonts w:ascii="宋体" w:hAnsi="宋体"/>
          <w:szCs w:val="21"/>
        </w:rPr>
      </w:pPr>
      <w:r>
        <w:rPr>
          <w:rFonts w:hint="eastAsia" w:ascii="宋体" w:hAnsi="宋体"/>
          <w:szCs w:val="21"/>
        </w:rPr>
        <w:t>(2)针对后工序精度要求较高，目视不易检测的外形要求，借助合适的量具进行测量（如椭圆度及薄厚度可使用卡尺量测）。</w:t>
      </w:r>
    </w:p>
    <w:p>
      <w:pPr>
        <w:adjustRightInd w:val="0"/>
        <w:snapToGrid w:val="0"/>
        <w:spacing w:line="360" w:lineRule="auto"/>
        <w:ind w:firstLine="105" w:firstLineChars="50"/>
        <w:rPr>
          <w:rFonts w:ascii="宋体" w:hAnsi="宋体"/>
          <w:szCs w:val="21"/>
        </w:rPr>
      </w:pPr>
      <w:r>
        <w:rPr>
          <w:rFonts w:hint="eastAsia" w:ascii="宋体" w:hAnsi="宋体"/>
          <w:szCs w:val="21"/>
        </w:rPr>
        <w:t>2.密封材料到货应提供材料质量证明书（原件或复印件）。</w:t>
      </w:r>
    </w:p>
    <w:p>
      <w:pPr>
        <w:adjustRightInd w:val="0"/>
        <w:snapToGrid w:val="0"/>
        <w:spacing w:line="360" w:lineRule="auto"/>
        <w:ind w:firstLine="105" w:firstLineChars="50"/>
        <w:rPr>
          <w:rFonts w:ascii="宋体" w:hAnsi="宋体"/>
          <w:szCs w:val="21"/>
        </w:rPr>
      </w:pPr>
      <w:r>
        <w:rPr>
          <w:rFonts w:hint="eastAsia" w:ascii="宋体" w:hAnsi="宋体"/>
          <w:szCs w:val="21"/>
        </w:rPr>
        <w:t>3.密封材料到达交货现场后，双方进行验收，符合合同要求，招标人出据验收证明并由中标人确认。验收标准为合同规定的要求和相关标准、中国国家标准、规范以及国际标准和双方认可的标准。</w:t>
      </w: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adjustRightInd w:val="0"/>
        <w:snapToGrid w:val="0"/>
        <w:spacing w:line="360" w:lineRule="auto"/>
        <w:ind w:firstLine="105" w:firstLineChars="50"/>
        <w:rPr>
          <w:rFonts w:ascii="宋体" w:hAnsi="宋体"/>
          <w:szCs w:val="21"/>
        </w:rPr>
      </w:pPr>
    </w:p>
    <w:p>
      <w:pPr>
        <w:pStyle w:val="21"/>
        <w:spacing w:beforeLines="50" w:afterLines="50" w:line="360" w:lineRule="auto"/>
        <w:jc w:val="center"/>
        <w:outlineLvl w:val="9"/>
        <w:rPr>
          <w:rFonts w:ascii="宋体" w:hAnsi="宋体" w:eastAsia="宋体"/>
          <w:b/>
          <w:sz w:val="24"/>
          <w:szCs w:val="24"/>
        </w:rPr>
      </w:pPr>
      <w:r>
        <w:rPr>
          <w:rFonts w:hint="eastAsia" w:ascii="黑体" w:hAnsi="黑体" w:cs="Times New Roman"/>
          <w:b/>
          <w:bCs/>
          <w:sz w:val="32"/>
          <w:szCs w:val="24"/>
        </w:rPr>
        <w:t>第三节 质量保证</w:t>
      </w:r>
    </w:p>
    <w:p>
      <w:pPr>
        <w:spacing w:line="360" w:lineRule="auto"/>
        <w:ind w:firstLine="420" w:firstLineChars="200"/>
      </w:pPr>
      <w:r>
        <w:rPr>
          <w:rFonts w:hint="eastAsia"/>
        </w:rPr>
        <w:t>对由于质量问题而引起的事故，中标人应进一步对此负责。专用合同条款对质保有特殊规定的服从其规定。</w:t>
      </w:r>
    </w:p>
    <w:p>
      <w:pPr>
        <w:widowControl/>
        <w:jc w:val="left"/>
      </w:pPr>
      <w:r>
        <w:br w:type="page"/>
      </w:r>
    </w:p>
    <w:p>
      <w:pPr>
        <w:pStyle w:val="21"/>
        <w:spacing w:beforeLines="50" w:afterLines="50" w:line="360" w:lineRule="auto"/>
        <w:jc w:val="center"/>
        <w:outlineLvl w:val="9"/>
        <w:rPr>
          <w:rFonts w:ascii="黑体" w:hAnsi="黑体" w:cs="Times New Roman"/>
          <w:b/>
          <w:bCs/>
          <w:sz w:val="32"/>
          <w:szCs w:val="24"/>
        </w:rPr>
      </w:pPr>
      <w:r>
        <w:rPr>
          <w:rFonts w:hint="eastAsia" w:ascii="黑体" w:hAnsi="黑体" w:cs="Times New Roman"/>
          <w:b/>
          <w:bCs/>
          <w:sz w:val="32"/>
          <w:szCs w:val="24"/>
        </w:rPr>
        <w:t>第四节 标准</w:t>
      </w:r>
    </w:p>
    <w:p>
      <w:pPr>
        <w:pStyle w:val="24"/>
        <w:tabs>
          <w:tab w:val="left" w:pos="1290"/>
          <w:tab w:val="left" w:pos="1680"/>
        </w:tabs>
        <w:adjustRightInd w:val="0"/>
        <w:snapToGrid w:val="0"/>
        <w:spacing w:before="120" w:after="0" w:line="360" w:lineRule="auto"/>
        <w:rPr>
          <w:sz w:val="21"/>
          <w:szCs w:val="21"/>
        </w:rPr>
      </w:pPr>
      <w:r>
        <w:rPr>
          <w:rFonts w:hint="eastAsia"/>
          <w:sz w:val="21"/>
          <w:szCs w:val="21"/>
        </w:rPr>
        <w:t>4.</w:t>
      </w:r>
      <w:r>
        <w:rPr>
          <w:sz w:val="21"/>
          <w:szCs w:val="21"/>
        </w:rPr>
        <w:t>1.所供应的货物将按下列标准（推荐）进行设计和制造</w:t>
      </w:r>
    </w:p>
    <w:p>
      <w:pPr>
        <w:pStyle w:val="34"/>
        <w:adjustRightInd w:val="0"/>
        <w:snapToGrid w:val="0"/>
        <w:spacing w:line="360" w:lineRule="auto"/>
        <w:ind w:firstLine="567" w:firstLineChars="270"/>
        <w:rPr>
          <w:rFonts w:asciiTheme="minorEastAsia" w:hAnsiTheme="minorEastAsia" w:eastAsiaTheme="minorEastAsia"/>
          <w:szCs w:val="21"/>
        </w:rPr>
      </w:pPr>
      <w:r>
        <w:rPr>
          <w:rFonts w:asciiTheme="minorEastAsia" w:hAnsiTheme="minorEastAsia" w:eastAsiaTheme="minorEastAsia"/>
          <w:szCs w:val="21"/>
        </w:rPr>
        <w:t xml:space="preserve">机械: </w:t>
      </w:r>
      <w:r>
        <w:rPr>
          <w:rFonts w:hint="eastAsia" w:asciiTheme="minorEastAsia" w:hAnsiTheme="minorEastAsia" w:eastAsiaTheme="minorEastAsia"/>
          <w:szCs w:val="21"/>
        </w:rPr>
        <w:t>DIN-53505邵尔</w:t>
      </w:r>
      <w:r>
        <w:rPr>
          <w:rFonts w:asciiTheme="minorEastAsia" w:hAnsiTheme="minorEastAsia" w:eastAsiaTheme="minorEastAsia"/>
          <w:szCs w:val="21"/>
        </w:rPr>
        <w:t>A及邵尔D橡胶硬度试验</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szCs w:val="21"/>
        </w:rPr>
        <w:t>DIN 53504-1994硫化橡胶的拉伸试验方法</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szCs w:val="21"/>
        </w:rPr>
        <w:t>DIN EN ISO 34-1:2004硫化或热塑性橡胶—撕裂强度的测定</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szCs w:val="21"/>
        </w:rPr>
        <w:t>DIN ISO 815:1991硫化橡胶、热塑性橡胶 在常温、高温和低温下压缩永久变</w:t>
      </w:r>
    </w:p>
    <w:p>
      <w:pPr>
        <w:adjustRightInd w:val="0"/>
        <w:snapToGrid w:val="0"/>
        <w:spacing w:line="360" w:lineRule="auto"/>
        <w:ind w:firstLine="2877" w:firstLineChars="1370"/>
        <w:rPr>
          <w:rFonts w:asciiTheme="minorEastAsia" w:hAnsiTheme="minorEastAsia" w:eastAsiaTheme="minorEastAsia"/>
          <w:szCs w:val="21"/>
        </w:rPr>
      </w:pPr>
      <w:r>
        <w:rPr>
          <w:rFonts w:hint="eastAsia" w:asciiTheme="minorEastAsia" w:hAnsiTheme="minorEastAsia" w:eastAsiaTheme="minorEastAsia"/>
          <w:szCs w:val="21"/>
        </w:rPr>
        <w:t>形测定</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szCs w:val="21"/>
        </w:rPr>
        <w:t>DIN 53512-2000硫化橡胶回弹性的测定</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szCs w:val="21"/>
        </w:rPr>
        <w:t>ASTM D5963-2004硫化橡胶耐磨性能的测定</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GB/T531.1-2008 硫化橡胶或热塑性橡胶压入硬度试验方法</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533-2008 硫化橡胶或热塑性橡胶 密度的测定</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528-2009 硫化橡胶或热塑性橡胶 拉伸应力应变性能的测</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529-2008硫化橡胶或热塑性橡胶撕裂强度的测定</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7759</w:t>
      </w:r>
      <w:r>
        <w:rPr>
          <w:rFonts w:hint="eastAsia" w:asciiTheme="minorEastAsia" w:hAnsiTheme="minorEastAsia" w:eastAsiaTheme="minorEastAsia"/>
          <w:szCs w:val="21"/>
        </w:rPr>
        <w:t>.1</w:t>
      </w:r>
      <w:r>
        <w:rPr>
          <w:rFonts w:asciiTheme="minorEastAsia" w:hAnsiTheme="minorEastAsia" w:eastAsiaTheme="minorEastAsia"/>
          <w:szCs w:val="21"/>
        </w:rPr>
        <w:t>-</w:t>
      </w:r>
      <w:r>
        <w:rPr>
          <w:rFonts w:hint="eastAsia" w:asciiTheme="minorEastAsia" w:hAnsiTheme="minorEastAsia" w:eastAsiaTheme="minorEastAsia"/>
          <w:szCs w:val="21"/>
        </w:rPr>
        <w:t>2015硫化橡胶、热塑性橡胶 常温、高温和低温下压缩永久变形、</w:t>
      </w:r>
    </w:p>
    <w:p>
      <w:pPr>
        <w:adjustRightInd w:val="0"/>
        <w:snapToGrid w:val="0"/>
        <w:spacing w:line="360" w:lineRule="auto"/>
        <w:ind w:firstLine="2877" w:firstLineChars="1370"/>
        <w:rPr>
          <w:rFonts w:asciiTheme="minorEastAsia" w:hAnsiTheme="minorEastAsia" w:eastAsiaTheme="minorEastAsia"/>
          <w:szCs w:val="21"/>
        </w:rPr>
      </w:pPr>
      <w:r>
        <w:rPr>
          <w:rFonts w:hint="eastAsia" w:asciiTheme="minorEastAsia" w:hAnsiTheme="minorEastAsia" w:eastAsiaTheme="minorEastAsia"/>
          <w:szCs w:val="21"/>
        </w:rPr>
        <w:t>测定</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3512-20</w:t>
      </w:r>
      <w:r>
        <w:rPr>
          <w:rFonts w:hint="eastAsia" w:asciiTheme="minorEastAsia" w:hAnsiTheme="minorEastAsia" w:eastAsiaTheme="minorEastAsia"/>
          <w:szCs w:val="21"/>
        </w:rPr>
        <w:t xml:space="preserve">14 </w:t>
      </w:r>
      <w:r>
        <w:rPr>
          <w:rFonts w:asciiTheme="minorEastAsia" w:hAnsiTheme="minorEastAsia" w:eastAsiaTheme="minorEastAsia"/>
          <w:szCs w:val="21"/>
        </w:rPr>
        <w:t>硫化橡胶或热塑性橡胶热空气加速老化和耐热试验</w:t>
      </w:r>
    </w:p>
    <w:p>
      <w:pPr>
        <w:adjustRightInd w:val="0"/>
        <w:snapToGrid w:val="0"/>
        <w:spacing w:line="360" w:lineRule="auto"/>
        <w:ind w:firstLine="1197" w:firstLineChars="570"/>
        <w:rPr>
          <w:rFonts w:asciiTheme="minorEastAsia" w:hAnsiTheme="minorEastAsia" w:eastAsiaTheme="minorEastAsia"/>
          <w:szCs w:val="21"/>
        </w:rPr>
      </w:pPr>
      <w:r>
        <w:rPr>
          <w:rFonts w:asciiTheme="minorEastAsia" w:hAnsiTheme="minorEastAsia" w:eastAsiaTheme="minorEastAsia"/>
          <w:szCs w:val="21"/>
        </w:rPr>
        <w:t>GB/T 1690-2010 硫化橡胶或热塑性橡胶 耐液体试验方法</w:t>
      </w:r>
    </w:p>
    <w:p>
      <w:pPr>
        <w:adjustRightInd w:val="0"/>
        <w:snapToGrid w:val="0"/>
        <w:spacing w:line="360" w:lineRule="auto"/>
        <w:ind w:firstLine="1197" w:firstLineChars="570"/>
        <w:rPr>
          <w:rFonts w:asciiTheme="minorEastAsia" w:hAnsiTheme="minorEastAsia" w:eastAsiaTheme="minorEastAsia"/>
          <w:szCs w:val="21"/>
        </w:rPr>
      </w:pPr>
      <w:r>
        <w:rPr>
          <w:rFonts w:hint="eastAsia" w:asciiTheme="minorEastAsia" w:hAnsiTheme="minorEastAsia" w:eastAsiaTheme="minorEastAsia"/>
        </w:rPr>
        <w:t>HG/T 3326-2007 采煤综合机械化设备橡胶密封件用胶料</w:t>
      </w:r>
    </w:p>
    <w:p>
      <w:pPr>
        <w:pStyle w:val="24"/>
        <w:tabs>
          <w:tab w:val="left" w:pos="550"/>
        </w:tabs>
        <w:adjustRightInd w:val="0"/>
        <w:snapToGrid w:val="0"/>
        <w:spacing w:line="360" w:lineRule="auto"/>
        <w:ind w:firstLine="420" w:firstLineChars="200"/>
        <w:rPr>
          <w:sz w:val="21"/>
          <w:szCs w:val="21"/>
        </w:rPr>
      </w:pPr>
    </w:p>
    <w:p>
      <w:pPr>
        <w:pStyle w:val="24"/>
        <w:tabs>
          <w:tab w:val="left" w:pos="1290"/>
          <w:tab w:val="left" w:pos="1680"/>
        </w:tabs>
        <w:adjustRightInd w:val="0"/>
        <w:snapToGrid w:val="0"/>
        <w:spacing w:line="360" w:lineRule="auto"/>
        <w:rPr>
          <w:sz w:val="21"/>
          <w:szCs w:val="21"/>
        </w:rPr>
      </w:pPr>
      <w:r>
        <w:rPr>
          <w:rFonts w:hint="eastAsia"/>
          <w:sz w:val="21"/>
          <w:szCs w:val="21"/>
        </w:rPr>
        <w:t>4.</w:t>
      </w:r>
      <w:r>
        <w:rPr>
          <w:sz w:val="21"/>
          <w:szCs w:val="21"/>
        </w:rPr>
        <w:t>2.</w:t>
      </w:r>
      <w:r>
        <w:rPr>
          <w:rFonts w:hint="eastAsia"/>
          <w:sz w:val="21"/>
          <w:szCs w:val="21"/>
        </w:rPr>
        <w:t xml:space="preserve"> 货物</w:t>
      </w:r>
      <w:r>
        <w:rPr>
          <w:sz w:val="21"/>
          <w:szCs w:val="21"/>
        </w:rPr>
        <w:t>的设计与制造要求采用国际公制单位。</w:t>
      </w:r>
    </w:p>
    <w:p>
      <w:pPr>
        <w:pStyle w:val="24"/>
        <w:tabs>
          <w:tab w:val="left" w:pos="1290"/>
          <w:tab w:val="left" w:pos="1680"/>
        </w:tabs>
        <w:adjustRightInd w:val="0"/>
        <w:snapToGrid w:val="0"/>
        <w:spacing w:line="360" w:lineRule="auto"/>
      </w:pPr>
      <w:r>
        <w:rPr>
          <w:rFonts w:hint="eastAsia"/>
          <w:sz w:val="21"/>
          <w:szCs w:val="21"/>
        </w:rPr>
        <w:t>4.3.</w:t>
      </w:r>
      <w:r>
        <w:rPr>
          <w:sz w:val="21"/>
          <w:szCs w:val="21"/>
        </w:rPr>
        <w:t xml:space="preserve"> 上述标准均应为</w:t>
      </w:r>
      <w:r>
        <w:rPr>
          <w:rFonts w:hint="eastAsia"/>
          <w:sz w:val="21"/>
          <w:szCs w:val="21"/>
        </w:rPr>
        <w:t>投</w:t>
      </w:r>
      <w:r>
        <w:rPr>
          <w:sz w:val="21"/>
          <w:szCs w:val="21"/>
        </w:rPr>
        <w:t>标截止日时的最新有效版</w:t>
      </w:r>
      <w:r>
        <w:rPr>
          <w:rFonts w:hint="eastAsia"/>
          <w:sz w:val="21"/>
          <w:szCs w:val="21"/>
        </w:rPr>
        <w:t>。</w:t>
      </w:r>
    </w:p>
    <w:p>
      <w:pPr>
        <w:spacing w:line="500" w:lineRule="exact"/>
        <w:rPr>
          <w:rFonts w:ascii="宋体" w:hAnsi="宋体"/>
          <w:sz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Arial">
    <w:panose1 w:val="020B0604020202020204"/>
    <w:charset w:val="00"/>
    <w:family w:val="swiss"/>
    <w:pitch w:val="default"/>
    <w:sig w:usb0="00007A87" w:usb1="80000000" w:usb2="00000008"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29A6F8"/>
    <w:multiLevelType w:val="singleLevel"/>
    <w:tmpl w:val="5529A6F8"/>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4AED"/>
    <w:rsid w:val="0000143E"/>
    <w:rsid w:val="000051A9"/>
    <w:rsid w:val="00006C6F"/>
    <w:rsid w:val="00015381"/>
    <w:rsid w:val="00021A03"/>
    <w:rsid w:val="00022F21"/>
    <w:rsid w:val="0002673A"/>
    <w:rsid w:val="000322DD"/>
    <w:rsid w:val="00033190"/>
    <w:rsid w:val="00034491"/>
    <w:rsid w:val="000349FF"/>
    <w:rsid w:val="000350B5"/>
    <w:rsid w:val="000368AC"/>
    <w:rsid w:val="00040FAA"/>
    <w:rsid w:val="00042D1F"/>
    <w:rsid w:val="00046393"/>
    <w:rsid w:val="00061799"/>
    <w:rsid w:val="00062A06"/>
    <w:rsid w:val="00074BAA"/>
    <w:rsid w:val="00084E00"/>
    <w:rsid w:val="0008777B"/>
    <w:rsid w:val="00096D2D"/>
    <w:rsid w:val="000B4A8F"/>
    <w:rsid w:val="000B4B2B"/>
    <w:rsid w:val="000C002E"/>
    <w:rsid w:val="000C228D"/>
    <w:rsid w:val="000D5B51"/>
    <w:rsid w:val="000D676D"/>
    <w:rsid w:val="000F450A"/>
    <w:rsid w:val="000F7B2D"/>
    <w:rsid w:val="00110302"/>
    <w:rsid w:val="00111BFC"/>
    <w:rsid w:val="00123847"/>
    <w:rsid w:val="00142DC8"/>
    <w:rsid w:val="00152AAB"/>
    <w:rsid w:val="001531AD"/>
    <w:rsid w:val="00155A24"/>
    <w:rsid w:val="001608A6"/>
    <w:rsid w:val="00162CD6"/>
    <w:rsid w:val="0017236C"/>
    <w:rsid w:val="00173B13"/>
    <w:rsid w:val="00175505"/>
    <w:rsid w:val="001803C1"/>
    <w:rsid w:val="001A7DBE"/>
    <w:rsid w:val="001C2A35"/>
    <w:rsid w:val="001D5BD1"/>
    <w:rsid w:val="001E3384"/>
    <w:rsid w:val="001E5D80"/>
    <w:rsid w:val="001F4FC2"/>
    <w:rsid w:val="00205A97"/>
    <w:rsid w:val="00207DB2"/>
    <w:rsid w:val="00213B0F"/>
    <w:rsid w:val="0023500D"/>
    <w:rsid w:val="00243118"/>
    <w:rsid w:val="0024361C"/>
    <w:rsid w:val="00247066"/>
    <w:rsid w:val="00254199"/>
    <w:rsid w:val="002633A5"/>
    <w:rsid w:val="002717DA"/>
    <w:rsid w:val="00273BE0"/>
    <w:rsid w:val="00281181"/>
    <w:rsid w:val="002902C1"/>
    <w:rsid w:val="0029086E"/>
    <w:rsid w:val="00292D0F"/>
    <w:rsid w:val="0029771E"/>
    <w:rsid w:val="002A0807"/>
    <w:rsid w:val="002C2B1B"/>
    <w:rsid w:val="002C71D2"/>
    <w:rsid w:val="002D41D5"/>
    <w:rsid w:val="002D5BFD"/>
    <w:rsid w:val="002E17F4"/>
    <w:rsid w:val="002E4385"/>
    <w:rsid w:val="002F3820"/>
    <w:rsid w:val="0030306D"/>
    <w:rsid w:val="00303164"/>
    <w:rsid w:val="003133E1"/>
    <w:rsid w:val="00315A14"/>
    <w:rsid w:val="00324547"/>
    <w:rsid w:val="00324AED"/>
    <w:rsid w:val="003370AA"/>
    <w:rsid w:val="003417A1"/>
    <w:rsid w:val="00343D04"/>
    <w:rsid w:val="00346ED5"/>
    <w:rsid w:val="003538D6"/>
    <w:rsid w:val="00355943"/>
    <w:rsid w:val="0035699D"/>
    <w:rsid w:val="0036001B"/>
    <w:rsid w:val="003708D1"/>
    <w:rsid w:val="00372592"/>
    <w:rsid w:val="00386656"/>
    <w:rsid w:val="003901EB"/>
    <w:rsid w:val="00393CAB"/>
    <w:rsid w:val="00397939"/>
    <w:rsid w:val="003A0DE8"/>
    <w:rsid w:val="003A2385"/>
    <w:rsid w:val="003A43AD"/>
    <w:rsid w:val="003B3F9D"/>
    <w:rsid w:val="003C0A9E"/>
    <w:rsid w:val="003C3E24"/>
    <w:rsid w:val="003D0832"/>
    <w:rsid w:val="003D1F7F"/>
    <w:rsid w:val="003D621C"/>
    <w:rsid w:val="003E02D3"/>
    <w:rsid w:val="003F38A7"/>
    <w:rsid w:val="003F632A"/>
    <w:rsid w:val="004013AD"/>
    <w:rsid w:val="004021E7"/>
    <w:rsid w:val="00405B14"/>
    <w:rsid w:val="00413602"/>
    <w:rsid w:val="0041484C"/>
    <w:rsid w:val="00415933"/>
    <w:rsid w:val="004171CC"/>
    <w:rsid w:val="00424A9E"/>
    <w:rsid w:val="00424C95"/>
    <w:rsid w:val="00433399"/>
    <w:rsid w:val="0043378E"/>
    <w:rsid w:val="00444E93"/>
    <w:rsid w:val="00456E6B"/>
    <w:rsid w:val="00462545"/>
    <w:rsid w:val="0046284D"/>
    <w:rsid w:val="004676E7"/>
    <w:rsid w:val="00481D87"/>
    <w:rsid w:val="004954E0"/>
    <w:rsid w:val="00495F7F"/>
    <w:rsid w:val="004973B5"/>
    <w:rsid w:val="004A5487"/>
    <w:rsid w:val="004D4587"/>
    <w:rsid w:val="004D4D92"/>
    <w:rsid w:val="004D59F5"/>
    <w:rsid w:val="004D6DE4"/>
    <w:rsid w:val="004E0346"/>
    <w:rsid w:val="004E5B57"/>
    <w:rsid w:val="004F2707"/>
    <w:rsid w:val="004F5D0C"/>
    <w:rsid w:val="005013A3"/>
    <w:rsid w:val="00501850"/>
    <w:rsid w:val="00502BE3"/>
    <w:rsid w:val="0050670E"/>
    <w:rsid w:val="005210D7"/>
    <w:rsid w:val="005210E1"/>
    <w:rsid w:val="00522FE4"/>
    <w:rsid w:val="00524A09"/>
    <w:rsid w:val="00532037"/>
    <w:rsid w:val="005348DD"/>
    <w:rsid w:val="005357F0"/>
    <w:rsid w:val="00543472"/>
    <w:rsid w:val="00547728"/>
    <w:rsid w:val="00557C94"/>
    <w:rsid w:val="00564646"/>
    <w:rsid w:val="00574AA7"/>
    <w:rsid w:val="00592E76"/>
    <w:rsid w:val="00595E43"/>
    <w:rsid w:val="00596F47"/>
    <w:rsid w:val="00597000"/>
    <w:rsid w:val="005A5899"/>
    <w:rsid w:val="005A6A5C"/>
    <w:rsid w:val="005B2DCF"/>
    <w:rsid w:val="005B6D60"/>
    <w:rsid w:val="005B7C05"/>
    <w:rsid w:val="005C1073"/>
    <w:rsid w:val="005C2EC1"/>
    <w:rsid w:val="005C777A"/>
    <w:rsid w:val="005D117A"/>
    <w:rsid w:val="005D182B"/>
    <w:rsid w:val="005E0ECD"/>
    <w:rsid w:val="005E1806"/>
    <w:rsid w:val="005E2C8D"/>
    <w:rsid w:val="005E5B21"/>
    <w:rsid w:val="005E6B7B"/>
    <w:rsid w:val="005E77B2"/>
    <w:rsid w:val="005F1E72"/>
    <w:rsid w:val="005F4598"/>
    <w:rsid w:val="005F4ED7"/>
    <w:rsid w:val="005F6C66"/>
    <w:rsid w:val="00604F0E"/>
    <w:rsid w:val="00607609"/>
    <w:rsid w:val="00607817"/>
    <w:rsid w:val="006118E4"/>
    <w:rsid w:val="00616668"/>
    <w:rsid w:val="006251E0"/>
    <w:rsid w:val="00644CBA"/>
    <w:rsid w:val="0064539F"/>
    <w:rsid w:val="006461D2"/>
    <w:rsid w:val="00665903"/>
    <w:rsid w:val="00670E50"/>
    <w:rsid w:val="00670FE4"/>
    <w:rsid w:val="006736FA"/>
    <w:rsid w:val="00674855"/>
    <w:rsid w:val="00681053"/>
    <w:rsid w:val="00686A80"/>
    <w:rsid w:val="0068763C"/>
    <w:rsid w:val="00695B06"/>
    <w:rsid w:val="006974AD"/>
    <w:rsid w:val="006A0AD9"/>
    <w:rsid w:val="006A0D7C"/>
    <w:rsid w:val="006A4242"/>
    <w:rsid w:val="006B3D97"/>
    <w:rsid w:val="006C2B88"/>
    <w:rsid w:val="006C3017"/>
    <w:rsid w:val="006C3ED5"/>
    <w:rsid w:val="006D365C"/>
    <w:rsid w:val="006E52DC"/>
    <w:rsid w:val="006F7261"/>
    <w:rsid w:val="0070530F"/>
    <w:rsid w:val="007206EB"/>
    <w:rsid w:val="00721EBE"/>
    <w:rsid w:val="0072646E"/>
    <w:rsid w:val="0073246F"/>
    <w:rsid w:val="007337E5"/>
    <w:rsid w:val="00734DF3"/>
    <w:rsid w:val="00735853"/>
    <w:rsid w:val="007404F7"/>
    <w:rsid w:val="0074278F"/>
    <w:rsid w:val="0075480A"/>
    <w:rsid w:val="00763FB6"/>
    <w:rsid w:val="00765FB3"/>
    <w:rsid w:val="00782F74"/>
    <w:rsid w:val="00786E22"/>
    <w:rsid w:val="00790A71"/>
    <w:rsid w:val="00796B6E"/>
    <w:rsid w:val="007A2B01"/>
    <w:rsid w:val="007A37E8"/>
    <w:rsid w:val="007A5778"/>
    <w:rsid w:val="007B526F"/>
    <w:rsid w:val="007C281E"/>
    <w:rsid w:val="007C4737"/>
    <w:rsid w:val="007D1C2F"/>
    <w:rsid w:val="007D604D"/>
    <w:rsid w:val="007F63E3"/>
    <w:rsid w:val="007F7169"/>
    <w:rsid w:val="0080433C"/>
    <w:rsid w:val="00805FFE"/>
    <w:rsid w:val="0080693E"/>
    <w:rsid w:val="00807102"/>
    <w:rsid w:val="008156D9"/>
    <w:rsid w:val="008171CD"/>
    <w:rsid w:val="00826991"/>
    <w:rsid w:val="00826F56"/>
    <w:rsid w:val="0083250C"/>
    <w:rsid w:val="0083563D"/>
    <w:rsid w:val="008356DC"/>
    <w:rsid w:val="00843418"/>
    <w:rsid w:val="00845825"/>
    <w:rsid w:val="008466C0"/>
    <w:rsid w:val="00850204"/>
    <w:rsid w:val="00853966"/>
    <w:rsid w:val="00854B54"/>
    <w:rsid w:val="00855944"/>
    <w:rsid w:val="008659F5"/>
    <w:rsid w:val="00874862"/>
    <w:rsid w:val="00874AA2"/>
    <w:rsid w:val="00881676"/>
    <w:rsid w:val="00882500"/>
    <w:rsid w:val="0088601A"/>
    <w:rsid w:val="00890998"/>
    <w:rsid w:val="0089418C"/>
    <w:rsid w:val="00897BC6"/>
    <w:rsid w:val="008A40A0"/>
    <w:rsid w:val="008A4D9D"/>
    <w:rsid w:val="008B1E7D"/>
    <w:rsid w:val="008C2E31"/>
    <w:rsid w:val="008D4CF0"/>
    <w:rsid w:val="008D595E"/>
    <w:rsid w:val="008E4684"/>
    <w:rsid w:val="008F1921"/>
    <w:rsid w:val="008F48D2"/>
    <w:rsid w:val="008F6198"/>
    <w:rsid w:val="009013F2"/>
    <w:rsid w:val="00905422"/>
    <w:rsid w:val="009054B3"/>
    <w:rsid w:val="0092369C"/>
    <w:rsid w:val="00925E96"/>
    <w:rsid w:val="00931CF5"/>
    <w:rsid w:val="00943FA8"/>
    <w:rsid w:val="00947716"/>
    <w:rsid w:val="00947E03"/>
    <w:rsid w:val="009555FC"/>
    <w:rsid w:val="00976DD9"/>
    <w:rsid w:val="0098570E"/>
    <w:rsid w:val="00986153"/>
    <w:rsid w:val="00991D34"/>
    <w:rsid w:val="00992860"/>
    <w:rsid w:val="00993163"/>
    <w:rsid w:val="009933CD"/>
    <w:rsid w:val="0099491C"/>
    <w:rsid w:val="00996A9F"/>
    <w:rsid w:val="009A1731"/>
    <w:rsid w:val="009B7AFD"/>
    <w:rsid w:val="009C560A"/>
    <w:rsid w:val="009D05E6"/>
    <w:rsid w:val="009D16D9"/>
    <w:rsid w:val="009D3374"/>
    <w:rsid w:val="009E047A"/>
    <w:rsid w:val="009F0088"/>
    <w:rsid w:val="009F700A"/>
    <w:rsid w:val="00A0156C"/>
    <w:rsid w:val="00A1147B"/>
    <w:rsid w:val="00A116B9"/>
    <w:rsid w:val="00A14213"/>
    <w:rsid w:val="00A2367D"/>
    <w:rsid w:val="00A25B21"/>
    <w:rsid w:val="00A26988"/>
    <w:rsid w:val="00A27038"/>
    <w:rsid w:val="00A30913"/>
    <w:rsid w:val="00A36918"/>
    <w:rsid w:val="00A43A13"/>
    <w:rsid w:val="00A53FD0"/>
    <w:rsid w:val="00A54A45"/>
    <w:rsid w:val="00A604D6"/>
    <w:rsid w:val="00A6162C"/>
    <w:rsid w:val="00A678FB"/>
    <w:rsid w:val="00A67AA5"/>
    <w:rsid w:val="00A67C07"/>
    <w:rsid w:val="00A8273B"/>
    <w:rsid w:val="00A90571"/>
    <w:rsid w:val="00A90896"/>
    <w:rsid w:val="00A9110C"/>
    <w:rsid w:val="00AA0860"/>
    <w:rsid w:val="00AA1072"/>
    <w:rsid w:val="00AA45EA"/>
    <w:rsid w:val="00AA563E"/>
    <w:rsid w:val="00AB0F5B"/>
    <w:rsid w:val="00AB7D21"/>
    <w:rsid w:val="00AB7E73"/>
    <w:rsid w:val="00AC3394"/>
    <w:rsid w:val="00AC3F7D"/>
    <w:rsid w:val="00AD3321"/>
    <w:rsid w:val="00AD68D8"/>
    <w:rsid w:val="00AE2322"/>
    <w:rsid w:val="00AE3F1F"/>
    <w:rsid w:val="00AE66AF"/>
    <w:rsid w:val="00AF260A"/>
    <w:rsid w:val="00B003D7"/>
    <w:rsid w:val="00B031C1"/>
    <w:rsid w:val="00B03A0D"/>
    <w:rsid w:val="00B045D4"/>
    <w:rsid w:val="00B078AA"/>
    <w:rsid w:val="00B10346"/>
    <w:rsid w:val="00B15920"/>
    <w:rsid w:val="00B1737F"/>
    <w:rsid w:val="00B24159"/>
    <w:rsid w:val="00B246C9"/>
    <w:rsid w:val="00B32288"/>
    <w:rsid w:val="00B32C44"/>
    <w:rsid w:val="00B331B6"/>
    <w:rsid w:val="00B335EE"/>
    <w:rsid w:val="00B42553"/>
    <w:rsid w:val="00B45AE6"/>
    <w:rsid w:val="00B469D9"/>
    <w:rsid w:val="00B479F5"/>
    <w:rsid w:val="00B53298"/>
    <w:rsid w:val="00B536B8"/>
    <w:rsid w:val="00B54743"/>
    <w:rsid w:val="00B57352"/>
    <w:rsid w:val="00B615D0"/>
    <w:rsid w:val="00B6712E"/>
    <w:rsid w:val="00B73000"/>
    <w:rsid w:val="00B81CAE"/>
    <w:rsid w:val="00B832A6"/>
    <w:rsid w:val="00B8459D"/>
    <w:rsid w:val="00B86815"/>
    <w:rsid w:val="00B93EF8"/>
    <w:rsid w:val="00BA0884"/>
    <w:rsid w:val="00BB3B5C"/>
    <w:rsid w:val="00BC1A1D"/>
    <w:rsid w:val="00BC26FA"/>
    <w:rsid w:val="00BC7C25"/>
    <w:rsid w:val="00BD126A"/>
    <w:rsid w:val="00BD3068"/>
    <w:rsid w:val="00BD4586"/>
    <w:rsid w:val="00BD54BA"/>
    <w:rsid w:val="00BE6A81"/>
    <w:rsid w:val="00BF1B41"/>
    <w:rsid w:val="00BF5452"/>
    <w:rsid w:val="00BF6153"/>
    <w:rsid w:val="00C005E2"/>
    <w:rsid w:val="00C02449"/>
    <w:rsid w:val="00C04844"/>
    <w:rsid w:val="00C10100"/>
    <w:rsid w:val="00C10BAC"/>
    <w:rsid w:val="00C14157"/>
    <w:rsid w:val="00C22C5C"/>
    <w:rsid w:val="00C3204C"/>
    <w:rsid w:val="00C4031E"/>
    <w:rsid w:val="00C4115D"/>
    <w:rsid w:val="00C4729A"/>
    <w:rsid w:val="00C5143B"/>
    <w:rsid w:val="00C53DAE"/>
    <w:rsid w:val="00C56484"/>
    <w:rsid w:val="00C56E68"/>
    <w:rsid w:val="00C61510"/>
    <w:rsid w:val="00C61BEE"/>
    <w:rsid w:val="00C655FD"/>
    <w:rsid w:val="00C82F57"/>
    <w:rsid w:val="00C87C9F"/>
    <w:rsid w:val="00C904D9"/>
    <w:rsid w:val="00C945CD"/>
    <w:rsid w:val="00CA1942"/>
    <w:rsid w:val="00CA2AAB"/>
    <w:rsid w:val="00CA6ADA"/>
    <w:rsid w:val="00CA78B7"/>
    <w:rsid w:val="00CB68B2"/>
    <w:rsid w:val="00CC186D"/>
    <w:rsid w:val="00CD2706"/>
    <w:rsid w:val="00CD2A1C"/>
    <w:rsid w:val="00CD5D1D"/>
    <w:rsid w:val="00CD75D3"/>
    <w:rsid w:val="00CE2302"/>
    <w:rsid w:val="00CE5772"/>
    <w:rsid w:val="00CF3036"/>
    <w:rsid w:val="00D04856"/>
    <w:rsid w:val="00D06DAA"/>
    <w:rsid w:val="00D0716D"/>
    <w:rsid w:val="00D10234"/>
    <w:rsid w:val="00D11503"/>
    <w:rsid w:val="00D15AFD"/>
    <w:rsid w:val="00D33006"/>
    <w:rsid w:val="00D43F0D"/>
    <w:rsid w:val="00D45A07"/>
    <w:rsid w:val="00D508A5"/>
    <w:rsid w:val="00D50A55"/>
    <w:rsid w:val="00D535CB"/>
    <w:rsid w:val="00D54435"/>
    <w:rsid w:val="00D55441"/>
    <w:rsid w:val="00D55854"/>
    <w:rsid w:val="00D92706"/>
    <w:rsid w:val="00D93117"/>
    <w:rsid w:val="00D95D3F"/>
    <w:rsid w:val="00DA4732"/>
    <w:rsid w:val="00DA760D"/>
    <w:rsid w:val="00DB28A8"/>
    <w:rsid w:val="00DB38C1"/>
    <w:rsid w:val="00DC0DF1"/>
    <w:rsid w:val="00DC3668"/>
    <w:rsid w:val="00DC42CF"/>
    <w:rsid w:val="00DC4608"/>
    <w:rsid w:val="00DD144E"/>
    <w:rsid w:val="00DD1B16"/>
    <w:rsid w:val="00DD3B3D"/>
    <w:rsid w:val="00DD3E50"/>
    <w:rsid w:val="00DD58E5"/>
    <w:rsid w:val="00DE1BDB"/>
    <w:rsid w:val="00DE243A"/>
    <w:rsid w:val="00DE52CA"/>
    <w:rsid w:val="00DF25C6"/>
    <w:rsid w:val="00DF4D9D"/>
    <w:rsid w:val="00DF4F39"/>
    <w:rsid w:val="00E00421"/>
    <w:rsid w:val="00E050EF"/>
    <w:rsid w:val="00E12326"/>
    <w:rsid w:val="00E12EBD"/>
    <w:rsid w:val="00E1499E"/>
    <w:rsid w:val="00E17E02"/>
    <w:rsid w:val="00E20173"/>
    <w:rsid w:val="00E21F44"/>
    <w:rsid w:val="00E24CF2"/>
    <w:rsid w:val="00E24F8E"/>
    <w:rsid w:val="00E268D0"/>
    <w:rsid w:val="00E30BFD"/>
    <w:rsid w:val="00E33525"/>
    <w:rsid w:val="00E4526B"/>
    <w:rsid w:val="00E461DF"/>
    <w:rsid w:val="00E56E94"/>
    <w:rsid w:val="00E5749F"/>
    <w:rsid w:val="00E62120"/>
    <w:rsid w:val="00E67454"/>
    <w:rsid w:val="00E67D88"/>
    <w:rsid w:val="00E70FE5"/>
    <w:rsid w:val="00E73DE8"/>
    <w:rsid w:val="00E74C50"/>
    <w:rsid w:val="00E8366B"/>
    <w:rsid w:val="00E86FEC"/>
    <w:rsid w:val="00EA0835"/>
    <w:rsid w:val="00EA3C6E"/>
    <w:rsid w:val="00EA5F05"/>
    <w:rsid w:val="00EB08C9"/>
    <w:rsid w:val="00EB7AB9"/>
    <w:rsid w:val="00EC35BC"/>
    <w:rsid w:val="00EC5962"/>
    <w:rsid w:val="00EC5D6F"/>
    <w:rsid w:val="00EC646D"/>
    <w:rsid w:val="00ED121C"/>
    <w:rsid w:val="00EE23A6"/>
    <w:rsid w:val="00EE66B8"/>
    <w:rsid w:val="00EF6DA0"/>
    <w:rsid w:val="00F02374"/>
    <w:rsid w:val="00F02E92"/>
    <w:rsid w:val="00F079F8"/>
    <w:rsid w:val="00F15AC7"/>
    <w:rsid w:val="00F16511"/>
    <w:rsid w:val="00F24373"/>
    <w:rsid w:val="00F247CB"/>
    <w:rsid w:val="00F3355C"/>
    <w:rsid w:val="00F43474"/>
    <w:rsid w:val="00F50724"/>
    <w:rsid w:val="00F54464"/>
    <w:rsid w:val="00F54953"/>
    <w:rsid w:val="00F55A51"/>
    <w:rsid w:val="00F74AA9"/>
    <w:rsid w:val="00F76074"/>
    <w:rsid w:val="00F76586"/>
    <w:rsid w:val="00F77D7D"/>
    <w:rsid w:val="00F8468B"/>
    <w:rsid w:val="00F84E32"/>
    <w:rsid w:val="00F84ED3"/>
    <w:rsid w:val="00F92D03"/>
    <w:rsid w:val="00FA307D"/>
    <w:rsid w:val="00FA6B21"/>
    <w:rsid w:val="00FB0D73"/>
    <w:rsid w:val="00FB2D68"/>
    <w:rsid w:val="00FB3542"/>
    <w:rsid w:val="00FC6B4B"/>
    <w:rsid w:val="00FD776B"/>
    <w:rsid w:val="00FE28D8"/>
    <w:rsid w:val="00FE5241"/>
    <w:rsid w:val="00FF6988"/>
    <w:rsid w:val="0F840C04"/>
    <w:rsid w:val="10984455"/>
    <w:rsid w:val="1E380971"/>
    <w:rsid w:val="1FBB7F9F"/>
    <w:rsid w:val="32E5431B"/>
    <w:rsid w:val="3800071A"/>
    <w:rsid w:val="40762F5A"/>
    <w:rsid w:val="43F94D92"/>
    <w:rsid w:val="45E30135"/>
    <w:rsid w:val="640A78AC"/>
    <w:rsid w:val="64561F2A"/>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31"/>
    <w:unhideWhenUsed/>
    <w:qFormat/>
    <w:uiPriority w:val="99"/>
    <w:rPr>
      <w:b/>
      <w:bCs/>
    </w:rPr>
  </w:style>
  <w:style w:type="paragraph" w:styleId="5">
    <w:name w:val="annotation text"/>
    <w:basedOn w:val="1"/>
    <w:link w:val="30"/>
    <w:unhideWhenUsed/>
    <w:qFormat/>
    <w:uiPriority w:val="99"/>
    <w:pPr>
      <w:jc w:val="left"/>
    </w:pPr>
  </w:style>
  <w:style w:type="paragraph" w:styleId="6">
    <w:name w:val="caption"/>
    <w:basedOn w:val="1"/>
    <w:next w:val="1"/>
    <w:unhideWhenUsed/>
    <w:qFormat/>
    <w:uiPriority w:val="35"/>
    <w:rPr>
      <w:rFonts w:eastAsia="黑体" w:asciiTheme="majorHAnsi" w:hAnsiTheme="majorHAnsi" w:cstheme="majorBidi"/>
      <w:sz w:val="20"/>
      <w:szCs w:val="20"/>
    </w:rPr>
  </w:style>
  <w:style w:type="paragraph" w:styleId="7">
    <w:name w:val="Body Text"/>
    <w:basedOn w:val="1"/>
    <w:link w:val="25"/>
    <w:qFormat/>
    <w:uiPriority w:val="0"/>
    <w:pPr>
      <w:spacing w:after="120"/>
    </w:pPr>
  </w:style>
  <w:style w:type="paragraph" w:styleId="8">
    <w:name w:val="Plain Text"/>
    <w:basedOn w:val="1"/>
    <w:link w:val="35"/>
    <w:qFormat/>
    <w:uiPriority w:val="0"/>
    <w:rPr>
      <w:rFonts w:ascii="宋体" w:hAnsiTheme="minorHAnsi" w:eastAsiaTheme="minorEastAsia" w:cstheme="minorBidi"/>
      <w:szCs w:val="22"/>
    </w:rPr>
  </w:style>
  <w:style w:type="paragraph" w:styleId="9">
    <w:name w:val="endnote text"/>
    <w:basedOn w:val="1"/>
    <w:link w:val="33"/>
    <w:unhideWhenUsed/>
    <w:qFormat/>
    <w:uiPriority w:val="99"/>
    <w:pPr>
      <w:snapToGrid w:val="0"/>
      <w:jc w:val="left"/>
    </w:pPr>
  </w:style>
  <w:style w:type="paragraph" w:styleId="10">
    <w:name w:val="Balloon Text"/>
    <w:basedOn w:val="1"/>
    <w:link w:val="32"/>
    <w:unhideWhenUsed/>
    <w:qFormat/>
    <w:uiPriority w:val="99"/>
    <w:rPr>
      <w:sz w:val="18"/>
      <w:szCs w:val="18"/>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link w:val="22"/>
    <w:qFormat/>
    <w:uiPriority w:val="0"/>
    <w:pPr>
      <w:snapToGrid w:val="0"/>
      <w:jc w:val="left"/>
    </w:pPr>
    <w:rPr>
      <w:sz w:val="18"/>
      <w:szCs w:val="18"/>
    </w:r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6">
    <w:name w:val="endnote reference"/>
    <w:basedOn w:val="15"/>
    <w:unhideWhenUsed/>
    <w:qFormat/>
    <w:uiPriority w:val="99"/>
    <w:rPr>
      <w:vertAlign w:val="superscript"/>
    </w:rPr>
  </w:style>
  <w:style w:type="character" w:styleId="17">
    <w:name w:val="annotation reference"/>
    <w:basedOn w:val="15"/>
    <w:unhideWhenUsed/>
    <w:qFormat/>
    <w:uiPriority w:val="99"/>
    <w:rPr>
      <w:sz w:val="21"/>
      <w:szCs w:val="21"/>
    </w:rPr>
  </w:style>
  <w:style w:type="character" w:styleId="18">
    <w:name w:val="footnote reference"/>
    <w:qFormat/>
    <w:uiPriority w:val="0"/>
    <w:rPr>
      <w:vertAlign w:val="superscript"/>
    </w:rPr>
  </w:style>
  <w:style w:type="character" w:customStyle="1" w:styleId="20">
    <w:name w:val="标题 1 Char"/>
    <w:basedOn w:val="15"/>
    <w:link w:val="2"/>
    <w:qFormat/>
    <w:uiPriority w:val="0"/>
    <w:rPr>
      <w:rFonts w:ascii="Times New Roman" w:hAnsi="Times New Roman" w:eastAsia="宋体" w:cs="Times New Roman"/>
      <w:b/>
      <w:bCs/>
      <w:kern w:val="44"/>
      <w:sz w:val="44"/>
      <w:szCs w:val="44"/>
    </w:rPr>
  </w:style>
  <w:style w:type="paragraph" w:customStyle="1" w:styleId="21">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22">
    <w:name w:val="脚注文本 Char"/>
    <w:basedOn w:val="15"/>
    <w:link w:val="13"/>
    <w:qFormat/>
    <w:uiPriority w:val="0"/>
    <w:rPr>
      <w:rFonts w:ascii="Times New Roman" w:hAnsi="Times New Roman" w:eastAsia="宋体" w:cs="Times New Roman"/>
      <w:sz w:val="18"/>
      <w:szCs w:val="18"/>
    </w:rPr>
  </w:style>
  <w:style w:type="character" w:customStyle="1" w:styleId="23">
    <w:name w:val="标题 2 Char"/>
    <w:basedOn w:val="15"/>
    <w:link w:val="3"/>
    <w:semiHidden/>
    <w:qFormat/>
    <w:uiPriority w:val="9"/>
    <w:rPr>
      <w:rFonts w:asciiTheme="majorHAnsi" w:hAnsiTheme="majorHAnsi" w:eastAsiaTheme="majorEastAsia" w:cstheme="majorBidi"/>
      <w:b/>
      <w:bCs/>
      <w:sz w:val="32"/>
      <w:szCs w:val="32"/>
    </w:rPr>
  </w:style>
  <w:style w:type="paragraph" w:customStyle="1" w:styleId="24">
    <w:name w:val="普通 (Web)"/>
    <w:qFormat/>
    <w:uiPriority w:val="0"/>
    <w:pPr>
      <w:spacing w:before="100" w:after="100"/>
    </w:pPr>
    <w:rPr>
      <w:rFonts w:ascii="宋体" w:hAnsi="Times New Roman" w:eastAsia="宋体" w:cs="Times New Roman"/>
      <w:sz w:val="24"/>
      <w:lang w:val="en-US" w:eastAsia="zh-CN" w:bidi="ar-SA"/>
    </w:rPr>
  </w:style>
  <w:style w:type="character" w:customStyle="1" w:styleId="25">
    <w:name w:val="正文文本 Char"/>
    <w:basedOn w:val="15"/>
    <w:link w:val="7"/>
    <w:qFormat/>
    <w:uiPriority w:val="0"/>
    <w:rPr>
      <w:rFonts w:ascii="Times New Roman" w:hAnsi="Times New Roman" w:eastAsia="宋体" w:cs="Times New Roman"/>
      <w:szCs w:val="24"/>
    </w:rPr>
  </w:style>
  <w:style w:type="paragraph" w:customStyle="1" w:styleId="26">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7">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8">
    <w:name w:val="页眉 Char"/>
    <w:basedOn w:val="15"/>
    <w:link w:val="12"/>
    <w:qFormat/>
    <w:uiPriority w:val="99"/>
    <w:rPr>
      <w:rFonts w:ascii="Times New Roman" w:hAnsi="Times New Roman" w:eastAsia="宋体" w:cs="Times New Roman"/>
      <w:sz w:val="18"/>
      <w:szCs w:val="18"/>
    </w:rPr>
  </w:style>
  <w:style w:type="character" w:customStyle="1" w:styleId="29">
    <w:name w:val="页脚 Char"/>
    <w:basedOn w:val="15"/>
    <w:link w:val="11"/>
    <w:qFormat/>
    <w:uiPriority w:val="99"/>
    <w:rPr>
      <w:rFonts w:ascii="Times New Roman" w:hAnsi="Times New Roman" w:eastAsia="宋体" w:cs="Times New Roman"/>
      <w:sz w:val="18"/>
      <w:szCs w:val="18"/>
    </w:rPr>
  </w:style>
  <w:style w:type="character" w:customStyle="1" w:styleId="30">
    <w:name w:val="批注文字 Char"/>
    <w:basedOn w:val="15"/>
    <w:link w:val="5"/>
    <w:semiHidden/>
    <w:qFormat/>
    <w:uiPriority w:val="99"/>
    <w:rPr>
      <w:rFonts w:ascii="Times New Roman" w:hAnsi="Times New Roman" w:eastAsia="宋体" w:cs="Times New Roman"/>
      <w:szCs w:val="24"/>
    </w:rPr>
  </w:style>
  <w:style w:type="character" w:customStyle="1" w:styleId="31">
    <w:name w:val="批注主题 Char"/>
    <w:basedOn w:val="30"/>
    <w:link w:val="4"/>
    <w:semiHidden/>
    <w:qFormat/>
    <w:uiPriority w:val="99"/>
    <w:rPr>
      <w:rFonts w:ascii="Times New Roman" w:hAnsi="Times New Roman" w:eastAsia="宋体" w:cs="Times New Roman"/>
      <w:b/>
      <w:bCs/>
      <w:szCs w:val="24"/>
    </w:rPr>
  </w:style>
  <w:style w:type="character" w:customStyle="1" w:styleId="32">
    <w:name w:val="批注框文本 Char"/>
    <w:basedOn w:val="15"/>
    <w:link w:val="10"/>
    <w:semiHidden/>
    <w:qFormat/>
    <w:uiPriority w:val="99"/>
    <w:rPr>
      <w:rFonts w:ascii="Times New Roman" w:hAnsi="Times New Roman" w:eastAsia="宋体" w:cs="Times New Roman"/>
      <w:sz w:val="18"/>
      <w:szCs w:val="18"/>
    </w:rPr>
  </w:style>
  <w:style w:type="character" w:customStyle="1" w:styleId="33">
    <w:name w:val="尾注文本 Char"/>
    <w:basedOn w:val="15"/>
    <w:link w:val="9"/>
    <w:semiHidden/>
    <w:qFormat/>
    <w:uiPriority w:val="99"/>
    <w:rPr>
      <w:rFonts w:ascii="Times New Roman" w:hAnsi="Times New Roman" w:eastAsia="宋体" w:cs="Times New Roman"/>
      <w:szCs w:val="24"/>
    </w:rPr>
  </w:style>
  <w:style w:type="paragraph" w:customStyle="1" w:styleId="34">
    <w:name w:val="默认段落字体 Para Char"/>
    <w:basedOn w:val="1"/>
    <w:qFormat/>
    <w:uiPriority w:val="0"/>
    <w:rPr>
      <w:szCs w:val="20"/>
    </w:rPr>
  </w:style>
  <w:style w:type="character" w:customStyle="1" w:styleId="35">
    <w:name w:val="纯文本 Char"/>
    <w:link w:val="8"/>
    <w:qFormat/>
    <w:locked/>
    <w:uiPriority w:val="0"/>
    <w:rPr>
      <w:rFonts w:ascii="宋体"/>
    </w:rPr>
  </w:style>
  <w:style w:type="character" w:customStyle="1" w:styleId="36">
    <w:name w:val="纯文本 Char1"/>
    <w:basedOn w:val="15"/>
    <w:semiHidden/>
    <w:qFormat/>
    <w:uiPriority w:val="99"/>
    <w:rPr>
      <w:rFonts w:ascii="宋体" w:hAnsi="Courier New" w:eastAsia="宋体" w:cs="Courier New"/>
      <w:szCs w:val="21"/>
    </w:rPr>
  </w:style>
  <w:style w:type="paragraph" w:customStyle="1" w:styleId="37">
    <w:name w:val="列出段落2"/>
    <w:basedOn w:val="1"/>
    <w:qFormat/>
    <w:uiPriority w:val="34"/>
    <w:pPr>
      <w:widowControl/>
      <w:ind w:firstLine="420" w:firstLineChars="20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3A85B8-EE39-441E-A4B1-91D1DFBFB1BD}">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474</Words>
  <Characters>2704</Characters>
  <Lines>22</Lines>
  <Paragraphs>6</Paragraphs>
  <ScaleCrop>false</ScaleCrop>
  <LinksUpToDate>false</LinksUpToDate>
  <CharactersWithSpaces>3172</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2016-01-14T05:51:00Z</dcterms:created>
  <dc:creator>qzy3472</dc:creator>
  <cp:lastModifiedBy>爱军</cp:lastModifiedBy>
  <dcterms:modified xsi:type="dcterms:W3CDTF">2017-06-07T00:17:30Z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