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hint="eastAsia" w:ascii="黑体" w:hAnsi="黑体" w:eastAsia="黑体"/>
          <w:b/>
          <w:bCs/>
          <w:sz w:val="32"/>
          <w:lang w:eastAsia="zh-CN"/>
        </w:rPr>
      </w:pPr>
      <w:bookmarkStart w:id="4" w:name="_GoBack"/>
      <w:bookmarkEnd w:id="4"/>
      <w:r>
        <w:rPr>
          <w:rFonts w:hint="eastAsia" w:ascii="黑体" w:hAnsi="黑体" w:eastAsia="黑体"/>
          <w:b/>
          <w:bCs/>
          <w:sz w:val="32"/>
          <w:lang w:eastAsia="zh-CN"/>
        </w:rPr>
        <w:drawing>
          <wp:inline distT="0" distB="0" distL="114300" distR="114300">
            <wp:extent cx="5347335" cy="7688580"/>
            <wp:effectExtent l="0" t="0" r="5715" b="7620"/>
            <wp:docPr id="1" name="图片 1" descr="IMG_0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0543"/>
                    <pic:cNvPicPr>
                      <a:picLocks noChangeAspect="1"/>
                    </pic:cNvPicPr>
                  </pic:nvPicPr>
                  <pic:blipFill>
                    <a:blip r:embed="rId5"/>
                    <a:stretch>
                      <a:fillRect/>
                    </a:stretch>
                  </pic:blipFill>
                  <pic:spPr>
                    <a:xfrm>
                      <a:off x="0" y="0"/>
                      <a:ext cx="5347335" cy="7688580"/>
                    </a:xfrm>
                    <a:prstGeom prst="rect">
                      <a:avLst/>
                    </a:prstGeom>
                  </pic:spPr>
                </pic:pic>
              </a:graphicData>
            </a:graphic>
          </wp:inline>
        </w:drawing>
      </w: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ascii="黑体" w:hAnsi="黑体" w:eastAsia="黑体"/>
          <w:b/>
          <w:bCs/>
          <w:sz w:val="32"/>
        </w:rPr>
      </w:pPr>
      <w:r>
        <w:rPr>
          <w:rFonts w:hint="eastAsia" w:ascii="黑体" w:hAnsi="黑体" w:eastAsia="黑体"/>
          <w:b/>
          <w:bCs/>
          <w:sz w:val="32"/>
        </w:rPr>
        <w:t>配件技术要求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bookmarkStart w:id="0" w:name="_Toc357082526"/>
      <w:bookmarkStart w:id="1" w:name="_Toc356204538"/>
      <w:r>
        <w:rPr>
          <w:rFonts w:hint="eastAsia" w:ascii="宋体"/>
          <w:sz w:val="24"/>
        </w:rPr>
        <w:t xml:space="preserve">第一节 </w:t>
      </w:r>
      <w:r>
        <w:rPr>
          <w:rFonts w:ascii="宋体"/>
          <w:sz w:val="24"/>
        </w:rPr>
        <w:t xml:space="preserve"> </w:t>
      </w:r>
      <w:r>
        <w:rPr>
          <w:rFonts w:hint="eastAsia" w:ascii="宋体"/>
          <w:sz w:val="24"/>
        </w:rPr>
        <w:t>供货范围、技术规格、参数与要求</w:t>
      </w:r>
    </w:p>
    <w:p>
      <w:pPr>
        <w:tabs>
          <w:tab w:val="left" w:pos="2340"/>
        </w:tabs>
        <w:spacing w:line="480" w:lineRule="auto"/>
        <w:ind w:firstLine="840" w:firstLineChars="350"/>
        <w:jc w:val="left"/>
        <w:rPr>
          <w:rFonts w:ascii="宋体"/>
          <w:sz w:val="24"/>
        </w:rPr>
      </w:pPr>
      <w:r>
        <w:rPr>
          <w:rFonts w:hint="eastAsia" w:ascii="宋体"/>
          <w:sz w:val="24"/>
        </w:rPr>
        <w:t xml:space="preserve">第二节 </w:t>
      </w:r>
      <w:r>
        <w:rPr>
          <w:rFonts w:ascii="宋体"/>
          <w:sz w:val="24"/>
        </w:rPr>
        <w:t xml:space="preserve"> </w:t>
      </w:r>
      <w:r>
        <w:rPr>
          <w:rFonts w:hint="eastAsia" w:ascii="宋体"/>
          <w:sz w:val="24"/>
        </w:rPr>
        <w:t>出厂前检验与交货验收</w:t>
      </w:r>
    </w:p>
    <w:p>
      <w:pPr>
        <w:tabs>
          <w:tab w:val="left" w:pos="2340"/>
        </w:tabs>
        <w:spacing w:line="480" w:lineRule="auto"/>
        <w:ind w:firstLine="840" w:firstLineChars="350"/>
        <w:jc w:val="left"/>
        <w:rPr>
          <w:rFonts w:ascii="宋体"/>
          <w:sz w:val="24"/>
        </w:rPr>
      </w:pPr>
      <w:r>
        <w:rPr>
          <w:rFonts w:hint="eastAsia" w:ascii="宋体"/>
          <w:sz w:val="24"/>
        </w:rPr>
        <w:t xml:space="preserve">第三节 </w:t>
      </w:r>
      <w:r>
        <w:rPr>
          <w:rFonts w:ascii="宋体"/>
          <w:sz w:val="24"/>
        </w:rPr>
        <w:t xml:space="preserve"> </w:t>
      </w:r>
      <w:r>
        <w:rPr>
          <w:rFonts w:hint="eastAsia" w:ascii="宋体"/>
          <w:sz w:val="24"/>
        </w:rPr>
        <w:t>质量保证</w:t>
      </w:r>
    </w:p>
    <w:p>
      <w:pPr>
        <w:tabs>
          <w:tab w:val="left" w:pos="2340"/>
        </w:tabs>
        <w:spacing w:line="480" w:lineRule="auto"/>
        <w:ind w:firstLine="840" w:firstLineChars="350"/>
        <w:jc w:val="left"/>
      </w:pPr>
      <w:r>
        <w:rPr>
          <w:rFonts w:hint="eastAsia" w:ascii="宋体"/>
          <w:sz w:val="24"/>
        </w:rPr>
        <w:t xml:space="preserve">第四节 </w:t>
      </w:r>
      <w:r>
        <w:rPr>
          <w:rFonts w:ascii="宋体"/>
          <w:sz w:val="24"/>
        </w:rPr>
        <w:t xml:space="preserve"> </w:t>
      </w:r>
      <w:r>
        <w:rPr>
          <w:rFonts w:hint="eastAsia" w:ascii="宋体"/>
          <w:sz w:val="24"/>
        </w:rPr>
        <w:t>标准</w:t>
      </w: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2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eastAsia="zh-CN"/>
              </w:rPr>
              <w:t>甲烷气体</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升</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40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hint="eastAsia" w:ascii="宋体" w:hAnsi="宋体"/>
                <w:szCs w:val="21"/>
                <w:lang w:val="en-US" w:eastAsia="zh-CN"/>
              </w:rPr>
              <w:t>20日</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eastAsia="zh-CN"/>
              </w:rPr>
              <w:t>洗选中心供应站</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rPr>
      </w:pPr>
      <w:r>
        <w:rPr>
          <w:rFonts w:ascii="宋体" w:hAnsi="宋体" w:cs="宋体"/>
        </w:rPr>
        <w:t>1.</w:t>
      </w:r>
      <w:r>
        <w:rPr>
          <w:rFonts w:hint="eastAsia" w:ascii="宋体" w:hAnsi="宋体" w:cs="宋体"/>
        </w:rPr>
        <w:t>工作环境</w:t>
      </w:r>
    </w:p>
    <w:p>
      <w:pPr>
        <w:adjustRightInd w:val="0"/>
        <w:snapToGrid w:val="0"/>
        <w:spacing w:line="360" w:lineRule="auto"/>
        <w:rPr>
          <w:rFonts w:ascii="宋体"/>
        </w:rPr>
      </w:pPr>
      <w:r>
        <w:rPr>
          <w:rFonts w:hint="eastAsia" w:ascii="宋体" w:hAnsi="宋体" w:cs="宋体"/>
        </w:rPr>
        <w:t>周围环境温度：</w:t>
      </w:r>
      <w:r>
        <w:rPr>
          <w:rFonts w:ascii="宋体" w:cs="宋体"/>
        </w:rPr>
        <w:t>-</w:t>
      </w:r>
      <w:r>
        <w:rPr>
          <w:rFonts w:ascii="宋体" w:hAnsi="宋体" w:cs="宋体"/>
        </w:rPr>
        <w:t>5</w:t>
      </w:r>
      <w:r>
        <w:rPr>
          <w:rFonts w:hint="eastAsia" w:ascii="宋体" w:hAnsi="宋体" w:cs="宋体"/>
        </w:rPr>
        <w:t>～</w:t>
      </w:r>
      <w:r>
        <w:rPr>
          <w:rFonts w:ascii="宋体" w:hAnsi="宋体" w:cs="宋体"/>
        </w:rPr>
        <w:t>+20</w:t>
      </w:r>
      <w:r>
        <w:rPr>
          <w:rFonts w:hint="eastAsia" w:ascii="宋体" w:hAnsi="宋体" w:cs="宋体"/>
        </w:rPr>
        <w:t>℃。</w:t>
      </w:r>
    </w:p>
    <w:p>
      <w:pPr>
        <w:adjustRightInd w:val="0"/>
        <w:snapToGrid w:val="0"/>
        <w:spacing w:line="360" w:lineRule="auto"/>
        <w:rPr>
          <w:rFonts w:ascii="宋体"/>
        </w:rPr>
      </w:pPr>
      <w:r>
        <w:rPr>
          <w:rFonts w:hint="eastAsia" w:ascii="宋体" w:hAnsi="宋体" w:cs="宋体"/>
        </w:rPr>
        <w:t>环境相对湿度：</w:t>
      </w:r>
      <w:r>
        <w:rPr>
          <w:rFonts w:ascii="宋体" w:hAnsi="宋体" w:cs="宋体"/>
        </w:rPr>
        <w:t>5</w:t>
      </w:r>
      <w:r>
        <w:rPr>
          <w:rFonts w:hint="eastAsia" w:ascii="宋体" w:hAnsi="宋体" w:cs="宋体"/>
        </w:rPr>
        <w:t>～</w:t>
      </w:r>
      <w:r>
        <w:rPr>
          <w:rFonts w:ascii="宋体" w:hAnsi="宋体" w:cs="宋体"/>
        </w:rPr>
        <w:t>95%</w:t>
      </w:r>
      <w:r>
        <w:rPr>
          <w:rFonts w:hint="eastAsia" w:ascii="宋体" w:hAnsi="宋体" w:cs="宋体"/>
        </w:rPr>
        <w:t>（在</w:t>
      </w:r>
      <w:r>
        <w:rPr>
          <w:rFonts w:ascii="宋体" w:hAnsi="宋体" w:cs="宋体"/>
        </w:rPr>
        <w:t>25</w:t>
      </w:r>
      <w:r>
        <w:rPr>
          <w:rFonts w:hint="eastAsia" w:ascii="宋体" w:hAnsi="宋体" w:cs="宋体"/>
        </w:rPr>
        <w:t>℃时）。</w:t>
      </w:r>
    </w:p>
    <w:p>
      <w:pPr>
        <w:adjustRightInd w:val="0"/>
        <w:snapToGrid w:val="0"/>
        <w:spacing w:line="360" w:lineRule="auto"/>
        <w:rPr>
          <w:rFonts w:ascii="宋体"/>
        </w:rPr>
      </w:pPr>
      <w:r>
        <w:rPr>
          <w:rFonts w:hint="eastAsia" w:ascii="宋体" w:hAnsi="宋体" w:cs="宋体"/>
        </w:rPr>
        <w:t>大气压力：</w:t>
      </w:r>
      <w:r>
        <w:rPr>
          <w:rFonts w:ascii="宋体" w:hAnsi="宋体" w:cs="宋体"/>
        </w:rPr>
        <w:t>86</w:t>
      </w:r>
      <w:r>
        <w:rPr>
          <w:rFonts w:hint="eastAsia" w:ascii="宋体" w:hAnsi="宋体" w:cs="宋体"/>
        </w:rPr>
        <w:t>～</w:t>
      </w:r>
      <w:r>
        <w:rPr>
          <w:rFonts w:ascii="宋体" w:hAnsi="宋体" w:cs="宋体"/>
        </w:rPr>
        <w:t>106kPa</w:t>
      </w:r>
    </w:p>
    <w:p>
      <w:pPr>
        <w:adjustRightInd w:val="0"/>
        <w:snapToGrid w:val="0"/>
        <w:spacing w:line="360" w:lineRule="auto"/>
        <w:rPr>
          <w:rFonts w:ascii="宋体"/>
        </w:rPr>
      </w:pPr>
      <w:r>
        <w:rPr>
          <w:rFonts w:hint="eastAsia" w:ascii="宋体" w:hAnsi="宋体" w:cs="宋体"/>
        </w:rPr>
        <w:t>地震烈度：</w:t>
      </w:r>
      <w:r>
        <w:rPr>
          <w:rFonts w:ascii="宋体" w:hAnsi="宋体" w:cs="宋体"/>
        </w:rPr>
        <w:t>7</w:t>
      </w:r>
      <w:r>
        <w:rPr>
          <w:rFonts w:hint="eastAsia" w:ascii="宋体" w:hAnsi="宋体" w:cs="宋体"/>
        </w:rPr>
        <w:t>级。</w:t>
      </w:r>
    </w:p>
    <w:p>
      <w:pPr>
        <w:adjustRightInd w:val="0"/>
        <w:snapToGrid w:val="0"/>
        <w:spacing w:line="360" w:lineRule="auto"/>
        <w:rPr>
          <w:rFonts w:ascii="宋体"/>
        </w:rPr>
      </w:pPr>
      <w:r>
        <w:rPr>
          <w:rFonts w:hint="eastAsia" w:ascii="宋体" w:hAnsi="宋体" w:cs="宋体"/>
        </w:rPr>
        <w:t>海拔高度：</w:t>
      </w:r>
      <w:r>
        <w:rPr>
          <w:rFonts w:hint="eastAsia" w:ascii="宋体" w:hAnsi="宋体" w:cs="宋体"/>
          <w:spacing w:val="-5"/>
          <w:kern w:val="0"/>
        </w:rPr>
        <w:t>≤</w:t>
      </w:r>
      <w:r>
        <w:rPr>
          <w:rFonts w:ascii="宋体" w:hAnsi="宋体" w:cs="宋体"/>
          <w:spacing w:val="-5"/>
          <w:kern w:val="0"/>
        </w:rPr>
        <w:t>1200m</w:t>
      </w:r>
      <w:r>
        <w:rPr>
          <w:rFonts w:hint="eastAsia" w:ascii="宋体" w:hAnsi="宋体" w:cs="宋体"/>
        </w:rPr>
        <w:t>。</w:t>
      </w:r>
    </w:p>
    <w:p>
      <w:pPr>
        <w:adjustRightInd w:val="0"/>
        <w:snapToGrid w:val="0"/>
        <w:spacing w:line="360" w:lineRule="auto"/>
        <w:rPr>
          <w:rFonts w:ascii="宋体"/>
        </w:rPr>
      </w:pPr>
      <w:r>
        <w:rPr>
          <w:rFonts w:ascii="宋体" w:hAnsi="宋体" w:cs="宋体"/>
        </w:rPr>
        <w:t>2</w:t>
      </w:r>
      <w:r>
        <w:rPr>
          <w:rFonts w:ascii="宋体" w:cs="宋体"/>
        </w:rPr>
        <w:t>.</w:t>
      </w:r>
      <w:r>
        <w:rPr>
          <w:rFonts w:hint="eastAsia" w:ascii="宋体" w:hAnsi="宋体" w:cs="宋体"/>
        </w:rPr>
        <w:t>使用条件</w:t>
      </w:r>
    </w:p>
    <w:p>
      <w:pPr>
        <w:adjustRightInd w:val="0"/>
        <w:snapToGrid w:val="0"/>
        <w:spacing w:line="360" w:lineRule="auto"/>
        <w:rPr>
          <w:rFonts w:ascii="宋体"/>
        </w:rPr>
      </w:pPr>
      <w:r>
        <w:rPr>
          <w:rFonts w:hint="eastAsia" w:ascii="宋体" w:hAnsi="宋体" w:cs="宋体"/>
        </w:rPr>
        <w:t>年平均气温：</w:t>
      </w:r>
      <w:r>
        <w:rPr>
          <w:rFonts w:hint="eastAsia" w:ascii="宋体" w:cs="宋体"/>
        </w:rPr>
        <w:t>≤</w:t>
      </w:r>
      <w:r>
        <w:rPr>
          <w:rFonts w:ascii="宋体" w:hAnsi="宋体" w:cs="宋体"/>
        </w:rPr>
        <w:t>35</w:t>
      </w:r>
      <w:r>
        <w:rPr>
          <w:rFonts w:hint="eastAsia" w:ascii="宋体" w:hAnsi="宋体" w:cs="宋体"/>
        </w:rPr>
        <w:t>℃。</w:t>
      </w:r>
    </w:p>
    <w:p>
      <w:pPr>
        <w:adjustRightInd w:val="0"/>
        <w:snapToGrid w:val="0"/>
        <w:spacing w:line="360" w:lineRule="auto"/>
        <w:rPr>
          <w:rFonts w:ascii="宋体" w:hAnsi="宋体" w:cs="宋体"/>
          <w:kern w:val="0"/>
          <w:szCs w:val="21"/>
        </w:rPr>
      </w:pPr>
      <w:r>
        <w:rPr>
          <w:rFonts w:hint="eastAsia" w:ascii="宋体" w:hAnsi="宋体" w:cs="宋体"/>
        </w:rPr>
        <w:t>用途：</w:t>
      </w:r>
      <w:r>
        <w:rPr>
          <w:rFonts w:hint="eastAsia" w:ascii="宋体" w:hAnsi="宋体" w:cs="宋体"/>
          <w:lang w:eastAsia="zh-CN"/>
        </w:rPr>
        <w:t>电气维修中心标校有害气体使用</w:t>
      </w:r>
      <w:r>
        <w:rPr>
          <w:rFonts w:hint="eastAsia" w:ascii="宋体" w:hAnsi="宋体" w:cs="宋体"/>
        </w:rPr>
        <w:t>。</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szCs w:val="21"/>
        </w:rPr>
        <w:t>参数</w:t>
      </w:r>
    </w:p>
    <w:p>
      <w:pPr>
        <w:adjustRightInd w:val="0"/>
        <w:snapToGrid w:val="0"/>
        <w:spacing w:line="360" w:lineRule="auto"/>
        <w:ind w:left="705" w:leftChars="134" w:hanging="424" w:hangingChars="202"/>
        <w:rPr>
          <w:rFonts w:ascii="宋体" w:hAnsi="宋体"/>
          <w:szCs w:val="21"/>
        </w:rPr>
      </w:pPr>
      <w:r>
        <w:rPr>
          <w:rFonts w:ascii="宋体" w:hAnsi="宋体"/>
          <w:szCs w:val="21"/>
        </w:rPr>
        <w:t>1.1</w:t>
      </w:r>
      <w:r>
        <w:rPr>
          <w:rFonts w:hint="eastAsia" w:ascii="宋体" w:hAnsi="宋体"/>
          <w:szCs w:val="21"/>
        </w:rPr>
        <w:t>.</w:t>
      </w:r>
      <w:r>
        <w:rPr>
          <w:rFonts w:ascii="宋体" w:hAnsi="宋体"/>
          <w:szCs w:val="21"/>
        </w:rPr>
        <w:t xml:space="preserve"> </w:t>
      </w:r>
      <w:r>
        <w:rPr>
          <w:rFonts w:hint="eastAsia" w:ascii="宋体" w:hAnsi="宋体"/>
          <w:szCs w:val="21"/>
          <w:lang w:eastAsia="zh-CN"/>
        </w:rPr>
        <w:t>名称：甲烷气体。</w:t>
      </w:r>
    </w:p>
    <w:p>
      <w:pPr>
        <w:adjustRightInd w:val="0"/>
        <w:snapToGrid w:val="0"/>
        <w:spacing w:line="360" w:lineRule="auto"/>
        <w:ind w:left="705" w:leftChars="134" w:hanging="424" w:hangingChars="202"/>
        <w:rPr>
          <w:rFonts w:ascii="宋体" w:hAnsi="宋体"/>
          <w:szCs w:val="21"/>
        </w:rPr>
      </w:pPr>
      <w:r>
        <w:rPr>
          <w:rFonts w:ascii="宋体" w:hAnsi="宋体"/>
          <w:szCs w:val="21"/>
        </w:rPr>
        <w:t>1.</w:t>
      </w:r>
      <w:r>
        <w:rPr>
          <w:rFonts w:hint="eastAsia" w:ascii="宋体" w:hAnsi="宋体"/>
          <w:szCs w:val="21"/>
        </w:rPr>
        <w:t>2.</w:t>
      </w:r>
      <w:r>
        <w:rPr>
          <w:rFonts w:hint="eastAsia" w:ascii="宋体" w:hAnsi="宋体"/>
          <w:szCs w:val="21"/>
          <w:lang w:val="en-US" w:eastAsia="zh-CN"/>
        </w:rPr>
        <w:t xml:space="preserve"> 化学式：CH4。</w:t>
      </w:r>
    </w:p>
    <w:p>
      <w:pPr>
        <w:adjustRightInd w:val="0"/>
        <w:snapToGrid w:val="0"/>
        <w:spacing w:line="360" w:lineRule="auto"/>
        <w:ind w:left="705" w:leftChars="134" w:hanging="424" w:hangingChars="202"/>
        <w:rPr>
          <w:rFonts w:hint="eastAsia" w:ascii="宋体" w:hAnsi="宋体"/>
          <w:szCs w:val="21"/>
          <w:lang w:val="en-US" w:eastAsia="zh-CN"/>
        </w:rPr>
      </w:pPr>
      <w:r>
        <w:rPr>
          <w:rFonts w:ascii="宋体" w:hAnsi="宋体"/>
          <w:szCs w:val="21"/>
        </w:rPr>
        <w:t>1.3</w:t>
      </w:r>
      <w:r>
        <w:rPr>
          <w:rFonts w:hint="eastAsia" w:ascii="宋体" w:hAnsi="宋体"/>
          <w:szCs w:val="21"/>
        </w:rPr>
        <w:t>.</w:t>
      </w:r>
      <w:r>
        <w:rPr>
          <w:rFonts w:hint="eastAsia" w:ascii="宋体" w:hAnsi="宋体"/>
          <w:szCs w:val="21"/>
          <w:lang w:val="en-US" w:eastAsia="zh-CN"/>
        </w:rPr>
        <w:t xml:space="preserve"> 浓度：2%。</w:t>
      </w:r>
    </w:p>
    <w:p>
      <w:pPr>
        <w:adjustRightInd w:val="0"/>
        <w:snapToGrid w:val="0"/>
        <w:spacing w:line="360" w:lineRule="auto"/>
        <w:rPr>
          <w:rFonts w:hint="eastAsia" w:ascii="宋体" w:hAnsi="宋体"/>
          <w:szCs w:val="21"/>
        </w:rPr>
      </w:pPr>
      <w:r>
        <w:rPr>
          <w:rFonts w:hint="eastAsia" w:ascii="宋体" w:hAnsi="宋体"/>
          <w:szCs w:val="21"/>
        </w:rPr>
        <w:t>2.技术性能要求</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2.1由国家计量行政部门批准颁布，并具有标准物质“制造计量器具许可证”的单位提供。</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2.2标准气体符合国家二级及以上标准。</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2.3附投标所有气体标准物质证书。</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2.4所需购置气体规格、浓度及余气满足货物需求表要求。</w:t>
      </w:r>
    </w:p>
    <w:p>
      <w:pPr>
        <w:adjustRightInd w:val="0"/>
        <w:snapToGrid w:val="0"/>
        <w:spacing w:line="360" w:lineRule="auto"/>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安全技术要求</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3.1 所购置标准气体由乙方（供货商）负责运输至使用单位，由使用单位予以验收确认；</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3.2购置气体所需空气瓶由使用单位提供，乙方负责（供货商）空瓶运输，并清洗打压灌装；并保证现有空气瓶均能正常使用；</w:t>
      </w:r>
    </w:p>
    <w:p>
      <w:pPr>
        <w:pStyle w:val="29"/>
        <w:tabs>
          <w:tab w:val="left" w:pos="1290"/>
          <w:tab w:val="left" w:pos="1680"/>
        </w:tabs>
        <w:adjustRightInd w:val="0"/>
        <w:snapToGrid w:val="0"/>
        <w:spacing w:line="360" w:lineRule="auto"/>
        <w:rPr>
          <w:sz w:val="21"/>
          <w:szCs w:val="21"/>
        </w:rPr>
      </w:pPr>
      <w:r>
        <w:rPr>
          <w:rFonts w:hint="eastAsia"/>
          <w:sz w:val="21"/>
          <w:szCs w:val="21"/>
          <w:lang w:val="en-US" w:eastAsia="zh-CN"/>
        </w:rPr>
        <w:t>4</w:t>
      </w:r>
      <w:r>
        <w:rPr>
          <w:rFonts w:hint="eastAsia"/>
          <w:sz w:val="21"/>
          <w:szCs w:val="21"/>
        </w:rPr>
        <w:t>.招标人提出的其它技术要求</w:t>
      </w:r>
    </w:p>
    <w:p>
      <w:pPr>
        <w:pStyle w:val="29"/>
        <w:tabs>
          <w:tab w:val="left" w:pos="1290"/>
          <w:tab w:val="left" w:pos="1680"/>
        </w:tabs>
        <w:adjustRightInd w:val="0"/>
        <w:snapToGrid w:val="0"/>
        <w:spacing w:line="360" w:lineRule="auto"/>
        <w:rPr>
          <w:sz w:val="21"/>
          <w:szCs w:val="21"/>
        </w:rPr>
      </w:pPr>
      <w:r>
        <w:rPr>
          <w:rFonts w:hint="eastAsia"/>
          <w:sz w:val="21"/>
          <w:szCs w:val="21"/>
        </w:rPr>
        <w:t xml:space="preserve">  </w:t>
      </w:r>
      <w:r>
        <w:rPr>
          <w:rFonts w:hint="eastAsia"/>
          <w:sz w:val="21"/>
          <w:szCs w:val="21"/>
          <w:lang w:val="en-US" w:eastAsia="zh-CN"/>
        </w:rPr>
        <w:t>4</w:t>
      </w:r>
      <w:r>
        <w:rPr>
          <w:rFonts w:hint="eastAsia"/>
          <w:sz w:val="21"/>
          <w:szCs w:val="21"/>
        </w:rPr>
        <w:t>.1.投标厂家必须对招标文件中的技术条款逐条解释并满足工作环境。</w:t>
      </w:r>
    </w:p>
    <w:p>
      <w:pPr>
        <w:pStyle w:val="29"/>
        <w:tabs>
          <w:tab w:val="left" w:pos="1290"/>
          <w:tab w:val="left" w:pos="1680"/>
        </w:tabs>
        <w:adjustRightInd w:val="0"/>
        <w:snapToGrid w:val="0"/>
        <w:spacing w:line="360" w:lineRule="auto"/>
        <w:rPr>
          <w:sz w:val="21"/>
          <w:szCs w:val="21"/>
        </w:rPr>
      </w:pPr>
      <w:r>
        <w:rPr>
          <w:rFonts w:hint="eastAsia"/>
          <w:sz w:val="21"/>
          <w:szCs w:val="21"/>
        </w:rPr>
        <w:t xml:space="preserve">  </w:t>
      </w:r>
      <w:r>
        <w:rPr>
          <w:rFonts w:hint="eastAsia"/>
          <w:sz w:val="21"/>
          <w:szCs w:val="21"/>
          <w:lang w:val="en-US" w:eastAsia="zh-CN"/>
        </w:rPr>
        <w:t>4</w:t>
      </w:r>
      <w:r>
        <w:rPr>
          <w:rFonts w:hint="eastAsia"/>
          <w:sz w:val="21"/>
          <w:szCs w:val="21"/>
        </w:rPr>
        <w:t>.2.投标产品必须满足相关的最新国家和行业标准要求，招标技术要求中相关条款指标高于国家行业要求的，按照招标文件要求条款执行。</w:t>
      </w:r>
    </w:p>
    <w:p>
      <w:pPr>
        <w:pStyle w:val="29"/>
        <w:tabs>
          <w:tab w:val="left" w:pos="1290"/>
          <w:tab w:val="left" w:pos="1680"/>
        </w:tabs>
        <w:adjustRightInd w:val="0"/>
        <w:snapToGrid w:val="0"/>
        <w:spacing w:line="360" w:lineRule="auto"/>
        <w:rPr>
          <w:sz w:val="21"/>
          <w:szCs w:val="21"/>
        </w:rPr>
      </w:pPr>
      <w:r>
        <w:rPr>
          <w:rFonts w:hint="eastAsia"/>
          <w:sz w:val="21"/>
          <w:szCs w:val="21"/>
        </w:rPr>
        <w:t xml:space="preserve">  </w:t>
      </w:r>
      <w:r>
        <w:rPr>
          <w:rFonts w:hint="eastAsia"/>
          <w:sz w:val="21"/>
          <w:szCs w:val="21"/>
          <w:lang w:val="en-US" w:eastAsia="zh-CN"/>
        </w:rPr>
        <w:t>4</w:t>
      </w:r>
      <w:r>
        <w:rPr>
          <w:sz w:val="21"/>
          <w:szCs w:val="21"/>
        </w:rPr>
        <w:t>.3.</w:t>
      </w:r>
      <w:r>
        <w:rPr>
          <w:rFonts w:hint="eastAsia"/>
          <w:sz w:val="21"/>
          <w:szCs w:val="21"/>
        </w:rPr>
        <w:t>上表分项报价合计价格与投标报价设备总价格必须一致。</w:t>
      </w:r>
    </w:p>
    <w:p>
      <w:pPr>
        <w:pStyle w:val="29"/>
        <w:tabs>
          <w:tab w:val="left" w:pos="1290"/>
          <w:tab w:val="left" w:pos="1680"/>
        </w:tabs>
        <w:adjustRightInd w:val="0"/>
        <w:snapToGrid w:val="0"/>
        <w:spacing w:line="360" w:lineRule="auto"/>
        <w:rPr>
          <w:rFonts w:ascii="宋体" w:hAnsi="宋体" w:cs="宋体"/>
          <w:kern w:val="0"/>
          <w:szCs w:val="21"/>
        </w:rPr>
      </w:pPr>
      <w:r>
        <w:rPr>
          <w:rFonts w:hint="eastAsia"/>
          <w:sz w:val="21"/>
          <w:szCs w:val="21"/>
        </w:rPr>
        <w:t xml:space="preserve">  </w:t>
      </w:r>
      <w:r>
        <w:rPr>
          <w:rFonts w:hint="eastAsia"/>
          <w:sz w:val="21"/>
          <w:szCs w:val="21"/>
          <w:lang w:val="en-US" w:eastAsia="zh-CN"/>
        </w:rPr>
        <w:t>4</w:t>
      </w:r>
      <w:r>
        <w:rPr>
          <w:rFonts w:hint="eastAsia"/>
          <w:sz w:val="21"/>
          <w:szCs w:val="21"/>
        </w:rPr>
        <w:t>.</w:t>
      </w:r>
      <w:r>
        <w:rPr>
          <w:sz w:val="21"/>
          <w:szCs w:val="21"/>
        </w:rPr>
        <w:t>4</w:t>
      </w:r>
      <w:r>
        <w:rPr>
          <w:rFonts w:hint="eastAsia"/>
          <w:sz w:val="21"/>
          <w:szCs w:val="21"/>
        </w:rPr>
        <w:t>.</w:t>
      </w:r>
      <w:r>
        <w:rPr>
          <w:rFonts w:hint="eastAsia" w:ascii="宋体" w:hAnsi="宋体"/>
          <w:szCs w:val="21"/>
        </w:rPr>
        <w:t>标书中未提及的技术要求必须符合国家的相关要求。</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rPr>
          <w:rFonts w:ascii="宋体"/>
          <w:spacing w:val="-5"/>
          <w:kern w:val="0"/>
          <w:szCs w:val="21"/>
        </w:rPr>
      </w:pPr>
      <w:r>
        <w:rPr>
          <w:rFonts w:hint="eastAsia" w:ascii="宋体"/>
          <w:spacing w:val="-5"/>
          <w:kern w:val="0"/>
          <w:szCs w:val="21"/>
        </w:rPr>
        <w:t>1.1</w:t>
      </w:r>
    </w:p>
    <w:p>
      <w:pPr>
        <w:adjustRightInd w:val="0"/>
        <w:snapToGrid w:val="0"/>
        <w:spacing w:line="360" w:lineRule="auto"/>
        <w:rPr>
          <w:rFonts w:ascii="宋体"/>
          <w:spacing w:val="-5"/>
          <w:kern w:val="0"/>
          <w:szCs w:val="21"/>
        </w:rPr>
      </w:pPr>
      <w:r>
        <w:rPr>
          <w:rFonts w:hint="eastAsia" w:ascii="宋体"/>
          <w:szCs w:val="21"/>
        </w:rPr>
        <w:t>1.2</w:t>
      </w:r>
    </w:p>
    <w:p>
      <w:pPr>
        <w:adjustRightInd w:val="0"/>
        <w:snapToGrid w:val="0"/>
        <w:spacing w:line="360" w:lineRule="auto"/>
        <w:rPr>
          <w:rFonts w:ascii="宋体"/>
          <w:spacing w:val="-5"/>
          <w:kern w:val="0"/>
          <w:szCs w:val="21"/>
        </w:rPr>
      </w:pPr>
      <w:r>
        <w:rPr>
          <w:rFonts w:ascii="宋体" w:hAnsi="宋体" w:cs="宋体"/>
          <w:kern w:val="0"/>
          <w:szCs w:val="21"/>
        </w:rPr>
        <w:t>……</w:t>
      </w:r>
    </w:p>
    <w:p>
      <w:pPr>
        <w:adjustRightInd w:val="0"/>
        <w:snapToGrid w:val="0"/>
        <w:spacing w:line="360" w:lineRule="auto"/>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2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出厂前检验与交货验收</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adjustRightInd w:val="0"/>
        <w:snapToGrid w:val="0"/>
        <w:spacing w:before="156" w:beforeLines="50" w:line="360" w:lineRule="auto"/>
        <w:ind w:left="315" w:leftChars="150" w:firstLine="105" w:firstLineChars="50"/>
        <w:rPr>
          <w:rFonts w:ascii="宋体" w:hAnsi="宋体"/>
          <w:szCs w:val="21"/>
        </w:rPr>
      </w:pPr>
      <w:r>
        <w:rPr>
          <w:rFonts w:ascii="宋体" w:hAnsi="宋体"/>
          <w:szCs w:val="21"/>
        </w:rPr>
        <w:t>6</w:t>
      </w:r>
      <w:r>
        <w:rPr>
          <w:rFonts w:hint="eastAsia" w:ascii="宋体" w:hAnsi="宋体"/>
          <w:szCs w:val="21"/>
        </w:rPr>
        <w:t>. 在该附录中：</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315" w:leftChars="150"/>
        <w:rPr>
          <w:rFonts w:ascii="宋体" w:hAnsi="宋体"/>
          <w:szCs w:val="21"/>
        </w:rPr>
      </w:pPr>
      <w:r>
        <w:rPr>
          <w:rFonts w:ascii="宋体" w:hAnsi="宋体"/>
          <w:szCs w:val="21"/>
        </w:rPr>
        <w:t>7</w:t>
      </w:r>
      <w:r>
        <w:rPr>
          <w:rFonts w:hint="eastAsia" w:ascii="宋体" w:hAnsi="宋体"/>
          <w:szCs w:val="21"/>
        </w:rPr>
        <w:t>. 设备到货应随机提供出厂验收报告。</w:t>
      </w:r>
    </w:p>
    <w:p>
      <w:pPr>
        <w:adjustRightInd w:val="0"/>
        <w:snapToGrid w:val="0"/>
        <w:spacing w:before="156" w:beforeLines="50" w:line="360" w:lineRule="auto"/>
        <w:ind w:left="315" w:leftChars="150"/>
        <w:rPr>
          <w:rFonts w:ascii="宋体" w:hAnsi="宋体"/>
          <w:szCs w:val="21"/>
        </w:rPr>
      </w:pPr>
      <w:r>
        <w:rPr>
          <w:rFonts w:ascii="宋体" w:hAnsi="宋体"/>
          <w:szCs w:val="21"/>
        </w:rPr>
        <w:t>8</w:t>
      </w:r>
      <w:r>
        <w:rPr>
          <w:rFonts w:hint="eastAsia" w:ascii="宋体" w:hAnsi="宋体"/>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26"/>
        <w:jc w:val="center"/>
      </w:pPr>
      <w:r>
        <w:rPr>
          <w:rFonts w:hint="eastAsia" w:ascii="宋体" w:hAnsi="宋体"/>
          <w:szCs w:val="21"/>
        </w:rPr>
        <w:br w:type="page"/>
      </w:r>
    </w:p>
    <w:p>
      <w:pPr>
        <w:pStyle w:val="26"/>
        <w:spacing w:before="156" w:beforeLines="50" w:after="156" w:afterLines="50" w:line="360" w:lineRule="auto"/>
        <w:jc w:val="center"/>
        <w:outlineLvl w:val="9"/>
        <w:rPr>
          <w:rFonts w:ascii="宋体" w:hAnsi="宋体" w:eastAsia="宋体"/>
          <w:b/>
          <w:sz w:val="24"/>
          <w:szCs w:val="24"/>
        </w:rPr>
      </w:pPr>
      <w:bookmarkStart w:id="3" w:name="_Toc357086144"/>
      <w:r>
        <w:rPr>
          <w:rFonts w:hint="eastAsia" w:ascii="黑体" w:hAnsi="黑体" w:cs="Times New Roman"/>
          <w:b/>
          <w:bCs/>
          <w:sz w:val="32"/>
          <w:szCs w:val="24"/>
        </w:rPr>
        <w:t>第三节 质量保证</w:t>
      </w:r>
    </w:p>
    <w:bookmarkEnd w:id="3"/>
    <w:p>
      <w:pPr>
        <w:widowControl/>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 质保期应为自使用之日起12个月或到货验收合格后18个月，先到为准。对由于设计或质量问题而引起的设备故障，中标方应进一步对此负责。专用合同条款对质保有特殊规定的从其规定。</w:t>
      </w:r>
    </w:p>
    <w:p>
      <w:pPr>
        <w:widowControl/>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 中标方质保期内应免费对产品进行维修服务，无偿更换零件、部件,更换、维修后的部件质保期从产品正常运行之日起重新计算。</w:t>
      </w:r>
    </w:p>
    <w:p>
      <w:pPr>
        <w:widowControl/>
        <w:ind w:firstLine="420" w:firstLineChars="200"/>
        <w:jc w:val="left"/>
      </w:pPr>
      <w:r>
        <w:rPr>
          <w:rFonts w:hint="eastAsia" w:asciiTheme="minorEastAsia" w:hAnsiTheme="minorEastAsia" w:eastAsiaTheme="minorEastAsia" w:cstheme="minorEastAsia"/>
        </w:rPr>
        <w:t xml:space="preserve">3. 中标方对设备大修周期、使用寿命及各主要部件的寿命承诺。 </w:t>
      </w:r>
      <w:r>
        <w:br w:type="page"/>
      </w:r>
    </w:p>
    <w:p>
      <w:pPr>
        <w:pStyle w:val="26"/>
        <w:spacing w:before="156" w:beforeLines="50" w:after="156" w:afterLines="50" w:line="360" w:lineRule="auto"/>
        <w:jc w:val="center"/>
        <w:outlineLvl w:val="9"/>
        <w:rPr>
          <w:rFonts w:ascii="黑体" w:hAnsi="黑体" w:cs="Times New Roman"/>
          <w:b/>
          <w:bCs/>
          <w:sz w:val="32"/>
          <w:szCs w:val="24"/>
        </w:rPr>
      </w:pPr>
      <w:r>
        <w:rPr>
          <w:rFonts w:hint="eastAsia" w:ascii="黑体" w:hAnsi="黑体" w:cs="Times New Roman"/>
          <w:b/>
          <w:bCs/>
          <w:sz w:val="32"/>
          <w:szCs w:val="24"/>
        </w:rPr>
        <w:t>第四节 标准</w:t>
      </w:r>
    </w:p>
    <w:p>
      <w:pPr>
        <w:pStyle w:val="29"/>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w:t>
      </w:r>
      <w:r>
        <w:rPr>
          <w:rFonts w:hint="eastAsia"/>
          <w:sz w:val="21"/>
          <w:szCs w:val="21"/>
        </w:rPr>
        <w:t xml:space="preserve"> </w:t>
      </w:r>
      <w:r>
        <w:rPr>
          <w:sz w:val="21"/>
          <w:szCs w:val="21"/>
        </w:rPr>
        <w:t>所供应的货物将按下列标准（推荐）进行设计和制造</w:t>
      </w:r>
    </w:p>
    <w:p>
      <w:pPr>
        <w:pStyle w:val="29"/>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29"/>
        <w:tabs>
          <w:tab w:val="left" w:pos="550"/>
        </w:tabs>
        <w:adjustRightInd w:val="0"/>
        <w:snapToGrid w:val="0"/>
        <w:spacing w:line="360" w:lineRule="auto"/>
        <w:ind w:firstLine="420" w:firstLineChars="200"/>
        <w:rPr>
          <w:sz w:val="21"/>
          <w:szCs w:val="21"/>
        </w:rPr>
      </w:pPr>
      <w:r>
        <w:rPr>
          <w:sz w:val="21"/>
          <w:szCs w:val="21"/>
        </w:rPr>
        <w:t>机械:     ISO标准</w:t>
      </w:r>
    </w:p>
    <w:p>
      <w:pPr>
        <w:pStyle w:val="29"/>
        <w:tabs>
          <w:tab w:val="left" w:pos="1290"/>
          <w:tab w:val="left" w:pos="1680"/>
        </w:tabs>
        <w:adjustRightInd w:val="0"/>
        <w:snapToGrid w:val="0"/>
        <w:spacing w:line="360" w:lineRule="auto"/>
        <w:rPr>
          <w:sz w:val="21"/>
          <w:szCs w:val="21"/>
        </w:rPr>
      </w:pPr>
      <w:r>
        <w:rPr>
          <w:rFonts w:hint="eastAsia"/>
          <w:sz w:val="21"/>
          <w:szCs w:val="21"/>
        </w:rPr>
        <w:t>4.</w:t>
      </w:r>
      <w:r>
        <w:rPr>
          <w:rFonts w:hint="eastAsia"/>
          <w:sz w:val="21"/>
          <w:szCs w:val="21"/>
          <w:lang w:val="en-US" w:eastAsia="zh-CN"/>
        </w:rPr>
        <w:t>2</w:t>
      </w:r>
      <w:r>
        <w:rPr>
          <w:sz w:val="21"/>
          <w:szCs w:val="21"/>
        </w:rPr>
        <w:t>.</w:t>
      </w:r>
      <w:r>
        <w:rPr>
          <w:rFonts w:hint="eastAsia"/>
          <w:sz w:val="21"/>
          <w:szCs w:val="21"/>
        </w:rPr>
        <w:t xml:space="preserve"> </w:t>
      </w:r>
      <w:r>
        <w:rPr>
          <w:sz w:val="21"/>
          <w:szCs w:val="21"/>
        </w:rPr>
        <w:t>设备的设计与制造要求采用国际公制单位，个别部件采用英制单位应列出清单。</w:t>
      </w:r>
    </w:p>
    <w:p>
      <w:pPr>
        <w:pStyle w:val="29"/>
        <w:tabs>
          <w:tab w:val="left" w:pos="1290"/>
          <w:tab w:val="left" w:pos="1680"/>
        </w:tabs>
        <w:adjustRightInd w:val="0"/>
        <w:snapToGrid w:val="0"/>
        <w:spacing w:line="360" w:lineRule="auto"/>
        <w:rPr>
          <w:rFonts w:hint="eastAsia"/>
          <w:sz w:val="21"/>
          <w:szCs w:val="21"/>
        </w:rPr>
      </w:pPr>
      <w:r>
        <w:rPr>
          <w:rFonts w:hint="eastAsia"/>
          <w:sz w:val="21"/>
          <w:szCs w:val="21"/>
          <w:lang w:val="en-US" w:eastAsia="zh-CN"/>
        </w:rPr>
        <w:t>4</w:t>
      </w:r>
      <w:r>
        <w:rPr>
          <w:rFonts w:hint="eastAsia"/>
          <w:sz w:val="21"/>
          <w:szCs w:val="21"/>
        </w:rPr>
        <w:t>.</w:t>
      </w:r>
      <w:r>
        <w:rPr>
          <w:rFonts w:hint="eastAsia"/>
          <w:sz w:val="21"/>
          <w:szCs w:val="21"/>
          <w:lang w:val="en-US" w:eastAsia="zh-CN"/>
        </w:rPr>
        <w:t>3.</w:t>
      </w:r>
      <w:r>
        <w:rPr>
          <w:rFonts w:hint="eastAsia"/>
          <w:sz w:val="21"/>
          <w:szCs w:val="21"/>
        </w:rPr>
        <w:t xml:space="preserve"> GB 3836.1-2010 爆炸性环境 第1部分：设备 通用要求</w:t>
      </w:r>
      <w:r>
        <w:rPr>
          <w:rFonts w:hint="eastAsia"/>
          <w:sz w:val="21"/>
          <w:szCs w:val="21"/>
          <w:lang w:eastAsia="zh-CN"/>
        </w:rPr>
        <w:t>。</w:t>
      </w:r>
    </w:p>
    <w:p>
      <w:pPr>
        <w:pStyle w:val="29"/>
        <w:tabs>
          <w:tab w:val="left" w:pos="1290"/>
          <w:tab w:val="left" w:pos="1680"/>
        </w:tabs>
        <w:adjustRightInd w:val="0"/>
        <w:snapToGrid w:val="0"/>
        <w:spacing w:line="360" w:lineRule="auto"/>
        <w:rPr>
          <w:rFonts w:hint="eastAsia"/>
          <w:sz w:val="21"/>
          <w:szCs w:val="21"/>
          <w:lang w:eastAsia="zh-CN"/>
        </w:rPr>
      </w:pPr>
      <w:r>
        <w:rPr>
          <w:rFonts w:hint="eastAsia"/>
          <w:sz w:val="21"/>
          <w:szCs w:val="21"/>
          <w:lang w:val="en-US" w:eastAsia="zh-CN"/>
        </w:rPr>
        <w:t>4</w:t>
      </w:r>
      <w:r>
        <w:rPr>
          <w:rFonts w:hint="eastAsia"/>
          <w:sz w:val="21"/>
          <w:szCs w:val="21"/>
        </w:rPr>
        <w:t>.</w:t>
      </w:r>
      <w:r>
        <w:rPr>
          <w:rFonts w:hint="eastAsia"/>
          <w:sz w:val="21"/>
          <w:szCs w:val="21"/>
          <w:lang w:val="en-US" w:eastAsia="zh-CN"/>
        </w:rPr>
        <w:t>4.</w:t>
      </w:r>
      <w:r>
        <w:rPr>
          <w:rFonts w:hint="eastAsia"/>
          <w:sz w:val="21"/>
          <w:szCs w:val="21"/>
        </w:rPr>
        <w:t>标准气体执行标准：中华人民共和国国家计量检定规程JJ1093-2013《矿用一氧化碳检测报警器》、JJG1087-2013《矿用氧气检测报警器》、JJG1678-2007《矿用氧气检测报警器》。钢瓶执行标准：GB 5099-94　《钢质无缝气瓶》</w:t>
      </w:r>
      <w:r>
        <w:rPr>
          <w:rFonts w:hint="eastAsia"/>
          <w:sz w:val="21"/>
          <w:szCs w:val="21"/>
          <w:lang w:eastAsia="zh-CN"/>
        </w:rPr>
        <w:t>。</w:t>
      </w:r>
    </w:p>
    <w:p>
      <w:pPr>
        <w:pStyle w:val="29"/>
        <w:tabs>
          <w:tab w:val="left" w:pos="1290"/>
          <w:tab w:val="left" w:pos="1680"/>
        </w:tabs>
        <w:adjustRightInd w:val="0"/>
        <w:snapToGrid w:val="0"/>
        <w:spacing w:line="360" w:lineRule="auto"/>
        <w:rPr>
          <w:rFonts w:hint="eastAsia"/>
          <w:sz w:val="21"/>
          <w:szCs w:val="21"/>
          <w:lang w:eastAsia="zh-CN"/>
        </w:rPr>
      </w:pPr>
      <w:r>
        <w:rPr>
          <w:rFonts w:hint="eastAsia"/>
          <w:sz w:val="21"/>
          <w:szCs w:val="21"/>
        </w:rPr>
        <w:t>4.</w:t>
      </w:r>
      <w:r>
        <w:rPr>
          <w:rFonts w:hint="eastAsia"/>
          <w:sz w:val="21"/>
          <w:szCs w:val="21"/>
          <w:lang w:val="en-US" w:eastAsia="zh-CN"/>
        </w:rPr>
        <w:t>5</w:t>
      </w:r>
      <w:r>
        <w:rPr>
          <w:rFonts w:hint="eastAsia"/>
          <w:sz w:val="21"/>
          <w:szCs w:val="21"/>
        </w:rPr>
        <w:t>.</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 w:name="Courier New">
    <w:panose1 w:val="02070309020205020404"/>
    <w:charset w:val="00"/>
    <w:family w:val="modern"/>
    <w:pitch w:val="default"/>
    <w:sig w:usb0="00007A87" w:usb1="80000000" w:usb2="00000008" w:usb3="00000000" w:csb0="400001FF" w:csb1="FFFF0000"/>
  </w:font>
  <w:font w:name="Palatino Linotype">
    <w:panose1 w:val="02040502050505030304"/>
    <w:charset w:val="00"/>
    <w:family w:val="auto"/>
    <w:pitch w:val="default"/>
    <w:sig w:usb0="E0000387" w:usb1="40000013" w:usb2="00000000" w:usb3="00000000" w:csb0="2000019F" w:csb1="00000000"/>
  </w:font>
  <w:font w:name="Lucida Sans">
    <w:altName w:val="Lucida Sans Unicode"/>
    <w:panose1 w:val="020B0602030504020204"/>
    <w:charset w:val="00"/>
    <w:family w:val="auto"/>
    <w:pitch w:val="default"/>
    <w:sig w:usb0="00000000" w:usb1="00000000" w:usb2="00000000" w:usb3="00000000" w:csb0="20000001" w:csb1="00000000"/>
  </w:font>
  <w:font w:name="baikeFont_layout">
    <w:altName w:val="Courier New"/>
    <w:panose1 w:val="00000000000000000000"/>
    <w:charset w:val="00"/>
    <w:family w:val="auto"/>
    <w:pitch w:val="default"/>
    <w:sig w:usb0="00000000" w:usb1="00000000" w:usb2="00000000" w:usb3="00000000" w:csb0="00000000" w:csb1="00000000"/>
  </w:font>
  <w:font w:name="baikeFont_css">
    <w:altName w:val="Courier New"/>
    <w:panose1 w:val="00000000000000000000"/>
    <w:charset w:val="00"/>
    <w:family w:val="auto"/>
    <w:pitch w:val="default"/>
    <w:sig w:usb0="00000000" w:usb1="00000000" w:usb2="00000000" w:usb3="00000000" w:csb0="00000000" w:csb1="00000000"/>
  </w:font>
  <w:font w:name="monospace">
    <w:altName w:val="Courier New"/>
    <w:panose1 w:val="00000000000000000000"/>
    <w:charset w:val="00"/>
    <w:family w:val="auto"/>
    <w:pitch w:val="default"/>
    <w:sig w:usb0="00000000" w:usb1="00000000" w:usb2="00000000" w:usb3="00000000" w:csb0="00000000" w:csb1="00000000"/>
  </w:font>
  <w:font w:name="AMGDT">
    <w:altName w:val="Segoe UI"/>
    <w:panose1 w:val="02000400000000000000"/>
    <w:charset w:val="00"/>
    <w:family w:val="auto"/>
    <w:pitch w:val="default"/>
    <w:sig w:usb0="00000000" w:usb1="00000000" w:usb2="00000000" w:usb3="00000000" w:csb0="00000001" w:csb1="00000000"/>
  </w:font>
  <w:font w:name="仿宋">
    <w:altName w:val="仿宋_GB2312"/>
    <w:panose1 w:val="02010609060101010101"/>
    <w:charset w:val="86"/>
    <w:family w:val="auto"/>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 w:name="Segoe UI">
    <w:panose1 w:val="020B0502040204020203"/>
    <w:charset w:val="00"/>
    <w:family w:val="auto"/>
    <w:pitch w:val="default"/>
    <w:sig w:usb0="E00022FF" w:usb1="C000205B" w:usb2="00000009" w:usb3="00000000" w:csb0="200001DF" w:csb1="2008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109C0"/>
    <w:rsid w:val="00015381"/>
    <w:rsid w:val="00034491"/>
    <w:rsid w:val="000349FF"/>
    <w:rsid w:val="00040FAA"/>
    <w:rsid w:val="00046393"/>
    <w:rsid w:val="00062A06"/>
    <w:rsid w:val="00074BAA"/>
    <w:rsid w:val="0008777B"/>
    <w:rsid w:val="000B4A8F"/>
    <w:rsid w:val="000C002E"/>
    <w:rsid w:val="000D5B51"/>
    <w:rsid w:val="000F7B2D"/>
    <w:rsid w:val="00142DC8"/>
    <w:rsid w:val="00152AAB"/>
    <w:rsid w:val="00152DFA"/>
    <w:rsid w:val="00155A24"/>
    <w:rsid w:val="001608A6"/>
    <w:rsid w:val="00160E7C"/>
    <w:rsid w:val="00162CD6"/>
    <w:rsid w:val="0017236C"/>
    <w:rsid w:val="00173B13"/>
    <w:rsid w:val="00175505"/>
    <w:rsid w:val="001803C1"/>
    <w:rsid w:val="001C2A35"/>
    <w:rsid w:val="001F4947"/>
    <w:rsid w:val="00205A97"/>
    <w:rsid w:val="00207DB2"/>
    <w:rsid w:val="00213B0F"/>
    <w:rsid w:val="0023500D"/>
    <w:rsid w:val="00243118"/>
    <w:rsid w:val="0024361C"/>
    <w:rsid w:val="00247066"/>
    <w:rsid w:val="00254199"/>
    <w:rsid w:val="002633A5"/>
    <w:rsid w:val="00287971"/>
    <w:rsid w:val="002902C1"/>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708D1"/>
    <w:rsid w:val="00376DAE"/>
    <w:rsid w:val="00386656"/>
    <w:rsid w:val="003A43AD"/>
    <w:rsid w:val="003A5201"/>
    <w:rsid w:val="003B3881"/>
    <w:rsid w:val="003B3F9D"/>
    <w:rsid w:val="003D0832"/>
    <w:rsid w:val="003D621C"/>
    <w:rsid w:val="003F38A7"/>
    <w:rsid w:val="004013AD"/>
    <w:rsid w:val="004021E7"/>
    <w:rsid w:val="00405B14"/>
    <w:rsid w:val="00413602"/>
    <w:rsid w:val="00415933"/>
    <w:rsid w:val="004171CC"/>
    <w:rsid w:val="00424C95"/>
    <w:rsid w:val="00433399"/>
    <w:rsid w:val="00462545"/>
    <w:rsid w:val="0046284D"/>
    <w:rsid w:val="00463629"/>
    <w:rsid w:val="00481D87"/>
    <w:rsid w:val="004954E0"/>
    <w:rsid w:val="004A5487"/>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3472"/>
    <w:rsid w:val="00564646"/>
    <w:rsid w:val="00595E43"/>
    <w:rsid w:val="00596F47"/>
    <w:rsid w:val="005A693C"/>
    <w:rsid w:val="005A6A5C"/>
    <w:rsid w:val="005B215D"/>
    <w:rsid w:val="005B7C05"/>
    <w:rsid w:val="005C1073"/>
    <w:rsid w:val="005C2EC1"/>
    <w:rsid w:val="005D117A"/>
    <w:rsid w:val="005E1806"/>
    <w:rsid w:val="005E2C8D"/>
    <w:rsid w:val="005F1F39"/>
    <w:rsid w:val="005F6C66"/>
    <w:rsid w:val="00604F0E"/>
    <w:rsid w:val="00607817"/>
    <w:rsid w:val="006118E4"/>
    <w:rsid w:val="00616668"/>
    <w:rsid w:val="00644CBA"/>
    <w:rsid w:val="0064539F"/>
    <w:rsid w:val="00652874"/>
    <w:rsid w:val="00674855"/>
    <w:rsid w:val="0068763C"/>
    <w:rsid w:val="00695B06"/>
    <w:rsid w:val="006B3D97"/>
    <w:rsid w:val="006C2B88"/>
    <w:rsid w:val="006C3017"/>
    <w:rsid w:val="006C3ED5"/>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806923"/>
    <w:rsid w:val="0080693E"/>
    <w:rsid w:val="00807102"/>
    <w:rsid w:val="008156D9"/>
    <w:rsid w:val="00826F56"/>
    <w:rsid w:val="0083250C"/>
    <w:rsid w:val="0083563D"/>
    <w:rsid w:val="00843418"/>
    <w:rsid w:val="00845825"/>
    <w:rsid w:val="00853966"/>
    <w:rsid w:val="00855944"/>
    <w:rsid w:val="00881676"/>
    <w:rsid w:val="00882500"/>
    <w:rsid w:val="0088601A"/>
    <w:rsid w:val="00890998"/>
    <w:rsid w:val="00897BC6"/>
    <w:rsid w:val="008C2E31"/>
    <w:rsid w:val="008E4684"/>
    <w:rsid w:val="008F6198"/>
    <w:rsid w:val="008F7C7E"/>
    <w:rsid w:val="00905422"/>
    <w:rsid w:val="009054B3"/>
    <w:rsid w:val="0092369C"/>
    <w:rsid w:val="00943FA8"/>
    <w:rsid w:val="00947716"/>
    <w:rsid w:val="00947E03"/>
    <w:rsid w:val="009555FC"/>
    <w:rsid w:val="0096100E"/>
    <w:rsid w:val="00986153"/>
    <w:rsid w:val="00992860"/>
    <w:rsid w:val="00992BDB"/>
    <w:rsid w:val="00993163"/>
    <w:rsid w:val="009933CD"/>
    <w:rsid w:val="009952BC"/>
    <w:rsid w:val="00996A9F"/>
    <w:rsid w:val="009A1731"/>
    <w:rsid w:val="009B7AFD"/>
    <w:rsid w:val="009C560A"/>
    <w:rsid w:val="009D05E6"/>
    <w:rsid w:val="009D16D9"/>
    <w:rsid w:val="009F0088"/>
    <w:rsid w:val="009F700A"/>
    <w:rsid w:val="00A0156C"/>
    <w:rsid w:val="00A1147B"/>
    <w:rsid w:val="00A116B9"/>
    <w:rsid w:val="00A14213"/>
    <w:rsid w:val="00A2367D"/>
    <w:rsid w:val="00A25B21"/>
    <w:rsid w:val="00A30913"/>
    <w:rsid w:val="00A36918"/>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66AF"/>
    <w:rsid w:val="00AF260A"/>
    <w:rsid w:val="00B031C1"/>
    <w:rsid w:val="00B03A0D"/>
    <w:rsid w:val="00B045D4"/>
    <w:rsid w:val="00B078AA"/>
    <w:rsid w:val="00B10346"/>
    <w:rsid w:val="00B15920"/>
    <w:rsid w:val="00B1737F"/>
    <w:rsid w:val="00B24159"/>
    <w:rsid w:val="00B246C9"/>
    <w:rsid w:val="00B32769"/>
    <w:rsid w:val="00B335EE"/>
    <w:rsid w:val="00B42553"/>
    <w:rsid w:val="00B45AE6"/>
    <w:rsid w:val="00B479F5"/>
    <w:rsid w:val="00B615D0"/>
    <w:rsid w:val="00B6712E"/>
    <w:rsid w:val="00B73000"/>
    <w:rsid w:val="00B81CAE"/>
    <w:rsid w:val="00B8459D"/>
    <w:rsid w:val="00B93EF8"/>
    <w:rsid w:val="00BB3B5C"/>
    <w:rsid w:val="00BC1A1D"/>
    <w:rsid w:val="00BC7C25"/>
    <w:rsid w:val="00BD126A"/>
    <w:rsid w:val="00BD3068"/>
    <w:rsid w:val="00BF1B41"/>
    <w:rsid w:val="00C005E2"/>
    <w:rsid w:val="00C04844"/>
    <w:rsid w:val="00C22C5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D5D1D"/>
    <w:rsid w:val="00CE2302"/>
    <w:rsid w:val="00CF3036"/>
    <w:rsid w:val="00D04856"/>
    <w:rsid w:val="00D10234"/>
    <w:rsid w:val="00D15AFD"/>
    <w:rsid w:val="00D33006"/>
    <w:rsid w:val="00D43F0D"/>
    <w:rsid w:val="00D45A07"/>
    <w:rsid w:val="00D50A55"/>
    <w:rsid w:val="00D93117"/>
    <w:rsid w:val="00D95D3F"/>
    <w:rsid w:val="00DA4732"/>
    <w:rsid w:val="00DC0DF1"/>
    <w:rsid w:val="00DC42CF"/>
    <w:rsid w:val="00DD144E"/>
    <w:rsid w:val="00DD1B16"/>
    <w:rsid w:val="00DD3E50"/>
    <w:rsid w:val="00DE1B86"/>
    <w:rsid w:val="00DE1BDB"/>
    <w:rsid w:val="00DE243A"/>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AB9"/>
    <w:rsid w:val="00EC01F4"/>
    <w:rsid w:val="00EC35BC"/>
    <w:rsid w:val="00EC5962"/>
    <w:rsid w:val="00EE23A6"/>
    <w:rsid w:val="00EE66B8"/>
    <w:rsid w:val="00F02E92"/>
    <w:rsid w:val="00F15AC7"/>
    <w:rsid w:val="00F16511"/>
    <w:rsid w:val="00F24373"/>
    <w:rsid w:val="00F3355C"/>
    <w:rsid w:val="00F43474"/>
    <w:rsid w:val="00F54464"/>
    <w:rsid w:val="00F54953"/>
    <w:rsid w:val="00F76074"/>
    <w:rsid w:val="00F76586"/>
    <w:rsid w:val="00F918FA"/>
    <w:rsid w:val="00F92D03"/>
    <w:rsid w:val="00FA6B21"/>
    <w:rsid w:val="00FB3542"/>
    <w:rsid w:val="00FC6B4B"/>
    <w:rsid w:val="00FD776B"/>
    <w:rsid w:val="00FE5241"/>
    <w:rsid w:val="00FF6988"/>
    <w:rsid w:val="0670699D"/>
    <w:rsid w:val="26E6127E"/>
    <w:rsid w:val="2A803024"/>
    <w:rsid w:val="32DD7AD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qFormat="1" w:uiPriority="99" w:semiHidden="0"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uiPriority w:val="1"/>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36"/>
    <w:unhideWhenUsed/>
    <w:qFormat/>
    <w:uiPriority w:val="99"/>
    <w:rPr>
      <w:b/>
      <w:bCs/>
    </w:rPr>
  </w:style>
  <w:style w:type="paragraph" w:styleId="5">
    <w:name w:val="annotation text"/>
    <w:basedOn w:val="1"/>
    <w:link w:val="35"/>
    <w:unhideWhenUsed/>
    <w:qFormat/>
    <w:uiPriority w:val="99"/>
    <w:pPr>
      <w:jc w:val="left"/>
    </w:pPr>
  </w:style>
  <w:style w:type="paragraph" w:styleId="6">
    <w:name w:val="Body Text"/>
    <w:basedOn w:val="1"/>
    <w:link w:val="30"/>
    <w:qFormat/>
    <w:uiPriority w:val="0"/>
    <w:pPr>
      <w:spacing w:after="120"/>
    </w:pPr>
  </w:style>
  <w:style w:type="paragraph" w:styleId="7">
    <w:name w:val="Balloon Text"/>
    <w:basedOn w:val="1"/>
    <w:link w:val="37"/>
    <w:unhideWhenUsed/>
    <w:qFormat/>
    <w:uiPriority w:val="99"/>
    <w:rPr>
      <w:sz w:val="18"/>
      <w:szCs w:val="18"/>
    </w:rPr>
  </w:style>
  <w:style w:type="paragraph" w:styleId="8">
    <w:name w:val="footer"/>
    <w:basedOn w:val="1"/>
    <w:link w:val="34"/>
    <w:unhideWhenUsed/>
    <w:qFormat/>
    <w:uiPriority w:val="99"/>
    <w:pPr>
      <w:tabs>
        <w:tab w:val="center" w:pos="4153"/>
        <w:tab w:val="right" w:pos="8306"/>
      </w:tabs>
      <w:snapToGrid w:val="0"/>
      <w:jc w:val="left"/>
    </w:pPr>
    <w:rPr>
      <w:sz w:val="18"/>
      <w:szCs w:val="18"/>
    </w:rPr>
  </w:style>
  <w:style w:type="paragraph" w:styleId="9">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7"/>
    <w:qFormat/>
    <w:uiPriority w:val="0"/>
    <w:pPr>
      <w:snapToGrid w:val="0"/>
      <w:jc w:val="left"/>
    </w:pPr>
    <w:rPr>
      <w:sz w:val="18"/>
      <w:szCs w:val="18"/>
    </w:rPr>
  </w:style>
  <w:style w:type="character" w:styleId="12">
    <w:name w:val="Strong"/>
    <w:basedOn w:val="11"/>
    <w:qFormat/>
    <w:uiPriority w:val="22"/>
    <w:rPr>
      <w:b/>
    </w:rPr>
  </w:style>
  <w:style w:type="character" w:styleId="13">
    <w:name w:val="FollowedHyperlink"/>
    <w:basedOn w:val="11"/>
    <w:unhideWhenUsed/>
    <w:uiPriority w:val="99"/>
    <w:rPr>
      <w:color w:val="338DE6"/>
      <w:u w:val="none"/>
    </w:rPr>
  </w:style>
  <w:style w:type="character" w:styleId="14">
    <w:name w:val="Emphasis"/>
    <w:basedOn w:val="11"/>
    <w:qFormat/>
    <w:uiPriority w:val="20"/>
  </w:style>
  <w:style w:type="character" w:styleId="15">
    <w:name w:val="HTML Definition"/>
    <w:basedOn w:val="11"/>
    <w:unhideWhenUsed/>
    <w:qFormat/>
    <w:uiPriority w:val="99"/>
  </w:style>
  <w:style w:type="character" w:styleId="16">
    <w:name w:val="HTML Variable"/>
    <w:basedOn w:val="11"/>
    <w:unhideWhenUsed/>
    <w:qFormat/>
    <w:uiPriority w:val="99"/>
  </w:style>
  <w:style w:type="character" w:styleId="17">
    <w:name w:val="Hyperlink"/>
    <w:basedOn w:val="11"/>
    <w:unhideWhenUsed/>
    <w:qFormat/>
    <w:uiPriority w:val="99"/>
    <w:rPr>
      <w:color w:val="338DE6"/>
      <w:u w:val="none"/>
    </w:rPr>
  </w:style>
  <w:style w:type="character" w:styleId="18">
    <w:name w:val="HTML Code"/>
    <w:basedOn w:val="11"/>
    <w:unhideWhenUsed/>
    <w:qFormat/>
    <w:uiPriority w:val="99"/>
    <w:rPr>
      <w:rFonts w:hint="default" w:ascii="monospace" w:hAnsi="monospace" w:eastAsia="monospace" w:cs="monospace"/>
      <w:sz w:val="21"/>
      <w:szCs w:val="21"/>
    </w:rPr>
  </w:style>
  <w:style w:type="character" w:styleId="19">
    <w:name w:val="annotation reference"/>
    <w:basedOn w:val="11"/>
    <w:unhideWhenUsed/>
    <w:qFormat/>
    <w:uiPriority w:val="99"/>
    <w:rPr>
      <w:sz w:val="21"/>
      <w:szCs w:val="21"/>
    </w:rPr>
  </w:style>
  <w:style w:type="character" w:styleId="20">
    <w:name w:val="HTML Cite"/>
    <w:basedOn w:val="11"/>
    <w:unhideWhenUsed/>
    <w:qFormat/>
    <w:uiPriority w:val="99"/>
  </w:style>
  <w:style w:type="character" w:styleId="21">
    <w:name w:val="footnote reference"/>
    <w:qFormat/>
    <w:uiPriority w:val="0"/>
    <w:rPr>
      <w:vertAlign w:val="superscript"/>
    </w:rPr>
  </w:style>
  <w:style w:type="character" w:styleId="22">
    <w:name w:val="HTML Keyboard"/>
    <w:basedOn w:val="11"/>
    <w:unhideWhenUsed/>
    <w:qFormat/>
    <w:uiPriority w:val="99"/>
    <w:rPr>
      <w:rFonts w:hint="default" w:ascii="monospace" w:hAnsi="monospace" w:eastAsia="monospace" w:cs="monospace"/>
      <w:sz w:val="21"/>
      <w:szCs w:val="21"/>
    </w:rPr>
  </w:style>
  <w:style w:type="character" w:styleId="23">
    <w:name w:val="HTML Sample"/>
    <w:basedOn w:val="11"/>
    <w:unhideWhenUsed/>
    <w:qFormat/>
    <w:uiPriority w:val="99"/>
    <w:rPr>
      <w:rFonts w:ascii="monospace" w:hAnsi="monospace" w:eastAsia="monospace" w:cs="monospace"/>
      <w:sz w:val="21"/>
      <w:szCs w:val="21"/>
    </w:rPr>
  </w:style>
  <w:style w:type="character" w:customStyle="1" w:styleId="25">
    <w:name w:val="标题 1 Char"/>
    <w:basedOn w:val="11"/>
    <w:link w:val="2"/>
    <w:qFormat/>
    <w:uiPriority w:val="0"/>
    <w:rPr>
      <w:rFonts w:ascii="Times New Roman" w:hAnsi="Times New Roman" w:eastAsia="宋体" w:cs="Times New Roman"/>
      <w:b/>
      <w:bCs/>
      <w:kern w:val="44"/>
      <w:sz w:val="44"/>
      <w:szCs w:val="44"/>
    </w:rPr>
  </w:style>
  <w:style w:type="paragraph" w:customStyle="1" w:styleId="26">
    <w:name w:val="样式 标题 2 + Times New Roman 四号 非加粗 段前: 5 磅 段后: 0 磅 行距: 固定值 20..."/>
    <w:basedOn w:val="3"/>
    <w:uiPriority w:val="0"/>
    <w:pPr>
      <w:spacing w:before="100" w:after="0" w:line="400" w:lineRule="exact"/>
    </w:pPr>
    <w:rPr>
      <w:rFonts w:ascii="Times New Roman" w:hAnsi="Times New Roman" w:eastAsia="黑体" w:cs="宋体"/>
      <w:b w:val="0"/>
      <w:bCs w:val="0"/>
      <w:sz w:val="28"/>
      <w:szCs w:val="20"/>
    </w:rPr>
  </w:style>
  <w:style w:type="character" w:customStyle="1" w:styleId="27">
    <w:name w:val="脚注文本 Char"/>
    <w:basedOn w:val="11"/>
    <w:link w:val="10"/>
    <w:qFormat/>
    <w:uiPriority w:val="0"/>
    <w:rPr>
      <w:rFonts w:ascii="Times New Roman" w:hAnsi="Times New Roman" w:eastAsia="宋体" w:cs="Times New Roman"/>
      <w:sz w:val="18"/>
      <w:szCs w:val="18"/>
    </w:rPr>
  </w:style>
  <w:style w:type="character" w:customStyle="1" w:styleId="2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29">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30">
    <w:name w:val="正文文本 Char"/>
    <w:basedOn w:val="11"/>
    <w:link w:val="6"/>
    <w:qFormat/>
    <w:uiPriority w:val="0"/>
    <w:rPr>
      <w:rFonts w:ascii="Times New Roman" w:hAnsi="Times New Roman" w:eastAsia="宋体" w:cs="Times New Roman"/>
      <w:szCs w:val="24"/>
    </w:rPr>
  </w:style>
  <w:style w:type="paragraph" w:customStyle="1" w:styleId="31">
    <w:name w:val="List Paragraph"/>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3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33">
    <w:name w:val="页眉 Char"/>
    <w:basedOn w:val="11"/>
    <w:link w:val="9"/>
    <w:qFormat/>
    <w:uiPriority w:val="99"/>
    <w:rPr>
      <w:rFonts w:ascii="Times New Roman" w:hAnsi="Times New Roman" w:eastAsia="宋体" w:cs="Times New Roman"/>
      <w:sz w:val="18"/>
      <w:szCs w:val="18"/>
    </w:rPr>
  </w:style>
  <w:style w:type="character" w:customStyle="1" w:styleId="34">
    <w:name w:val="页脚 Char"/>
    <w:basedOn w:val="11"/>
    <w:link w:val="8"/>
    <w:qFormat/>
    <w:uiPriority w:val="99"/>
    <w:rPr>
      <w:rFonts w:ascii="Times New Roman" w:hAnsi="Times New Roman" w:eastAsia="宋体" w:cs="Times New Roman"/>
      <w:sz w:val="18"/>
      <w:szCs w:val="18"/>
    </w:rPr>
  </w:style>
  <w:style w:type="character" w:customStyle="1" w:styleId="35">
    <w:name w:val="批注文字 Char"/>
    <w:basedOn w:val="11"/>
    <w:link w:val="5"/>
    <w:semiHidden/>
    <w:uiPriority w:val="99"/>
    <w:rPr>
      <w:rFonts w:ascii="Times New Roman" w:hAnsi="Times New Roman" w:eastAsia="宋体" w:cs="Times New Roman"/>
      <w:szCs w:val="24"/>
    </w:rPr>
  </w:style>
  <w:style w:type="character" w:customStyle="1" w:styleId="36">
    <w:name w:val="批注主题 Char"/>
    <w:basedOn w:val="35"/>
    <w:link w:val="4"/>
    <w:semiHidden/>
    <w:qFormat/>
    <w:uiPriority w:val="99"/>
    <w:rPr>
      <w:rFonts w:ascii="Times New Roman" w:hAnsi="Times New Roman" w:eastAsia="宋体" w:cs="Times New Roman"/>
      <w:b/>
      <w:bCs/>
      <w:szCs w:val="24"/>
    </w:rPr>
  </w:style>
  <w:style w:type="character" w:customStyle="1" w:styleId="37">
    <w:name w:val="批注框文本 Char"/>
    <w:basedOn w:val="11"/>
    <w:link w:val="7"/>
    <w:semiHidden/>
    <w:qFormat/>
    <w:uiPriority w:val="99"/>
    <w:rPr>
      <w:rFonts w:ascii="Times New Roman" w:hAnsi="Times New Roman" w:eastAsia="宋体" w:cs="Times New Roman"/>
      <w:sz w:val="18"/>
      <w:szCs w:val="18"/>
    </w:rPr>
  </w:style>
  <w:style w:type="paragraph" w:customStyle="1" w:styleId="3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39">
    <w:name w:val="fontstrikethrough"/>
    <w:basedOn w:val="11"/>
    <w:qFormat/>
    <w:uiPriority w:val="0"/>
    <w:rPr>
      <w:strike/>
    </w:rPr>
  </w:style>
  <w:style w:type="character" w:customStyle="1" w:styleId="40">
    <w:name w:val="fontborder"/>
    <w:basedOn w:val="11"/>
    <w:qFormat/>
    <w:uiPriority w:val="0"/>
    <w:rPr>
      <w:bdr w:val="single" w:color="000000" w:sz="6" w:space="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37065-9F8F-45B5-AB64-230F4ADBF287}">
  <ds:schemaRefs/>
</ds:datastoreItem>
</file>

<file path=docProps/app.xml><?xml version="1.0" encoding="utf-8"?>
<Properties xmlns="http://schemas.openxmlformats.org/officeDocument/2006/extended-properties" xmlns:vt="http://schemas.openxmlformats.org/officeDocument/2006/docPropsVTypes">
  <Template>Normal</Template>
  <Pages>6</Pages>
  <Words>288</Words>
  <Characters>1648</Characters>
  <Lines>13</Lines>
  <Paragraphs>3</Paragraphs>
  <ScaleCrop>false</ScaleCrop>
  <LinksUpToDate>false</LinksUpToDate>
  <CharactersWithSpaces>1933</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2014-08-17T09:15:00Z</dcterms:created>
  <dc:creator>qzy3472</dc:creator>
  <cp:lastModifiedBy>Administrator</cp:lastModifiedBy>
  <dcterms:modified xsi:type="dcterms:W3CDTF">2017-09-06T04:46:52Z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