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2340"/>
        </w:tabs>
        <w:spacing w:line="480" w:lineRule="auto"/>
        <w:jc w:val="center"/>
        <w:rPr>
          <w:rFonts w:hint="eastAsia" w:ascii="黑体" w:hAnsi="黑体" w:eastAsia="黑体"/>
          <w:b/>
          <w:bCs/>
          <w:sz w:val="32"/>
          <w:lang w:eastAsia="zh-CN"/>
        </w:rPr>
      </w:pPr>
      <w:bookmarkStart w:id="4" w:name="_GoBack"/>
      <w:bookmarkEnd w:id="4"/>
      <w:r>
        <w:rPr>
          <w:rFonts w:hint="eastAsia" w:ascii="黑体" w:hAnsi="黑体" w:eastAsia="黑体"/>
          <w:b/>
          <w:bCs/>
          <w:sz w:val="32"/>
          <w:lang w:eastAsia="zh-CN"/>
        </w:rPr>
        <w:drawing>
          <wp:inline distT="0" distB="0" distL="114300" distR="114300">
            <wp:extent cx="5296535" cy="7569835"/>
            <wp:effectExtent l="0" t="0" r="18415" b="12065"/>
            <wp:docPr id="1" name="图片 1" descr="IMG_0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0544"/>
                    <pic:cNvPicPr>
                      <a:picLocks noChangeAspect="1"/>
                    </pic:cNvPicPr>
                  </pic:nvPicPr>
                  <pic:blipFill>
                    <a:blip r:embed="rId5"/>
                    <a:stretch>
                      <a:fillRect/>
                    </a:stretch>
                  </pic:blipFill>
                  <pic:spPr>
                    <a:xfrm>
                      <a:off x="0" y="0"/>
                      <a:ext cx="5296535" cy="7569835"/>
                    </a:xfrm>
                    <a:prstGeom prst="rect">
                      <a:avLst/>
                    </a:prstGeom>
                  </pic:spPr>
                </pic:pic>
              </a:graphicData>
            </a:graphic>
          </wp:inline>
        </w:drawing>
      </w: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hint="eastAsia" w:ascii="黑体" w:hAnsi="黑体" w:eastAsia="黑体"/>
          <w:b/>
          <w:bCs/>
          <w:sz w:val="32"/>
        </w:rPr>
      </w:pPr>
    </w:p>
    <w:p>
      <w:pPr>
        <w:tabs>
          <w:tab w:val="left" w:pos="2340"/>
        </w:tabs>
        <w:spacing w:line="480" w:lineRule="auto"/>
        <w:jc w:val="center"/>
        <w:rPr>
          <w:rFonts w:ascii="黑体" w:hAnsi="黑体" w:eastAsia="黑体"/>
          <w:b/>
          <w:bCs/>
          <w:sz w:val="32"/>
        </w:rPr>
      </w:pPr>
      <w:r>
        <w:rPr>
          <w:rFonts w:hint="eastAsia" w:ascii="黑体" w:hAnsi="黑体" w:eastAsia="黑体"/>
          <w:b/>
          <w:bCs/>
          <w:sz w:val="32"/>
        </w:rPr>
        <w:t>配件技术要求</w:t>
      </w:r>
    </w:p>
    <w:p>
      <w:pPr>
        <w:tabs>
          <w:tab w:val="left" w:pos="2340"/>
        </w:tabs>
        <w:spacing w:line="480" w:lineRule="auto"/>
        <w:jc w:val="center"/>
        <w:rPr>
          <w:rFonts w:ascii="黑体" w:hAnsi="黑体" w:eastAsia="黑体"/>
          <w:b/>
          <w:bCs/>
          <w:sz w:val="32"/>
        </w:rPr>
      </w:pPr>
    </w:p>
    <w:p>
      <w:pPr>
        <w:tabs>
          <w:tab w:val="left" w:pos="2340"/>
        </w:tabs>
        <w:spacing w:line="480" w:lineRule="auto"/>
        <w:ind w:firstLine="840" w:firstLineChars="350"/>
        <w:jc w:val="left"/>
        <w:rPr>
          <w:rFonts w:ascii="宋体"/>
          <w:sz w:val="24"/>
        </w:rPr>
      </w:pPr>
      <w:bookmarkStart w:id="0" w:name="_Toc356204538"/>
      <w:bookmarkStart w:id="1" w:name="_Toc357082526"/>
      <w:r>
        <w:rPr>
          <w:rFonts w:hint="eastAsia" w:ascii="宋体"/>
          <w:sz w:val="24"/>
        </w:rPr>
        <w:t xml:space="preserve">第一节 </w:t>
      </w:r>
      <w:r>
        <w:rPr>
          <w:rFonts w:ascii="宋体"/>
          <w:sz w:val="24"/>
        </w:rPr>
        <w:t xml:space="preserve"> </w:t>
      </w:r>
      <w:r>
        <w:rPr>
          <w:rFonts w:hint="eastAsia" w:ascii="宋体"/>
          <w:sz w:val="24"/>
        </w:rPr>
        <w:t>供货范围、技术规格、参数与要求</w:t>
      </w:r>
    </w:p>
    <w:p>
      <w:pPr>
        <w:tabs>
          <w:tab w:val="left" w:pos="2340"/>
        </w:tabs>
        <w:spacing w:line="480" w:lineRule="auto"/>
        <w:ind w:firstLine="840" w:firstLineChars="350"/>
        <w:jc w:val="left"/>
        <w:rPr>
          <w:rFonts w:ascii="宋体"/>
          <w:sz w:val="24"/>
        </w:rPr>
      </w:pPr>
      <w:r>
        <w:rPr>
          <w:rFonts w:hint="eastAsia" w:ascii="宋体"/>
          <w:sz w:val="24"/>
        </w:rPr>
        <w:t xml:space="preserve">第二节 </w:t>
      </w:r>
      <w:r>
        <w:rPr>
          <w:rFonts w:ascii="宋体"/>
          <w:sz w:val="24"/>
        </w:rPr>
        <w:t xml:space="preserve"> </w:t>
      </w:r>
      <w:r>
        <w:rPr>
          <w:rFonts w:hint="eastAsia" w:ascii="宋体"/>
          <w:sz w:val="24"/>
        </w:rPr>
        <w:t>出厂前检验与交货验收</w:t>
      </w:r>
    </w:p>
    <w:p>
      <w:pPr>
        <w:tabs>
          <w:tab w:val="left" w:pos="2340"/>
        </w:tabs>
        <w:spacing w:line="480" w:lineRule="auto"/>
        <w:ind w:firstLine="840" w:firstLineChars="350"/>
        <w:jc w:val="left"/>
        <w:rPr>
          <w:rFonts w:ascii="宋体"/>
          <w:sz w:val="24"/>
        </w:rPr>
      </w:pPr>
      <w:r>
        <w:rPr>
          <w:rFonts w:hint="eastAsia" w:ascii="宋体"/>
          <w:sz w:val="24"/>
        </w:rPr>
        <w:t xml:space="preserve">第三节 </w:t>
      </w:r>
      <w:r>
        <w:rPr>
          <w:rFonts w:ascii="宋体"/>
          <w:sz w:val="24"/>
        </w:rPr>
        <w:t xml:space="preserve"> </w:t>
      </w:r>
      <w:r>
        <w:rPr>
          <w:rFonts w:hint="eastAsia" w:ascii="宋体"/>
          <w:sz w:val="24"/>
        </w:rPr>
        <w:t>质量保证</w:t>
      </w:r>
    </w:p>
    <w:p>
      <w:pPr>
        <w:tabs>
          <w:tab w:val="left" w:pos="2340"/>
        </w:tabs>
        <w:spacing w:line="480" w:lineRule="auto"/>
        <w:ind w:firstLine="840" w:firstLineChars="350"/>
        <w:jc w:val="left"/>
      </w:pPr>
      <w:r>
        <w:rPr>
          <w:rFonts w:hint="eastAsia" w:ascii="宋体"/>
          <w:sz w:val="24"/>
        </w:rPr>
        <w:t xml:space="preserve">第四节 </w:t>
      </w:r>
      <w:r>
        <w:rPr>
          <w:rFonts w:ascii="宋体"/>
          <w:sz w:val="24"/>
        </w:rPr>
        <w:t xml:space="preserve"> </w:t>
      </w:r>
      <w:r>
        <w:rPr>
          <w:rFonts w:hint="eastAsia" w:ascii="宋体"/>
          <w:sz w:val="24"/>
        </w:rPr>
        <w:t>标准</w:t>
      </w:r>
      <w:r>
        <w:br w:type="page"/>
      </w:r>
    </w:p>
    <w:p>
      <w:pPr>
        <w:tabs>
          <w:tab w:val="left" w:pos="2340"/>
        </w:tabs>
        <w:spacing w:line="480" w:lineRule="auto"/>
        <w:jc w:val="center"/>
        <w:rPr>
          <w:rFonts w:ascii="黑体" w:hAnsi="黑体" w:eastAsia="黑体"/>
          <w:b/>
          <w:bCs/>
          <w:sz w:val="32"/>
        </w:rPr>
      </w:pPr>
      <w:r>
        <w:rPr>
          <w:rFonts w:hint="eastAsia" w:ascii="黑体" w:hAnsi="黑体" w:eastAsia="黑体"/>
          <w:b/>
          <w:bCs/>
          <w:sz w:val="32"/>
        </w:rPr>
        <w:t>第一节 供货范围、技术规格、参数与要求</w:t>
      </w:r>
      <w:bookmarkEnd w:id="0"/>
      <w:bookmarkEnd w:id="1"/>
    </w:p>
    <w:p>
      <w:pPr>
        <w:adjustRightInd w:val="0"/>
        <w:snapToGrid w:val="0"/>
        <w:spacing w:before="312" w:beforeLines="100" w:after="312" w:afterLines="100" w:line="360" w:lineRule="auto"/>
        <w:ind w:left="2246" w:leftChars="-5" w:hanging="2256" w:hangingChars="1070"/>
        <w:rPr>
          <w:b/>
          <w:szCs w:val="21"/>
        </w:rPr>
      </w:pPr>
      <w:r>
        <w:rPr>
          <w:rFonts w:hint="eastAsia"/>
          <w:b/>
          <w:szCs w:val="21"/>
        </w:rPr>
        <w:t>一、货物需求一览表</w:t>
      </w:r>
    </w:p>
    <w:tbl>
      <w:tblPr>
        <w:tblStyle w:val="24"/>
        <w:tblW w:w="972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72"/>
        <w:gridCol w:w="2446"/>
        <w:gridCol w:w="1134"/>
        <w:gridCol w:w="709"/>
        <w:gridCol w:w="850"/>
        <w:gridCol w:w="1701"/>
        <w:gridCol w:w="1276"/>
        <w:gridCol w:w="93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序</w:t>
            </w:r>
            <w:r>
              <w:rPr>
                <w:rFonts w:hint="eastAsia" w:ascii="宋体" w:hAnsi="宋体"/>
                <w:b/>
              </w:rPr>
              <w:t>号</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名称</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参考型号</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单位</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数量</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交货时间</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b/>
              </w:rPr>
            </w:pPr>
            <w:r>
              <w:rPr>
                <w:rFonts w:hint="eastAsia" w:ascii="宋体" w:hAnsi="宋体"/>
                <w:b/>
              </w:rPr>
              <w:t>交货地点</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Arial" w:hAnsi="Arial" w:eastAsia="Arial"/>
                <w:b/>
              </w:rPr>
            </w:pPr>
            <w:r>
              <w:rPr>
                <w:rFonts w:ascii="宋体" w:hAnsi="宋体"/>
                <w:b/>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454" w:hRule="atLeast"/>
          <w:jc w:val="center"/>
        </w:trPr>
        <w:tc>
          <w:tcPr>
            <w:tcW w:w="67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ascii="宋体" w:hAnsi="宋体"/>
                <w:szCs w:val="21"/>
              </w:rPr>
              <w:t>1</w:t>
            </w:r>
          </w:p>
        </w:tc>
        <w:tc>
          <w:tcPr>
            <w:tcW w:w="244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cs="宋体"/>
                <w:color w:val="000000"/>
                <w:kern w:val="0"/>
                <w:sz w:val="22"/>
                <w:szCs w:val="22"/>
                <w:lang w:val="en-US" w:eastAsia="zh-CN"/>
              </w:rPr>
              <w:t>一氧化碳</w:t>
            </w:r>
            <w:r>
              <w:rPr>
                <w:rFonts w:hint="eastAsia" w:ascii="宋体" w:hAnsi="宋体"/>
                <w:szCs w:val="21"/>
                <w:lang w:eastAsia="zh-CN"/>
              </w:rPr>
              <w:t>气体</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lang w:val="en-US" w:eastAsia="zh-CN"/>
              </w:rPr>
              <w:t>450ppm</w:t>
            </w:r>
          </w:p>
        </w:tc>
        <w:tc>
          <w:tcPr>
            <w:tcW w:w="7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升</w:t>
            </w:r>
          </w:p>
        </w:tc>
        <w:tc>
          <w:tcPr>
            <w:tcW w:w="850"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val="en-US" w:eastAsia="zh-CN"/>
              </w:rPr>
            </w:pPr>
            <w:r>
              <w:rPr>
                <w:rFonts w:hint="eastAsia" w:ascii="宋体" w:hAnsi="宋体"/>
                <w:szCs w:val="21"/>
                <w:lang w:val="en-US" w:eastAsia="zh-CN"/>
              </w:rPr>
              <w:t>80</w:t>
            </w:r>
          </w:p>
        </w:tc>
        <w:tc>
          <w:tcPr>
            <w:tcW w:w="170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r>
              <w:rPr>
                <w:rFonts w:hint="eastAsia" w:ascii="宋体" w:hAnsi="宋体"/>
                <w:szCs w:val="21"/>
              </w:rPr>
              <w:t>自合同签订之日起</w:t>
            </w:r>
            <w:r>
              <w:rPr>
                <w:rFonts w:hint="eastAsia" w:ascii="宋体" w:hAnsi="宋体"/>
                <w:szCs w:val="21"/>
                <w:lang w:val="en-US" w:eastAsia="zh-CN"/>
              </w:rPr>
              <w:t>20日</w:t>
            </w:r>
            <w:r>
              <w:rPr>
                <w:rFonts w:hint="eastAsia" w:ascii="宋体" w:hAnsi="宋体"/>
                <w:szCs w:val="21"/>
              </w:rPr>
              <w:t>内交货</w:t>
            </w:r>
          </w:p>
        </w:tc>
        <w:tc>
          <w:tcPr>
            <w:tcW w:w="1276"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hint="eastAsia" w:ascii="宋体" w:hAnsi="宋体" w:eastAsia="宋体"/>
                <w:szCs w:val="21"/>
                <w:lang w:eastAsia="zh-CN"/>
              </w:rPr>
            </w:pPr>
            <w:r>
              <w:rPr>
                <w:rFonts w:hint="eastAsia" w:ascii="宋体" w:hAnsi="宋体"/>
                <w:szCs w:val="21"/>
                <w:lang w:eastAsia="zh-CN"/>
              </w:rPr>
              <w:t>洗选中心供应站</w:t>
            </w:r>
          </w:p>
        </w:tc>
        <w:tc>
          <w:tcPr>
            <w:tcW w:w="933"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jc w:val="center"/>
              <w:rPr>
                <w:rFonts w:ascii="宋体" w:hAnsi="宋体"/>
                <w:szCs w:val="21"/>
              </w:rPr>
            </w:pPr>
          </w:p>
        </w:tc>
      </w:tr>
    </w:tbl>
    <w:p>
      <w:pPr>
        <w:adjustRightInd w:val="0"/>
        <w:snapToGrid w:val="0"/>
        <w:spacing w:before="312" w:beforeLines="100" w:after="312" w:afterLines="100" w:line="360" w:lineRule="auto"/>
        <w:rPr>
          <w:b/>
          <w:szCs w:val="21"/>
        </w:rPr>
      </w:pPr>
      <w:r>
        <w:rPr>
          <w:rFonts w:hint="eastAsia"/>
          <w:b/>
          <w:szCs w:val="21"/>
        </w:rPr>
        <w:t>二、工作环境</w:t>
      </w:r>
    </w:p>
    <w:p>
      <w:pPr>
        <w:adjustRightInd w:val="0"/>
        <w:snapToGrid w:val="0"/>
        <w:spacing w:line="360" w:lineRule="auto"/>
        <w:rPr>
          <w:rFonts w:ascii="宋体"/>
        </w:rPr>
      </w:pPr>
      <w:r>
        <w:rPr>
          <w:rFonts w:ascii="宋体" w:hAnsi="宋体" w:cs="宋体"/>
        </w:rPr>
        <w:t>1.</w:t>
      </w:r>
      <w:r>
        <w:rPr>
          <w:rFonts w:hint="eastAsia" w:ascii="宋体" w:hAnsi="宋体" w:cs="宋体"/>
        </w:rPr>
        <w:t>工作环境</w:t>
      </w:r>
    </w:p>
    <w:p>
      <w:pPr>
        <w:adjustRightInd w:val="0"/>
        <w:snapToGrid w:val="0"/>
        <w:spacing w:line="360" w:lineRule="auto"/>
        <w:rPr>
          <w:rFonts w:ascii="宋体"/>
        </w:rPr>
      </w:pPr>
      <w:r>
        <w:rPr>
          <w:rFonts w:hint="eastAsia" w:ascii="宋体" w:hAnsi="宋体" w:cs="宋体"/>
        </w:rPr>
        <w:t>周围环境温度：</w:t>
      </w:r>
      <w:r>
        <w:rPr>
          <w:rFonts w:ascii="宋体" w:cs="宋体"/>
        </w:rPr>
        <w:t>-</w:t>
      </w:r>
      <w:r>
        <w:rPr>
          <w:rFonts w:ascii="宋体" w:hAnsi="宋体" w:cs="宋体"/>
        </w:rPr>
        <w:t>5</w:t>
      </w:r>
      <w:r>
        <w:rPr>
          <w:rFonts w:hint="eastAsia" w:ascii="宋体" w:hAnsi="宋体" w:cs="宋体"/>
        </w:rPr>
        <w:t>～</w:t>
      </w:r>
      <w:r>
        <w:rPr>
          <w:rFonts w:ascii="宋体" w:hAnsi="宋体" w:cs="宋体"/>
        </w:rPr>
        <w:t>+20</w:t>
      </w:r>
      <w:r>
        <w:rPr>
          <w:rFonts w:hint="eastAsia" w:ascii="宋体" w:hAnsi="宋体" w:cs="宋体"/>
        </w:rPr>
        <w:t>℃。</w:t>
      </w:r>
    </w:p>
    <w:p>
      <w:pPr>
        <w:adjustRightInd w:val="0"/>
        <w:snapToGrid w:val="0"/>
        <w:spacing w:line="360" w:lineRule="auto"/>
        <w:rPr>
          <w:rFonts w:ascii="宋体"/>
        </w:rPr>
      </w:pPr>
      <w:r>
        <w:rPr>
          <w:rFonts w:hint="eastAsia" w:ascii="宋体" w:hAnsi="宋体" w:cs="宋体"/>
        </w:rPr>
        <w:t>环境相对湿度：</w:t>
      </w:r>
      <w:r>
        <w:rPr>
          <w:rFonts w:ascii="宋体" w:hAnsi="宋体" w:cs="宋体"/>
        </w:rPr>
        <w:t>5</w:t>
      </w:r>
      <w:r>
        <w:rPr>
          <w:rFonts w:hint="eastAsia" w:ascii="宋体" w:hAnsi="宋体" w:cs="宋体"/>
        </w:rPr>
        <w:t>～</w:t>
      </w:r>
      <w:r>
        <w:rPr>
          <w:rFonts w:ascii="宋体" w:hAnsi="宋体" w:cs="宋体"/>
        </w:rPr>
        <w:t>95%</w:t>
      </w:r>
      <w:r>
        <w:rPr>
          <w:rFonts w:hint="eastAsia" w:ascii="宋体" w:hAnsi="宋体" w:cs="宋体"/>
        </w:rPr>
        <w:t>（在</w:t>
      </w:r>
      <w:r>
        <w:rPr>
          <w:rFonts w:ascii="宋体" w:hAnsi="宋体" w:cs="宋体"/>
        </w:rPr>
        <w:t>25</w:t>
      </w:r>
      <w:r>
        <w:rPr>
          <w:rFonts w:hint="eastAsia" w:ascii="宋体" w:hAnsi="宋体" w:cs="宋体"/>
        </w:rPr>
        <w:t>℃时）。</w:t>
      </w:r>
    </w:p>
    <w:p>
      <w:pPr>
        <w:adjustRightInd w:val="0"/>
        <w:snapToGrid w:val="0"/>
        <w:spacing w:line="360" w:lineRule="auto"/>
        <w:rPr>
          <w:rFonts w:ascii="宋体"/>
        </w:rPr>
      </w:pPr>
      <w:r>
        <w:rPr>
          <w:rFonts w:hint="eastAsia" w:ascii="宋体" w:hAnsi="宋体" w:cs="宋体"/>
        </w:rPr>
        <w:t>大气压力：</w:t>
      </w:r>
      <w:r>
        <w:rPr>
          <w:rFonts w:ascii="宋体" w:hAnsi="宋体" w:cs="宋体"/>
        </w:rPr>
        <w:t>86</w:t>
      </w:r>
      <w:r>
        <w:rPr>
          <w:rFonts w:hint="eastAsia" w:ascii="宋体" w:hAnsi="宋体" w:cs="宋体"/>
        </w:rPr>
        <w:t>～</w:t>
      </w:r>
      <w:r>
        <w:rPr>
          <w:rFonts w:ascii="宋体" w:hAnsi="宋体" w:cs="宋体"/>
        </w:rPr>
        <w:t>106kPa</w:t>
      </w:r>
    </w:p>
    <w:p>
      <w:pPr>
        <w:adjustRightInd w:val="0"/>
        <w:snapToGrid w:val="0"/>
        <w:spacing w:line="360" w:lineRule="auto"/>
        <w:rPr>
          <w:rFonts w:ascii="宋体"/>
        </w:rPr>
      </w:pPr>
      <w:r>
        <w:rPr>
          <w:rFonts w:hint="eastAsia" w:ascii="宋体" w:hAnsi="宋体" w:cs="宋体"/>
        </w:rPr>
        <w:t>地震烈度：</w:t>
      </w:r>
      <w:r>
        <w:rPr>
          <w:rFonts w:ascii="宋体" w:hAnsi="宋体" w:cs="宋体"/>
        </w:rPr>
        <w:t>7</w:t>
      </w:r>
      <w:r>
        <w:rPr>
          <w:rFonts w:hint="eastAsia" w:ascii="宋体" w:hAnsi="宋体" w:cs="宋体"/>
        </w:rPr>
        <w:t>级。</w:t>
      </w:r>
    </w:p>
    <w:p>
      <w:pPr>
        <w:adjustRightInd w:val="0"/>
        <w:snapToGrid w:val="0"/>
        <w:spacing w:line="360" w:lineRule="auto"/>
        <w:rPr>
          <w:rFonts w:ascii="宋体"/>
        </w:rPr>
      </w:pPr>
      <w:r>
        <w:rPr>
          <w:rFonts w:hint="eastAsia" w:ascii="宋体" w:hAnsi="宋体" w:cs="宋体"/>
        </w:rPr>
        <w:t>海拔高度：</w:t>
      </w:r>
      <w:r>
        <w:rPr>
          <w:rFonts w:hint="eastAsia" w:ascii="宋体" w:hAnsi="宋体" w:cs="宋体"/>
          <w:spacing w:val="-5"/>
          <w:kern w:val="0"/>
        </w:rPr>
        <w:t>≤</w:t>
      </w:r>
      <w:r>
        <w:rPr>
          <w:rFonts w:ascii="宋体" w:hAnsi="宋体" w:cs="宋体"/>
          <w:spacing w:val="-5"/>
          <w:kern w:val="0"/>
        </w:rPr>
        <w:t>1200m</w:t>
      </w:r>
      <w:r>
        <w:rPr>
          <w:rFonts w:hint="eastAsia" w:ascii="宋体" w:hAnsi="宋体" w:cs="宋体"/>
        </w:rPr>
        <w:t>。</w:t>
      </w:r>
    </w:p>
    <w:p>
      <w:pPr>
        <w:adjustRightInd w:val="0"/>
        <w:snapToGrid w:val="0"/>
        <w:spacing w:line="360" w:lineRule="auto"/>
        <w:rPr>
          <w:rFonts w:ascii="宋体"/>
        </w:rPr>
      </w:pPr>
      <w:r>
        <w:rPr>
          <w:rFonts w:ascii="宋体" w:hAnsi="宋体" w:cs="宋体"/>
        </w:rPr>
        <w:t>2</w:t>
      </w:r>
      <w:r>
        <w:rPr>
          <w:rFonts w:ascii="宋体" w:cs="宋体"/>
        </w:rPr>
        <w:t>.</w:t>
      </w:r>
      <w:r>
        <w:rPr>
          <w:rFonts w:hint="eastAsia" w:ascii="宋体" w:hAnsi="宋体" w:cs="宋体"/>
        </w:rPr>
        <w:t>使用条件</w:t>
      </w:r>
    </w:p>
    <w:p>
      <w:pPr>
        <w:adjustRightInd w:val="0"/>
        <w:snapToGrid w:val="0"/>
        <w:spacing w:line="360" w:lineRule="auto"/>
        <w:rPr>
          <w:rFonts w:ascii="宋体"/>
        </w:rPr>
      </w:pPr>
      <w:r>
        <w:rPr>
          <w:rFonts w:hint="eastAsia" w:ascii="宋体" w:hAnsi="宋体" w:cs="宋体"/>
        </w:rPr>
        <w:t>年平均气温：</w:t>
      </w:r>
      <w:r>
        <w:rPr>
          <w:rFonts w:hint="eastAsia" w:ascii="宋体" w:cs="宋体"/>
        </w:rPr>
        <w:t>≤</w:t>
      </w:r>
      <w:r>
        <w:rPr>
          <w:rFonts w:ascii="宋体" w:hAnsi="宋体" w:cs="宋体"/>
        </w:rPr>
        <w:t>35</w:t>
      </w:r>
      <w:r>
        <w:rPr>
          <w:rFonts w:hint="eastAsia" w:ascii="宋体" w:hAnsi="宋体" w:cs="宋体"/>
        </w:rPr>
        <w:t>℃。</w:t>
      </w:r>
    </w:p>
    <w:p>
      <w:pPr>
        <w:adjustRightInd w:val="0"/>
        <w:snapToGrid w:val="0"/>
        <w:spacing w:line="360" w:lineRule="auto"/>
        <w:rPr>
          <w:rFonts w:ascii="宋体" w:hAnsi="宋体" w:cs="宋体"/>
          <w:kern w:val="0"/>
          <w:szCs w:val="21"/>
        </w:rPr>
      </w:pPr>
      <w:r>
        <w:rPr>
          <w:rFonts w:hint="eastAsia" w:ascii="宋体" w:hAnsi="宋体" w:cs="宋体"/>
        </w:rPr>
        <w:t>用途：</w:t>
      </w:r>
      <w:r>
        <w:rPr>
          <w:rFonts w:hint="eastAsia" w:ascii="宋体" w:hAnsi="宋体" w:cs="宋体"/>
          <w:lang w:eastAsia="zh-CN"/>
        </w:rPr>
        <w:t>电气维修中心标校有害气体使用</w:t>
      </w:r>
      <w:r>
        <w:rPr>
          <w:rFonts w:hint="eastAsia" w:ascii="宋体" w:hAnsi="宋体" w:cs="宋体"/>
        </w:rPr>
        <w:t>。</w:t>
      </w:r>
    </w:p>
    <w:p>
      <w:pPr>
        <w:adjustRightInd w:val="0"/>
        <w:snapToGrid w:val="0"/>
        <w:spacing w:before="312" w:beforeLines="100" w:after="312" w:afterLines="100" w:line="360" w:lineRule="auto"/>
        <w:rPr>
          <w:b/>
          <w:szCs w:val="21"/>
        </w:rPr>
      </w:pPr>
      <w:r>
        <w:rPr>
          <w:rFonts w:hint="eastAsia"/>
          <w:b/>
          <w:szCs w:val="21"/>
        </w:rPr>
        <w:t>三、技术参数及要求</w:t>
      </w:r>
    </w:p>
    <w:p>
      <w:pPr>
        <w:spacing w:line="360" w:lineRule="auto"/>
        <w:rPr>
          <w:szCs w:val="21"/>
        </w:rPr>
      </w:pPr>
      <w:r>
        <w:rPr>
          <w:rFonts w:ascii="宋体" w:hAnsi="宋体"/>
          <w:szCs w:val="21"/>
        </w:rPr>
        <w:t>1.</w:t>
      </w:r>
      <w:r>
        <w:rPr>
          <w:rFonts w:hint="eastAsia" w:ascii="宋体" w:hAnsi="宋体"/>
          <w:szCs w:val="21"/>
        </w:rPr>
        <w:t xml:space="preserve"> </w:t>
      </w:r>
      <w:r>
        <w:rPr>
          <w:rFonts w:ascii="宋体" w:hAnsi="宋体"/>
          <w:szCs w:val="21"/>
        </w:rPr>
        <w:t>技术</w:t>
      </w:r>
      <w:r>
        <w:rPr>
          <w:rFonts w:hint="eastAsia"/>
          <w:szCs w:val="21"/>
        </w:rPr>
        <w:t>参数</w:t>
      </w:r>
    </w:p>
    <w:p>
      <w:pPr>
        <w:adjustRightInd w:val="0"/>
        <w:snapToGrid w:val="0"/>
        <w:spacing w:line="360" w:lineRule="auto"/>
        <w:ind w:left="705" w:leftChars="134" w:hanging="424" w:hangingChars="202"/>
        <w:rPr>
          <w:rFonts w:ascii="宋体" w:hAnsi="宋体"/>
          <w:szCs w:val="21"/>
        </w:rPr>
      </w:pPr>
      <w:r>
        <w:rPr>
          <w:rFonts w:ascii="宋体" w:hAnsi="宋体"/>
          <w:szCs w:val="21"/>
        </w:rPr>
        <w:t>1.1</w:t>
      </w:r>
      <w:r>
        <w:rPr>
          <w:rFonts w:hint="eastAsia" w:ascii="宋体" w:hAnsi="宋体"/>
          <w:szCs w:val="21"/>
        </w:rPr>
        <w:t>.</w:t>
      </w:r>
      <w:r>
        <w:rPr>
          <w:rFonts w:ascii="宋体" w:hAnsi="宋体"/>
          <w:szCs w:val="21"/>
        </w:rPr>
        <w:t xml:space="preserve"> </w:t>
      </w:r>
      <w:r>
        <w:rPr>
          <w:rFonts w:hint="eastAsia" w:ascii="宋体" w:hAnsi="宋体"/>
          <w:szCs w:val="21"/>
          <w:lang w:eastAsia="zh-CN"/>
        </w:rPr>
        <w:t>名称：</w:t>
      </w:r>
      <w:r>
        <w:rPr>
          <w:rFonts w:hint="eastAsia" w:ascii="宋体" w:hAnsi="宋体" w:cs="宋体"/>
          <w:color w:val="000000"/>
          <w:kern w:val="0"/>
          <w:sz w:val="22"/>
          <w:szCs w:val="22"/>
          <w:lang w:val="en-US" w:eastAsia="zh-CN"/>
        </w:rPr>
        <w:t>一氧化碳气体</w:t>
      </w:r>
      <w:r>
        <w:rPr>
          <w:rFonts w:hint="eastAsia" w:ascii="宋体" w:hAnsi="宋体"/>
          <w:szCs w:val="21"/>
          <w:lang w:eastAsia="zh-CN"/>
        </w:rPr>
        <w:t>。</w:t>
      </w:r>
    </w:p>
    <w:p>
      <w:pPr>
        <w:adjustRightInd w:val="0"/>
        <w:snapToGrid w:val="0"/>
        <w:spacing w:line="360" w:lineRule="auto"/>
        <w:ind w:left="705" w:leftChars="134" w:hanging="424" w:hangingChars="202"/>
        <w:rPr>
          <w:rFonts w:ascii="宋体" w:hAnsi="宋体"/>
          <w:szCs w:val="21"/>
        </w:rPr>
      </w:pPr>
      <w:r>
        <w:rPr>
          <w:rFonts w:ascii="宋体" w:hAnsi="宋体"/>
          <w:szCs w:val="21"/>
        </w:rPr>
        <w:t>1.</w:t>
      </w:r>
      <w:r>
        <w:rPr>
          <w:rFonts w:hint="eastAsia" w:ascii="宋体" w:hAnsi="宋体"/>
          <w:szCs w:val="21"/>
        </w:rPr>
        <w:t>2.</w:t>
      </w:r>
      <w:r>
        <w:rPr>
          <w:rFonts w:hint="eastAsia" w:ascii="宋体" w:hAnsi="宋体"/>
          <w:szCs w:val="21"/>
          <w:lang w:val="en-US" w:eastAsia="zh-CN"/>
        </w:rPr>
        <w:t xml:space="preserve"> 化学式：CO。</w:t>
      </w:r>
    </w:p>
    <w:p>
      <w:pPr>
        <w:adjustRightInd w:val="0"/>
        <w:snapToGrid w:val="0"/>
        <w:spacing w:line="360" w:lineRule="auto"/>
        <w:ind w:left="705" w:leftChars="134" w:hanging="424" w:hangingChars="202"/>
        <w:rPr>
          <w:rFonts w:hint="eastAsia" w:ascii="宋体" w:hAnsi="宋体"/>
          <w:szCs w:val="21"/>
          <w:lang w:val="en-US" w:eastAsia="zh-CN"/>
        </w:rPr>
      </w:pPr>
      <w:r>
        <w:rPr>
          <w:rFonts w:ascii="宋体" w:hAnsi="宋体"/>
          <w:szCs w:val="21"/>
        </w:rPr>
        <w:t>1.3</w:t>
      </w:r>
      <w:r>
        <w:rPr>
          <w:rFonts w:hint="eastAsia" w:ascii="宋体" w:hAnsi="宋体"/>
          <w:szCs w:val="21"/>
        </w:rPr>
        <w:t>.</w:t>
      </w:r>
      <w:r>
        <w:rPr>
          <w:rFonts w:hint="eastAsia" w:ascii="宋体" w:hAnsi="宋体"/>
          <w:szCs w:val="21"/>
          <w:lang w:val="en-US" w:eastAsia="zh-CN"/>
        </w:rPr>
        <w:t xml:space="preserve"> 浓度：450ppm。</w:t>
      </w:r>
    </w:p>
    <w:p>
      <w:pPr>
        <w:adjustRightInd w:val="0"/>
        <w:snapToGrid w:val="0"/>
        <w:spacing w:line="360" w:lineRule="auto"/>
        <w:rPr>
          <w:rFonts w:hint="eastAsia" w:ascii="宋体" w:hAnsi="宋体"/>
          <w:szCs w:val="21"/>
        </w:rPr>
      </w:pPr>
      <w:r>
        <w:rPr>
          <w:rFonts w:hint="eastAsia" w:ascii="宋体" w:hAnsi="宋体"/>
          <w:szCs w:val="21"/>
        </w:rPr>
        <w:t>2.技术性能要求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2.1由国家计量行政部门批准颁布，并具有标准物质“制造计量器具许可证”的单位提供。</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2.2标准气体符合国家二级及以上标准。</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2.3附投标所有气体标准物质证书。</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2.4所需购置气体规格、浓度及余气满足货物需求表要求。</w:t>
      </w:r>
    </w:p>
    <w:p>
      <w:pPr>
        <w:adjustRightInd w:val="0"/>
        <w:snapToGrid w:val="0"/>
        <w:spacing w:line="360" w:lineRule="auto"/>
        <w:rPr>
          <w:rFonts w:ascii="宋体" w:hAnsi="宋体"/>
          <w:szCs w:val="21"/>
        </w:rPr>
      </w:pPr>
      <w:r>
        <w:rPr>
          <w:rFonts w:hint="eastAsia" w:ascii="宋体" w:hAnsi="宋体"/>
          <w:szCs w:val="21"/>
        </w:rPr>
        <w:t>3</w:t>
      </w:r>
      <w:r>
        <w:rPr>
          <w:rFonts w:ascii="宋体" w:hAnsi="宋体"/>
          <w:szCs w:val="21"/>
        </w:rPr>
        <w:t>.</w:t>
      </w:r>
      <w:r>
        <w:rPr>
          <w:rFonts w:hint="eastAsia" w:ascii="宋体" w:hAnsi="宋体"/>
          <w:szCs w:val="21"/>
        </w:rPr>
        <w:t>安全技术要求</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3.1 所购置标准气体由乙方（供货商）负责运输至使用单位，由使用单位予以验收确认；</w:t>
      </w:r>
    </w:p>
    <w:p>
      <w:pPr>
        <w:adjustRightInd w:val="0"/>
        <w:snapToGrid w:val="0"/>
        <w:spacing w:line="360" w:lineRule="auto"/>
        <w:ind w:left="707" w:leftChars="135" w:hanging="424" w:hangingChars="202"/>
        <w:rPr>
          <w:rFonts w:hint="eastAsia" w:ascii="宋体" w:hAnsi="宋体"/>
          <w:szCs w:val="21"/>
        </w:rPr>
      </w:pPr>
      <w:r>
        <w:rPr>
          <w:rFonts w:hint="eastAsia" w:ascii="宋体" w:hAnsi="宋体"/>
          <w:szCs w:val="21"/>
        </w:rPr>
        <w:t>3.2购置气体所需空气瓶由使用单位提供，乙方负责（供货商）空瓶运输，并清洗打压灌装；并保证现有空气瓶均能正常使用；</w:t>
      </w:r>
    </w:p>
    <w:p>
      <w:pPr>
        <w:pStyle w:val="29"/>
        <w:tabs>
          <w:tab w:val="left" w:pos="1290"/>
          <w:tab w:val="left" w:pos="1680"/>
        </w:tabs>
        <w:adjustRightInd w:val="0"/>
        <w:snapToGrid w:val="0"/>
        <w:spacing w:line="360" w:lineRule="auto"/>
        <w:rPr>
          <w:sz w:val="21"/>
          <w:szCs w:val="21"/>
        </w:rPr>
      </w:pPr>
      <w:r>
        <w:rPr>
          <w:rFonts w:hint="eastAsia"/>
          <w:sz w:val="21"/>
          <w:szCs w:val="21"/>
          <w:lang w:val="en-US" w:eastAsia="zh-CN"/>
        </w:rPr>
        <w:t>4</w:t>
      </w:r>
      <w:r>
        <w:rPr>
          <w:rFonts w:hint="eastAsia"/>
          <w:sz w:val="21"/>
          <w:szCs w:val="21"/>
        </w:rPr>
        <w:t>.招标人提出的其它技术要求</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rFonts w:hint="eastAsia"/>
          <w:sz w:val="21"/>
          <w:szCs w:val="21"/>
        </w:rPr>
        <w:t>.1.投标厂家必须对招标文件中的技术条款逐条解释并满足工作环境。</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rFonts w:hint="eastAsia"/>
          <w:sz w:val="21"/>
          <w:szCs w:val="21"/>
        </w:rPr>
        <w:t>.2.投标产品必须满足相关的最新国家和行业标准要求，招标技术要求中相关条款指标高于国家行业要求的，按照招标文件要求条款执行。</w:t>
      </w:r>
    </w:p>
    <w:p>
      <w:pPr>
        <w:pStyle w:val="29"/>
        <w:tabs>
          <w:tab w:val="left" w:pos="1290"/>
          <w:tab w:val="left" w:pos="1680"/>
        </w:tabs>
        <w:adjustRightInd w:val="0"/>
        <w:snapToGrid w:val="0"/>
        <w:spacing w:line="360" w:lineRule="auto"/>
        <w:rPr>
          <w:sz w:val="21"/>
          <w:szCs w:val="21"/>
        </w:rPr>
      </w:pPr>
      <w:r>
        <w:rPr>
          <w:rFonts w:hint="eastAsia"/>
          <w:sz w:val="21"/>
          <w:szCs w:val="21"/>
        </w:rPr>
        <w:t xml:space="preserve">  </w:t>
      </w:r>
      <w:r>
        <w:rPr>
          <w:rFonts w:hint="eastAsia"/>
          <w:sz w:val="21"/>
          <w:szCs w:val="21"/>
          <w:lang w:val="en-US" w:eastAsia="zh-CN"/>
        </w:rPr>
        <w:t>4</w:t>
      </w:r>
      <w:r>
        <w:rPr>
          <w:sz w:val="21"/>
          <w:szCs w:val="21"/>
        </w:rPr>
        <w:t>.3.</w:t>
      </w:r>
      <w:r>
        <w:rPr>
          <w:rFonts w:hint="eastAsia"/>
          <w:sz w:val="21"/>
          <w:szCs w:val="21"/>
        </w:rPr>
        <w:t>上表分项报价合计价格与投标报价设备总价格必须一致。</w:t>
      </w:r>
    </w:p>
    <w:p>
      <w:pPr>
        <w:pStyle w:val="29"/>
        <w:tabs>
          <w:tab w:val="left" w:pos="1290"/>
          <w:tab w:val="left" w:pos="1680"/>
        </w:tabs>
        <w:adjustRightInd w:val="0"/>
        <w:snapToGrid w:val="0"/>
        <w:spacing w:line="360" w:lineRule="auto"/>
        <w:rPr>
          <w:rFonts w:ascii="宋体" w:hAnsi="宋体" w:cs="宋体"/>
          <w:kern w:val="0"/>
          <w:szCs w:val="21"/>
        </w:rPr>
      </w:pPr>
      <w:r>
        <w:rPr>
          <w:rFonts w:hint="eastAsia"/>
          <w:sz w:val="21"/>
          <w:szCs w:val="21"/>
        </w:rPr>
        <w:t xml:space="preserve">  </w:t>
      </w:r>
      <w:r>
        <w:rPr>
          <w:rFonts w:hint="eastAsia"/>
          <w:sz w:val="21"/>
          <w:szCs w:val="21"/>
          <w:lang w:val="en-US" w:eastAsia="zh-CN"/>
        </w:rPr>
        <w:t>4</w:t>
      </w:r>
      <w:r>
        <w:rPr>
          <w:rFonts w:hint="eastAsia"/>
          <w:sz w:val="21"/>
          <w:szCs w:val="21"/>
        </w:rPr>
        <w:t>.</w:t>
      </w:r>
      <w:r>
        <w:rPr>
          <w:sz w:val="21"/>
          <w:szCs w:val="21"/>
        </w:rPr>
        <w:t>4</w:t>
      </w:r>
      <w:r>
        <w:rPr>
          <w:rFonts w:hint="eastAsia"/>
          <w:sz w:val="21"/>
          <w:szCs w:val="21"/>
        </w:rPr>
        <w:t>.</w:t>
      </w:r>
      <w:r>
        <w:rPr>
          <w:rFonts w:hint="eastAsia" w:ascii="宋体" w:hAnsi="宋体"/>
          <w:szCs w:val="21"/>
        </w:rPr>
        <w:t>标书中未提及的技术要求必须符合国家的相关要求。</w:t>
      </w:r>
    </w:p>
    <w:p>
      <w:pPr>
        <w:adjustRightInd w:val="0"/>
        <w:snapToGrid w:val="0"/>
        <w:spacing w:before="312" w:beforeLines="100" w:after="312" w:afterLines="100" w:line="360" w:lineRule="auto"/>
        <w:rPr>
          <w:b/>
        </w:rPr>
      </w:pPr>
      <w:r>
        <w:rPr>
          <w:rFonts w:hint="eastAsia"/>
          <w:b/>
        </w:rPr>
        <w:t>四. 需投标人提供的技术参数</w:t>
      </w:r>
    </w:p>
    <w:p>
      <w:pPr>
        <w:spacing w:line="360" w:lineRule="auto"/>
        <w:rPr>
          <w:rFonts w:ascii="宋体" w:hAnsi="宋体"/>
          <w:szCs w:val="21"/>
        </w:rPr>
      </w:pPr>
      <w:r>
        <w:rPr>
          <w:rFonts w:hint="eastAsia" w:ascii="宋体"/>
          <w:spacing w:val="-5"/>
          <w:kern w:val="0"/>
          <w:szCs w:val="21"/>
        </w:rPr>
        <w:t>1 .技术参数及性能</w:t>
      </w:r>
    </w:p>
    <w:p>
      <w:pPr>
        <w:adjustRightInd w:val="0"/>
        <w:snapToGrid w:val="0"/>
        <w:spacing w:line="360" w:lineRule="auto"/>
        <w:rPr>
          <w:rFonts w:ascii="宋体"/>
          <w:spacing w:val="-5"/>
          <w:kern w:val="0"/>
          <w:szCs w:val="21"/>
        </w:rPr>
      </w:pPr>
      <w:r>
        <w:rPr>
          <w:rFonts w:hint="eastAsia" w:ascii="宋体"/>
          <w:spacing w:val="-5"/>
          <w:kern w:val="0"/>
          <w:szCs w:val="21"/>
        </w:rPr>
        <w:t>1.1</w:t>
      </w:r>
    </w:p>
    <w:p>
      <w:pPr>
        <w:adjustRightInd w:val="0"/>
        <w:snapToGrid w:val="0"/>
        <w:spacing w:line="360" w:lineRule="auto"/>
        <w:rPr>
          <w:rFonts w:ascii="宋体"/>
          <w:spacing w:val="-5"/>
          <w:kern w:val="0"/>
          <w:szCs w:val="21"/>
        </w:rPr>
      </w:pPr>
      <w:r>
        <w:rPr>
          <w:rFonts w:hint="eastAsia" w:ascii="宋体"/>
          <w:szCs w:val="21"/>
        </w:rPr>
        <w:t>1.2</w:t>
      </w:r>
    </w:p>
    <w:p>
      <w:pPr>
        <w:adjustRightInd w:val="0"/>
        <w:snapToGrid w:val="0"/>
        <w:spacing w:line="360" w:lineRule="auto"/>
        <w:rPr>
          <w:rFonts w:ascii="宋体"/>
          <w:spacing w:val="-5"/>
          <w:kern w:val="0"/>
          <w:szCs w:val="21"/>
        </w:rPr>
      </w:pPr>
      <w:r>
        <w:rPr>
          <w:rFonts w:ascii="宋体" w:hAnsi="宋体" w:cs="宋体"/>
          <w:kern w:val="0"/>
          <w:szCs w:val="21"/>
        </w:rPr>
        <w:t>……</w:t>
      </w:r>
    </w:p>
    <w:p>
      <w:pPr>
        <w:adjustRightInd w:val="0"/>
        <w:snapToGrid w:val="0"/>
        <w:spacing w:line="360" w:lineRule="auto"/>
        <w:rPr>
          <w:rFonts w:ascii="宋体"/>
          <w:szCs w:val="21"/>
        </w:rPr>
      </w:pPr>
      <w:r>
        <w:rPr>
          <w:rFonts w:hint="eastAsia" w:ascii="宋体"/>
          <w:szCs w:val="21"/>
        </w:rPr>
        <w:t>2.投标人需要特别说明的其他问题</w:t>
      </w:r>
    </w:p>
    <w:p>
      <w:pPr>
        <w:widowControl/>
        <w:jc w:val="left"/>
        <w:rPr>
          <w:rFonts w:ascii="宋体"/>
          <w:szCs w:val="21"/>
        </w:rPr>
      </w:pPr>
      <w:r>
        <w:rPr>
          <w:rFonts w:ascii="宋体"/>
          <w:szCs w:val="21"/>
        </w:rPr>
        <w:br w:type="page"/>
      </w:r>
    </w:p>
    <w:p>
      <w:pPr>
        <w:pStyle w:val="26"/>
        <w:jc w:val="center"/>
        <w:rPr>
          <w:rFonts w:ascii="黑体" w:hAnsi="黑体" w:cs="Times New Roman"/>
          <w:b/>
          <w:bCs/>
          <w:sz w:val="32"/>
          <w:szCs w:val="24"/>
        </w:rPr>
      </w:pPr>
      <w:bookmarkStart w:id="2" w:name="_Toc357086143"/>
      <w:r>
        <w:rPr>
          <w:rFonts w:hint="eastAsia" w:ascii="黑体" w:hAnsi="黑体" w:cs="Times New Roman"/>
          <w:b/>
          <w:bCs/>
          <w:sz w:val="32"/>
          <w:szCs w:val="24"/>
        </w:rPr>
        <w:t>第二节 出厂前检验与交货验收</w:t>
      </w:r>
      <w:bookmarkEnd w:id="2"/>
    </w:p>
    <w:p>
      <w:pPr>
        <w:adjustRightInd w:val="0"/>
        <w:snapToGrid w:val="0"/>
        <w:spacing w:line="360" w:lineRule="auto"/>
        <w:jc w:val="center"/>
        <w:rPr>
          <w:rFonts w:ascii="宋体" w:hAnsi="宋体"/>
          <w:szCs w:val="21"/>
        </w:rPr>
      </w:pP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1. 为了对合同设备及其相关设备生产期间的质量检验，招标人有权派人到中标人所在工厂进行检验。为便于招标人质检要求，诸如必要的安全用具、办公用品、技术文件和图纸、核算数据、制造和检验标准及其它必备的检验数据应由中标人提供。</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2. 在制造期间招标人的一切监理和质检活动所形成的书面资料均不作为中标人产品质量证明文件。在交货前招标人的质检，既不能免去合同中属于投标人质量担保期范围内的责任，也不能替代设备抵运招标人现场的质量检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3．在中检中质检团成员发现或提出的问题，双方应积极通过友好的态度协商解决。</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4. 设备在出厂前必须进行整体联合试运转，根据试运转时间确定招标人终检时间，联合试运转应在招标人终检人员监督下进行。</w:t>
      </w:r>
    </w:p>
    <w:p>
      <w:pPr>
        <w:adjustRightInd w:val="0"/>
        <w:snapToGrid w:val="0"/>
        <w:spacing w:before="156" w:beforeLines="50" w:line="360" w:lineRule="auto"/>
        <w:ind w:left="315" w:leftChars="150" w:firstLine="105" w:firstLineChars="50"/>
        <w:rPr>
          <w:rFonts w:ascii="宋体" w:hAnsi="宋体"/>
          <w:szCs w:val="21"/>
        </w:rPr>
      </w:pPr>
      <w:r>
        <w:rPr>
          <w:rFonts w:hint="eastAsia" w:ascii="宋体" w:hAnsi="宋体"/>
          <w:szCs w:val="21"/>
        </w:rPr>
        <w:t>5. 在设备到达招标人现场后组装试运转中如出现问题，原因是中标人没有在出厂前进行设备整体联合试运转，因此推迟的时间将按照推迟交货期来计算。</w:t>
      </w:r>
    </w:p>
    <w:p>
      <w:pPr>
        <w:adjustRightInd w:val="0"/>
        <w:snapToGrid w:val="0"/>
        <w:spacing w:before="156" w:beforeLines="50" w:line="360" w:lineRule="auto"/>
        <w:ind w:left="315" w:leftChars="150" w:firstLine="105" w:firstLineChars="50"/>
        <w:rPr>
          <w:rFonts w:ascii="宋体" w:hAnsi="宋体"/>
          <w:szCs w:val="21"/>
        </w:rPr>
      </w:pPr>
      <w:r>
        <w:rPr>
          <w:rFonts w:ascii="宋体" w:hAnsi="宋体"/>
          <w:szCs w:val="21"/>
        </w:rPr>
        <w:t>6</w:t>
      </w:r>
      <w:r>
        <w:rPr>
          <w:rFonts w:hint="eastAsia" w:ascii="宋体" w:hAnsi="宋体"/>
          <w:szCs w:val="21"/>
        </w:rPr>
        <w:t>. 在该附录中：</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安装：意为招标人安装人员在中标人的服务工程人员的监督与指导下，将整套设备或一个系统安装起来。</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试运转：即为在空载条件下测试该设备。</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 xml:space="preserve">性能调试：即在它们的额定负载下测试设备，检查其是否能达到合同规定的所有技术性能。 </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试运行：即为设备按照合同要求性能投入运转。</w:t>
      </w:r>
    </w:p>
    <w:p>
      <w:pPr>
        <w:adjustRightInd w:val="0"/>
        <w:snapToGrid w:val="0"/>
        <w:spacing w:before="156" w:beforeLines="50" w:line="360" w:lineRule="auto"/>
        <w:ind w:left="315" w:hanging="315" w:hangingChars="150"/>
        <w:rPr>
          <w:rFonts w:ascii="宋体" w:hAnsi="宋体"/>
          <w:szCs w:val="21"/>
        </w:rPr>
      </w:pPr>
      <w:r>
        <w:rPr>
          <w:rFonts w:hint="eastAsia" w:ascii="宋体" w:hAnsi="宋体"/>
          <w:szCs w:val="21"/>
        </w:rPr>
        <w:t>验收：即为该设备达到合同规定的试运转、性能调试和试运行技术要求后招标人正式接收。</w:t>
      </w:r>
    </w:p>
    <w:p>
      <w:pPr>
        <w:adjustRightInd w:val="0"/>
        <w:snapToGrid w:val="0"/>
        <w:spacing w:before="156" w:beforeLines="50" w:line="360" w:lineRule="auto"/>
        <w:ind w:left="315" w:leftChars="150"/>
        <w:rPr>
          <w:rFonts w:ascii="宋体" w:hAnsi="宋体"/>
          <w:szCs w:val="21"/>
        </w:rPr>
      </w:pPr>
      <w:r>
        <w:rPr>
          <w:rFonts w:ascii="宋体" w:hAnsi="宋体"/>
          <w:szCs w:val="21"/>
        </w:rPr>
        <w:t>7</w:t>
      </w:r>
      <w:r>
        <w:rPr>
          <w:rFonts w:hint="eastAsia" w:ascii="宋体" w:hAnsi="宋体"/>
          <w:szCs w:val="21"/>
        </w:rPr>
        <w:t>. 设备到货应随机提供出厂验收报告。</w:t>
      </w:r>
    </w:p>
    <w:p>
      <w:pPr>
        <w:adjustRightInd w:val="0"/>
        <w:snapToGrid w:val="0"/>
        <w:spacing w:before="156" w:beforeLines="50" w:line="360" w:lineRule="auto"/>
        <w:ind w:left="315" w:leftChars="150"/>
        <w:rPr>
          <w:rFonts w:ascii="宋体" w:hAnsi="宋体"/>
          <w:szCs w:val="21"/>
        </w:rPr>
      </w:pPr>
      <w:r>
        <w:rPr>
          <w:rFonts w:ascii="宋体" w:hAnsi="宋体"/>
          <w:szCs w:val="21"/>
        </w:rPr>
        <w:t>8</w:t>
      </w:r>
      <w:r>
        <w:rPr>
          <w:rFonts w:hint="eastAsia" w:ascii="宋体" w:hAnsi="宋体"/>
          <w:szCs w:val="21"/>
        </w:rPr>
        <w:t>．在设备经过试运转、性能调试、试运行之后，买卖双方对设备性能进行鉴定，符合合同要求，招标人出据验收证明并由中标人确认。验收标准为合同规定的要求和相关标准、中国国家标准、规范以及国际标准和双方认可的标准。</w:t>
      </w:r>
    </w:p>
    <w:p>
      <w:pPr>
        <w:pStyle w:val="26"/>
        <w:jc w:val="center"/>
      </w:pPr>
      <w:r>
        <w:rPr>
          <w:rFonts w:hint="eastAsia" w:ascii="宋体" w:hAnsi="宋体"/>
          <w:szCs w:val="21"/>
        </w:rPr>
        <w:br w:type="page"/>
      </w:r>
    </w:p>
    <w:p>
      <w:pPr>
        <w:pStyle w:val="26"/>
        <w:spacing w:before="156" w:beforeLines="50" w:after="156" w:afterLines="50" w:line="360" w:lineRule="auto"/>
        <w:jc w:val="center"/>
        <w:outlineLvl w:val="9"/>
        <w:rPr>
          <w:rFonts w:ascii="宋体" w:hAnsi="宋体" w:eastAsia="宋体"/>
          <w:b/>
          <w:sz w:val="24"/>
          <w:szCs w:val="24"/>
        </w:rPr>
      </w:pPr>
      <w:bookmarkStart w:id="3" w:name="_Toc357086144"/>
      <w:r>
        <w:rPr>
          <w:rFonts w:hint="eastAsia" w:ascii="黑体" w:hAnsi="黑体" w:cs="Times New Roman"/>
          <w:b/>
          <w:bCs/>
          <w:sz w:val="32"/>
          <w:szCs w:val="24"/>
        </w:rPr>
        <w:t>第三节 质量保证</w:t>
      </w:r>
    </w:p>
    <w:bookmarkEnd w:id="3"/>
    <w:p>
      <w:pPr>
        <w:widowControl/>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1. 质保期应为自使用之日起12个月或到货验收合格后18个月，先到为准。对由于设计或质量问题而引起的设备故障，中标方应进一步对此负责。专用合同条款对质保有特殊规定的从其规定。</w:t>
      </w:r>
    </w:p>
    <w:p>
      <w:pPr>
        <w:widowControl/>
        <w:ind w:firstLine="420" w:firstLineChars="200"/>
        <w:jc w:val="left"/>
        <w:rPr>
          <w:rFonts w:hint="eastAsia" w:asciiTheme="minorEastAsia" w:hAnsiTheme="minorEastAsia" w:eastAsiaTheme="minorEastAsia" w:cstheme="minorEastAsia"/>
        </w:rPr>
      </w:pPr>
      <w:r>
        <w:rPr>
          <w:rFonts w:hint="eastAsia" w:asciiTheme="minorEastAsia" w:hAnsiTheme="minorEastAsia" w:eastAsiaTheme="minorEastAsia" w:cstheme="minorEastAsia"/>
        </w:rPr>
        <w:t>2. 中标方质保期内应免费对产品进行维修服务，无偿更换零件、部件,更换、维修后的部件质保期从产品正常运行之日起重新计算。</w:t>
      </w:r>
    </w:p>
    <w:p>
      <w:pPr>
        <w:widowControl/>
        <w:ind w:firstLine="420" w:firstLineChars="200"/>
        <w:jc w:val="left"/>
      </w:pPr>
      <w:r>
        <w:rPr>
          <w:rFonts w:hint="eastAsia" w:asciiTheme="minorEastAsia" w:hAnsiTheme="minorEastAsia" w:eastAsiaTheme="minorEastAsia" w:cstheme="minorEastAsia"/>
        </w:rPr>
        <w:t xml:space="preserve">3. 中标方对设备大修周期、使用寿命及各主要部件的寿命承诺。 </w:t>
      </w:r>
      <w:r>
        <w:br w:type="page"/>
      </w:r>
    </w:p>
    <w:p>
      <w:pPr>
        <w:pStyle w:val="26"/>
        <w:spacing w:before="156" w:beforeLines="50" w:after="156" w:afterLines="50" w:line="360" w:lineRule="auto"/>
        <w:jc w:val="center"/>
        <w:outlineLvl w:val="9"/>
        <w:rPr>
          <w:rFonts w:ascii="黑体" w:hAnsi="黑体" w:cs="Times New Roman"/>
          <w:b/>
          <w:bCs/>
          <w:sz w:val="32"/>
          <w:szCs w:val="24"/>
        </w:rPr>
      </w:pPr>
      <w:r>
        <w:rPr>
          <w:rFonts w:hint="eastAsia" w:ascii="黑体" w:hAnsi="黑体" w:cs="Times New Roman"/>
          <w:b/>
          <w:bCs/>
          <w:sz w:val="32"/>
          <w:szCs w:val="24"/>
        </w:rPr>
        <w:t>第四节 标准</w:t>
      </w:r>
    </w:p>
    <w:p>
      <w:pPr>
        <w:pStyle w:val="29"/>
        <w:tabs>
          <w:tab w:val="left" w:pos="1290"/>
          <w:tab w:val="left" w:pos="1680"/>
        </w:tabs>
        <w:adjustRightInd w:val="0"/>
        <w:snapToGrid w:val="0"/>
        <w:spacing w:before="120" w:after="0" w:line="360" w:lineRule="auto"/>
        <w:rPr>
          <w:sz w:val="21"/>
          <w:szCs w:val="21"/>
        </w:rPr>
      </w:pPr>
      <w:r>
        <w:rPr>
          <w:rFonts w:hint="eastAsia"/>
          <w:sz w:val="21"/>
          <w:szCs w:val="21"/>
        </w:rPr>
        <w:t>4.</w:t>
      </w:r>
      <w:r>
        <w:rPr>
          <w:sz w:val="21"/>
          <w:szCs w:val="21"/>
        </w:rPr>
        <w:t>1.</w:t>
      </w:r>
      <w:r>
        <w:rPr>
          <w:rFonts w:hint="eastAsia"/>
          <w:sz w:val="21"/>
          <w:szCs w:val="21"/>
        </w:rPr>
        <w:t xml:space="preserve"> </w:t>
      </w:r>
      <w:r>
        <w:rPr>
          <w:sz w:val="21"/>
          <w:szCs w:val="21"/>
        </w:rPr>
        <w:t>所供应的货物将按下列标准（推荐）进行设计和制造</w:t>
      </w:r>
    </w:p>
    <w:p>
      <w:pPr>
        <w:pStyle w:val="29"/>
        <w:tabs>
          <w:tab w:val="left" w:pos="550"/>
        </w:tabs>
        <w:adjustRightInd w:val="0"/>
        <w:snapToGrid w:val="0"/>
        <w:spacing w:line="360" w:lineRule="auto"/>
        <w:ind w:left="546" w:leftChars="200" w:hanging="126" w:hangingChars="60"/>
        <w:rPr>
          <w:sz w:val="21"/>
          <w:szCs w:val="21"/>
        </w:rPr>
      </w:pPr>
      <w:r>
        <w:rPr>
          <w:sz w:val="21"/>
          <w:szCs w:val="21"/>
        </w:rPr>
        <w:t>电器:     IEC标准/EN标准</w:t>
      </w:r>
    </w:p>
    <w:p>
      <w:pPr>
        <w:pStyle w:val="29"/>
        <w:tabs>
          <w:tab w:val="left" w:pos="550"/>
        </w:tabs>
        <w:adjustRightInd w:val="0"/>
        <w:snapToGrid w:val="0"/>
        <w:spacing w:line="360" w:lineRule="auto"/>
        <w:ind w:firstLine="420" w:firstLineChars="200"/>
        <w:rPr>
          <w:sz w:val="21"/>
          <w:szCs w:val="21"/>
        </w:rPr>
      </w:pPr>
      <w:r>
        <w:rPr>
          <w:sz w:val="21"/>
          <w:szCs w:val="21"/>
        </w:rPr>
        <w:t>机械:     ISO标准</w:t>
      </w:r>
    </w:p>
    <w:p>
      <w:pPr>
        <w:pStyle w:val="29"/>
        <w:tabs>
          <w:tab w:val="left" w:pos="1290"/>
          <w:tab w:val="left" w:pos="1680"/>
        </w:tabs>
        <w:adjustRightInd w:val="0"/>
        <w:snapToGrid w:val="0"/>
        <w:spacing w:line="360" w:lineRule="auto"/>
        <w:rPr>
          <w:sz w:val="21"/>
          <w:szCs w:val="21"/>
        </w:rPr>
      </w:pPr>
      <w:r>
        <w:rPr>
          <w:rFonts w:hint="eastAsia"/>
          <w:sz w:val="21"/>
          <w:szCs w:val="21"/>
        </w:rPr>
        <w:t>4.</w:t>
      </w:r>
      <w:r>
        <w:rPr>
          <w:rFonts w:hint="eastAsia"/>
          <w:sz w:val="21"/>
          <w:szCs w:val="21"/>
          <w:lang w:val="en-US" w:eastAsia="zh-CN"/>
        </w:rPr>
        <w:t>2</w:t>
      </w:r>
      <w:r>
        <w:rPr>
          <w:sz w:val="21"/>
          <w:szCs w:val="21"/>
        </w:rPr>
        <w:t>.</w:t>
      </w:r>
      <w:r>
        <w:rPr>
          <w:rFonts w:hint="eastAsia"/>
          <w:sz w:val="21"/>
          <w:szCs w:val="21"/>
        </w:rPr>
        <w:t xml:space="preserve"> </w:t>
      </w:r>
      <w:r>
        <w:rPr>
          <w:sz w:val="21"/>
          <w:szCs w:val="21"/>
        </w:rPr>
        <w:t>设备的设计与制造要求采用国际公制单位，个别部件采用英制单位应列出清单。</w:t>
      </w:r>
    </w:p>
    <w:p>
      <w:pPr>
        <w:pStyle w:val="29"/>
        <w:tabs>
          <w:tab w:val="left" w:pos="1290"/>
          <w:tab w:val="left" w:pos="1680"/>
        </w:tabs>
        <w:adjustRightInd w:val="0"/>
        <w:snapToGrid w:val="0"/>
        <w:spacing w:line="360" w:lineRule="auto"/>
        <w:rPr>
          <w:rFonts w:hint="eastAsia"/>
          <w:sz w:val="21"/>
          <w:szCs w:val="21"/>
        </w:rPr>
      </w:pPr>
      <w:r>
        <w:rPr>
          <w:rFonts w:hint="eastAsia"/>
          <w:sz w:val="21"/>
          <w:szCs w:val="21"/>
          <w:lang w:val="en-US" w:eastAsia="zh-CN"/>
        </w:rPr>
        <w:t>4</w:t>
      </w:r>
      <w:r>
        <w:rPr>
          <w:rFonts w:hint="eastAsia"/>
          <w:sz w:val="21"/>
          <w:szCs w:val="21"/>
        </w:rPr>
        <w:t>.</w:t>
      </w:r>
      <w:r>
        <w:rPr>
          <w:rFonts w:hint="eastAsia"/>
          <w:sz w:val="21"/>
          <w:szCs w:val="21"/>
          <w:lang w:val="en-US" w:eastAsia="zh-CN"/>
        </w:rPr>
        <w:t>3.</w:t>
      </w:r>
      <w:r>
        <w:rPr>
          <w:rFonts w:hint="eastAsia"/>
          <w:sz w:val="21"/>
          <w:szCs w:val="21"/>
        </w:rPr>
        <w:t xml:space="preserve"> GB 3836.1-2010 爆炸性环境 第1部分：设备 通用要求</w:t>
      </w:r>
      <w:r>
        <w:rPr>
          <w:rFonts w:hint="eastAsia"/>
          <w:sz w:val="21"/>
          <w:szCs w:val="21"/>
          <w:lang w:eastAsia="zh-CN"/>
        </w:rPr>
        <w:t>。</w:t>
      </w:r>
    </w:p>
    <w:p>
      <w:pPr>
        <w:pStyle w:val="29"/>
        <w:tabs>
          <w:tab w:val="left" w:pos="1290"/>
          <w:tab w:val="left" w:pos="1680"/>
        </w:tabs>
        <w:adjustRightInd w:val="0"/>
        <w:snapToGrid w:val="0"/>
        <w:spacing w:line="360" w:lineRule="auto"/>
        <w:rPr>
          <w:rFonts w:hint="eastAsia"/>
          <w:sz w:val="21"/>
          <w:szCs w:val="21"/>
          <w:lang w:eastAsia="zh-CN"/>
        </w:rPr>
      </w:pPr>
      <w:r>
        <w:rPr>
          <w:rFonts w:hint="eastAsia"/>
          <w:sz w:val="21"/>
          <w:szCs w:val="21"/>
          <w:lang w:val="en-US" w:eastAsia="zh-CN"/>
        </w:rPr>
        <w:t>4</w:t>
      </w:r>
      <w:r>
        <w:rPr>
          <w:rFonts w:hint="eastAsia"/>
          <w:sz w:val="21"/>
          <w:szCs w:val="21"/>
        </w:rPr>
        <w:t>.</w:t>
      </w:r>
      <w:r>
        <w:rPr>
          <w:rFonts w:hint="eastAsia"/>
          <w:sz w:val="21"/>
          <w:szCs w:val="21"/>
          <w:lang w:val="en-US" w:eastAsia="zh-CN"/>
        </w:rPr>
        <w:t>4.</w:t>
      </w:r>
      <w:r>
        <w:rPr>
          <w:rFonts w:hint="eastAsia"/>
          <w:sz w:val="21"/>
          <w:szCs w:val="21"/>
        </w:rPr>
        <w:t>标准气体执行标准：中华人民共和国国家计量检定规程JJ1093-2013《矿用一氧化碳检测报警器》、JJG1087-2013《矿用氧气检测报警器》、JJG1678-2007《矿用氧气检测报警器》。钢瓶执行标准：GB 5099-94　《钢质无缝气瓶》</w:t>
      </w:r>
      <w:r>
        <w:rPr>
          <w:rFonts w:hint="eastAsia"/>
          <w:sz w:val="21"/>
          <w:szCs w:val="21"/>
          <w:lang w:eastAsia="zh-CN"/>
        </w:rPr>
        <w:t>。</w:t>
      </w:r>
    </w:p>
    <w:p>
      <w:pPr>
        <w:pStyle w:val="29"/>
        <w:tabs>
          <w:tab w:val="left" w:pos="1290"/>
          <w:tab w:val="left" w:pos="1680"/>
        </w:tabs>
        <w:adjustRightInd w:val="0"/>
        <w:snapToGrid w:val="0"/>
        <w:spacing w:line="360" w:lineRule="auto"/>
        <w:rPr>
          <w:rFonts w:hint="eastAsia"/>
          <w:sz w:val="21"/>
          <w:szCs w:val="21"/>
          <w:lang w:eastAsia="zh-CN"/>
        </w:rPr>
      </w:pPr>
      <w:r>
        <w:rPr>
          <w:rFonts w:hint="eastAsia"/>
          <w:sz w:val="21"/>
          <w:szCs w:val="21"/>
        </w:rPr>
        <w:t>4.</w:t>
      </w:r>
      <w:r>
        <w:rPr>
          <w:rFonts w:hint="eastAsia"/>
          <w:sz w:val="21"/>
          <w:szCs w:val="21"/>
          <w:lang w:val="en-US" w:eastAsia="zh-CN"/>
        </w:rPr>
        <w:t>5</w:t>
      </w:r>
      <w:r>
        <w:rPr>
          <w:rFonts w:hint="eastAsia"/>
          <w:sz w:val="21"/>
          <w:szCs w:val="21"/>
        </w:rPr>
        <w:t>.</w:t>
      </w:r>
      <w:r>
        <w:rPr>
          <w:sz w:val="21"/>
          <w:szCs w:val="21"/>
        </w:rPr>
        <w:t xml:space="preserve"> 上述标准均应为</w:t>
      </w:r>
      <w:r>
        <w:rPr>
          <w:rFonts w:hint="eastAsia"/>
          <w:sz w:val="21"/>
          <w:szCs w:val="21"/>
        </w:rPr>
        <w:t>投</w:t>
      </w:r>
      <w:r>
        <w:rPr>
          <w:sz w:val="21"/>
          <w:szCs w:val="21"/>
        </w:rPr>
        <w:t>标截止日时的最新有效版</w:t>
      </w:r>
      <w:r>
        <w:rPr>
          <w:rFonts w:hint="eastAsia"/>
          <w:sz w:val="21"/>
          <w:szCs w:val="21"/>
        </w:rPr>
        <w:t>。</w:t>
      </w: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A00002EF" w:usb1="4000004B" w:usb2="00000000" w:usb3="00000000" w:csb0="2000009F" w:csb1="00000000"/>
  </w:font>
  <w:font w:name="Calibri">
    <w:panose1 w:val="020F0502020204030204"/>
    <w:charset w:val="00"/>
    <w:family w:val="swiss"/>
    <w:pitch w:val="default"/>
    <w:sig w:usb0="A00002EF" w:usb1="4000207B" w:usb2="00000000" w:usb3="00000000" w:csb0="2000009F" w:csb1="00000000"/>
  </w:font>
  <w:font w:name="Arial">
    <w:panose1 w:val="020B0604020202020204"/>
    <w:charset w:val="00"/>
    <w:family w:val="swiss"/>
    <w:pitch w:val="default"/>
    <w:sig w:usb0="00007A87" w:usb1="80000000" w:usb2="00000008" w:usb3="00000000" w:csb0="400001FF" w:csb1="FFFF0000"/>
  </w:font>
  <w:font w:name="微软雅黑">
    <w:panose1 w:val="020B0503020204020204"/>
    <w:charset w:val="86"/>
    <w:family w:val="auto"/>
    <w:pitch w:val="default"/>
    <w:sig w:usb0="80000287" w:usb1="2A0F3C52" w:usb2="00000016" w:usb3="00000000" w:csb0="0004001F" w:csb1="00000000"/>
  </w:font>
  <w:font w:name="Courier New">
    <w:panose1 w:val="02070309020205020404"/>
    <w:charset w:val="00"/>
    <w:family w:val="modern"/>
    <w:pitch w:val="default"/>
    <w:sig w:usb0="00007A87" w:usb1="80000000" w:usb2="00000008" w:usb3="00000000" w:csb0="400001FF" w:csb1="FFFF0000"/>
  </w:font>
  <w:font w:name="Palatino Linotype">
    <w:panose1 w:val="02040502050505030304"/>
    <w:charset w:val="00"/>
    <w:family w:val="auto"/>
    <w:pitch w:val="default"/>
    <w:sig w:usb0="E0000387" w:usb1="40000013" w:usb2="00000000" w:usb3="00000000" w:csb0="2000019F" w:csb1="00000000"/>
  </w:font>
  <w:font w:name="Lucida Sans">
    <w:altName w:val="Lucida Sans Unicode"/>
    <w:panose1 w:val="020B0602030504020204"/>
    <w:charset w:val="00"/>
    <w:family w:val="auto"/>
    <w:pitch w:val="default"/>
    <w:sig w:usb0="00000000" w:usb1="00000000" w:usb2="00000000" w:usb3="00000000" w:csb0="20000001" w:csb1="00000000"/>
  </w:font>
  <w:font w:name="baikeFont_layout">
    <w:altName w:val="Courier New"/>
    <w:panose1 w:val="00000000000000000000"/>
    <w:charset w:val="00"/>
    <w:family w:val="auto"/>
    <w:pitch w:val="default"/>
    <w:sig w:usb0="00000000" w:usb1="00000000" w:usb2="00000000" w:usb3="00000000" w:csb0="00000000" w:csb1="00000000"/>
  </w:font>
  <w:font w:name="baikeFont_css">
    <w:altName w:val="Courier New"/>
    <w:panose1 w:val="00000000000000000000"/>
    <w:charset w:val="00"/>
    <w:family w:val="auto"/>
    <w:pitch w:val="default"/>
    <w:sig w:usb0="00000000" w:usb1="00000000" w:usb2="00000000" w:usb3="00000000" w:csb0="00000000" w:csb1="00000000"/>
  </w:font>
  <w:font w:name="monospace">
    <w:altName w:val="Courier New"/>
    <w:panose1 w:val="00000000000000000000"/>
    <w:charset w:val="00"/>
    <w:family w:val="auto"/>
    <w:pitch w:val="default"/>
    <w:sig w:usb0="00000000" w:usb1="00000000" w:usb2="00000000" w:usb3="00000000" w:csb0="00000000" w:csb1="00000000"/>
  </w:font>
  <w:font w:name="AMGDT">
    <w:altName w:val="Segoe UI"/>
    <w:panose1 w:val="02000400000000000000"/>
    <w:charset w:val="00"/>
    <w:family w:val="auto"/>
    <w:pitch w:val="default"/>
    <w:sig w:usb0="00000000" w:usb1="00000000" w:usb2="00000000" w:usb3="00000000" w:csb0="00000001" w:csb1="00000000"/>
  </w:font>
  <w:font w:name="仿宋">
    <w:altName w:val="仿宋_GB2312"/>
    <w:panose1 w:val="02010609060101010101"/>
    <w:charset w:val="86"/>
    <w:family w:val="auto"/>
    <w:pitch w:val="default"/>
    <w:sig w:usb0="00000000" w:usb1="00000000" w:usb2="00000016" w:usb3="00000000" w:csb0="00040001" w:csb1="00000000"/>
  </w:font>
  <w:font w:name="等线">
    <w:altName w:val="宋体"/>
    <w:panose1 w:val="02010600030101010101"/>
    <w:charset w:val="86"/>
    <w:family w:val="auto"/>
    <w:pitch w:val="default"/>
    <w:sig w:usb0="00000000" w:usb1="00000000"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等线 Light">
    <w:altName w:val="宋体"/>
    <w:panose1 w:val="02010600030101010101"/>
    <w:charset w:val="86"/>
    <w:family w:val="auto"/>
    <w:pitch w:val="default"/>
    <w:sig w:usb0="00000000" w:usb1="00000000" w:usb2="00000016" w:usb3="00000000" w:csb0="0004000F" w:csb1="00000000"/>
  </w:font>
  <w:font w:name="华文仿宋">
    <w:panose1 w:val="02010600040101010101"/>
    <w:charset w:val="86"/>
    <w:family w:val="auto"/>
    <w:pitch w:val="default"/>
    <w:sig w:usb0="00000287" w:usb1="080F0000" w:usb2="00000000" w:usb3="00000000" w:csb0="0004009F" w:csb1="DFD70000"/>
  </w:font>
  <w:font w:name="Tahoma">
    <w:panose1 w:val="020B0604030504040204"/>
    <w:charset w:val="00"/>
    <w:family w:val="auto"/>
    <w:pitch w:val="default"/>
    <w:sig w:usb0="61007A87" w:usb1="80000000" w:usb2="00000008" w:usb3="00000000" w:csb0="200101FF" w:csb1="20280000"/>
  </w:font>
  <w:font w:name="Hiragino Sans GB">
    <w:altName w:val="Courier New"/>
    <w:panose1 w:val="00000000000000000000"/>
    <w:charset w:val="00"/>
    <w:family w:val="auto"/>
    <w:pitch w:val="default"/>
    <w:sig w:usb0="00000000" w:usb1="00000000" w:usb2="00000000" w:usb3="00000000" w:csb0="00000000" w:csb1="00000000"/>
  </w:font>
  <w:font w:name="SWAstro">
    <w:altName w:val="Segoe UI"/>
    <w:panose1 w:val="02000400000000000000"/>
    <w:charset w:val="00"/>
    <w:family w:val="auto"/>
    <w:pitch w:val="default"/>
    <w:sig w:usb0="00000000" w:usb1="00000000" w:usb2="00000000" w:usb3="00000000" w:csb0="00000001" w:csb1="00000000"/>
  </w:font>
  <w:font w:name="SWTxt">
    <w:altName w:val="Segoe UI"/>
    <w:panose1 w:val="02000400000000000000"/>
    <w:charset w:val="00"/>
    <w:family w:val="auto"/>
    <w:pitch w:val="default"/>
    <w:sig w:usb0="00000000" w:usb1="00000000" w:usb2="00000000" w:usb3="00000000" w:csb0="00000001" w:csb1="00000000"/>
  </w:font>
  <w:font w:name="Square721 Cn BT">
    <w:altName w:val="Arial Narrow"/>
    <w:panose1 w:val="020B0406020202050204"/>
    <w:charset w:val="00"/>
    <w:family w:val="auto"/>
    <w:pitch w:val="default"/>
    <w:sig w:usb0="00000000" w:usb1="00000000" w:usb2="00000000" w:usb3="00000000" w:csb0="00000011" w:csb1="00000000"/>
  </w:font>
  <w:font w:name="Lucida Sans Unicode">
    <w:panose1 w:val="020B0602030504020204"/>
    <w:charset w:val="00"/>
    <w:family w:val="auto"/>
    <w:pitch w:val="default"/>
    <w:sig w:usb0="80001AFF" w:usb1="0000396B" w:usb2="00000000" w:usb3="00000000" w:csb0="0000003F" w:csb1="D7F70000"/>
  </w:font>
  <w:font w:name="Segoe UI">
    <w:panose1 w:val="020B0502040204020203"/>
    <w:charset w:val="00"/>
    <w:family w:val="auto"/>
    <w:pitch w:val="default"/>
    <w:sig w:usb0="E00022FF" w:usb1="C000205B" w:usb2="00000009" w:usb3="00000000" w:csb0="200001DF" w:csb1="20080000"/>
  </w:font>
  <w:font w:name="Arial Narrow">
    <w:panose1 w:val="020B0606020202030204"/>
    <w:charset w:val="00"/>
    <w:family w:val="auto"/>
    <w:pitch w:val="default"/>
    <w:sig w:usb0="00000287" w:usb1="00000800" w:usb2="00000000" w:usb3="00000000" w:csb0="2000009F" w:csb1="DFD7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4AED"/>
    <w:rsid w:val="000109C0"/>
    <w:rsid w:val="00015381"/>
    <w:rsid w:val="00034491"/>
    <w:rsid w:val="000349FF"/>
    <w:rsid w:val="00040FAA"/>
    <w:rsid w:val="00046393"/>
    <w:rsid w:val="00062A06"/>
    <w:rsid w:val="00074BAA"/>
    <w:rsid w:val="0008777B"/>
    <w:rsid w:val="000B4A8F"/>
    <w:rsid w:val="000C002E"/>
    <w:rsid w:val="000D5B51"/>
    <w:rsid w:val="000F7B2D"/>
    <w:rsid w:val="00142DC8"/>
    <w:rsid w:val="00152AAB"/>
    <w:rsid w:val="00152DFA"/>
    <w:rsid w:val="00155A24"/>
    <w:rsid w:val="001608A6"/>
    <w:rsid w:val="00160E7C"/>
    <w:rsid w:val="00162CD6"/>
    <w:rsid w:val="0017236C"/>
    <w:rsid w:val="00173B13"/>
    <w:rsid w:val="00175505"/>
    <w:rsid w:val="001803C1"/>
    <w:rsid w:val="001C2A35"/>
    <w:rsid w:val="001F4947"/>
    <w:rsid w:val="00205A97"/>
    <w:rsid w:val="00207DB2"/>
    <w:rsid w:val="00213B0F"/>
    <w:rsid w:val="0023500D"/>
    <w:rsid w:val="00243118"/>
    <w:rsid w:val="0024361C"/>
    <w:rsid w:val="00247066"/>
    <w:rsid w:val="00254199"/>
    <w:rsid w:val="002633A5"/>
    <w:rsid w:val="00287971"/>
    <w:rsid w:val="002902C1"/>
    <w:rsid w:val="00292D0F"/>
    <w:rsid w:val="002A0807"/>
    <w:rsid w:val="002C2B1B"/>
    <w:rsid w:val="002D5BFD"/>
    <w:rsid w:val="002E17F4"/>
    <w:rsid w:val="002E4385"/>
    <w:rsid w:val="0030306D"/>
    <w:rsid w:val="003133E1"/>
    <w:rsid w:val="00315A14"/>
    <w:rsid w:val="00324547"/>
    <w:rsid w:val="00324AED"/>
    <w:rsid w:val="003370AA"/>
    <w:rsid w:val="003417A1"/>
    <w:rsid w:val="00343D04"/>
    <w:rsid w:val="003538D6"/>
    <w:rsid w:val="00355943"/>
    <w:rsid w:val="0035699D"/>
    <w:rsid w:val="0036001B"/>
    <w:rsid w:val="003708D1"/>
    <w:rsid w:val="00376DAE"/>
    <w:rsid w:val="00386656"/>
    <w:rsid w:val="003A43AD"/>
    <w:rsid w:val="003A5201"/>
    <w:rsid w:val="003B3881"/>
    <w:rsid w:val="003B3F9D"/>
    <w:rsid w:val="003D0832"/>
    <w:rsid w:val="003D621C"/>
    <w:rsid w:val="003F38A7"/>
    <w:rsid w:val="004013AD"/>
    <w:rsid w:val="004021E7"/>
    <w:rsid w:val="00405B14"/>
    <w:rsid w:val="00413602"/>
    <w:rsid w:val="00415933"/>
    <w:rsid w:val="004171CC"/>
    <w:rsid w:val="00424C95"/>
    <w:rsid w:val="00433399"/>
    <w:rsid w:val="00462545"/>
    <w:rsid w:val="0046284D"/>
    <w:rsid w:val="00463629"/>
    <w:rsid w:val="00481D87"/>
    <w:rsid w:val="004954E0"/>
    <w:rsid w:val="004A5487"/>
    <w:rsid w:val="004D4587"/>
    <w:rsid w:val="004E0346"/>
    <w:rsid w:val="004E5B57"/>
    <w:rsid w:val="004F3F2B"/>
    <w:rsid w:val="004F5D0C"/>
    <w:rsid w:val="004F7AB4"/>
    <w:rsid w:val="00501850"/>
    <w:rsid w:val="00502BE3"/>
    <w:rsid w:val="0050670E"/>
    <w:rsid w:val="005210D7"/>
    <w:rsid w:val="005210E1"/>
    <w:rsid w:val="00522FE4"/>
    <w:rsid w:val="00524A09"/>
    <w:rsid w:val="005357F0"/>
    <w:rsid w:val="00543472"/>
    <w:rsid w:val="00564646"/>
    <w:rsid w:val="00595E43"/>
    <w:rsid w:val="00596F47"/>
    <w:rsid w:val="005A693C"/>
    <w:rsid w:val="005A6A5C"/>
    <w:rsid w:val="005B215D"/>
    <w:rsid w:val="005B7C05"/>
    <w:rsid w:val="005C1073"/>
    <w:rsid w:val="005C2EC1"/>
    <w:rsid w:val="005D117A"/>
    <w:rsid w:val="005E1806"/>
    <w:rsid w:val="005E2C8D"/>
    <w:rsid w:val="005F1F39"/>
    <w:rsid w:val="005F6C66"/>
    <w:rsid w:val="00604F0E"/>
    <w:rsid w:val="00607817"/>
    <w:rsid w:val="006118E4"/>
    <w:rsid w:val="00616668"/>
    <w:rsid w:val="00644CBA"/>
    <w:rsid w:val="0064539F"/>
    <w:rsid w:val="00652874"/>
    <w:rsid w:val="00674855"/>
    <w:rsid w:val="0068763C"/>
    <w:rsid w:val="00695B06"/>
    <w:rsid w:val="006B3D97"/>
    <w:rsid w:val="006C2B88"/>
    <w:rsid w:val="006C3017"/>
    <w:rsid w:val="006C3ED5"/>
    <w:rsid w:val="006D365C"/>
    <w:rsid w:val="006D7121"/>
    <w:rsid w:val="006E52DC"/>
    <w:rsid w:val="006F7261"/>
    <w:rsid w:val="0072646E"/>
    <w:rsid w:val="0073246F"/>
    <w:rsid w:val="00734DF3"/>
    <w:rsid w:val="007404F7"/>
    <w:rsid w:val="0074278F"/>
    <w:rsid w:val="00765FB3"/>
    <w:rsid w:val="00782F74"/>
    <w:rsid w:val="00786E22"/>
    <w:rsid w:val="00786ECA"/>
    <w:rsid w:val="00790A71"/>
    <w:rsid w:val="00796B6E"/>
    <w:rsid w:val="007A37E8"/>
    <w:rsid w:val="007A5778"/>
    <w:rsid w:val="007A7F03"/>
    <w:rsid w:val="007D1C2F"/>
    <w:rsid w:val="007E32CA"/>
    <w:rsid w:val="007E5ACB"/>
    <w:rsid w:val="00806923"/>
    <w:rsid w:val="0080693E"/>
    <w:rsid w:val="00807102"/>
    <w:rsid w:val="008156D9"/>
    <w:rsid w:val="00826F56"/>
    <w:rsid w:val="0083250C"/>
    <w:rsid w:val="0083563D"/>
    <w:rsid w:val="00843418"/>
    <w:rsid w:val="00845825"/>
    <w:rsid w:val="00853966"/>
    <w:rsid w:val="00855944"/>
    <w:rsid w:val="00881676"/>
    <w:rsid w:val="00882500"/>
    <w:rsid w:val="0088601A"/>
    <w:rsid w:val="00890998"/>
    <w:rsid w:val="00897BC6"/>
    <w:rsid w:val="008C2E31"/>
    <w:rsid w:val="008E4684"/>
    <w:rsid w:val="008F6198"/>
    <w:rsid w:val="008F7C7E"/>
    <w:rsid w:val="00905422"/>
    <w:rsid w:val="009054B3"/>
    <w:rsid w:val="0092369C"/>
    <w:rsid w:val="00943FA8"/>
    <w:rsid w:val="00947716"/>
    <w:rsid w:val="00947E03"/>
    <w:rsid w:val="009555FC"/>
    <w:rsid w:val="0096100E"/>
    <w:rsid w:val="00986153"/>
    <w:rsid w:val="00992860"/>
    <w:rsid w:val="00992BDB"/>
    <w:rsid w:val="00993163"/>
    <w:rsid w:val="009933CD"/>
    <w:rsid w:val="009952BC"/>
    <w:rsid w:val="00996A9F"/>
    <w:rsid w:val="009A1731"/>
    <w:rsid w:val="009B7AFD"/>
    <w:rsid w:val="009C560A"/>
    <w:rsid w:val="009D05E6"/>
    <w:rsid w:val="009D16D9"/>
    <w:rsid w:val="009F0088"/>
    <w:rsid w:val="009F700A"/>
    <w:rsid w:val="00A0156C"/>
    <w:rsid w:val="00A1147B"/>
    <w:rsid w:val="00A116B9"/>
    <w:rsid w:val="00A14213"/>
    <w:rsid w:val="00A2367D"/>
    <w:rsid w:val="00A25B21"/>
    <w:rsid w:val="00A30913"/>
    <w:rsid w:val="00A36918"/>
    <w:rsid w:val="00A6162C"/>
    <w:rsid w:val="00A678FB"/>
    <w:rsid w:val="00A67AA5"/>
    <w:rsid w:val="00A8273B"/>
    <w:rsid w:val="00A90896"/>
    <w:rsid w:val="00A9110C"/>
    <w:rsid w:val="00AA1072"/>
    <w:rsid w:val="00AA563E"/>
    <w:rsid w:val="00AB7D21"/>
    <w:rsid w:val="00AB7E73"/>
    <w:rsid w:val="00AC3394"/>
    <w:rsid w:val="00AD68D8"/>
    <w:rsid w:val="00AE2322"/>
    <w:rsid w:val="00AE3F1F"/>
    <w:rsid w:val="00AE66AF"/>
    <w:rsid w:val="00AF260A"/>
    <w:rsid w:val="00B031C1"/>
    <w:rsid w:val="00B03A0D"/>
    <w:rsid w:val="00B045D4"/>
    <w:rsid w:val="00B078AA"/>
    <w:rsid w:val="00B10346"/>
    <w:rsid w:val="00B15920"/>
    <w:rsid w:val="00B1737F"/>
    <w:rsid w:val="00B24159"/>
    <w:rsid w:val="00B246C9"/>
    <w:rsid w:val="00B32769"/>
    <w:rsid w:val="00B335EE"/>
    <w:rsid w:val="00B42553"/>
    <w:rsid w:val="00B45AE6"/>
    <w:rsid w:val="00B479F5"/>
    <w:rsid w:val="00B615D0"/>
    <w:rsid w:val="00B6712E"/>
    <w:rsid w:val="00B73000"/>
    <w:rsid w:val="00B81CAE"/>
    <w:rsid w:val="00B8459D"/>
    <w:rsid w:val="00B93EF8"/>
    <w:rsid w:val="00BB3B5C"/>
    <w:rsid w:val="00BC1A1D"/>
    <w:rsid w:val="00BC7C25"/>
    <w:rsid w:val="00BD126A"/>
    <w:rsid w:val="00BD3068"/>
    <w:rsid w:val="00BF1B41"/>
    <w:rsid w:val="00C005E2"/>
    <w:rsid w:val="00C04844"/>
    <w:rsid w:val="00C22C5C"/>
    <w:rsid w:val="00C3204C"/>
    <w:rsid w:val="00C4031E"/>
    <w:rsid w:val="00C4115D"/>
    <w:rsid w:val="00C53DAE"/>
    <w:rsid w:val="00C56484"/>
    <w:rsid w:val="00C56E68"/>
    <w:rsid w:val="00C61510"/>
    <w:rsid w:val="00C61BEE"/>
    <w:rsid w:val="00C655FD"/>
    <w:rsid w:val="00C82F57"/>
    <w:rsid w:val="00C87C9F"/>
    <w:rsid w:val="00C904D9"/>
    <w:rsid w:val="00C945CD"/>
    <w:rsid w:val="00CA1942"/>
    <w:rsid w:val="00CA2AAB"/>
    <w:rsid w:val="00CA6ADA"/>
    <w:rsid w:val="00CB68B2"/>
    <w:rsid w:val="00CC186D"/>
    <w:rsid w:val="00CD5D1D"/>
    <w:rsid w:val="00CE2302"/>
    <w:rsid w:val="00CF3036"/>
    <w:rsid w:val="00D04856"/>
    <w:rsid w:val="00D10234"/>
    <w:rsid w:val="00D15AFD"/>
    <w:rsid w:val="00D33006"/>
    <w:rsid w:val="00D43F0D"/>
    <w:rsid w:val="00D45A07"/>
    <w:rsid w:val="00D50A55"/>
    <w:rsid w:val="00D93117"/>
    <w:rsid w:val="00D95D3F"/>
    <w:rsid w:val="00DA4732"/>
    <w:rsid w:val="00DC0DF1"/>
    <w:rsid w:val="00DC42CF"/>
    <w:rsid w:val="00DD144E"/>
    <w:rsid w:val="00DD1B16"/>
    <w:rsid w:val="00DD3E50"/>
    <w:rsid w:val="00DE1B86"/>
    <w:rsid w:val="00DE1BDB"/>
    <w:rsid w:val="00DE243A"/>
    <w:rsid w:val="00E00421"/>
    <w:rsid w:val="00E050EF"/>
    <w:rsid w:val="00E12326"/>
    <w:rsid w:val="00E12EBD"/>
    <w:rsid w:val="00E17E02"/>
    <w:rsid w:val="00E33525"/>
    <w:rsid w:val="00E4526B"/>
    <w:rsid w:val="00E461DF"/>
    <w:rsid w:val="00E62120"/>
    <w:rsid w:val="00E70FE5"/>
    <w:rsid w:val="00E73DE8"/>
    <w:rsid w:val="00E74C50"/>
    <w:rsid w:val="00E8366B"/>
    <w:rsid w:val="00EA3C6E"/>
    <w:rsid w:val="00EB08C9"/>
    <w:rsid w:val="00EB7AB9"/>
    <w:rsid w:val="00EC01F4"/>
    <w:rsid w:val="00EC35BC"/>
    <w:rsid w:val="00EC5962"/>
    <w:rsid w:val="00EE23A6"/>
    <w:rsid w:val="00EE66B8"/>
    <w:rsid w:val="00F02E92"/>
    <w:rsid w:val="00F15AC7"/>
    <w:rsid w:val="00F16511"/>
    <w:rsid w:val="00F24373"/>
    <w:rsid w:val="00F3355C"/>
    <w:rsid w:val="00F43474"/>
    <w:rsid w:val="00F54464"/>
    <w:rsid w:val="00F54953"/>
    <w:rsid w:val="00F76074"/>
    <w:rsid w:val="00F76586"/>
    <w:rsid w:val="00F918FA"/>
    <w:rsid w:val="00F92D03"/>
    <w:rsid w:val="00FA6B21"/>
    <w:rsid w:val="00FB3542"/>
    <w:rsid w:val="00FC6B4B"/>
    <w:rsid w:val="00FD776B"/>
    <w:rsid w:val="00FE5241"/>
    <w:rsid w:val="00FF6988"/>
    <w:rsid w:val="0A3D15E6"/>
    <w:rsid w:val="26E6127E"/>
    <w:rsid w:val="2D2A35A3"/>
    <w:rsid w:val="32DD7AD3"/>
    <w:rsid w:val="7FB55720"/>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nhideWhenUsed="0" w:uiPriority="0" w:semiHidden="0"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qFormat="1" w:uiPriority="99" w:semiHidden="0" w:name="HTML Cite"/>
    <w:lsdException w:qFormat="1" w:uiPriority="99" w:semiHidden="0" w:name="HTML Code"/>
    <w:lsdException w:qFormat="1" w:uiPriority="99" w:semiHidden="0" w:name="HTML Definition"/>
    <w:lsdException w:qFormat="1" w:uiPriority="99" w:semiHidden="0" w:name="HTML Keyboard"/>
    <w:lsdException w:uiPriority="99" w:name="HTML Preformatted"/>
    <w:lsdException w:qFormat="1" w:uiPriority="99" w:semiHidden="0" w:name="HTML Sample"/>
    <w:lsdException w:uiPriority="99" w:name="HTML Typewriter"/>
    <w:lsdException w:qFormat="1" w:uiPriority="99" w:semiHidden="0"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5"/>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28"/>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character" w:default="1" w:styleId="11">
    <w:name w:val="Default Paragraph Font"/>
    <w:unhideWhenUsed/>
    <w:uiPriority w:val="1"/>
  </w:style>
  <w:style w:type="table" w:default="1" w:styleId="24">
    <w:name w:val="Normal Table"/>
    <w:unhideWhenUsed/>
    <w:qFormat/>
    <w:uiPriority w:val="99"/>
    <w:tblPr>
      <w:tblLayout w:type="fixed"/>
      <w:tblCellMar>
        <w:top w:w="0" w:type="dxa"/>
        <w:left w:w="108" w:type="dxa"/>
        <w:bottom w:w="0" w:type="dxa"/>
        <w:right w:w="108" w:type="dxa"/>
      </w:tblCellMar>
    </w:tblPr>
  </w:style>
  <w:style w:type="paragraph" w:styleId="4">
    <w:name w:val="annotation subject"/>
    <w:basedOn w:val="5"/>
    <w:next w:val="5"/>
    <w:link w:val="36"/>
    <w:unhideWhenUsed/>
    <w:qFormat/>
    <w:uiPriority w:val="99"/>
    <w:rPr>
      <w:b/>
      <w:bCs/>
    </w:rPr>
  </w:style>
  <w:style w:type="paragraph" w:styleId="5">
    <w:name w:val="annotation text"/>
    <w:basedOn w:val="1"/>
    <w:link w:val="35"/>
    <w:unhideWhenUsed/>
    <w:qFormat/>
    <w:uiPriority w:val="99"/>
    <w:pPr>
      <w:jc w:val="left"/>
    </w:pPr>
  </w:style>
  <w:style w:type="paragraph" w:styleId="6">
    <w:name w:val="Body Text"/>
    <w:basedOn w:val="1"/>
    <w:link w:val="30"/>
    <w:qFormat/>
    <w:uiPriority w:val="0"/>
    <w:pPr>
      <w:spacing w:after="120"/>
    </w:pPr>
  </w:style>
  <w:style w:type="paragraph" w:styleId="7">
    <w:name w:val="Balloon Text"/>
    <w:basedOn w:val="1"/>
    <w:link w:val="37"/>
    <w:unhideWhenUsed/>
    <w:qFormat/>
    <w:uiPriority w:val="99"/>
    <w:rPr>
      <w:sz w:val="18"/>
      <w:szCs w:val="18"/>
    </w:rPr>
  </w:style>
  <w:style w:type="paragraph" w:styleId="8">
    <w:name w:val="footer"/>
    <w:basedOn w:val="1"/>
    <w:link w:val="34"/>
    <w:unhideWhenUsed/>
    <w:qFormat/>
    <w:uiPriority w:val="99"/>
    <w:pPr>
      <w:tabs>
        <w:tab w:val="center" w:pos="4153"/>
        <w:tab w:val="right" w:pos="8306"/>
      </w:tabs>
      <w:snapToGrid w:val="0"/>
      <w:jc w:val="left"/>
    </w:pPr>
    <w:rPr>
      <w:sz w:val="18"/>
      <w:szCs w:val="18"/>
    </w:rPr>
  </w:style>
  <w:style w:type="paragraph" w:styleId="9">
    <w:name w:val="header"/>
    <w:basedOn w:val="1"/>
    <w:link w:val="33"/>
    <w:unhideWhenUsed/>
    <w:qFormat/>
    <w:uiPriority w:val="99"/>
    <w:pPr>
      <w:pBdr>
        <w:bottom w:val="single" w:color="auto" w:sz="6" w:space="1"/>
      </w:pBdr>
      <w:tabs>
        <w:tab w:val="center" w:pos="4153"/>
        <w:tab w:val="right" w:pos="8306"/>
      </w:tabs>
      <w:snapToGrid w:val="0"/>
      <w:jc w:val="center"/>
    </w:pPr>
    <w:rPr>
      <w:sz w:val="18"/>
      <w:szCs w:val="18"/>
    </w:rPr>
  </w:style>
  <w:style w:type="paragraph" w:styleId="10">
    <w:name w:val="footnote text"/>
    <w:basedOn w:val="1"/>
    <w:link w:val="27"/>
    <w:qFormat/>
    <w:uiPriority w:val="0"/>
    <w:pPr>
      <w:snapToGrid w:val="0"/>
      <w:jc w:val="left"/>
    </w:pPr>
    <w:rPr>
      <w:sz w:val="18"/>
      <w:szCs w:val="18"/>
    </w:rPr>
  </w:style>
  <w:style w:type="character" w:styleId="12">
    <w:name w:val="Strong"/>
    <w:basedOn w:val="11"/>
    <w:qFormat/>
    <w:uiPriority w:val="22"/>
    <w:rPr>
      <w:b/>
    </w:rPr>
  </w:style>
  <w:style w:type="character" w:styleId="13">
    <w:name w:val="FollowedHyperlink"/>
    <w:basedOn w:val="11"/>
    <w:unhideWhenUsed/>
    <w:qFormat/>
    <w:uiPriority w:val="99"/>
    <w:rPr>
      <w:color w:val="338DE6"/>
      <w:u w:val="none"/>
    </w:rPr>
  </w:style>
  <w:style w:type="character" w:styleId="14">
    <w:name w:val="Emphasis"/>
    <w:basedOn w:val="11"/>
    <w:qFormat/>
    <w:uiPriority w:val="20"/>
  </w:style>
  <w:style w:type="character" w:styleId="15">
    <w:name w:val="HTML Definition"/>
    <w:basedOn w:val="11"/>
    <w:unhideWhenUsed/>
    <w:qFormat/>
    <w:uiPriority w:val="99"/>
  </w:style>
  <w:style w:type="character" w:styleId="16">
    <w:name w:val="HTML Variable"/>
    <w:basedOn w:val="11"/>
    <w:unhideWhenUsed/>
    <w:qFormat/>
    <w:uiPriority w:val="99"/>
  </w:style>
  <w:style w:type="character" w:styleId="17">
    <w:name w:val="Hyperlink"/>
    <w:basedOn w:val="11"/>
    <w:unhideWhenUsed/>
    <w:qFormat/>
    <w:uiPriority w:val="99"/>
    <w:rPr>
      <w:color w:val="338DE6"/>
      <w:u w:val="none"/>
    </w:rPr>
  </w:style>
  <w:style w:type="character" w:styleId="18">
    <w:name w:val="HTML Code"/>
    <w:basedOn w:val="11"/>
    <w:unhideWhenUsed/>
    <w:qFormat/>
    <w:uiPriority w:val="99"/>
    <w:rPr>
      <w:rFonts w:hint="default" w:ascii="monospace" w:hAnsi="monospace" w:eastAsia="monospace" w:cs="monospace"/>
      <w:sz w:val="21"/>
      <w:szCs w:val="21"/>
    </w:rPr>
  </w:style>
  <w:style w:type="character" w:styleId="19">
    <w:name w:val="annotation reference"/>
    <w:basedOn w:val="11"/>
    <w:unhideWhenUsed/>
    <w:qFormat/>
    <w:uiPriority w:val="99"/>
    <w:rPr>
      <w:sz w:val="21"/>
      <w:szCs w:val="21"/>
    </w:rPr>
  </w:style>
  <w:style w:type="character" w:styleId="20">
    <w:name w:val="HTML Cite"/>
    <w:basedOn w:val="11"/>
    <w:unhideWhenUsed/>
    <w:qFormat/>
    <w:uiPriority w:val="99"/>
  </w:style>
  <w:style w:type="character" w:styleId="21">
    <w:name w:val="footnote reference"/>
    <w:qFormat/>
    <w:uiPriority w:val="0"/>
    <w:rPr>
      <w:vertAlign w:val="superscript"/>
    </w:rPr>
  </w:style>
  <w:style w:type="character" w:styleId="22">
    <w:name w:val="HTML Keyboard"/>
    <w:basedOn w:val="11"/>
    <w:unhideWhenUsed/>
    <w:qFormat/>
    <w:uiPriority w:val="99"/>
    <w:rPr>
      <w:rFonts w:hint="default" w:ascii="monospace" w:hAnsi="monospace" w:eastAsia="monospace" w:cs="monospace"/>
      <w:sz w:val="21"/>
      <w:szCs w:val="21"/>
    </w:rPr>
  </w:style>
  <w:style w:type="character" w:styleId="23">
    <w:name w:val="HTML Sample"/>
    <w:basedOn w:val="11"/>
    <w:unhideWhenUsed/>
    <w:qFormat/>
    <w:uiPriority w:val="99"/>
    <w:rPr>
      <w:rFonts w:ascii="monospace" w:hAnsi="monospace" w:eastAsia="monospace" w:cs="monospace"/>
      <w:sz w:val="21"/>
      <w:szCs w:val="21"/>
    </w:rPr>
  </w:style>
  <w:style w:type="character" w:customStyle="1" w:styleId="25">
    <w:name w:val="标题 1 Char"/>
    <w:basedOn w:val="11"/>
    <w:link w:val="2"/>
    <w:qFormat/>
    <w:uiPriority w:val="0"/>
    <w:rPr>
      <w:rFonts w:ascii="Times New Roman" w:hAnsi="Times New Roman" w:eastAsia="宋体" w:cs="Times New Roman"/>
      <w:b/>
      <w:bCs/>
      <w:kern w:val="44"/>
      <w:sz w:val="44"/>
      <w:szCs w:val="44"/>
    </w:rPr>
  </w:style>
  <w:style w:type="paragraph" w:customStyle="1" w:styleId="26">
    <w:name w:val="样式 标题 2 + Times New Roman 四号 非加粗 段前: 5 磅 段后: 0 磅 行距: 固定值 20..."/>
    <w:basedOn w:val="3"/>
    <w:qFormat/>
    <w:uiPriority w:val="0"/>
    <w:pPr>
      <w:spacing w:before="100" w:after="0" w:line="400" w:lineRule="exact"/>
    </w:pPr>
    <w:rPr>
      <w:rFonts w:ascii="Times New Roman" w:hAnsi="Times New Roman" w:eastAsia="黑体" w:cs="宋体"/>
      <w:b w:val="0"/>
      <w:bCs w:val="0"/>
      <w:sz w:val="28"/>
      <w:szCs w:val="20"/>
    </w:rPr>
  </w:style>
  <w:style w:type="character" w:customStyle="1" w:styleId="27">
    <w:name w:val="脚注文本 Char"/>
    <w:basedOn w:val="11"/>
    <w:link w:val="10"/>
    <w:qFormat/>
    <w:uiPriority w:val="0"/>
    <w:rPr>
      <w:rFonts w:ascii="Times New Roman" w:hAnsi="Times New Roman" w:eastAsia="宋体" w:cs="Times New Roman"/>
      <w:sz w:val="18"/>
      <w:szCs w:val="18"/>
    </w:rPr>
  </w:style>
  <w:style w:type="character" w:customStyle="1" w:styleId="28">
    <w:name w:val="标题 2 Char"/>
    <w:basedOn w:val="11"/>
    <w:link w:val="3"/>
    <w:semiHidden/>
    <w:qFormat/>
    <w:uiPriority w:val="9"/>
    <w:rPr>
      <w:rFonts w:asciiTheme="majorHAnsi" w:hAnsiTheme="majorHAnsi" w:eastAsiaTheme="majorEastAsia" w:cstheme="majorBidi"/>
      <w:b/>
      <w:bCs/>
      <w:sz w:val="32"/>
      <w:szCs w:val="32"/>
    </w:rPr>
  </w:style>
  <w:style w:type="paragraph" w:customStyle="1" w:styleId="29">
    <w:name w:val="普通 (Web)"/>
    <w:qFormat/>
    <w:uiPriority w:val="0"/>
    <w:pPr>
      <w:spacing w:before="100" w:after="100"/>
    </w:pPr>
    <w:rPr>
      <w:rFonts w:ascii="宋体" w:hAnsi="Times New Roman" w:eastAsia="宋体" w:cs="Times New Roman"/>
      <w:kern w:val="0"/>
      <w:sz w:val="24"/>
      <w:szCs w:val="20"/>
      <w:lang w:val="en-US" w:eastAsia="zh-CN" w:bidi="ar-SA"/>
    </w:rPr>
  </w:style>
  <w:style w:type="character" w:customStyle="1" w:styleId="30">
    <w:name w:val="正文文本 Char"/>
    <w:basedOn w:val="11"/>
    <w:link w:val="6"/>
    <w:qFormat/>
    <w:uiPriority w:val="0"/>
    <w:rPr>
      <w:rFonts w:ascii="Times New Roman" w:hAnsi="Times New Roman" w:eastAsia="宋体" w:cs="Times New Roman"/>
      <w:szCs w:val="24"/>
    </w:rPr>
  </w:style>
  <w:style w:type="paragraph" w:customStyle="1" w:styleId="31">
    <w:name w:val="List Paragraph"/>
    <w:qFormat/>
    <w:uiPriority w:val="0"/>
    <w:pPr>
      <w:widowControl w:val="0"/>
      <w:ind w:firstLine="200" w:firstLineChars="200"/>
      <w:jc w:val="both"/>
    </w:pPr>
    <w:rPr>
      <w:rFonts w:ascii="Calibri" w:hAnsi="Calibri" w:eastAsia="宋体" w:cs="Times New Roman"/>
      <w:kern w:val="2"/>
      <w:sz w:val="21"/>
      <w:szCs w:val="22"/>
      <w:lang w:val="en-US" w:eastAsia="zh-CN" w:bidi="ar-SA"/>
    </w:rPr>
  </w:style>
  <w:style w:type="paragraph" w:customStyle="1" w:styleId="32">
    <w:name w:val="样式"/>
    <w:qFormat/>
    <w:uiPriority w:val="0"/>
    <w:pPr>
      <w:widowControl w:val="0"/>
      <w:adjustRightInd w:val="0"/>
      <w:spacing w:line="360" w:lineRule="auto"/>
      <w:ind w:firstLine="482"/>
      <w:jc w:val="both"/>
      <w:textAlignment w:val="baseline"/>
    </w:pPr>
    <w:rPr>
      <w:rFonts w:ascii="Times New Roman" w:hAnsi="Times New Roman" w:eastAsia="宋体" w:cs="Times New Roman"/>
      <w:kern w:val="0"/>
      <w:sz w:val="24"/>
      <w:szCs w:val="20"/>
      <w:lang w:val="en-US" w:eastAsia="zh-CN" w:bidi="ar-SA"/>
    </w:rPr>
  </w:style>
  <w:style w:type="character" w:customStyle="1" w:styleId="33">
    <w:name w:val="页眉 Char"/>
    <w:basedOn w:val="11"/>
    <w:link w:val="9"/>
    <w:qFormat/>
    <w:uiPriority w:val="99"/>
    <w:rPr>
      <w:rFonts w:ascii="Times New Roman" w:hAnsi="Times New Roman" w:eastAsia="宋体" w:cs="Times New Roman"/>
      <w:sz w:val="18"/>
      <w:szCs w:val="18"/>
    </w:rPr>
  </w:style>
  <w:style w:type="character" w:customStyle="1" w:styleId="34">
    <w:name w:val="页脚 Char"/>
    <w:basedOn w:val="11"/>
    <w:link w:val="8"/>
    <w:qFormat/>
    <w:uiPriority w:val="99"/>
    <w:rPr>
      <w:rFonts w:ascii="Times New Roman" w:hAnsi="Times New Roman" w:eastAsia="宋体" w:cs="Times New Roman"/>
      <w:sz w:val="18"/>
      <w:szCs w:val="18"/>
    </w:rPr>
  </w:style>
  <w:style w:type="character" w:customStyle="1" w:styleId="35">
    <w:name w:val="批注文字 Char"/>
    <w:basedOn w:val="11"/>
    <w:link w:val="5"/>
    <w:semiHidden/>
    <w:qFormat/>
    <w:uiPriority w:val="99"/>
    <w:rPr>
      <w:rFonts w:ascii="Times New Roman" w:hAnsi="Times New Roman" w:eastAsia="宋体" w:cs="Times New Roman"/>
      <w:szCs w:val="24"/>
    </w:rPr>
  </w:style>
  <w:style w:type="character" w:customStyle="1" w:styleId="36">
    <w:name w:val="批注主题 Char"/>
    <w:basedOn w:val="35"/>
    <w:link w:val="4"/>
    <w:semiHidden/>
    <w:qFormat/>
    <w:uiPriority w:val="99"/>
    <w:rPr>
      <w:rFonts w:ascii="Times New Roman" w:hAnsi="Times New Roman" w:eastAsia="宋体" w:cs="Times New Roman"/>
      <w:b/>
      <w:bCs/>
      <w:szCs w:val="24"/>
    </w:rPr>
  </w:style>
  <w:style w:type="character" w:customStyle="1" w:styleId="37">
    <w:name w:val="批注框文本 Char"/>
    <w:basedOn w:val="11"/>
    <w:link w:val="7"/>
    <w:semiHidden/>
    <w:qFormat/>
    <w:uiPriority w:val="99"/>
    <w:rPr>
      <w:rFonts w:ascii="Times New Roman" w:hAnsi="Times New Roman" w:eastAsia="宋体" w:cs="Times New Roman"/>
      <w:sz w:val="18"/>
      <w:szCs w:val="18"/>
    </w:rPr>
  </w:style>
  <w:style w:type="paragraph" w:customStyle="1" w:styleId="38">
    <w:name w:val="Revision"/>
    <w:hidden/>
    <w:semiHidden/>
    <w:qFormat/>
    <w:uiPriority w:val="99"/>
    <w:rPr>
      <w:rFonts w:ascii="Times New Roman" w:hAnsi="Times New Roman" w:eastAsia="宋体" w:cs="Times New Roman"/>
      <w:kern w:val="2"/>
      <w:sz w:val="21"/>
      <w:szCs w:val="24"/>
      <w:lang w:val="en-US" w:eastAsia="zh-CN" w:bidi="ar-SA"/>
    </w:rPr>
  </w:style>
  <w:style w:type="character" w:customStyle="1" w:styleId="39">
    <w:name w:val="fontstrikethrough"/>
    <w:basedOn w:val="11"/>
    <w:qFormat/>
    <w:uiPriority w:val="0"/>
    <w:rPr>
      <w:strike/>
    </w:rPr>
  </w:style>
  <w:style w:type="character" w:customStyle="1" w:styleId="40">
    <w:name w:val="fontborder"/>
    <w:basedOn w:val="11"/>
    <w:qFormat/>
    <w:uiPriority w:val="0"/>
    <w:rPr>
      <w:bdr w:val="single" w:color="000000" w:sz="6" w:space="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C737065-9F8F-45B5-AB64-230F4ADBF287}">
  <ds:schemaRefs/>
</ds:datastoreItem>
</file>

<file path=docProps/app.xml><?xml version="1.0" encoding="utf-8"?>
<Properties xmlns="http://schemas.openxmlformats.org/officeDocument/2006/extended-properties" xmlns:vt="http://schemas.openxmlformats.org/officeDocument/2006/docPropsVTypes">
  <Template>Normal</Template>
  <Pages>6</Pages>
  <Words>288</Words>
  <Characters>1648</Characters>
  <Lines>13</Lines>
  <Paragraphs>3</Paragraphs>
  <ScaleCrop>false</ScaleCrop>
  <LinksUpToDate>false</LinksUpToDate>
  <CharactersWithSpaces>1933</CharactersWithSpaces>
  <Application>WPS Office_10.8.0.6018_F1E327BC-269C-435d-A152-05C5408002CA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2014-08-17T09:15:00Z</dcterms:created>
  <dc:creator>qzy3472</dc:creator>
  <cp:lastModifiedBy>Administrator</cp:lastModifiedBy>
  <dcterms:modified xsi:type="dcterms:W3CDTF">2017-09-06T05:00:57Z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2052-10.8.0.6018</vt:lpwstr>
  </property>
</Properties>
</file>