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Lines="100" w:afterLines="100" w:line="360" w:lineRule="auto"/>
        <w:ind w:left="2246" w:leftChars="-5" w:hanging="2256" w:hangingChars="1070"/>
        <w:rPr>
          <w:b/>
          <w:szCs w:val="21"/>
        </w:rPr>
      </w:pPr>
      <w:r>
        <w:rPr>
          <w:rFonts w:hint="eastAsia"/>
          <w:b/>
          <w:szCs w:val="21"/>
        </w:rPr>
        <w:t>一、货物需求一览表</w:t>
      </w:r>
    </w:p>
    <w:tbl>
      <w:tblPr>
        <w:tblStyle w:val="18"/>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276"/>
        <w:gridCol w:w="709"/>
        <w:gridCol w:w="850"/>
        <w:gridCol w:w="1701"/>
        <w:gridCol w:w="1134"/>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全数字控制等离子切割机</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60PF3</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1</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自合同签订之日起1个月内交货</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设备维修三厂</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p>
        </w:tc>
        <w:tc>
          <w:tcPr>
            <w:tcW w:w="1701" w:type="dxa"/>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134" w:type="dxa"/>
            <w:tcBorders>
              <w:top w:val="single" w:color="auto" w:sz="4" w:space="0"/>
              <w:left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Lines="100" w:line="360" w:lineRule="auto"/>
        <w:jc w:val="center"/>
        <w:rPr>
          <w:b/>
          <w:szCs w:val="21"/>
        </w:rPr>
      </w:pPr>
      <w:r>
        <w:rPr>
          <w:rFonts w:hint="eastAsia"/>
          <w:b/>
          <w:szCs w:val="21"/>
        </w:rPr>
        <w:t>分项报价表</w:t>
      </w:r>
    </w:p>
    <w:tbl>
      <w:tblPr>
        <w:tblStyle w:val="18"/>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247"/>
        <w:gridCol w:w="1451"/>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247"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451"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ascii="宋体"/>
                <w:szCs w:val="21"/>
              </w:rPr>
            </w:pPr>
            <w:r>
              <w:rPr>
                <w:rFonts w:hint="eastAsia" w:ascii="宋体"/>
                <w:szCs w:val="21"/>
              </w:rPr>
              <w:t>1</w:t>
            </w:r>
          </w:p>
        </w:tc>
        <w:tc>
          <w:tcPr>
            <w:tcW w:w="2099" w:type="dxa"/>
          </w:tcPr>
          <w:p>
            <w:pPr>
              <w:spacing w:line="400" w:lineRule="exact"/>
              <w:jc w:val="center"/>
              <w:rPr>
                <w:rFonts w:ascii="宋体"/>
                <w:b/>
                <w:color w:val="FF0000"/>
                <w:szCs w:val="21"/>
              </w:rPr>
            </w:pPr>
            <w:r>
              <w:rPr>
                <w:rFonts w:hint="eastAsia" w:ascii="宋体" w:hAnsi="宋体"/>
                <w:szCs w:val="21"/>
              </w:rPr>
              <w:t>全数字控制等离子切割机</w:t>
            </w:r>
          </w:p>
        </w:tc>
        <w:tc>
          <w:tcPr>
            <w:tcW w:w="900" w:type="dxa"/>
            <w:vAlign w:val="center"/>
          </w:tcPr>
          <w:p>
            <w:pPr>
              <w:spacing w:line="400" w:lineRule="exact"/>
              <w:jc w:val="center"/>
              <w:rPr>
                <w:rFonts w:ascii="宋体"/>
                <w:b/>
                <w:szCs w:val="21"/>
              </w:rPr>
            </w:pPr>
            <w:r>
              <w:rPr>
                <w:rFonts w:hint="eastAsia" w:ascii="宋体"/>
                <w:szCs w:val="21"/>
              </w:rPr>
              <w:t>台</w:t>
            </w:r>
          </w:p>
        </w:tc>
        <w:tc>
          <w:tcPr>
            <w:tcW w:w="1247" w:type="dxa"/>
            <w:vAlign w:val="center"/>
          </w:tcPr>
          <w:p>
            <w:pPr>
              <w:widowControl/>
              <w:jc w:val="center"/>
              <w:rPr>
                <w:rFonts w:ascii="宋体" w:cs="宋体"/>
                <w:kern w:val="0"/>
                <w:szCs w:val="21"/>
              </w:rPr>
            </w:pPr>
            <w:r>
              <w:rPr>
                <w:rFonts w:hint="eastAsia" w:ascii="宋体" w:cs="宋体"/>
                <w:kern w:val="0"/>
                <w:szCs w:val="21"/>
              </w:rPr>
              <w:t>1</w:t>
            </w:r>
          </w:p>
        </w:tc>
        <w:tc>
          <w:tcPr>
            <w:tcW w:w="1451"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ascii="宋体"/>
                <w:szCs w:val="21"/>
              </w:rPr>
            </w:pPr>
          </w:p>
        </w:tc>
        <w:tc>
          <w:tcPr>
            <w:tcW w:w="2099" w:type="dxa"/>
          </w:tcPr>
          <w:p>
            <w:pPr>
              <w:spacing w:line="400" w:lineRule="exact"/>
              <w:jc w:val="center"/>
              <w:rPr>
                <w:rFonts w:ascii="宋体" w:hAnsi="宋体"/>
                <w:szCs w:val="21"/>
              </w:rPr>
            </w:pPr>
            <w:r>
              <w:rPr>
                <w:rFonts w:hint="eastAsia" w:ascii="宋体"/>
                <w:szCs w:val="21"/>
              </w:rPr>
              <w:t>每台包括：</w:t>
            </w:r>
          </w:p>
        </w:tc>
        <w:tc>
          <w:tcPr>
            <w:tcW w:w="900" w:type="dxa"/>
            <w:vAlign w:val="center"/>
          </w:tcPr>
          <w:p>
            <w:pPr>
              <w:spacing w:line="400" w:lineRule="exact"/>
              <w:jc w:val="center"/>
              <w:rPr>
                <w:rFonts w:ascii="宋体"/>
                <w:szCs w:val="21"/>
              </w:rPr>
            </w:pPr>
          </w:p>
        </w:tc>
        <w:tc>
          <w:tcPr>
            <w:tcW w:w="1247" w:type="dxa"/>
            <w:vAlign w:val="center"/>
          </w:tcPr>
          <w:p>
            <w:pPr>
              <w:widowControl/>
              <w:jc w:val="center"/>
              <w:rPr>
                <w:rFonts w:ascii="宋体" w:cs="宋体"/>
                <w:kern w:val="0"/>
                <w:szCs w:val="21"/>
              </w:rPr>
            </w:pPr>
          </w:p>
        </w:tc>
        <w:tc>
          <w:tcPr>
            <w:tcW w:w="1451"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ascii="宋体"/>
                <w:szCs w:val="21"/>
              </w:rPr>
            </w:pPr>
            <w:r>
              <w:rPr>
                <w:rFonts w:hint="eastAsia" w:ascii="宋体"/>
                <w:szCs w:val="21"/>
              </w:rPr>
              <w:t>1.1</w:t>
            </w:r>
          </w:p>
        </w:tc>
        <w:tc>
          <w:tcPr>
            <w:tcW w:w="2099" w:type="dxa"/>
          </w:tcPr>
          <w:p>
            <w:pPr>
              <w:spacing w:line="400" w:lineRule="exact"/>
              <w:jc w:val="center"/>
              <w:rPr>
                <w:rFonts w:ascii="宋体"/>
                <w:szCs w:val="21"/>
              </w:rPr>
            </w:pPr>
            <w:r>
              <w:rPr>
                <w:rFonts w:hint="eastAsia" w:ascii="宋体" w:hAnsi="宋体"/>
                <w:szCs w:val="21"/>
              </w:rPr>
              <w:t>等离子切割机电源</w:t>
            </w:r>
          </w:p>
        </w:tc>
        <w:tc>
          <w:tcPr>
            <w:tcW w:w="900" w:type="dxa"/>
            <w:vAlign w:val="center"/>
          </w:tcPr>
          <w:p>
            <w:pPr>
              <w:spacing w:line="400" w:lineRule="exact"/>
              <w:jc w:val="center"/>
              <w:rPr>
                <w:rFonts w:ascii="宋体"/>
                <w:szCs w:val="21"/>
              </w:rPr>
            </w:pPr>
            <w:r>
              <w:rPr>
                <w:rFonts w:hint="eastAsia" w:ascii="宋体"/>
                <w:szCs w:val="21"/>
              </w:rPr>
              <w:t>台</w:t>
            </w:r>
          </w:p>
        </w:tc>
        <w:tc>
          <w:tcPr>
            <w:tcW w:w="1247" w:type="dxa"/>
            <w:vAlign w:val="center"/>
          </w:tcPr>
          <w:p>
            <w:pPr>
              <w:widowControl/>
              <w:jc w:val="center"/>
              <w:rPr>
                <w:rFonts w:ascii="宋体" w:cs="宋体"/>
                <w:kern w:val="0"/>
                <w:szCs w:val="21"/>
              </w:rPr>
            </w:pPr>
            <w:r>
              <w:rPr>
                <w:rFonts w:hint="eastAsia" w:ascii="宋体" w:cs="宋体"/>
                <w:kern w:val="0"/>
                <w:szCs w:val="21"/>
              </w:rPr>
              <w:t>1</w:t>
            </w:r>
          </w:p>
        </w:tc>
        <w:tc>
          <w:tcPr>
            <w:tcW w:w="1451"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ascii="宋体"/>
                <w:szCs w:val="21"/>
              </w:rPr>
            </w:pPr>
            <w:r>
              <w:rPr>
                <w:rFonts w:hint="eastAsia" w:ascii="宋体"/>
                <w:szCs w:val="21"/>
              </w:rPr>
              <w:t>1.2</w:t>
            </w:r>
          </w:p>
        </w:tc>
        <w:tc>
          <w:tcPr>
            <w:tcW w:w="2099" w:type="dxa"/>
          </w:tcPr>
          <w:p>
            <w:pPr>
              <w:spacing w:line="400" w:lineRule="exact"/>
              <w:jc w:val="center"/>
              <w:rPr>
                <w:rFonts w:ascii="宋体" w:hAnsi="宋体"/>
                <w:szCs w:val="21"/>
              </w:rPr>
            </w:pPr>
            <w:r>
              <w:rPr>
                <w:rFonts w:hint="eastAsia" w:ascii="宋体" w:hAnsi="宋体"/>
                <w:szCs w:val="21"/>
              </w:rPr>
              <w:t>切割炬</w:t>
            </w:r>
          </w:p>
        </w:tc>
        <w:tc>
          <w:tcPr>
            <w:tcW w:w="900" w:type="dxa"/>
            <w:vAlign w:val="center"/>
          </w:tcPr>
          <w:p>
            <w:pPr>
              <w:spacing w:line="400" w:lineRule="exact"/>
              <w:jc w:val="center"/>
              <w:rPr>
                <w:rFonts w:ascii="宋体"/>
                <w:szCs w:val="21"/>
              </w:rPr>
            </w:pPr>
            <w:r>
              <w:rPr>
                <w:rFonts w:hint="eastAsia" w:ascii="宋体"/>
                <w:szCs w:val="21"/>
              </w:rPr>
              <w:t>把</w:t>
            </w:r>
          </w:p>
        </w:tc>
        <w:tc>
          <w:tcPr>
            <w:tcW w:w="1247" w:type="dxa"/>
            <w:vAlign w:val="center"/>
          </w:tcPr>
          <w:p>
            <w:pPr>
              <w:widowControl/>
              <w:jc w:val="center"/>
              <w:rPr>
                <w:rFonts w:ascii="宋体" w:cs="宋体"/>
                <w:kern w:val="0"/>
                <w:szCs w:val="21"/>
              </w:rPr>
            </w:pPr>
            <w:r>
              <w:rPr>
                <w:rFonts w:hint="eastAsia" w:ascii="宋体" w:cs="宋体"/>
                <w:kern w:val="0"/>
                <w:szCs w:val="21"/>
              </w:rPr>
              <w:t>1</w:t>
            </w:r>
          </w:p>
        </w:tc>
        <w:tc>
          <w:tcPr>
            <w:tcW w:w="1451"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Lines="100"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使用环境：</w:t>
      </w:r>
      <w:r>
        <w:rPr>
          <w:rFonts w:hint="eastAsia" w:ascii="宋体" w:hAnsi="宋体"/>
          <w:szCs w:val="21"/>
          <w:u w:val="single"/>
        </w:rPr>
        <w:t xml:space="preserve">室内 </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+40℃</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-30℃</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+15℃</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95％</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7级</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≤1400m</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供给电源：</w:t>
      </w:r>
      <w:r>
        <w:rPr>
          <w:rFonts w:hint="eastAsia" w:ascii="宋体" w:hAnsi="宋体"/>
          <w:szCs w:val="21"/>
          <w:u w:val="single"/>
        </w:rPr>
        <w:t>三相五线制交流电源，380V±10%，50HZ±2%</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污秽等级：</w:t>
      </w:r>
      <w:r>
        <w:rPr>
          <w:rFonts w:hint="eastAsia" w:ascii="宋体" w:hAnsi="宋体"/>
          <w:szCs w:val="21"/>
          <w:u w:val="single"/>
        </w:rPr>
        <w:t>适用于Ⅳ类</w:t>
      </w:r>
    </w:p>
    <w:p>
      <w:pPr>
        <w:adjustRightInd w:val="0"/>
        <w:snapToGrid w:val="0"/>
        <w:spacing w:line="360" w:lineRule="auto"/>
        <w:rPr>
          <w:rFonts w:ascii="宋体" w:hAnsi="宋体"/>
          <w:szCs w:val="21"/>
          <w:u w:val="single"/>
        </w:rPr>
      </w:pPr>
      <w:r>
        <w:rPr>
          <w:rFonts w:hint="eastAsia" w:ascii="宋体" w:hAnsi="宋体"/>
          <w:szCs w:val="21"/>
        </w:rPr>
        <w:t>2</w:t>
      </w:r>
      <w:r>
        <w:rPr>
          <w:rFonts w:ascii="宋体" w:hAnsi="宋体"/>
          <w:szCs w:val="21"/>
        </w:rPr>
        <w:t>.</w:t>
      </w:r>
      <w:r>
        <w:rPr>
          <w:rFonts w:hint="eastAsia" w:ascii="宋体" w:hAnsi="宋体"/>
          <w:szCs w:val="21"/>
        </w:rPr>
        <w:t xml:space="preserve"> 使用条件：</w:t>
      </w:r>
    </w:p>
    <w:p>
      <w:pPr>
        <w:adjustRightInd w:val="0"/>
        <w:snapToGrid w:val="0"/>
        <w:spacing w:line="360" w:lineRule="auto"/>
        <w:ind w:left="707" w:leftChars="135" w:hanging="424" w:hangingChars="202"/>
        <w:rPr>
          <w:rFonts w:hint="eastAsia" w:ascii="宋体" w:hAnsi="宋体"/>
          <w:szCs w:val="21"/>
          <w:u w:val="single"/>
        </w:rPr>
      </w:pPr>
      <w:r>
        <w:rPr>
          <w:rFonts w:hint="eastAsia" w:ascii="宋体" w:hAnsi="宋体"/>
          <w:szCs w:val="21"/>
        </w:rPr>
        <w:t>（</w:t>
      </w:r>
      <w:r>
        <w:rPr>
          <w:rFonts w:ascii="宋体" w:hAnsi="宋体"/>
          <w:szCs w:val="21"/>
        </w:rPr>
        <w:t>1</w:t>
      </w:r>
      <w:r>
        <w:rPr>
          <w:rFonts w:hint="eastAsia" w:ascii="宋体" w:hAnsi="宋体"/>
          <w:szCs w:val="21"/>
        </w:rPr>
        <w:t>）其他供给源：</w:t>
      </w:r>
      <w:r>
        <w:rPr>
          <w:rFonts w:hint="eastAsia" w:ascii="宋体" w:hAnsi="宋体"/>
          <w:szCs w:val="21"/>
          <w:u w:val="single"/>
        </w:rPr>
        <w:t>空压机</w:t>
      </w:r>
      <w:r>
        <w:rPr>
          <w:rFonts w:ascii="宋体" w:hAnsi="宋体"/>
          <w:szCs w:val="21"/>
          <w:u w:val="single"/>
        </w:rPr>
        <w:t xml:space="preserve">1.5kW </w:t>
      </w:r>
      <w:r>
        <w:rPr>
          <w:rFonts w:hint="eastAsia" w:ascii="宋体" w:hAnsi="宋体"/>
          <w:szCs w:val="21"/>
          <w:u w:val="single"/>
        </w:rPr>
        <w:t>以上、最低压力在</w:t>
      </w:r>
      <w:r>
        <w:rPr>
          <w:rFonts w:ascii="宋体" w:hAnsi="宋体"/>
          <w:szCs w:val="21"/>
          <w:u w:val="single"/>
        </w:rPr>
        <w:t>0.</w:t>
      </w:r>
      <w:r>
        <w:rPr>
          <w:rFonts w:hint="eastAsia" w:ascii="宋体" w:hAnsi="宋体"/>
          <w:szCs w:val="21"/>
          <w:u w:val="single"/>
        </w:rPr>
        <w:t>5</w:t>
      </w:r>
      <w:r>
        <w:rPr>
          <w:rFonts w:ascii="宋体" w:hAnsi="宋体"/>
          <w:szCs w:val="21"/>
          <w:u w:val="single"/>
        </w:rPr>
        <w:t xml:space="preserve">MPa </w:t>
      </w:r>
      <w:r>
        <w:rPr>
          <w:rFonts w:hint="eastAsia" w:ascii="宋体" w:hAnsi="宋体"/>
          <w:szCs w:val="21"/>
          <w:u w:val="single"/>
        </w:rPr>
        <w:t>以上</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（2）电源设备容量：</w:t>
      </w:r>
      <w:r>
        <w:rPr>
          <w:rFonts w:hint="eastAsia" w:ascii="宋体" w:hAnsi="宋体"/>
          <w:szCs w:val="21"/>
          <w:u w:val="single"/>
        </w:rPr>
        <w:t>一般电源：15KVA以上；发电设备：11.32KVA的2倍以上</w:t>
      </w:r>
    </w:p>
    <w:p>
      <w:pPr>
        <w:adjustRightInd w:val="0"/>
        <w:snapToGrid w:val="0"/>
        <w:spacing w:beforeLines="100"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1.技术</w:t>
      </w:r>
      <w:r>
        <w:rPr>
          <w:rFonts w:hint="eastAsia"/>
          <w:szCs w:val="21"/>
        </w:rPr>
        <w:t>参数</w:t>
      </w:r>
    </w:p>
    <w:p>
      <w:pPr>
        <w:spacing w:line="360" w:lineRule="auto"/>
        <w:ind w:firstLine="210" w:firstLineChars="100"/>
        <w:rPr>
          <w:rFonts w:ascii="宋体" w:hAnsi="宋体"/>
          <w:szCs w:val="21"/>
          <w:u w:val="single"/>
        </w:rPr>
      </w:pPr>
      <w:r>
        <w:rPr>
          <w:rFonts w:ascii="宋体" w:hAnsi="宋体"/>
          <w:szCs w:val="21"/>
        </w:rPr>
        <w:t>1.1</w:t>
      </w:r>
      <w:r>
        <w:rPr>
          <w:rFonts w:hint="eastAsia" w:ascii="宋体" w:hAnsi="宋体"/>
          <w:szCs w:val="21"/>
        </w:rPr>
        <w:t>参考型号</w:t>
      </w:r>
      <w:r>
        <w:rPr>
          <w:rFonts w:hint="eastAsia" w:ascii="宋体" w:hAnsi="宋体"/>
          <w:szCs w:val="21"/>
          <w:lang w:eastAsia="zh-CN"/>
        </w:rPr>
        <w:t>：</w:t>
      </w:r>
      <w:r>
        <w:rPr>
          <w:rFonts w:hint="eastAsia" w:ascii="宋体" w:hAnsi="宋体"/>
          <w:szCs w:val="21"/>
          <w:u w:val="single"/>
        </w:rPr>
        <w:t>60PF3</w:t>
      </w:r>
    </w:p>
    <w:p>
      <w:pPr>
        <w:adjustRightInd w:val="0"/>
        <w:snapToGrid w:val="0"/>
        <w:spacing w:line="360" w:lineRule="auto"/>
        <w:ind w:firstLine="210" w:firstLineChars="100"/>
        <w:rPr>
          <w:rFonts w:ascii="宋体" w:hAnsi="宋体"/>
          <w:szCs w:val="21"/>
          <w:u w:val="single"/>
        </w:rPr>
      </w:pPr>
      <w:r>
        <w:rPr>
          <w:rFonts w:hint="eastAsia" w:ascii="宋体" w:hAnsi="宋体"/>
          <w:szCs w:val="21"/>
        </w:rPr>
        <w:t>1.2外形尺寸</w:t>
      </w:r>
      <w:r>
        <w:rPr>
          <w:rFonts w:hint="eastAsia" w:ascii="宋体" w:hAnsi="宋体"/>
          <w:szCs w:val="21"/>
          <w:lang w:eastAsia="zh-CN"/>
        </w:rPr>
        <w:t>：</w:t>
      </w:r>
      <w:r>
        <w:rPr>
          <w:rFonts w:hint="eastAsia" w:ascii="宋体" w:hAnsi="宋体"/>
          <w:szCs w:val="21"/>
          <w:u w:val="single"/>
        </w:rPr>
        <w:t>≥290×606×559mm（长×宽×高）</w:t>
      </w:r>
    </w:p>
    <w:p>
      <w:pPr>
        <w:adjustRightInd w:val="0"/>
        <w:snapToGrid w:val="0"/>
        <w:spacing w:line="360" w:lineRule="auto"/>
        <w:ind w:firstLine="210" w:firstLineChars="100"/>
        <w:rPr>
          <w:rFonts w:asciiTheme="minorEastAsia" w:hAnsiTheme="minorEastAsia" w:eastAsiaTheme="minorEastAsia" w:cstheme="minorEastAsia"/>
          <w:szCs w:val="21"/>
        </w:rPr>
      </w:pPr>
      <w:r>
        <w:rPr>
          <w:rFonts w:hint="eastAsia" w:ascii="宋体" w:hAnsi="宋体"/>
          <w:szCs w:val="21"/>
        </w:rPr>
        <w:t>1.3输入</w:t>
      </w:r>
      <w:r>
        <w:rPr>
          <w:rFonts w:hint="eastAsia" w:asciiTheme="minorEastAsia" w:hAnsiTheme="minorEastAsia" w:eastAsiaTheme="minorEastAsia" w:cstheme="minorEastAsia"/>
          <w:szCs w:val="21"/>
        </w:rPr>
        <w:t>保护（配电箱）保险丝</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u w:val="single"/>
        </w:rPr>
        <w:t>40A</w:t>
      </w:r>
      <w:r>
        <w:rPr>
          <w:rFonts w:hint="eastAsia" w:asciiTheme="minorEastAsia" w:hAnsiTheme="minorEastAsia" w:eastAsiaTheme="minorEastAsia" w:cstheme="minorEastAsia"/>
          <w:szCs w:val="21"/>
        </w:rPr>
        <w:t>；断路器</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u w:val="single"/>
        </w:rPr>
        <w:t>40A</w:t>
      </w:r>
    </w:p>
    <w:p>
      <w:pPr>
        <w:adjustRightInd w:val="0"/>
        <w:snapToGrid w:val="0"/>
        <w:spacing w:line="360" w:lineRule="auto"/>
        <w:ind w:left="1260" w:leftChars="100" w:hanging="1050" w:hangingChars="5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1.4电缆</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u w:val="single"/>
        </w:rPr>
        <w:t>≥5m</w:t>
      </w:r>
      <w:r>
        <w:rPr>
          <w:rFonts w:hint="eastAsia" w:asciiTheme="minorEastAsia" w:hAnsiTheme="minorEastAsia" w:eastAsiaTheme="minorEastAsia" w:cstheme="minorEastAsia"/>
          <w:szCs w:val="21"/>
        </w:rPr>
        <w:t>；切割电源输入侧：</w:t>
      </w:r>
      <w:r>
        <w:rPr>
          <w:rFonts w:hint="eastAsia" w:asciiTheme="minorEastAsia" w:hAnsiTheme="minorEastAsia" w:eastAsiaTheme="minorEastAsia" w:cstheme="minorEastAsia"/>
          <w:szCs w:val="21"/>
          <w:u w:val="single"/>
        </w:rPr>
        <w:t>≥6mm</w:t>
      </w:r>
      <w:r>
        <w:rPr>
          <w:rFonts w:hint="eastAsia" w:asciiTheme="minorEastAsia" w:hAnsiTheme="minorEastAsia" w:eastAsiaTheme="minorEastAsia" w:cstheme="minorEastAsia"/>
          <w:color w:val="333333"/>
          <w:szCs w:val="21"/>
          <w:u w:val="single"/>
          <w:shd w:val="clear" w:color="auto" w:fill="FFFFFF"/>
        </w:rPr>
        <w:t>²</w:t>
      </w:r>
      <w:r>
        <w:rPr>
          <w:rFonts w:hint="eastAsia" w:asciiTheme="minorEastAsia" w:hAnsiTheme="minorEastAsia" w:eastAsiaTheme="minorEastAsia" w:cstheme="minorEastAsia"/>
          <w:color w:val="333333"/>
          <w:szCs w:val="21"/>
          <w:shd w:val="clear" w:color="auto" w:fill="FFFFFF"/>
        </w:rPr>
        <w:t>；</w:t>
      </w:r>
      <w:r>
        <w:rPr>
          <w:rFonts w:hint="eastAsia" w:asciiTheme="minorEastAsia" w:hAnsiTheme="minorEastAsia" w:eastAsiaTheme="minorEastAsia" w:cstheme="minorEastAsia"/>
          <w:szCs w:val="21"/>
        </w:rPr>
        <w:t>切割电源输出侧：</w:t>
      </w:r>
      <w:r>
        <w:rPr>
          <w:rFonts w:hint="eastAsia" w:asciiTheme="minorEastAsia" w:hAnsiTheme="minorEastAsia" w:eastAsiaTheme="minorEastAsia" w:cstheme="minorEastAsia"/>
          <w:szCs w:val="21"/>
          <w:u w:val="single"/>
        </w:rPr>
        <w:t>≥10mm</w:t>
      </w:r>
      <w:r>
        <w:rPr>
          <w:rFonts w:hint="eastAsia" w:asciiTheme="minorEastAsia" w:hAnsiTheme="minorEastAsia" w:eastAsiaTheme="minorEastAsia" w:cstheme="minorEastAsia"/>
          <w:color w:val="333333"/>
          <w:szCs w:val="21"/>
          <w:u w:val="single"/>
          <w:shd w:val="clear" w:color="auto" w:fill="FFFFFF"/>
        </w:rPr>
        <w:t>²</w:t>
      </w:r>
    </w:p>
    <w:p>
      <w:pPr>
        <w:adjustRightInd w:val="0"/>
        <w:snapToGrid w:val="0"/>
        <w:spacing w:line="360" w:lineRule="auto"/>
        <w:ind w:left="1260" w:leftChars="100" w:hanging="1050" w:hangingChars="5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△1.5额定输入容量KW</w:t>
      </w:r>
      <w:r>
        <w:rPr>
          <w:rFonts w:hint="eastAsia" w:asciiTheme="minorEastAsia" w:hAnsiTheme="minorEastAsia" w:eastAsiaTheme="minorEastAsia" w:cstheme="minorEastAsia"/>
          <w:szCs w:val="21"/>
          <w:lang w:eastAsia="zh-CN"/>
        </w:rPr>
        <w:t>：</w:t>
      </w:r>
      <w:r>
        <w:rPr>
          <w:rFonts w:hint="eastAsia" w:asciiTheme="minorEastAsia" w:hAnsiTheme="minorEastAsia" w:eastAsiaTheme="minorEastAsia" w:cstheme="minorEastAsia"/>
          <w:szCs w:val="21"/>
          <w:u w:val="single"/>
        </w:rPr>
        <w:t>7.72（切割）/8.48（气刨）</w:t>
      </w:r>
    </w:p>
    <w:p>
      <w:pPr>
        <w:adjustRightInd w:val="0"/>
        <w:snapToGrid w:val="0"/>
        <w:spacing w:line="360" w:lineRule="auto"/>
        <w:ind w:firstLine="210" w:firstLine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1.6额定输出电流：</w:t>
      </w:r>
      <w:r>
        <w:rPr>
          <w:rFonts w:hint="eastAsia" w:asciiTheme="minorEastAsia" w:hAnsiTheme="minorEastAsia" w:eastAsiaTheme="minorEastAsia" w:cstheme="minorEastAsia"/>
          <w:szCs w:val="21"/>
          <w:u w:val="single"/>
        </w:rPr>
        <w:t>60A</w:t>
      </w:r>
      <w:r>
        <w:rPr>
          <w:rFonts w:hint="eastAsia" w:asciiTheme="minorEastAsia" w:hAnsiTheme="minorEastAsia" w:eastAsiaTheme="minorEastAsia" w:cstheme="minorEastAsia"/>
          <w:szCs w:val="21"/>
        </w:rPr>
        <w:t xml:space="preserve"> </w:t>
      </w:r>
    </w:p>
    <w:p>
      <w:pPr>
        <w:adjustRightInd w:val="0"/>
        <w:snapToGrid w:val="0"/>
        <w:spacing w:line="360" w:lineRule="auto"/>
        <w:ind w:firstLine="210" w:firstLineChars="1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1.7额定输出电压：</w:t>
      </w:r>
      <w:r>
        <w:rPr>
          <w:rFonts w:hint="eastAsia" w:asciiTheme="minorEastAsia" w:hAnsiTheme="minorEastAsia" w:eastAsiaTheme="minorEastAsia" w:cstheme="minorEastAsia"/>
          <w:szCs w:val="21"/>
          <w:u w:val="single"/>
        </w:rPr>
        <w:t>104V（切割）124V（气刨）</w:t>
      </w:r>
    </w:p>
    <w:p>
      <w:pPr>
        <w:adjustRightInd w:val="0"/>
        <w:snapToGrid w:val="0"/>
        <w:spacing w:line="360" w:lineRule="auto"/>
        <w:ind w:firstLine="210" w:firstLineChars="100"/>
        <w:rPr>
          <w:rFonts w:ascii="宋体" w:hAnsi="宋体"/>
          <w:szCs w:val="21"/>
        </w:rPr>
      </w:pPr>
      <w:r>
        <w:rPr>
          <w:rFonts w:ascii="宋体" w:hAnsi="宋体"/>
          <w:szCs w:val="21"/>
        </w:rPr>
        <w:t>*</w:t>
      </w:r>
      <w:r>
        <w:rPr>
          <w:rFonts w:hint="eastAsia" w:ascii="宋体" w:hAnsi="宋体"/>
          <w:szCs w:val="21"/>
        </w:rPr>
        <w:t>1.8额定负载持续率：</w:t>
      </w:r>
      <w:r>
        <w:rPr>
          <w:rFonts w:hint="eastAsia" w:ascii="宋体" w:hAnsi="宋体"/>
          <w:szCs w:val="21"/>
          <w:u w:val="single"/>
        </w:rPr>
        <w:t>100%</w:t>
      </w:r>
    </w:p>
    <w:p>
      <w:pPr>
        <w:adjustRightInd w:val="0"/>
        <w:snapToGrid w:val="0"/>
        <w:spacing w:line="360" w:lineRule="auto"/>
        <w:ind w:firstLine="210" w:firstLineChars="100"/>
        <w:rPr>
          <w:rFonts w:ascii="宋体" w:hAnsi="宋体"/>
          <w:szCs w:val="21"/>
          <w:u w:val="single"/>
        </w:rPr>
      </w:pPr>
      <w:r>
        <w:rPr>
          <w:rFonts w:hint="eastAsia" w:ascii="宋体" w:hAnsi="宋体"/>
          <w:szCs w:val="21"/>
        </w:rPr>
        <w:t>1.9空载电压：</w:t>
      </w:r>
      <w:r>
        <w:rPr>
          <w:rFonts w:hint="eastAsia" w:ascii="宋体" w:hAnsi="宋体"/>
          <w:szCs w:val="21"/>
          <w:u w:val="single"/>
        </w:rPr>
        <w:t>295V</w:t>
      </w:r>
    </w:p>
    <w:p>
      <w:pPr>
        <w:adjustRightInd w:val="0"/>
        <w:snapToGrid w:val="0"/>
        <w:spacing w:line="360" w:lineRule="auto"/>
        <w:ind w:firstLine="210" w:firstLineChars="100"/>
        <w:rPr>
          <w:rFonts w:ascii="宋体" w:hAnsi="宋体"/>
          <w:szCs w:val="21"/>
        </w:rPr>
      </w:pPr>
      <w:r>
        <w:rPr>
          <w:rFonts w:hint="eastAsia" w:ascii="宋体" w:hAnsi="宋体"/>
          <w:szCs w:val="21"/>
        </w:rPr>
        <w:t>△1.10输出电流范围：</w:t>
      </w:r>
      <w:r>
        <w:rPr>
          <w:rFonts w:hint="eastAsia" w:ascii="宋体" w:hAnsi="宋体"/>
          <w:szCs w:val="21"/>
          <w:u w:val="single"/>
        </w:rPr>
        <w:t>15-60A</w:t>
      </w:r>
    </w:p>
    <w:p>
      <w:pPr>
        <w:adjustRightInd w:val="0"/>
        <w:snapToGrid w:val="0"/>
        <w:spacing w:line="360" w:lineRule="auto"/>
        <w:ind w:firstLine="210" w:firstLineChars="100"/>
        <w:rPr>
          <w:rFonts w:ascii="宋体" w:hAnsi="宋体"/>
          <w:szCs w:val="21"/>
          <w:u w:val="single"/>
        </w:rPr>
      </w:pPr>
      <w:r>
        <w:rPr>
          <w:rFonts w:hint="eastAsia" w:ascii="宋体" w:hAnsi="宋体"/>
          <w:szCs w:val="21"/>
        </w:rPr>
        <w:t>*1.11外壳防护等级：</w:t>
      </w:r>
      <w:r>
        <w:rPr>
          <w:rFonts w:hint="eastAsia" w:ascii="宋体" w:hAnsi="宋体"/>
          <w:szCs w:val="21"/>
          <w:u w:val="single"/>
        </w:rPr>
        <w:t>IP34</w:t>
      </w:r>
    </w:p>
    <w:p>
      <w:pPr>
        <w:adjustRightInd w:val="0"/>
        <w:snapToGrid w:val="0"/>
        <w:spacing w:line="360" w:lineRule="auto"/>
        <w:ind w:firstLine="210" w:firstLineChars="100"/>
        <w:rPr>
          <w:rFonts w:ascii="宋体" w:hAnsi="宋体"/>
          <w:szCs w:val="21"/>
          <w:u w:val="single"/>
        </w:rPr>
      </w:pPr>
      <w:r>
        <w:rPr>
          <w:rFonts w:hint="eastAsia" w:ascii="宋体" w:hAnsi="宋体"/>
          <w:szCs w:val="21"/>
        </w:rPr>
        <w:t>*1.12绝缘等级：</w:t>
      </w:r>
      <w:r>
        <w:rPr>
          <w:rFonts w:hint="eastAsia" w:ascii="宋体" w:hAnsi="宋体"/>
          <w:szCs w:val="21"/>
          <w:u w:val="single"/>
        </w:rPr>
        <w:t>主变B（电抗器H）</w:t>
      </w:r>
    </w:p>
    <w:p>
      <w:pPr>
        <w:adjustRightInd w:val="0"/>
        <w:snapToGrid w:val="0"/>
        <w:spacing w:line="360" w:lineRule="auto"/>
        <w:ind w:firstLine="210" w:firstLineChars="100"/>
        <w:rPr>
          <w:rFonts w:ascii="宋体" w:hAnsi="宋体"/>
          <w:szCs w:val="21"/>
        </w:rPr>
      </w:pPr>
      <w:r>
        <w:rPr>
          <w:rFonts w:hint="eastAsia" w:ascii="宋体" w:hAnsi="宋体"/>
          <w:szCs w:val="21"/>
        </w:rPr>
        <w:t>1.13冷却方式：</w:t>
      </w:r>
      <w:r>
        <w:rPr>
          <w:rFonts w:hint="eastAsia" w:ascii="宋体" w:hAnsi="宋体"/>
          <w:szCs w:val="21"/>
          <w:u w:val="single"/>
        </w:rPr>
        <w:t>风冷却</w:t>
      </w:r>
    </w:p>
    <w:p>
      <w:pPr>
        <w:adjustRightInd w:val="0"/>
        <w:snapToGrid w:val="0"/>
        <w:spacing w:line="360" w:lineRule="auto"/>
        <w:ind w:firstLine="210" w:firstLineChars="1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14控制方式：</w:t>
      </w:r>
      <w:r>
        <w:rPr>
          <w:rFonts w:hint="eastAsia" w:ascii="宋体" w:hAnsi="宋体"/>
          <w:szCs w:val="21"/>
          <w:u w:val="single"/>
        </w:rPr>
        <w:t>IGBT逆变方式</w:t>
      </w:r>
    </w:p>
    <w:p>
      <w:pPr>
        <w:adjustRightInd w:val="0"/>
        <w:snapToGrid w:val="0"/>
        <w:spacing w:line="360" w:lineRule="auto"/>
        <w:ind w:firstLine="210" w:firstLineChars="100"/>
        <w:rPr>
          <w:rFonts w:ascii="宋体"/>
          <w:szCs w:val="21"/>
        </w:rPr>
      </w:pPr>
      <w:r>
        <w:rPr>
          <w:rFonts w:hint="eastAsia" w:ascii="宋体" w:hAnsi="宋体"/>
          <w:szCs w:val="21"/>
        </w:rPr>
        <w:t>1.15重量：</w:t>
      </w:r>
      <w:r>
        <w:rPr>
          <w:rFonts w:hint="eastAsia" w:ascii="宋体" w:hAnsi="宋体"/>
          <w:szCs w:val="21"/>
          <w:u w:val="single"/>
        </w:rPr>
        <w:t>≥45kg</w:t>
      </w:r>
    </w:p>
    <w:p>
      <w:pPr>
        <w:adjustRightInd w:val="0"/>
        <w:snapToGrid w:val="0"/>
        <w:spacing w:line="360" w:lineRule="auto"/>
        <w:ind w:firstLine="210" w:firstLineChars="100"/>
        <w:rPr>
          <w:rFonts w:ascii="宋体" w:hAnsi="宋体"/>
          <w:szCs w:val="21"/>
        </w:rPr>
      </w:pPr>
      <w:r>
        <w:rPr>
          <w:rFonts w:hint="eastAsia" w:ascii="宋体"/>
          <w:szCs w:val="21"/>
        </w:rPr>
        <w:t>1.16</w:t>
      </w:r>
      <w:r>
        <w:rPr>
          <w:rFonts w:hint="eastAsia" w:ascii="宋体" w:hAnsi="宋体"/>
          <w:szCs w:val="21"/>
        </w:rPr>
        <w:t>起弧方式：</w:t>
      </w:r>
      <w:r>
        <w:rPr>
          <w:rFonts w:hint="eastAsia" w:ascii="宋体" w:hAnsi="宋体"/>
          <w:szCs w:val="21"/>
          <w:u w:val="single"/>
        </w:rPr>
        <w:t>高频起弧</w:t>
      </w:r>
    </w:p>
    <w:p>
      <w:pPr>
        <w:adjustRightInd w:val="0"/>
        <w:snapToGrid w:val="0"/>
        <w:spacing w:line="360" w:lineRule="auto"/>
        <w:ind w:firstLine="210" w:firstLineChars="100"/>
        <w:rPr>
          <w:rFonts w:ascii="宋体" w:hAnsi="宋体"/>
          <w:szCs w:val="21"/>
        </w:rPr>
      </w:pPr>
      <w:r>
        <w:rPr>
          <w:rFonts w:hint="eastAsia" w:ascii="宋体"/>
          <w:szCs w:val="21"/>
        </w:rPr>
        <w:t>1.17</w:t>
      </w:r>
      <w:r>
        <w:rPr>
          <w:rFonts w:hint="eastAsia" w:ascii="宋体" w:hAnsi="宋体"/>
          <w:szCs w:val="21"/>
        </w:rPr>
        <w:t>切割炬：</w:t>
      </w:r>
      <w:r>
        <w:rPr>
          <w:rFonts w:hint="eastAsia" w:ascii="宋体" w:hAnsi="宋体"/>
          <w:szCs w:val="21"/>
          <w:u w:val="single"/>
        </w:rPr>
        <w:t>60A</w:t>
      </w:r>
    </w:p>
    <w:p>
      <w:pPr>
        <w:adjustRightInd w:val="0"/>
        <w:snapToGrid w:val="0"/>
        <w:spacing w:line="360" w:lineRule="auto"/>
        <w:ind w:firstLine="210" w:firstLineChars="100"/>
        <w:rPr>
          <w:rFonts w:ascii="宋体" w:hAnsi="宋体"/>
          <w:szCs w:val="21"/>
        </w:rPr>
      </w:pPr>
      <w:r>
        <w:rPr>
          <w:rFonts w:hint="eastAsia" w:ascii="宋体" w:hAnsi="宋体"/>
          <w:szCs w:val="21"/>
        </w:rPr>
        <w:t>*1.18割炬线长度：</w:t>
      </w:r>
      <w:r>
        <w:rPr>
          <w:rFonts w:hint="eastAsia" w:ascii="宋体" w:hAnsi="宋体"/>
          <w:szCs w:val="21"/>
          <w:u w:val="single"/>
        </w:rPr>
        <w:t>10m</w:t>
      </w:r>
      <w:r>
        <w:rPr>
          <w:rFonts w:hint="eastAsia" w:ascii="宋体" w:hAnsi="宋体"/>
          <w:szCs w:val="21"/>
        </w:rPr>
        <w:t>，地线长度：</w:t>
      </w:r>
      <w:r>
        <w:rPr>
          <w:rFonts w:hint="eastAsia" w:ascii="宋体" w:hAnsi="宋体"/>
          <w:szCs w:val="21"/>
          <w:u w:val="single"/>
        </w:rPr>
        <w:t>10m</w:t>
      </w:r>
      <w:r>
        <w:rPr>
          <w:rFonts w:hint="eastAsia" w:ascii="宋体" w:hAnsi="宋体"/>
          <w:szCs w:val="21"/>
        </w:rPr>
        <w:t>，电源线长度：</w:t>
      </w:r>
      <w:r>
        <w:rPr>
          <w:rFonts w:hint="eastAsia" w:ascii="宋体" w:hAnsi="宋体"/>
          <w:szCs w:val="21"/>
          <w:u w:val="single"/>
        </w:rPr>
        <w:t>5m</w:t>
      </w:r>
    </w:p>
    <w:p>
      <w:pPr>
        <w:adjustRightInd w:val="0"/>
        <w:snapToGrid w:val="0"/>
        <w:spacing w:line="360" w:lineRule="auto"/>
        <w:rPr>
          <w:rFonts w:ascii="宋体" w:hAnsi="宋体"/>
          <w:szCs w:val="21"/>
        </w:rPr>
      </w:pPr>
      <w:r>
        <w:rPr>
          <w:rFonts w:ascii="宋体" w:hAnsi="宋体"/>
          <w:szCs w:val="21"/>
        </w:rPr>
        <w:t>2</w:t>
      </w:r>
      <w:r>
        <w:rPr>
          <w:rFonts w:hint="eastAsia" w:ascii="宋体" w:hAnsi="宋体"/>
          <w:szCs w:val="21"/>
        </w:rPr>
        <w:t>. 技术性能要求</w:t>
      </w:r>
    </w:p>
    <w:p>
      <w:pPr>
        <w:adjustRightInd w:val="0"/>
        <w:snapToGrid w:val="0"/>
        <w:spacing w:line="360" w:lineRule="auto"/>
        <w:ind w:firstLine="200" w:firstLineChars="100"/>
        <w:rPr>
          <w:rFonts w:ascii="宋体" w:hAnsi="宋体"/>
          <w:szCs w:val="21"/>
        </w:rPr>
      </w:pPr>
      <w:r>
        <w:rPr>
          <w:rFonts w:ascii="宋体"/>
          <w:spacing w:val="-5"/>
          <w:kern w:val="0"/>
          <w:szCs w:val="21"/>
        </w:rPr>
        <w:t>2.1</w:t>
      </w:r>
      <w:r>
        <w:rPr>
          <w:rFonts w:hint="eastAsia" w:ascii="宋体" w:hAnsi="宋体"/>
          <w:szCs w:val="21"/>
        </w:rPr>
        <w:t>机器由电源、气体调节装置（内置）、过滤器（内置）、割炬等</w:t>
      </w:r>
      <w:r>
        <w:rPr>
          <w:rFonts w:hint="eastAsia" w:ascii="宋体" w:hAnsi="宋体"/>
          <w:bCs/>
          <w:szCs w:val="21"/>
        </w:rPr>
        <w:t>组成</w:t>
      </w:r>
      <w:r>
        <w:rPr>
          <w:rFonts w:hint="eastAsia" w:ascii="宋体" w:hAnsi="宋体"/>
          <w:szCs w:val="21"/>
        </w:rPr>
        <w:t xml:space="preserve">。 </w:t>
      </w:r>
    </w:p>
    <w:p>
      <w:pPr>
        <w:adjustRightInd w:val="0"/>
        <w:snapToGrid w:val="0"/>
        <w:spacing w:line="360" w:lineRule="auto"/>
        <w:ind w:firstLine="210" w:firstLineChars="100"/>
        <w:rPr>
          <w:rFonts w:ascii="宋体" w:hAnsi="宋体"/>
          <w:szCs w:val="21"/>
        </w:rPr>
      </w:pPr>
      <w:r>
        <w:rPr>
          <w:rFonts w:hint="eastAsia" w:ascii="宋体" w:hAnsi="宋体"/>
          <w:szCs w:val="21"/>
        </w:rPr>
        <w:t>*2.2喷嘴采用陶瓷制造。</w:t>
      </w:r>
    </w:p>
    <w:p>
      <w:pPr>
        <w:adjustRightInd w:val="0"/>
        <w:snapToGrid w:val="0"/>
        <w:spacing w:line="360" w:lineRule="auto"/>
        <w:ind w:left="630" w:leftChars="100" w:hanging="420" w:hangingChars="200"/>
        <w:rPr>
          <w:rFonts w:ascii="宋体" w:hAnsi="宋体"/>
          <w:szCs w:val="21"/>
        </w:rPr>
      </w:pPr>
      <w:r>
        <w:rPr>
          <w:rFonts w:hint="eastAsia" w:ascii="宋体" w:hAnsi="宋体"/>
          <w:szCs w:val="21"/>
        </w:rPr>
        <w:t xml:space="preserve">2.3要求起弧成功率高、切割速度快、切断福率小、切断面平滑度好、薄板变形小。 </w:t>
      </w:r>
    </w:p>
    <w:p>
      <w:pPr>
        <w:adjustRightInd w:val="0"/>
        <w:snapToGrid w:val="0"/>
        <w:spacing w:line="360" w:lineRule="auto"/>
        <w:ind w:firstLine="210" w:firstLineChars="100"/>
        <w:rPr>
          <w:rFonts w:ascii="宋体" w:hAnsi="宋体"/>
          <w:szCs w:val="21"/>
        </w:rPr>
      </w:pPr>
      <w:r>
        <w:rPr>
          <w:rFonts w:hint="eastAsia" w:ascii="宋体" w:hAnsi="宋体"/>
          <w:szCs w:val="21"/>
        </w:rPr>
        <w:t xml:space="preserve">*2.4数字操作面板操作简单，气体调节压力时数字显示。 </w:t>
      </w:r>
    </w:p>
    <w:p>
      <w:pPr>
        <w:adjustRightInd w:val="0"/>
        <w:snapToGrid w:val="0"/>
        <w:spacing w:line="360" w:lineRule="auto"/>
        <w:ind w:firstLine="210" w:firstLineChars="100"/>
        <w:rPr>
          <w:rFonts w:ascii="宋体" w:hAnsi="宋体"/>
          <w:szCs w:val="21"/>
        </w:rPr>
      </w:pPr>
      <w:r>
        <w:rPr>
          <w:rFonts w:ascii="宋体" w:hAnsi="宋体"/>
          <w:szCs w:val="21"/>
        </w:rPr>
        <w:t>*</w:t>
      </w:r>
      <w:r>
        <w:rPr>
          <w:rFonts w:hint="eastAsia" w:ascii="宋体" w:hAnsi="宋体"/>
          <w:szCs w:val="21"/>
        </w:rPr>
        <w:t>2.5切割机具备过滤器自动排水功能。</w:t>
      </w:r>
    </w:p>
    <w:p>
      <w:pPr>
        <w:adjustRightInd w:val="0"/>
        <w:snapToGrid w:val="0"/>
        <w:spacing w:line="360" w:lineRule="auto"/>
        <w:ind w:firstLine="210" w:firstLineChars="100"/>
        <w:rPr>
          <w:rFonts w:ascii="宋体" w:hAnsi="宋体"/>
          <w:szCs w:val="21"/>
        </w:rPr>
      </w:pPr>
      <w:r>
        <w:rPr>
          <w:rFonts w:hint="eastAsia" w:ascii="宋体" w:hAnsi="宋体"/>
          <w:szCs w:val="21"/>
        </w:rPr>
        <w:t>△2.6具备故障自检测功能，常见故障可以通过焊机显示屏显示故障代码，方便维修。</w:t>
      </w:r>
    </w:p>
    <w:p>
      <w:pPr>
        <w:adjustRightInd w:val="0"/>
        <w:snapToGrid w:val="0"/>
        <w:spacing w:line="360" w:lineRule="auto"/>
        <w:ind w:firstLine="210" w:firstLineChars="100"/>
        <w:rPr>
          <w:rFonts w:ascii="宋体" w:hAnsi="宋体"/>
          <w:szCs w:val="21"/>
        </w:rPr>
      </w:pPr>
      <w:r>
        <w:rPr>
          <w:rFonts w:hint="eastAsia" w:ascii="宋体" w:hAnsi="宋体"/>
          <w:szCs w:val="21"/>
        </w:rPr>
        <w:t>2.7电极寿命耗尽检测功能，自动对电极更换时间进行通知。</w:t>
      </w:r>
    </w:p>
    <w:p>
      <w:pPr>
        <w:adjustRightInd w:val="0"/>
        <w:snapToGrid w:val="0"/>
        <w:spacing w:line="360" w:lineRule="auto"/>
        <w:ind w:firstLine="210" w:firstLineChars="100"/>
        <w:rPr>
          <w:rFonts w:ascii="宋体" w:hAnsi="宋体"/>
          <w:szCs w:val="21"/>
        </w:rPr>
      </w:pPr>
      <w:r>
        <w:rPr>
          <w:rFonts w:hint="eastAsia" w:ascii="宋体" w:hAnsi="宋体"/>
          <w:szCs w:val="21"/>
        </w:rPr>
        <w:t>2.8压力传感功能，系统设定压力范围，超过范围报警，压力数显指示。</w:t>
      </w:r>
    </w:p>
    <w:p>
      <w:pPr>
        <w:adjustRightInd w:val="0"/>
        <w:snapToGrid w:val="0"/>
        <w:spacing w:line="360" w:lineRule="auto"/>
        <w:ind w:firstLine="210" w:firstLineChars="100"/>
        <w:rPr>
          <w:rFonts w:ascii="宋体" w:hAnsi="宋体"/>
          <w:szCs w:val="21"/>
        </w:rPr>
      </w:pPr>
      <w:r>
        <w:rPr>
          <w:rFonts w:hint="eastAsia" w:ascii="宋体" w:hAnsi="宋体"/>
          <w:szCs w:val="21"/>
        </w:rPr>
        <w:t>*2.9在不更换割炬的情况下，可进行等离子气刨。</w:t>
      </w:r>
    </w:p>
    <w:p>
      <w:pPr>
        <w:adjustRightInd w:val="0"/>
        <w:snapToGrid w:val="0"/>
        <w:spacing w:line="360" w:lineRule="auto"/>
        <w:ind w:firstLine="210" w:firstLineChars="100"/>
        <w:rPr>
          <w:rFonts w:ascii="宋体" w:hAnsi="宋体"/>
          <w:szCs w:val="21"/>
        </w:rPr>
      </w:pPr>
      <w:r>
        <w:rPr>
          <w:rFonts w:hint="eastAsia" w:ascii="宋体" w:hAnsi="宋体"/>
          <w:szCs w:val="21"/>
        </w:rPr>
        <w:t>2.10最大切割不锈钢、铸铁和碳钢厚度35mm。</w:t>
      </w:r>
    </w:p>
    <w:p>
      <w:pPr>
        <w:adjustRightInd w:val="0"/>
        <w:snapToGrid w:val="0"/>
        <w:spacing w:line="360" w:lineRule="auto"/>
        <w:ind w:firstLine="210" w:firstLineChars="100"/>
        <w:rPr>
          <w:rFonts w:asciiTheme="minorEastAsia" w:hAnsiTheme="minorEastAsia"/>
          <w:sz w:val="24"/>
        </w:rPr>
      </w:pPr>
      <w:r>
        <w:rPr>
          <w:rFonts w:ascii="宋体" w:hAnsi="宋体"/>
          <w:szCs w:val="21"/>
        </w:rPr>
        <w:t>*</w:t>
      </w:r>
      <w:r>
        <w:rPr>
          <w:rFonts w:hint="eastAsia" w:ascii="宋体" w:hAnsi="宋体"/>
          <w:szCs w:val="21"/>
        </w:rPr>
        <w:t>2.11切割电源、割炬等都为相同生产厂生产，并提供相应的3C证明复印件。</w:t>
      </w:r>
    </w:p>
    <w:p>
      <w:pPr>
        <w:adjustRightInd w:val="0"/>
        <w:snapToGrid w:val="0"/>
        <w:spacing w:line="360" w:lineRule="auto"/>
        <w:rPr>
          <w:rFonts w:ascii="宋体" w:hAnsi="宋体"/>
          <w:szCs w:val="21"/>
        </w:rPr>
      </w:pPr>
      <w:r>
        <w:rPr>
          <w:rFonts w:hint="eastAsia" w:ascii="宋体" w:hAnsi="宋体"/>
          <w:szCs w:val="21"/>
        </w:rPr>
        <w:t>3．安全技术要求</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3.1.等离子切割机一次、二次高压回路、P板控制回路采用密封防尘结构。</w:t>
      </w:r>
    </w:p>
    <w:p>
      <w:pPr>
        <w:adjustRightInd w:val="0"/>
        <w:snapToGrid w:val="0"/>
        <w:spacing w:line="360" w:lineRule="auto"/>
        <w:ind w:left="2" w:firstLine="281" w:firstLineChars="134"/>
        <w:rPr>
          <w:rFonts w:ascii="宋体" w:hAnsi="宋体"/>
          <w:szCs w:val="21"/>
        </w:rPr>
      </w:pPr>
      <w:r>
        <w:rPr>
          <w:rFonts w:hint="eastAsia" w:ascii="宋体" w:hAnsi="宋体"/>
          <w:szCs w:val="21"/>
        </w:rPr>
        <w:t>3.2.切割机异常使用时多重保护：一次过压、欠压、缺相保护，电极短路报警、压力传感报警、电极耗尽报警、一次IGBT温度开关保护等。</w:t>
      </w:r>
    </w:p>
    <w:p>
      <w:pPr>
        <w:pStyle w:val="23"/>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23"/>
        <w:tabs>
          <w:tab w:val="left" w:pos="1290"/>
          <w:tab w:val="left" w:pos="1680"/>
        </w:tabs>
        <w:adjustRightInd w:val="0"/>
        <w:snapToGrid w:val="0"/>
        <w:spacing w:line="360" w:lineRule="auto"/>
        <w:rPr>
          <w:sz w:val="21"/>
          <w:szCs w:val="21"/>
        </w:rPr>
      </w:pPr>
      <w:r>
        <w:rPr>
          <w:rFonts w:hint="eastAsia"/>
          <w:sz w:val="21"/>
          <w:szCs w:val="21"/>
        </w:rPr>
        <w:t xml:space="preserve">  4.1.投标厂家必须对招标文件中的技术条款逐条解释并满足工作环境。</w:t>
      </w:r>
    </w:p>
    <w:p>
      <w:pPr>
        <w:pStyle w:val="23"/>
        <w:tabs>
          <w:tab w:val="left" w:pos="1290"/>
          <w:tab w:val="left" w:pos="1680"/>
        </w:tabs>
        <w:adjustRightInd w:val="0"/>
        <w:snapToGrid w:val="0"/>
        <w:spacing w:line="360" w:lineRule="auto"/>
        <w:rPr>
          <w:sz w:val="21"/>
          <w:szCs w:val="21"/>
        </w:rPr>
      </w:pPr>
      <w:r>
        <w:rPr>
          <w:rFonts w:hint="eastAsia"/>
          <w:sz w:val="21"/>
          <w:szCs w:val="21"/>
        </w:rPr>
        <w:t xml:space="preserve">  4.2.投标产品必须满足相关的最新国家和行业标准要求，招标技术要求中相关条款指标高于国家行业要求的，按照招标文件要求条款执行。</w:t>
      </w:r>
    </w:p>
    <w:p>
      <w:pPr>
        <w:pStyle w:val="23"/>
        <w:tabs>
          <w:tab w:val="left" w:pos="1290"/>
          <w:tab w:val="left" w:pos="1680"/>
        </w:tabs>
        <w:adjustRightInd w:val="0"/>
        <w:snapToGrid w:val="0"/>
        <w:spacing w:line="360" w:lineRule="auto"/>
        <w:rPr>
          <w:sz w:val="21"/>
          <w:szCs w:val="21"/>
        </w:rPr>
      </w:pPr>
      <w:r>
        <w:rPr>
          <w:rFonts w:hint="eastAsia"/>
          <w:sz w:val="21"/>
          <w:szCs w:val="21"/>
        </w:rPr>
        <w:t xml:space="preserve">  4</w:t>
      </w:r>
      <w:r>
        <w:rPr>
          <w:sz w:val="21"/>
          <w:szCs w:val="21"/>
        </w:rPr>
        <w:t>.3.投标产品各项性能指标不低于本招标技术条件上述条款规定。</w:t>
      </w:r>
      <w:bookmarkStart w:id="8" w:name="_GoBack"/>
      <w:bookmarkEnd w:id="8"/>
    </w:p>
    <w:p>
      <w:pPr>
        <w:adjustRightInd w:val="0"/>
        <w:snapToGrid w:val="0"/>
        <w:spacing w:line="360" w:lineRule="auto"/>
        <w:rPr>
          <w:rFonts w:ascii="宋体" w:hAnsi="宋体" w:cs="宋体"/>
          <w:kern w:val="0"/>
          <w:szCs w:val="21"/>
        </w:rPr>
      </w:pPr>
      <w:r>
        <w:rPr>
          <w:rFonts w:hint="eastAsia" w:ascii="宋体" w:hAnsi="宋体" w:cs="宋体"/>
          <w:kern w:val="0"/>
          <w:szCs w:val="21"/>
        </w:rPr>
        <w:t>5.标准：</w:t>
      </w:r>
    </w:p>
    <w:p>
      <w:pPr>
        <w:pStyle w:val="23"/>
        <w:tabs>
          <w:tab w:val="left" w:pos="1290"/>
          <w:tab w:val="left" w:pos="1680"/>
        </w:tabs>
        <w:adjustRightInd w:val="0"/>
        <w:snapToGrid w:val="0"/>
        <w:spacing w:before="120" w:after="0" w:line="360" w:lineRule="auto"/>
        <w:rPr>
          <w:sz w:val="21"/>
          <w:szCs w:val="21"/>
        </w:rPr>
      </w:pPr>
      <w:r>
        <w:rPr>
          <w:rFonts w:hint="eastAsia"/>
          <w:sz w:val="21"/>
          <w:szCs w:val="21"/>
        </w:rPr>
        <w:t>5.</w:t>
      </w:r>
      <w:r>
        <w:rPr>
          <w:sz w:val="21"/>
          <w:szCs w:val="21"/>
        </w:rPr>
        <w:t>1.所供应的货物将按下列标准（推荐）进行设计和制造</w:t>
      </w:r>
    </w:p>
    <w:p>
      <w:pPr>
        <w:pStyle w:val="23"/>
        <w:tabs>
          <w:tab w:val="left" w:pos="550"/>
        </w:tabs>
        <w:adjustRightInd w:val="0"/>
        <w:snapToGrid w:val="0"/>
        <w:spacing w:line="360" w:lineRule="auto"/>
        <w:ind w:left="546" w:leftChars="200" w:hanging="126" w:hangingChars="60"/>
        <w:rPr>
          <w:sz w:val="21"/>
          <w:szCs w:val="21"/>
          <w:u w:val="single"/>
        </w:rPr>
      </w:pPr>
      <w:r>
        <w:rPr>
          <w:sz w:val="21"/>
          <w:szCs w:val="21"/>
        </w:rPr>
        <w:t>电器:     IEC标准/EN标准</w:t>
      </w:r>
    </w:p>
    <w:p>
      <w:pPr>
        <w:pStyle w:val="23"/>
        <w:tabs>
          <w:tab w:val="left" w:pos="550"/>
        </w:tabs>
        <w:adjustRightInd w:val="0"/>
        <w:snapToGrid w:val="0"/>
        <w:spacing w:line="360" w:lineRule="auto"/>
        <w:ind w:firstLine="420" w:firstLineChars="200"/>
        <w:rPr>
          <w:sz w:val="21"/>
          <w:szCs w:val="21"/>
        </w:rPr>
      </w:pPr>
      <w:r>
        <w:rPr>
          <w:sz w:val="21"/>
          <w:szCs w:val="21"/>
        </w:rPr>
        <w:t>机械:     ISO标准</w:t>
      </w:r>
    </w:p>
    <w:p>
      <w:pPr>
        <w:adjustRightInd w:val="0"/>
        <w:snapToGrid w:val="0"/>
        <w:spacing w:beforeLines="50" w:line="360" w:lineRule="auto"/>
        <w:ind w:left="424"/>
        <w:rPr>
          <w:rFonts w:ascii="宋体" w:hAnsi="宋体"/>
          <w:bCs/>
          <w:szCs w:val="21"/>
        </w:rPr>
      </w:pPr>
      <w:r>
        <w:rPr>
          <w:rFonts w:ascii="宋体" w:hAnsi="宋体" w:cs="宋体"/>
          <w:bCs/>
          <w:kern w:val="0"/>
          <w:szCs w:val="21"/>
        </w:rPr>
        <w:t>GB 15579.1-2013</w:t>
      </w:r>
      <w:r>
        <w:rPr>
          <w:rFonts w:hint="eastAsia" w:ascii="宋体" w:hAnsi="宋体" w:cs="宋体"/>
          <w:bCs/>
          <w:kern w:val="0"/>
          <w:szCs w:val="21"/>
        </w:rPr>
        <w:t xml:space="preserve">    </w:t>
      </w:r>
      <w:r>
        <w:rPr>
          <w:rFonts w:ascii="宋体" w:hAnsi="宋体"/>
          <w:bCs/>
          <w:szCs w:val="21"/>
        </w:rPr>
        <w:t>《</w:t>
      </w:r>
      <w:r>
        <w:rPr>
          <w:rFonts w:hint="eastAsia" w:ascii="宋体" w:hAnsi="宋体"/>
          <w:bCs/>
          <w:szCs w:val="21"/>
        </w:rPr>
        <w:t>弧焊设备  第1部分：焊接（切割）电源</w:t>
      </w:r>
      <w:r>
        <w:rPr>
          <w:rFonts w:ascii="宋体" w:hAnsi="宋体"/>
          <w:bCs/>
          <w:szCs w:val="21"/>
        </w:rPr>
        <w:t>》</w:t>
      </w:r>
      <w:r>
        <w:rPr>
          <w:rFonts w:hint="eastAsia" w:ascii="宋体" w:hAnsi="宋体"/>
          <w:bCs/>
          <w:szCs w:val="21"/>
        </w:rPr>
        <w:t>。</w:t>
      </w:r>
    </w:p>
    <w:p>
      <w:pPr>
        <w:adjustRightInd w:val="0"/>
        <w:snapToGrid w:val="0"/>
        <w:spacing w:beforeLines="50" w:line="360" w:lineRule="auto"/>
        <w:ind w:left="424"/>
        <w:rPr>
          <w:rFonts w:ascii="宋体" w:hAnsi="宋体"/>
          <w:bCs/>
          <w:szCs w:val="21"/>
        </w:rPr>
      </w:pPr>
      <w:r>
        <w:rPr>
          <w:rFonts w:ascii="宋体" w:hAnsi="宋体" w:cs="宋体"/>
          <w:bCs/>
          <w:kern w:val="0"/>
          <w:szCs w:val="21"/>
        </w:rPr>
        <w:t>GB 15579.7-2013</w:t>
      </w:r>
      <w:r>
        <w:rPr>
          <w:rFonts w:hint="eastAsia" w:ascii="宋体" w:hAnsi="宋体" w:cs="宋体"/>
          <w:bCs/>
          <w:kern w:val="0"/>
          <w:szCs w:val="21"/>
        </w:rPr>
        <w:t xml:space="preserve">    </w:t>
      </w:r>
      <w:r>
        <w:rPr>
          <w:rFonts w:ascii="宋体" w:hAnsi="宋体"/>
          <w:bCs/>
          <w:szCs w:val="21"/>
        </w:rPr>
        <w:t>《</w:t>
      </w:r>
      <w:r>
        <w:rPr>
          <w:rFonts w:hint="eastAsia" w:ascii="宋体" w:hAnsi="宋体"/>
          <w:bCs/>
          <w:szCs w:val="21"/>
        </w:rPr>
        <w:t>弧焊设备  第7部分：焊炬（枪）</w:t>
      </w:r>
      <w:r>
        <w:rPr>
          <w:rFonts w:ascii="宋体" w:hAnsi="宋体"/>
          <w:bCs/>
          <w:szCs w:val="21"/>
        </w:rPr>
        <w:t>》</w:t>
      </w:r>
      <w:r>
        <w:rPr>
          <w:rFonts w:hint="eastAsia" w:ascii="宋体" w:hAnsi="宋体"/>
          <w:bCs/>
          <w:szCs w:val="21"/>
        </w:rPr>
        <w:t>。</w:t>
      </w:r>
    </w:p>
    <w:p>
      <w:pPr>
        <w:adjustRightInd w:val="0"/>
        <w:snapToGrid w:val="0"/>
        <w:spacing w:beforeLines="50" w:line="360" w:lineRule="auto"/>
        <w:ind w:left="424"/>
        <w:rPr>
          <w:rFonts w:ascii="宋体" w:hAnsi="宋体"/>
          <w:bCs/>
          <w:szCs w:val="21"/>
        </w:rPr>
      </w:pPr>
      <w:r>
        <w:rPr>
          <w:rFonts w:ascii="宋体" w:hAnsi="宋体" w:cs="宋体"/>
          <w:bCs/>
          <w:kern w:val="0"/>
          <w:szCs w:val="21"/>
        </w:rPr>
        <w:t>GB 15579.8-2014</w:t>
      </w:r>
      <w:r>
        <w:rPr>
          <w:rFonts w:hint="eastAsia" w:ascii="宋体" w:hAnsi="宋体" w:cs="宋体"/>
          <w:bCs/>
          <w:kern w:val="0"/>
          <w:szCs w:val="21"/>
        </w:rPr>
        <w:t xml:space="preserve">    </w:t>
      </w:r>
      <w:r>
        <w:rPr>
          <w:rFonts w:ascii="宋体" w:hAnsi="宋体"/>
          <w:bCs/>
          <w:szCs w:val="21"/>
        </w:rPr>
        <w:t>《</w:t>
      </w:r>
      <w:r>
        <w:rPr>
          <w:rFonts w:hint="eastAsia" w:ascii="宋体" w:hAnsi="宋体"/>
          <w:bCs/>
          <w:szCs w:val="21"/>
        </w:rPr>
        <w:t>弧焊设备 第8部分：焊接和等离子切割系统的气路装置</w:t>
      </w:r>
      <w:r>
        <w:rPr>
          <w:rFonts w:ascii="宋体" w:hAnsi="宋体"/>
          <w:bCs/>
          <w:szCs w:val="21"/>
        </w:rPr>
        <w:t>》</w:t>
      </w:r>
      <w:r>
        <w:rPr>
          <w:rFonts w:hint="eastAsia" w:ascii="宋体" w:hAnsi="宋体"/>
          <w:bCs/>
          <w:szCs w:val="21"/>
        </w:rPr>
        <w:t>。</w:t>
      </w:r>
    </w:p>
    <w:p>
      <w:pPr>
        <w:adjustRightInd w:val="0"/>
        <w:snapToGrid w:val="0"/>
        <w:spacing w:beforeLines="50" w:line="360" w:lineRule="auto"/>
        <w:ind w:left="424"/>
        <w:rPr>
          <w:rFonts w:ascii="宋体" w:hAnsi="宋体"/>
          <w:bCs/>
          <w:szCs w:val="21"/>
        </w:rPr>
      </w:pPr>
      <w:r>
        <w:rPr>
          <w:rFonts w:ascii="宋体" w:hAnsi="宋体" w:cs="宋体"/>
          <w:bCs/>
          <w:kern w:val="0"/>
          <w:szCs w:val="21"/>
        </w:rPr>
        <w:t>GB 4208-2008</w:t>
      </w:r>
      <w:r>
        <w:rPr>
          <w:rFonts w:hint="eastAsia" w:ascii="宋体" w:hAnsi="宋体" w:cs="宋体"/>
          <w:bCs/>
          <w:kern w:val="0"/>
          <w:szCs w:val="21"/>
        </w:rPr>
        <w:t xml:space="preserve">       </w:t>
      </w:r>
      <w:r>
        <w:rPr>
          <w:rFonts w:hint="eastAsia" w:ascii="宋体" w:hAnsi="宋体"/>
          <w:bCs/>
          <w:szCs w:val="21"/>
        </w:rPr>
        <w:t>《外壳防护等级（IP代码）》。</w:t>
      </w:r>
    </w:p>
    <w:p>
      <w:pPr>
        <w:pStyle w:val="23"/>
        <w:tabs>
          <w:tab w:val="left" w:pos="1290"/>
          <w:tab w:val="left" w:pos="1680"/>
        </w:tabs>
        <w:adjustRightInd w:val="0"/>
        <w:snapToGrid w:val="0"/>
        <w:spacing w:line="360" w:lineRule="auto"/>
        <w:rPr>
          <w:sz w:val="21"/>
          <w:szCs w:val="21"/>
        </w:rPr>
      </w:pPr>
      <w:r>
        <w:rPr>
          <w:rFonts w:hint="eastAsia"/>
          <w:sz w:val="21"/>
          <w:szCs w:val="21"/>
        </w:rPr>
        <w:t>5.</w:t>
      </w:r>
      <w:r>
        <w:rPr>
          <w:sz w:val="21"/>
          <w:szCs w:val="21"/>
        </w:rPr>
        <w:t>2.设备的设计与制造要求采用国际公制单位，个别部件采用英制单位应列出清单。</w:t>
      </w:r>
    </w:p>
    <w:p>
      <w:pPr>
        <w:adjustRightInd w:val="0"/>
        <w:snapToGrid w:val="0"/>
        <w:spacing w:line="360" w:lineRule="auto"/>
        <w:rPr>
          <w:szCs w:val="21"/>
        </w:rPr>
      </w:pPr>
      <w:r>
        <w:rPr>
          <w:rFonts w:hint="eastAsia" w:ascii="宋体" w:hAnsi="宋体"/>
          <w:szCs w:val="21"/>
        </w:rPr>
        <w:t>5.3</w:t>
      </w:r>
      <w:r>
        <w:rPr>
          <w:rFonts w:ascii="宋体" w:hAnsi="宋体"/>
          <w:szCs w:val="21"/>
        </w:rPr>
        <w:t>.</w:t>
      </w:r>
      <w:r>
        <w:rPr>
          <w:szCs w:val="21"/>
        </w:rPr>
        <w:t>上述标准均应为</w:t>
      </w:r>
      <w:r>
        <w:rPr>
          <w:rFonts w:hint="eastAsia"/>
          <w:szCs w:val="21"/>
        </w:rPr>
        <w:t>投</w:t>
      </w:r>
      <w:r>
        <w:rPr>
          <w:szCs w:val="21"/>
        </w:rPr>
        <w:t>标截止日时的最新有效版</w:t>
      </w:r>
      <w:r>
        <w:rPr>
          <w:rFonts w:hint="eastAsia"/>
          <w:szCs w:val="21"/>
        </w:rPr>
        <w:t>。</w:t>
      </w:r>
    </w:p>
    <w:p>
      <w:pPr>
        <w:adjustRightInd w:val="0"/>
        <w:snapToGrid w:val="0"/>
        <w:spacing w:beforeLines="100"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spacing w:line="360" w:lineRule="auto"/>
        <w:ind w:firstLine="210" w:firstLineChars="100"/>
        <w:rPr>
          <w:rFonts w:ascii="宋体" w:hAnsi="宋体"/>
          <w:szCs w:val="21"/>
          <w:u w:val="single"/>
        </w:rPr>
      </w:pPr>
      <w:r>
        <w:rPr>
          <w:rFonts w:ascii="宋体" w:hAnsi="宋体"/>
          <w:szCs w:val="21"/>
        </w:rPr>
        <w:t>1.1</w:t>
      </w:r>
      <w:r>
        <w:rPr>
          <w:rFonts w:hint="eastAsia" w:ascii="宋体" w:hAnsi="宋体"/>
          <w:szCs w:val="21"/>
        </w:rPr>
        <w:t>参考型号</w:t>
      </w:r>
      <w:r>
        <w:rPr>
          <w:rFonts w:hint="eastAsia" w:ascii="宋体" w:hAnsi="宋体"/>
          <w:szCs w:val="21"/>
          <w:lang w:eastAsia="zh-CN"/>
        </w:rPr>
        <w:t>：</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u w:val="single"/>
        </w:rPr>
      </w:pPr>
      <w:r>
        <w:rPr>
          <w:rFonts w:hint="eastAsia" w:ascii="宋体" w:hAnsi="宋体"/>
          <w:szCs w:val="21"/>
        </w:rPr>
        <w:t>1.2外形尺寸</w:t>
      </w:r>
      <w:r>
        <w:rPr>
          <w:rFonts w:hint="eastAsia" w:ascii="宋体" w:hAnsi="宋体"/>
          <w:szCs w:val="21"/>
          <w:lang w:eastAsia="zh-CN"/>
        </w:rPr>
        <w:t>：</w:t>
      </w:r>
      <w:r>
        <w:rPr>
          <w:rFonts w:hint="eastAsia" w:ascii="宋体" w:hAnsi="宋体"/>
          <w:szCs w:val="21"/>
          <w:u w:val="single"/>
        </w:rPr>
        <w:t xml:space="preserve">         </w:t>
      </w:r>
    </w:p>
    <w:p>
      <w:pPr>
        <w:adjustRightInd w:val="0"/>
        <w:snapToGrid w:val="0"/>
        <w:spacing w:line="360" w:lineRule="auto"/>
        <w:ind w:firstLine="210" w:firstLineChars="100"/>
        <w:rPr>
          <w:rFonts w:asciiTheme="minorEastAsia" w:hAnsiTheme="minorEastAsia" w:eastAsiaTheme="minorEastAsia" w:cstheme="minorEastAsia"/>
          <w:szCs w:val="21"/>
        </w:rPr>
      </w:pPr>
      <w:r>
        <w:rPr>
          <w:rFonts w:hint="eastAsia" w:ascii="宋体" w:hAnsi="宋体"/>
          <w:szCs w:val="21"/>
        </w:rPr>
        <w:t>1.3输入</w:t>
      </w:r>
      <w:r>
        <w:rPr>
          <w:rFonts w:hint="eastAsia" w:asciiTheme="minorEastAsia" w:hAnsiTheme="minorEastAsia" w:eastAsiaTheme="minorEastAsia" w:cstheme="minorEastAsia"/>
          <w:szCs w:val="21"/>
        </w:rPr>
        <w:t>保护（配电箱）保险丝：</w:t>
      </w:r>
      <w:r>
        <w:rPr>
          <w:rFonts w:hint="eastAsia" w:ascii="宋体" w:hAnsi="宋体"/>
          <w:szCs w:val="21"/>
          <w:u w:val="single"/>
        </w:rPr>
        <w:t xml:space="preserve">         </w:t>
      </w:r>
      <w:r>
        <w:rPr>
          <w:rFonts w:hint="eastAsia" w:asciiTheme="minorEastAsia" w:hAnsiTheme="minorEastAsia" w:eastAsiaTheme="minorEastAsia" w:cstheme="minorEastAsia"/>
          <w:szCs w:val="21"/>
        </w:rPr>
        <w:t>；断路器：</w:t>
      </w:r>
      <w:r>
        <w:rPr>
          <w:rFonts w:hint="eastAsia" w:ascii="宋体" w:hAnsi="宋体"/>
          <w:szCs w:val="21"/>
          <w:u w:val="single"/>
        </w:rPr>
        <w:t xml:space="preserve">         </w:t>
      </w:r>
    </w:p>
    <w:p>
      <w:pPr>
        <w:adjustRightInd w:val="0"/>
        <w:snapToGrid w:val="0"/>
        <w:spacing w:line="360" w:lineRule="auto"/>
        <w:ind w:left="1260" w:leftChars="100" w:hanging="1050" w:hangingChars="5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1.4电缆：</w:t>
      </w:r>
      <w:r>
        <w:rPr>
          <w:rFonts w:hint="eastAsia" w:ascii="宋体" w:hAnsi="宋体"/>
          <w:szCs w:val="21"/>
          <w:u w:val="single"/>
        </w:rPr>
        <w:t xml:space="preserve">         </w:t>
      </w:r>
      <w:r>
        <w:rPr>
          <w:rFonts w:hint="eastAsia" w:asciiTheme="minorEastAsia" w:hAnsiTheme="minorEastAsia" w:eastAsiaTheme="minorEastAsia" w:cstheme="minorEastAsia"/>
          <w:szCs w:val="21"/>
        </w:rPr>
        <w:t>；切割电源输入侧：</w:t>
      </w:r>
      <w:r>
        <w:rPr>
          <w:rFonts w:hint="eastAsia" w:ascii="宋体" w:hAnsi="宋体"/>
          <w:szCs w:val="21"/>
          <w:u w:val="single"/>
        </w:rPr>
        <w:t xml:space="preserve">         </w:t>
      </w:r>
      <w:r>
        <w:rPr>
          <w:rFonts w:hint="eastAsia" w:asciiTheme="minorEastAsia" w:hAnsiTheme="minorEastAsia" w:eastAsiaTheme="minorEastAsia" w:cstheme="minorEastAsia"/>
          <w:color w:val="333333"/>
          <w:szCs w:val="21"/>
          <w:shd w:val="clear" w:color="auto" w:fill="FFFFFF"/>
        </w:rPr>
        <w:t>；</w:t>
      </w:r>
      <w:r>
        <w:rPr>
          <w:rFonts w:hint="eastAsia" w:asciiTheme="minorEastAsia" w:hAnsiTheme="minorEastAsia" w:eastAsiaTheme="minorEastAsia" w:cstheme="minorEastAsia"/>
          <w:szCs w:val="21"/>
        </w:rPr>
        <w:t>切割电源输出侧：</w:t>
      </w:r>
      <w:r>
        <w:rPr>
          <w:rFonts w:hint="eastAsia" w:ascii="宋体" w:hAnsi="宋体"/>
          <w:szCs w:val="21"/>
          <w:u w:val="single"/>
        </w:rPr>
        <w:t xml:space="preserve">         </w:t>
      </w:r>
    </w:p>
    <w:p>
      <w:pPr>
        <w:adjustRightInd w:val="0"/>
        <w:snapToGrid w:val="0"/>
        <w:spacing w:line="360" w:lineRule="auto"/>
        <w:ind w:left="1260" w:leftChars="100" w:hanging="1050" w:hangingChars="5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1.5额定输入容量KW：</w:t>
      </w:r>
      <w:r>
        <w:rPr>
          <w:rFonts w:hint="eastAsia" w:ascii="宋体" w:hAnsi="宋体"/>
          <w:szCs w:val="21"/>
          <w:u w:val="single"/>
        </w:rPr>
        <w:t xml:space="preserve">         </w:t>
      </w:r>
    </w:p>
    <w:p>
      <w:pPr>
        <w:adjustRightInd w:val="0"/>
        <w:snapToGrid w:val="0"/>
        <w:spacing w:line="360" w:lineRule="auto"/>
        <w:ind w:firstLine="210" w:firstLineChars="100"/>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1.6额定输出电流：</w:t>
      </w:r>
      <w:r>
        <w:rPr>
          <w:rFonts w:hint="eastAsia" w:ascii="宋体" w:hAnsi="宋体"/>
          <w:szCs w:val="21"/>
          <w:u w:val="single"/>
        </w:rPr>
        <w:t xml:space="preserve">         </w:t>
      </w:r>
      <w:r>
        <w:rPr>
          <w:rFonts w:hint="eastAsia" w:asciiTheme="minorEastAsia" w:hAnsiTheme="minorEastAsia" w:eastAsiaTheme="minorEastAsia" w:cstheme="minorEastAsia"/>
          <w:szCs w:val="21"/>
        </w:rPr>
        <w:t xml:space="preserve"> </w:t>
      </w:r>
    </w:p>
    <w:p>
      <w:pPr>
        <w:adjustRightInd w:val="0"/>
        <w:snapToGrid w:val="0"/>
        <w:spacing w:line="360" w:lineRule="auto"/>
        <w:ind w:firstLine="210" w:firstLineChars="100"/>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1.7额定输出电压：</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rPr>
      </w:pPr>
      <w:r>
        <w:rPr>
          <w:rFonts w:hint="eastAsia" w:ascii="宋体" w:hAnsi="宋体"/>
          <w:szCs w:val="21"/>
        </w:rPr>
        <w:t>1.8额定负载持续率：</w:t>
      </w:r>
      <w:r>
        <w:rPr>
          <w:rFonts w:hint="eastAsia" w:ascii="宋体" w:hAnsi="宋体"/>
          <w:szCs w:val="21"/>
          <w:u w:val="single"/>
        </w:rPr>
        <w:t xml:space="preserve">         </w:t>
      </w:r>
    </w:p>
    <w:p>
      <w:pPr>
        <w:adjustRightInd w:val="0"/>
        <w:snapToGrid w:val="0"/>
        <w:spacing w:line="360" w:lineRule="auto"/>
        <w:ind w:firstLine="210" w:firstLineChars="100"/>
        <w:rPr>
          <w:rFonts w:hint="eastAsia" w:ascii="宋体" w:hAnsi="宋体"/>
          <w:szCs w:val="21"/>
          <w:u w:val="single"/>
        </w:rPr>
      </w:pPr>
      <w:r>
        <w:rPr>
          <w:rFonts w:hint="eastAsia" w:ascii="宋体" w:hAnsi="宋体"/>
          <w:szCs w:val="21"/>
        </w:rPr>
        <w:t>1.9空载电压：</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rPr>
      </w:pPr>
      <w:r>
        <w:rPr>
          <w:rFonts w:hint="eastAsia" w:ascii="宋体" w:hAnsi="宋体"/>
          <w:szCs w:val="21"/>
        </w:rPr>
        <w:t>1.10输出电流范围：</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u w:val="single"/>
        </w:rPr>
      </w:pPr>
      <w:r>
        <w:rPr>
          <w:rFonts w:hint="eastAsia" w:ascii="宋体" w:hAnsi="宋体"/>
          <w:szCs w:val="21"/>
        </w:rPr>
        <w:t>1.11外壳防护等级：</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u w:val="single"/>
        </w:rPr>
      </w:pPr>
      <w:r>
        <w:rPr>
          <w:rFonts w:hint="eastAsia" w:ascii="宋体" w:hAnsi="宋体"/>
          <w:szCs w:val="21"/>
        </w:rPr>
        <w:t>1.12绝缘等级：</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rPr>
      </w:pPr>
      <w:r>
        <w:rPr>
          <w:rFonts w:hint="eastAsia" w:ascii="宋体" w:hAnsi="宋体"/>
          <w:szCs w:val="21"/>
        </w:rPr>
        <w:t>1.13冷却方式：</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rPr>
      </w:pPr>
      <w:r>
        <w:rPr>
          <w:rFonts w:ascii="宋体" w:hAnsi="宋体"/>
          <w:szCs w:val="21"/>
        </w:rPr>
        <w:t>1.</w:t>
      </w:r>
      <w:r>
        <w:rPr>
          <w:rFonts w:hint="eastAsia" w:ascii="宋体" w:hAnsi="宋体"/>
          <w:szCs w:val="21"/>
        </w:rPr>
        <w:t>14控制方式：</w:t>
      </w:r>
      <w:r>
        <w:rPr>
          <w:rFonts w:hint="eastAsia" w:ascii="宋体" w:hAnsi="宋体"/>
          <w:szCs w:val="21"/>
          <w:u w:val="single"/>
        </w:rPr>
        <w:t xml:space="preserve">         </w:t>
      </w:r>
    </w:p>
    <w:p>
      <w:pPr>
        <w:adjustRightInd w:val="0"/>
        <w:snapToGrid w:val="0"/>
        <w:spacing w:line="360" w:lineRule="auto"/>
        <w:ind w:firstLine="210" w:firstLineChars="100"/>
        <w:rPr>
          <w:rFonts w:ascii="宋体"/>
          <w:szCs w:val="21"/>
        </w:rPr>
      </w:pPr>
      <w:r>
        <w:rPr>
          <w:rFonts w:hint="eastAsia" w:ascii="宋体" w:hAnsi="宋体"/>
          <w:szCs w:val="21"/>
        </w:rPr>
        <w:t>1.15重量：</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rPr>
      </w:pPr>
      <w:r>
        <w:rPr>
          <w:rFonts w:hint="eastAsia" w:ascii="宋体"/>
          <w:szCs w:val="21"/>
        </w:rPr>
        <w:t>1.16</w:t>
      </w:r>
      <w:r>
        <w:rPr>
          <w:rFonts w:hint="eastAsia" w:ascii="宋体" w:hAnsi="宋体"/>
          <w:szCs w:val="21"/>
        </w:rPr>
        <w:t>起弧方式：</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rPr>
      </w:pPr>
      <w:r>
        <w:rPr>
          <w:rFonts w:hint="eastAsia" w:ascii="宋体"/>
          <w:szCs w:val="21"/>
        </w:rPr>
        <w:t>1.17</w:t>
      </w:r>
      <w:r>
        <w:rPr>
          <w:rFonts w:hint="eastAsia" w:ascii="宋体" w:hAnsi="宋体"/>
          <w:szCs w:val="21"/>
        </w:rPr>
        <w:t>切割炬：</w:t>
      </w:r>
      <w:r>
        <w:rPr>
          <w:rFonts w:hint="eastAsia" w:ascii="宋体" w:hAnsi="宋体"/>
          <w:szCs w:val="21"/>
          <w:u w:val="single"/>
        </w:rPr>
        <w:t xml:space="preserve">         </w:t>
      </w:r>
    </w:p>
    <w:p>
      <w:pPr>
        <w:adjustRightInd w:val="0"/>
        <w:snapToGrid w:val="0"/>
        <w:spacing w:line="360" w:lineRule="auto"/>
        <w:ind w:firstLine="210" w:firstLineChars="100"/>
        <w:rPr>
          <w:rFonts w:ascii="宋体" w:hAnsi="宋体"/>
          <w:szCs w:val="21"/>
        </w:rPr>
      </w:pPr>
      <w:r>
        <w:rPr>
          <w:rFonts w:hint="eastAsia" w:ascii="宋体" w:hAnsi="宋体"/>
          <w:szCs w:val="21"/>
        </w:rPr>
        <w:t>1.18割炬线长度：</w:t>
      </w:r>
      <w:r>
        <w:rPr>
          <w:rFonts w:hint="eastAsia" w:ascii="宋体" w:hAnsi="宋体"/>
          <w:szCs w:val="21"/>
          <w:u w:val="single"/>
        </w:rPr>
        <w:t xml:space="preserve">         </w:t>
      </w:r>
      <w:r>
        <w:rPr>
          <w:rFonts w:hint="eastAsia" w:ascii="宋体" w:hAnsi="宋体"/>
          <w:szCs w:val="21"/>
        </w:rPr>
        <w:t>，地线长度：</w:t>
      </w:r>
      <w:r>
        <w:rPr>
          <w:rFonts w:hint="eastAsia" w:ascii="宋体" w:hAnsi="宋体"/>
          <w:szCs w:val="21"/>
          <w:u w:val="single"/>
        </w:rPr>
        <w:t xml:space="preserve">         </w:t>
      </w:r>
      <w:r>
        <w:rPr>
          <w:rFonts w:hint="eastAsia" w:ascii="宋体" w:hAnsi="宋体"/>
          <w:szCs w:val="21"/>
        </w:rPr>
        <w:t>，电源线长度：</w:t>
      </w:r>
      <w:r>
        <w:rPr>
          <w:rFonts w:hint="eastAsia" w:ascii="宋体" w:hAnsi="宋体"/>
          <w:szCs w:val="21"/>
          <w:u w:val="single"/>
        </w:rPr>
        <w:t xml:space="preserve">         </w:t>
      </w:r>
    </w:p>
    <w:p>
      <w:pPr>
        <w:adjustRightInd w:val="0"/>
        <w:snapToGrid w:val="0"/>
        <w:spacing w:line="360" w:lineRule="auto"/>
        <w:rPr>
          <w:rFonts w:ascii="宋体"/>
          <w:szCs w:val="21"/>
        </w:rPr>
      </w:pPr>
      <w:r>
        <w:rPr>
          <w:rFonts w:ascii="宋体"/>
          <w:szCs w:val="21"/>
        </w:rPr>
        <w:t>2.</w:t>
      </w:r>
      <w:r>
        <w:rPr>
          <w:rFonts w:hint="eastAsia" w:ascii="宋体"/>
          <w:szCs w:val="21"/>
        </w:rPr>
        <w:t>投标人需要特别说明的其他问题</w:t>
      </w:r>
    </w:p>
    <w:p>
      <w:pPr>
        <w:widowControl/>
        <w:jc w:val="left"/>
        <w:rPr>
          <w:rFonts w:ascii="宋体" w:hAnsi="宋体" w:eastAsia="黑体" w:cs="宋体"/>
          <w:sz w:val="28"/>
          <w:szCs w:val="21"/>
        </w:rPr>
      </w:pPr>
      <w:bookmarkStart w:id="2" w:name="_Toc357086143"/>
      <w:r>
        <w:rPr>
          <w:rFonts w:ascii="宋体" w:hAnsi="宋体"/>
          <w:szCs w:val="21"/>
        </w:rPr>
        <w:br w:type="page"/>
      </w:r>
    </w:p>
    <w:p>
      <w:pPr>
        <w:pStyle w:val="20"/>
        <w:jc w:val="center"/>
        <w:rPr>
          <w:rFonts w:ascii="黑体" w:hAnsi="黑体" w:cs="Times New Roman"/>
          <w:b/>
          <w:bCs/>
          <w:sz w:val="32"/>
          <w:szCs w:val="24"/>
        </w:rPr>
      </w:pPr>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所有为设备的组装、空载试验、带载试验、试运行、质保期内和质保期后1年必备的备件、消耗品，包括专用工具、仪器、仪表等，在设备交货时提供。推迟的交货期将按照设备推迟交货计算。</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中标人应保证长期以最优惠的价格供给易损件和备件。如果备件发生设计变更，应将变更信息及时通知用户。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中标人备件价格在设备开始使用的3年内必须维持同期的市场价。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在5年内，因中标人技术升级导致部分备件不能提供时，中标人要免费为用户升级设备。</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9. 5年后在备件停止生产的情况下，中标人应事先将要停止生产的计划通知招标人使招标人有足够的时间采购所需的备件。</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10. 5年后在备件停止生产后，如果招标人要求，中标人应免费向招标人提供备件的蓝图、图纸和规格。</w:t>
      </w:r>
    </w:p>
    <w:p>
      <w:pPr>
        <w:adjustRightInd w:val="0"/>
        <w:snapToGrid w:val="0"/>
        <w:spacing w:beforeLines="50" w:line="360" w:lineRule="auto"/>
        <w:ind w:left="315" w:hanging="315" w:hangingChars="150"/>
        <w:rPr>
          <w:rFonts w:ascii="宋体" w:hAnsi="宋体"/>
          <w:szCs w:val="21"/>
        </w:rPr>
      </w:pPr>
    </w:p>
    <w:p>
      <w:pPr>
        <w:adjustRightInd w:val="0"/>
        <w:snapToGrid w:val="0"/>
        <w:spacing w:beforeLines="50" w:line="360" w:lineRule="auto"/>
        <w:ind w:left="315" w:hanging="315" w:hangingChars="150"/>
        <w:rPr>
          <w:rFonts w:ascii="宋体" w:hAnsi="宋体"/>
          <w:szCs w:val="21"/>
        </w:rPr>
      </w:pPr>
    </w:p>
    <w:p>
      <w:pPr>
        <w:adjustRightInd w:val="0"/>
        <w:snapToGrid w:val="0"/>
        <w:spacing w:beforeLines="50" w:line="360" w:lineRule="auto"/>
        <w:ind w:left="315" w:hanging="315" w:hangingChars="150"/>
        <w:rPr>
          <w:rFonts w:ascii="宋体" w:hAnsi="宋体"/>
          <w:szCs w:val="21"/>
        </w:rPr>
      </w:pPr>
    </w:p>
    <w:p>
      <w:pPr>
        <w:adjustRightInd w:val="0"/>
        <w:snapToGrid w:val="0"/>
        <w:spacing w:beforeLines="50" w:line="360" w:lineRule="auto"/>
        <w:ind w:left="315" w:hanging="315" w:hangingChars="150"/>
        <w:rPr>
          <w:rFonts w:ascii="宋体" w:hAnsi="宋体"/>
          <w:szCs w:val="21"/>
        </w:rPr>
      </w:pPr>
    </w:p>
    <w:p>
      <w:pPr>
        <w:adjustRightInd w:val="0"/>
        <w:snapToGrid w:val="0"/>
        <w:spacing w:beforeLines="50" w:line="360" w:lineRule="auto"/>
        <w:ind w:left="315" w:hanging="315" w:hangingChars="150"/>
        <w:rPr>
          <w:rFonts w:ascii="宋体" w:hAnsi="宋体"/>
          <w:szCs w:val="21"/>
        </w:rPr>
      </w:pPr>
    </w:p>
    <w:p>
      <w:pPr>
        <w:adjustRightInd w:val="0"/>
        <w:snapToGrid w:val="0"/>
        <w:spacing w:beforeLines="50" w:line="360" w:lineRule="auto"/>
        <w:ind w:left="315" w:hanging="315" w:hangingChars="150"/>
        <w:rPr>
          <w:rFonts w:ascii="宋体" w:hAnsi="宋体"/>
          <w:szCs w:val="21"/>
        </w:rPr>
      </w:pPr>
    </w:p>
    <w:p>
      <w:pPr>
        <w:adjustRightInd w:val="0"/>
        <w:snapToGrid w:val="0"/>
        <w:spacing w:beforeLines="50" w:line="360" w:lineRule="auto"/>
        <w:ind w:left="315" w:hanging="315" w:hangingChars="150"/>
        <w:rPr>
          <w:rFonts w:ascii="宋体" w:hAnsi="宋体"/>
          <w:szCs w:val="21"/>
        </w:rPr>
      </w:pPr>
    </w:p>
    <w:p>
      <w:pPr>
        <w:pStyle w:val="20"/>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7"/>
        <w:adjustRightInd w:val="0"/>
        <w:snapToGrid w:val="0"/>
        <w:spacing w:line="360" w:lineRule="auto"/>
        <w:rPr>
          <w:rFonts w:ascii="宋体" w:hAnsi="宋体"/>
          <w:szCs w:val="21"/>
        </w:rPr>
      </w:pPr>
    </w:p>
    <w:p>
      <w:pPr>
        <w:pStyle w:val="20"/>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——矿区现场培训招标人人员。</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20"/>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20"/>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由于中标方原因（设计或质量问题）引起的故障，中标方质保期内应免费对产品进行维修服务，无偿更换零件、部件,更换、维修后的部件质保期从产品正常运行之日起重新计算。</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5"/>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20"/>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Lines="50" w:line="360" w:lineRule="auto"/>
        <w:ind w:left="283" w:hanging="283" w:hangingChars="135"/>
        <w:rPr>
          <w:rFonts w:ascii="宋体" w:hAnsi="宋体"/>
          <w:szCs w:val="21"/>
        </w:rPr>
      </w:pP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Lines="50" w:line="360" w:lineRule="auto"/>
        <w:ind w:left="283" w:hanging="283" w:hangingChars="135"/>
      </w:pPr>
      <w:r>
        <w:rPr>
          <w:rFonts w:hint="eastAsia" w:ascii="宋体" w:hAnsi="宋体"/>
          <w:szCs w:val="21"/>
        </w:rPr>
        <w:t>8、投标人提供的上述技术资料必须满足招标人用于标的物维修的需求。</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8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24AED"/>
    <w:rsid w:val="000136A8"/>
    <w:rsid w:val="00015381"/>
    <w:rsid w:val="00017046"/>
    <w:rsid w:val="00021AB5"/>
    <w:rsid w:val="000318FF"/>
    <w:rsid w:val="000321FF"/>
    <w:rsid w:val="00034491"/>
    <w:rsid w:val="000349FF"/>
    <w:rsid w:val="00040FAA"/>
    <w:rsid w:val="00046393"/>
    <w:rsid w:val="00062A06"/>
    <w:rsid w:val="00074BAA"/>
    <w:rsid w:val="00077980"/>
    <w:rsid w:val="0008777B"/>
    <w:rsid w:val="00091069"/>
    <w:rsid w:val="00091B10"/>
    <w:rsid w:val="000B4A8F"/>
    <w:rsid w:val="000C002E"/>
    <w:rsid w:val="000C7C69"/>
    <w:rsid w:val="000D0648"/>
    <w:rsid w:val="000D5B51"/>
    <w:rsid w:val="000F7B2D"/>
    <w:rsid w:val="00102501"/>
    <w:rsid w:val="00106631"/>
    <w:rsid w:val="00135C44"/>
    <w:rsid w:val="00136D01"/>
    <w:rsid w:val="00142DC8"/>
    <w:rsid w:val="001461E6"/>
    <w:rsid w:val="00152AAB"/>
    <w:rsid w:val="00155A24"/>
    <w:rsid w:val="001608A6"/>
    <w:rsid w:val="001624DE"/>
    <w:rsid w:val="00162CD6"/>
    <w:rsid w:val="0016641B"/>
    <w:rsid w:val="0017236C"/>
    <w:rsid w:val="00173B13"/>
    <w:rsid w:val="00175505"/>
    <w:rsid w:val="001803C1"/>
    <w:rsid w:val="001C2A35"/>
    <w:rsid w:val="001D7282"/>
    <w:rsid w:val="001F4C78"/>
    <w:rsid w:val="0020094D"/>
    <w:rsid w:val="00205A97"/>
    <w:rsid w:val="00207DB2"/>
    <w:rsid w:val="00213B0F"/>
    <w:rsid w:val="002176A7"/>
    <w:rsid w:val="0023500D"/>
    <w:rsid w:val="00243118"/>
    <w:rsid w:val="0024361C"/>
    <w:rsid w:val="00247066"/>
    <w:rsid w:val="002475A2"/>
    <w:rsid w:val="00254199"/>
    <w:rsid w:val="002633A5"/>
    <w:rsid w:val="0026397C"/>
    <w:rsid w:val="00281BF4"/>
    <w:rsid w:val="002902C1"/>
    <w:rsid w:val="00292D0F"/>
    <w:rsid w:val="002A0807"/>
    <w:rsid w:val="002C2B1B"/>
    <w:rsid w:val="002D5BFD"/>
    <w:rsid w:val="002D7DA4"/>
    <w:rsid w:val="002E17F4"/>
    <w:rsid w:val="002E4385"/>
    <w:rsid w:val="002F00DB"/>
    <w:rsid w:val="0030306D"/>
    <w:rsid w:val="003133E1"/>
    <w:rsid w:val="00315A14"/>
    <w:rsid w:val="00324547"/>
    <w:rsid w:val="00324AED"/>
    <w:rsid w:val="00333F54"/>
    <w:rsid w:val="003370AA"/>
    <w:rsid w:val="003417A1"/>
    <w:rsid w:val="00343D04"/>
    <w:rsid w:val="003538D6"/>
    <w:rsid w:val="00355943"/>
    <w:rsid w:val="0035699D"/>
    <w:rsid w:val="00356D35"/>
    <w:rsid w:val="0036001B"/>
    <w:rsid w:val="003708D1"/>
    <w:rsid w:val="00375D0E"/>
    <w:rsid w:val="00386656"/>
    <w:rsid w:val="003A43AD"/>
    <w:rsid w:val="003B3F9D"/>
    <w:rsid w:val="003D0832"/>
    <w:rsid w:val="003D621C"/>
    <w:rsid w:val="003F1795"/>
    <w:rsid w:val="003F38A7"/>
    <w:rsid w:val="004013AD"/>
    <w:rsid w:val="004021E7"/>
    <w:rsid w:val="00403AA0"/>
    <w:rsid w:val="00405B14"/>
    <w:rsid w:val="00413602"/>
    <w:rsid w:val="00415933"/>
    <w:rsid w:val="004171CC"/>
    <w:rsid w:val="00424C95"/>
    <w:rsid w:val="004328D4"/>
    <w:rsid w:val="00433399"/>
    <w:rsid w:val="00434ADA"/>
    <w:rsid w:val="00440196"/>
    <w:rsid w:val="00462545"/>
    <w:rsid w:val="0046284D"/>
    <w:rsid w:val="00481D87"/>
    <w:rsid w:val="004842B2"/>
    <w:rsid w:val="00485140"/>
    <w:rsid w:val="004954E0"/>
    <w:rsid w:val="004A5487"/>
    <w:rsid w:val="004D4587"/>
    <w:rsid w:val="004E0346"/>
    <w:rsid w:val="004E39A5"/>
    <w:rsid w:val="004E5B57"/>
    <w:rsid w:val="004F3F2B"/>
    <w:rsid w:val="004F5D0C"/>
    <w:rsid w:val="00501850"/>
    <w:rsid w:val="00502BE3"/>
    <w:rsid w:val="0050670E"/>
    <w:rsid w:val="005210D7"/>
    <w:rsid w:val="005210E1"/>
    <w:rsid w:val="00522FE4"/>
    <w:rsid w:val="00524A09"/>
    <w:rsid w:val="005357F0"/>
    <w:rsid w:val="00543472"/>
    <w:rsid w:val="00553026"/>
    <w:rsid w:val="00553CBD"/>
    <w:rsid w:val="00564646"/>
    <w:rsid w:val="00584059"/>
    <w:rsid w:val="00595E43"/>
    <w:rsid w:val="00596F47"/>
    <w:rsid w:val="005A6A5C"/>
    <w:rsid w:val="005B215D"/>
    <w:rsid w:val="005B7C05"/>
    <w:rsid w:val="005C1073"/>
    <w:rsid w:val="005C2EC1"/>
    <w:rsid w:val="005C5D00"/>
    <w:rsid w:val="005D117A"/>
    <w:rsid w:val="005E1806"/>
    <w:rsid w:val="005E2C8D"/>
    <w:rsid w:val="005F6C66"/>
    <w:rsid w:val="00604F0E"/>
    <w:rsid w:val="00607817"/>
    <w:rsid w:val="006118E4"/>
    <w:rsid w:val="00616668"/>
    <w:rsid w:val="00640F00"/>
    <w:rsid w:val="00644CBA"/>
    <w:rsid w:val="0064539F"/>
    <w:rsid w:val="00674855"/>
    <w:rsid w:val="00682B9B"/>
    <w:rsid w:val="0068763C"/>
    <w:rsid w:val="00694812"/>
    <w:rsid w:val="00695B06"/>
    <w:rsid w:val="006B3D97"/>
    <w:rsid w:val="006C2B88"/>
    <w:rsid w:val="006C3017"/>
    <w:rsid w:val="006C3ED5"/>
    <w:rsid w:val="006D365C"/>
    <w:rsid w:val="006E52DC"/>
    <w:rsid w:val="006F7261"/>
    <w:rsid w:val="00707A3F"/>
    <w:rsid w:val="0072646E"/>
    <w:rsid w:val="0073246F"/>
    <w:rsid w:val="00734DF3"/>
    <w:rsid w:val="007404F7"/>
    <w:rsid w:val="0074278F"/>
    <w:rsid w:val="00750459"/>
    <w:rsid w:val="00765FB3"/>
    <w:rsid w:val="00780C4D"/>
    <w:rsid w:val="00782F74"/>
    <w:rsid w:val="00786A40"/>
    <w:rsid w:val="00786E22"/>
    <w:rsid w:val="00790A71"/>
    <w:rsid w:val="00796B6E"/>
    <w:rsid w:val="007A37E8"/>
    <w:rsid w:val="007A5778"/>
    <w:rsid w:val="007A60B5"/>
    <w:rsid w:val="007C39D7"/>
    <w:rsid w:val="007D1C2F"/>
    <w:rsid w:val="007E77E1"/>
    <w:rsid w:val="0080693E"/>
    <w:rsid w:val="00807102"/>
    <w:rsid w:val="008156D9"/>
    <w:rsid w:val="00820457"/>
    <w:rsid w:val="00821A39"/>
    <w:rsid w:val="008266ED"/>
    <w:rsid w:val="00826E8C"/>
    <w:rsid w:val="00826F56"/>
    <w:rsid w:val="0083250C"/>
    <w:rsid w:val="0083563D"/>
    <w:rsid w:val="00843418"/>
    <w:rsid w:val="00845825"/>
    <w:rsid w:val="00850FCE"/>
    <w:rsid w:val="00853966"/>
    <w:rsid w:val="00855944"/>
    <w:rsid w:val="008775CF"/>
    <w:rsid w:val="00881676"/>
    <w:rsid w:val="00882500"/>
    <w:rsid w:val="0088601A"/>
    <w:rsid w:val="00890998"/>
    <w:rsid w:val="00897BC6"/>
    <w:rsid w:val="008C2E31"/>
    <w:rsid w:val="008E4684"/>
    <w:rsid w:val="008F6198"/>
    <w:rsid w:val="00905422"/>
    <w:rsid w:val="009054B3"/>
    <w:rsid w:val="0092369C"/>
    <w:rsid w:val="00940E90"/>
    <w:rsid w:val="00942A89"/>
    <w:rsid w:val="00943FA8"/>
    <w:rsid w:val="00947716"/>
    <w:rsid w:val="00947E03"/>
    <w:rsid w:val="00950B14"/>
    <w:rsid w:val="009555FC"/>
    <w:rsid w:val="0096100E"/>
    <w:rsid w:val="00986153"/>
    <w:rsid w:val="00992860"/>
    <w:rsid w:val="00993163"/>
    <w:rsid w:val="009933CD"/>
    <w:rsid w:val="00994797"/>
    <w:rsid w:val="00996A9F"/>
    <w:rsid w:val="009A1731"/>
    <w:rsid w:val="009B4E9B"/>
    <w:rsid w:val="009B7AFD"/>
    <w:rsid w:val="009C560A"/>
    <w:rsid w:val="009D05E6"/>
    <w:rsid w:val="009D16D9"/>
    <w:rsid w:val="009D71F3"/>
    <w:rsid w:val="009E6AB0"/>
    <w:rsid w:val="009F0088"/>
    <w:rsid w:val="009F5DE1"/>
    <w:rsid w:val="009F700A"/>
    <w:rsid w:val="00A0156C"/>
    <w:rsid w:val="00A1147B"/>
    <w:rsid w:val="00A116B9"/>
    <w:rsid w:val="00A14213"/>
    <w:rsid w:val="00A2367D"/>
    <w:rsid w:val="00A25B21"/>
    <w:rsid w:val="00A3047A"/>
    <w:rsid w:val="00A30913"/>
    <w:rsid w:val="00A36918"/>
    <w:rsid w:val="00A6162C"/>
    <w:rsid w:val="00A678FB"/>
    <w:rsid w:val="00A67AA5"/>
    <w:rsid w:val="00A8273B"/>
    <w:rsid w:val="00A90896"/>
    <w:rsid w:val="00A9110C"/>
    <w:rsid w:val="00AA1072"/>
    <w:rsid w:val="00AA563E"/>
    <w:rsid w:val="00AB4035"/>
    <w:rsid w:val="00AB7D21"/>
    <w:rsid w:val="00AB7E73"/>
    <w:rsid w:val="00AC3394"/>
    <w:rsid w:val="00AD1819"/>
    <w:rsid w:val="00AD68D8"/>
    <w:rsid w:val="00AE09C2"/>
    <w:rsid w:val="00AE2322"/>
    <w:rsid w:val="00AE3F1F"/>
    <w:rsid w:val="00AE53E0"/>
    <w:rsid w:val="00AE59E4"/>
    <w:rsid w:val="00AE66AF"/>
    <w:rsid w:val="00AF260A"/>
    <w:rsid w:val="00AF2D81"/>
    <w:rsid w:val="00B031C1"/>
    <w:rsid w:val="00B03A0D"/>
    <w:rsid w:val="00B045D4"/>
    <w:rsid w:val="00B078AA"/>
    <w:rsid w:val="00B10346"/>
    <w:rsid w:val="00B10F01"/>
    <w:rsid w:val="00B15090"/>
    <w:rsid w:val="00B15920"/>
    <w:rsid w:val="00B17308"/>
    <w:rsid w:val="00B1737F"/>
    <w:rsid w:val="00B24159"/>
    <w:rsid w:val="00B246C9"/>
    <w:rsid w:val="00B335EE"/>
    <w:rsid w:val="00B42553"/>
    <w:rsid w:val="00B45AE6"/>
    <w:rsid w:val="00B479F5"/>
    <w:rsid w:val="00B57F81"/>
    <w:rsid w:val="00B615D0"/>
    <w:rsid w:val="00B6712E"/>
    <w:rsid w:val="00B73000"/>
    <w:rsid w:val="00B763C9"/>
    <w:rsid w:val="00B81CAE"/>
    <w:rsid w:val="00B83231"/>
    <w:rsid w:val="00B8459D"/>
    <w:rsid w:val="00B93EF8"/>
    <w:rsid w:val="00BA5523"/>
    <w:rsid w:val="00BB3B5C"/>
    <w:rsid w:val="00BC1A1D"/>
    <w:rsid w:val="00BC7C25"/>
    <w:rsid w:val="00BD126A"/>
    <w:rsid w:val="00BD3068"/>
    <w:rsid w:val="00BD4B9E"/>
    <w:rsid w:val="00BF1B41"/>
    <w:rsid w:val="00C005E2"/>
    <w:rsid w:val="00C04844"/>
    <w:rsid w:val="00C04AD7"/>
    <w:rsid w:val="00C077D1"/>
    <w:rsid w:val="00C22C5C"/>
    <w:rsid w:val="00C3204C"/>
    <w:rsid w:val="00C4031E"/>
    <w:rsid w:val="00C4115D"/>
    <w:rsid w:val="00C47843"/>
    <w:rsid w:val="00C52F81"/>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E6EE5"/>
    <w:rsid w:val="00CF3036"/>
    <w:rsid w:val="00D04856"/>
    <w:rsid w:val="00D10234"/>
    <w:rsid w:val="00D15AFD"/>
    <w:rsid w:val="00D32264"/>
    <w:rsid w:val="00D32C0C"/>
    <w:rsid w:val="00D33006"/>
    <w:rsid w:val="00D404B3"/>
    <w:rsid w:val="00D43F0D"/>
    <w:rsid w:val="00D45A07"/>
    <w:rsid w:val="00D4630D"/>
    <w:rsid w:val="00D50A55"/>
    <w:rsid w:val="00D93117"/>
    <w:rsid w:val="00D95D3F"/>
    <w:rsid w:val="00DA4732"/>
    <w:rsid w:val="00DA4BF3"/>
    <w:rsid w:val="00DA517A"/>
    <w:rsid w:val="00DA604E"/>
    <w:rsid w:val="00DB6D4F"/>
    <w:rsid w:val="00DB7AA4"/>
    <w:rsid w:val="00DC0DF1"/>
    <w:rsid w:val="00DC42CF"/>
    <w:rsid w:val="00DD144E"/>
    <w:rsid w:val="00DD1B16"/>
    <w:rsid w:val="00DD3E50"/>
    <w:rsid w:val="00DE1BDB"/>
    <w:rsid w:val="00DE243A"/>
    <w:rsid w:val="00E00421"/>
    <w:rsid w:val="00E050EF"/>
    <w:rsid w:val="00E12326"/>
    <w:rsid w:val="00E12EBD"/>
    <w:rsid w:val="00E17E02"/>
    <w:rsid w:val="00E322AE"/>
    <w:rsid w:val="00E33525"/>
    <w:rsid w:val="00E4526B"/>
    <w:rsid w:val="00E461DF"/>
    <w:rsid w:val="00E56E6F"/>
    <w:rsid w:val="00E62120"/>
    <w:rsid w:val="00E70FE5"/>
    <w:rsid w:val="00E73DE8"/>
    <w:rsid w:val="00E74C50"/>
    <w:rsid w:val="00E76767"/>
    <w:rsid w:val="00E8366B"/>
    <w:rsid w:val="00EA0D61"/>
    <w:rsid w:val="00EA1B79"/>
    <w:rsid w:val="00EA3C6E"/>
    <w:rsid w:val="00EB08C9"/>
    <w:rsid w:val="00EB74FF"/>
    <w:rsid w:val="00EB7AB9"/>
    <w:rsid w:val="00EC35BC"/>
    <w:rsid w:val="00EC5962"/>
    <w:rsid w:val="00EE23A6"/>
    <w:rsid w:val="00EE66B8"/>
    <w:rsid w:val="00F02E92"/>
    <w:rsid w:val="00F15AC7"/>
    <w:rsid w:val="00F16511"/>
    <w:rsid w:val="00F24373"/>
    <w:rsid w:val="00F31F86"/>
    <w:rsid w:val="00F3355C"/>
    <w:rsid w:val="00F34EC3"/>
    <w:rsid w:val="00F43474"/>
    <w:rsid w:val="00F54464"/>
    <w:rsid w:val="00F54953"/>
    <w:rsid w:val="00F73C38"/>
    <w:rsid w:val="00F76074"/>
    <w:rsid w:val="00F76586"/>
    <w:rsid w:val="00F7763A"/>
    <w:rsid w:val="00F81A41"/>
    <w:rsid w:val="00F83A15"/>
    <w:rsid w:val="00F86891"/>
    <w:rsid w:val="00F92D03"/>
    <w:rsid w:val="00FA6B21"/>
    <w:rsid w:val="00FB3542"/>
    <w:rsid w:val="00FC6B4B"/>
    <w:rsid w:val="00FD2101"/>
    <w:rsid w:val="00FD776B"/>
    <w:rsid w:val="00FE5241"/>
    <w:rsid w:val="00FE56D6"/>
    <w:rsid w:val="00FF6988"/>
    <w:rsid w:val="01125167"/>
    <w:rsid w:val="0C147CFD"/>
    <w:rsid w:val="0E061101"/>
    <w:rsid w:val="11F87C1F"/>
    <w:rsid w:val="17C427F6"/>
    <w:rsid w:val="1DC25464"/>
    <w:rsid w:val="276D78F5"/>
    <w:rsid w:val="279A597B"/>
    <w:rsid w:val="348F7FC8"/>
    <w:rsid w:val="35C054EF"/>
    <w:rsid w:val="43693B10"/>
    <w:rsid w:val="4C7170CA"/>
    <w:rsid w:val="4CBD3978"/>
    <w:rsid w:val="4D363597"/>
    <w:rsid w:val="4E460B23"/>
    <w:rsid w:val="52913D40"/>
    <w:rsid w:val="58BD7DF1"/>
    <w:rsid w:val="6CD323FF"/>
    <w:rsid w:val="6CE51751"/>
    <w:rsid w:val="79842BA0"/>
    <w:rsid w:val="7C43545D"/>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spacing w:beforeAutospacing="1" w:afterAutospacing="1"/>
      <w:jc w:val="left"/>
      <w:outlineLvl w:val="2"/>
    </w:pPr>
    <w:rPr>
      <w:rFonts w:hint="eastAsia" w:ascii="宋体" w:hAnsi="宋体"/>
      <w:b/>
      <w:kern w:val="0"/>
      <w:sz w:val="27"/>
      <w:szCs w:val="27"/>
    </w:rPr>
  </w:style>
  <w:style w:type="character" w:default="1" w:styleId="14">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30"/>
    <w:unhideWhenUsed/>
    <w:qFormat/>
    <w:uiPriority w:val="99"/>
    <w:rPr>
      <w:b/>
      <w:bCs/>
    </w:rPr>
  </w:style>
  <w:style w:type="paragraph" w:styleId="6">
    <w:name w:val="annotation text"/>
    <w:basedOn w:val="1"/>
    <w:link w:val="29"/>
    <w:unhideWhenUsed/>
    <w:qFormat/>
    <w:uiPriority w:val="99"/>
    <w:pPr>
      <w:jc w:val="left"/>
    </w:pPr>
  </w:style>
  <w:style w:type="paragraph" w:styleId="7">
    <w:name w:val="Body Text"/>
    <w:basedOn w:val="1"/>
    <w:link w:val="24"/>
    <w:qFormat/>
    <w:uiPriority w:val="0"/>
    <w:pPr>
      <w:spacing w:after="120"/>
    </w:pPr>
  </w:style>
  <w:style w:type="paragraph" w:styleId="8">
    <w:name w:val="Balloon Text"/>
    <w:basedOn w:val="1"/>
    <w:link w:val="31"/>
    <w:unhideWhenUsed/>
    <w:qFormat/>
    <w:uiPriority w:val="99"/>
    <w:rPr>
      <w:sz w:val="18"/>
      <w:szCs w:val="18"/>
    </w:rPr>
  </w:style>
  <w:style w:type="paragraph" w:styleId="9">
    <w:name w:val="footer"/>
    <w:basedOn w:val="1"/>
    <w:link w:val="28"/>
    <w:unhideWhenUsed/>
    <w:qFormat/>
    <w:uiPriority w:val="99"/>
    <w:pPr>
      <w:tabs>
        <w:tab w:val="center" w:pos="4153"/>
        <w:tab w:val="right" w:pos="8306"/>
      </w:tabs>
      <w:snapToGrid w:val="0"/>
      <w:jc w:val="left"/>
    </w:pPr>
    <w:rPr>
      <w:sz w:val="18"/>
      <w:szCs w:val="18"/>
    </w:rPr>
  </w:style>
  <w:style w:type="paragraph" w:styleId="10">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link w:val="21"/>
    <w:qFormat/>
    <w:uiPriority w:val="0"/>
    <w:pPr>
      <w:snapToGrid w:val="0"/>
      <w:jc w:val="left"/>
    </w:pPr>
    <w:rPr>
      <w:sz w:val="18"/>
      <w:szCs w:val="18"/>
    </w:rPr>
  </w:style>
  <w:style w:type="paragraph" w:styleId="12">
    <w:name w:val="HTML Preformatted"/>
    <w:basedOn w:val="1"/>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3">
    <w:name w:val="Normal (Web)"/>
    <w:basedOn w:val="1"/>
    <w:unhideWhenUsed/>
    <w:qFormat/>
    <w:uiPriority w:val="99"/>
    <w:pPr>
      <w:spacing w:beforeAutospacing="1" w:afterAutospacing="1"/>
      <w:jc w:val="left"/>
    </w:pPr>
    <w:rPr>
      <w:kern w:val="0"/>
      <w:sz w:val="24"/>
    </w:rPr>
  </w:style>
  <w:style w:type="character" w:styleId="15">
    <w:name w:val="Hyperlink"/>
    <w:basedOn w:val="14"/>
    <w:unhideWhenUsed/>
    <w:uiPriority w:val="99"/>
    <w:rPr>
      <w:color w:val="0000FF"/>
      <w:u w:val="single"/>
    </w:rPr>
  </w:style>
  <w:style w:type="character" w:styleId="16">
    <w:name w:val="annotation reference"/>
    <w:basedOn w:val="14"/>
    <w:unhideWhenUsed/>
    <w:qFormat/>
    <w:uiPriority w:val="99"/>
    <w:rPr>
      <w:sz w:val="21"/>
      <w:szCs w:val="21"/>
    </w:rPr>
  </w:style>
  <w:style w:type="character" w:styleId="17">
    <w:name w:val="footnote reference"/>
    <w:qFormat/>
    <w:uiPriority w:val="0"/>
    <w:rPr>
      <w:vertAlign w:val="superscript"/>
    </w:rPr>
  </w:style>
  <w:style w:type="character" w:customStyle="1" w:styleId="19">
    <w:name w:val="标题 1 Char"/>
    <w:basedOn w:val="14"/>
    <w:link w:val="2"/>
    <w:qFormat/>
    <w:uiPriority w:val="0"/>
    <w:rPr>
      <w:rFonts w:ascii="Times New Roman" w:hAnsi="Times New Roman" w:eastAsia="宋体" w:cs="Times New Roman"/>
      <w:b/>
      <w:bCs/>
      <w:kern w:val="44"/>
      <w:sz w:val="44"/>
      <w:szCs w:val="44"/>
    </w:rPr>
  </w:style>
  <w:style w:type="paragraph" w:customStyle="1" w:styleId="20">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1">
    <w:name w:val="脚注文本 Char"/>
    <w:basedOn w:val="14"/>
    <w:link w:val="11"/>
    <w:qFormat/>
    <w:uiPriority w:val="0"/>
    <w:rPr>
      <w:rFonts w:ascii="Times New Roman" w:hAnsi="Times New Roman" w:eastAsia="宋体" w:cs="Times New Roman"/>
      <w:sz w:val="18"/>
      <w:szCs w:val="18"/>
    </w:rPr>
  </w:style>
  <w:style w:type="character" w:customStyle="1" w:styleId="22">
    <w:name w:val="标题 2 Char"/>
    <w:basedOn w:val="14"/>
    <w:link w:val="3"/>
    <w:semiHidden/>
    <w:qFormat/>
    <w:uiPriority w:val="9"/>
    <w:rPr>
      <w:rFonts w:asciiTheme="majorHAnsi" w:hAnsiTheme="majorHAnsi" w:eastAsiaTheme="majorEastAsia" w:cstheme="majorBidi"/>
      <w:b/>
      <w:bCs/>
      <w:sz w:val="32"/>
      <w:szCs w:val="32"/>
    </w:rPr>
  </w:style>
  <w:style w:type="paragraph" w:customStyle="1" w:styleId="23">
    <w:name w:val="普通 (Web)"/>
    <w:qFormat/>
    <w:uiPriority w:val="0"/>
    <w:pPr>
      <w:spacing w:before="100" w:after="100"/>
    </w:pPr>
    <w:rPr>
      <w:rFonts w:ascii="宋体" w:hAnsi="Times New Roman" w:eastAsia="宋体" w:cs="Times New Roman"/>
      <w:sz w:val="24"/>
      <w:lang w:val="en-US" w:eastAsia="zh-CN" w:bidi="ar-SA"/>
    </w:rPr>
  </w:style>
  <w:style w:type="character" w:customStyle="1" w:styleId="24">
    <w:name w:val="正文文本 Char"/>
    <w:basedOn w:val="14"/>
    <w:link w:val="7"/>
    <w:qFormat/>
    <w:uiPriority w:val="0"/>
    <w:rPr>
      <w:rFonts w:ascii="Times New Roman" w:hAnsi="Times New Roman" w:eastAsia="宋体" w:cs="Times New Roman"/>
      <w:szCs w:val="24"/>
    </w:rPr>
  </w:style>
  <w:style w:type="paragraph" w:customStyle="1" w:styleId="25">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6">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7">
    <w:name w:val="页眉 Char"/>
    <w:basedOn w:val="14"/>
    <w:link w:val="10"/>
    <w:qFormat/>
    <w:uiPriority w:val="99"/>
    <w:rPr>
      <w:rFonts w:ascii="Times New Roman" w:hAnsi="Times New Roman" w:eastAsia="宋体" w:cs="Times New Roman"/>
      <w:sz w:val="18"/>
      <w:szCs w:val="18"/>
    </w:rPr>
  </w:style>
  <w:style w:type="character" w:customStyle="1" w:styleId="28">
    <w:name w:val="页脚 Char"/>
    <w:basedOn w:val="14"/>
    <w:link w:val="9"/>
    <w:qFormat/>
    <w:uiPriority w:val="99"/>
    <w:rPr>
      <w:rFonts w:ascii="Times New Roman" w:hAnsi="Times New Roman" w:eastAsia="宋体" w:cs="Times New Roman"/>
      <w:sz w:val="18"/>
      <w:szCs w:val="18"/>
    </w:rPr>
  </w:style>
  <w:style w:type="character" w:customStyle="1" w:styleId="29">
    <w:name w:val="批注文字 Char"/>
    <w:basedOn w:val="14"/>
    <w:link w:val="6"/>
    <w:semiHidden/>
    <w:qFormat/>
    <w:uiPriority w:val="99"/>
    <w:rPr>
      <w:rFonts w:ascii="Times New Roman" w:hAnsi="Times New Roman" w:eastAsia="宋体" w:cs="Times New Roman"/>
      <w:szCs w:val="24"/>
    </w:rPr>
  </w:style>
  <w:style w:type="character" w:customStyle="1" w:styleId="30">
    <w:name w:val="批注主题 Char"/>
    <w:basedOn w:val="29"/>
    <w:link w:val="5"/>
    <w:semiHidden/>
    <w:qFormat/>
    <w:uiPriority w:val="99"/>
    <w:rPr>
      <w:rFonts w:ascii="Times New Roman" w:hAnsi="Times New Roman" w:eastAsia="宋体" w:cs="Times New Roman"/>
      <w:b/>
      <w:bCs/>
      <w:szCs w:val="24"/>
    </w:rPr>
  </w:style>
  <w:style w:type="character" w:customStyle="1" w:styleId="31">
    <w:name w:val="批注框文本 Char"/>
    <w:basedOn w:val="14"/>
    <w:link w:val="8"/>
    <w:semiHidden/>
    <w:qFormat/>
    <w:uiPriority w:val="99"/>
    <w:rPr>
      <w:rFonts w:ascii="Times New Roman" w:hAnsi="Times New Roman" w:eastAsia="宋体" w:cs="Times New Roman"/>
      <w:sz w:val="18"/>
      <w:szCs w:val="18"/>
    </w:rPr>
  </w:style>
  <w:style w:type="paragraph" w:customStyle="1" w:styleId="32">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6C57D5-CA8C-4BE2-B3B5-52975640379F}">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1</Pages>
  <Words>759</Words>
  <Characters>4332</Characters>
  <Lines>36</Lines>
  <Paragraphs>10</Paragraphs>
  <ScaleCrop>false</ScaleCrop>
  <LinksUpToDate>false</LinksUpToDate>
  <CharactersWithSpaces>5081</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2017-01-06T05:58:00Z</dcterms:created>
  <dc:creator>qzy3472</dc:creator>
  <cp:lastModifiedBy>蛋蛋</cp:lastModifiedBy>
  <dcterms:modified xsi:type="dcterms:W3CDTF">2017-03-06T06:52:28Z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