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20" w:after="120" w:line="400" w:lineRule="exact"/>
        <w:jc w:val="center"/>
        <w:rPr>
          <w:rFonts w:ascii="黑体" w:hAnsi="黑体" w:eastAsia="黑体"/>
          <w:b w:val="0"/>
          <w:bCs w:val="0"/>
          <w:sz w:val="32"/>
        </w:rPr>
      </w:pPr>
      <w:bookmarkStart w:id="0" w:name="_Toc152042554"/>
      <w:bookmarkStart w:id="1" w:name="_Toc152045772"/>
      <w:bookmarkStart w:id="2" w:name="_Toc144974834"/>
      <w:bookmarkStart w:id="3" w:name="_Toc357086141"/>
    </w:p>
    <w:bookmarkEnd w:id="0"/>
    <w:bookmarkEnd w:id="1"/>
    <w:bookmarkEnd w:id="2"/>
    <w:p>
      <w:pPr>
        <w:pStyle w:val="2"/>
        <w:spacing w:before="120" w:after="120" w:line="400" w:lineRule="exact"/>
        <w:jc w:val="center"/>
        <w:rPr>
          <w:rFonts w:ascii="黑体" w:hAnsi="黑体" w:eastAsia="黑体"/>
          <w:b w:val="0"/>
          <w:bCs w:val="0"/>
          <w:sz w:val="32"/>
        </w:rPr>
      </w:pPr>
    </w:p>
    <w:p>
      <w:pPr>
        <w:pStyle w:val="2"/>
        <w:spacing w:before="120" w:after="120" w:line="400" w:lineRule="exact"/>
        <w:jc w:val="center"/>
        <w:rPr>
          <w:rFonts w:ascii="黑体" w:hAnsi="黑体" w:eastAsia="黑体"/>
          <w:b w:val="0"/>
          <w:bCs w:val="0"/>
          <w:sz w:val="32"/>
        </w:rPr>
      </w:pPr>
      <w:r>
        <w:rPr>
          <w:rFonts w:hint="eastAsia" w:ascii="黑体" w:hAnsi="黑体" w:eastAsia="黑体"/>
          <w:b w:val="0"/>
          <w:bCs w:val="0"/>
          <w:sz w:val="32"/>
        </w:rPr>
        <w:t>设备技术要求</w:t>
      </w:r>
      <w:bookmarkEnd w:id="3"/>
    </w:p>
    <w:p>
      <w:pPr>
        <w:spacing w:line="400" w:lineRule="exact"/>
      </w:pPr>
    </w:p>
    <w:p>
      <w:pPr>
        <w:tabs>
          <w:tab w:val="left" w:pos="2340"/>
        </w:tabs>
        <w:spacing w:line="480" w:lineRule="auto"/>
        <w:ind w:left="630" w:leftChars="300" w:firstLine="240" w:firstLineChars="10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第五节  质量保证</w:t>
      </w:r>
    </w:p>
    <w:p>
      <w:pPr>
        <w:tabs>
          <w:tab w:val="left" w:pos="2340"/>
        </w:tabs>
        <w:spacing w:line="480" w:lineRule="auto"/>
        <w:ind w:left="630" w:leftChars="300" w:firstLine="240" w:firstLineChars="100"/>
        <w:jc w:val="left"/>
        <w:rPr>
          <w:rFonts w:ascii="宋体"/>
          <w:sz w:val="24"/>
        </w:rPr>
      </w:pPr>
      <w:r>
        <w:rPr>
          <w:rFonts w:hint="eastAsia" w:ascii="宋体"/>
          <w:sz w:val="24"/>
        </w:rPr>
        <w:t>第六节  技术资料和图纸</w:t>
      </w:r>
    </w:p>
    <w:p>
      <w:pPr>
        <w:tabs>
          <w:tab w:val="left" w:pos="2340"/>
        </w:tabs>
        <w:spacing w:line="480" w:lineRule="auto"/>
        <w:ind w:left="630" w:leftChars="300" w:firstLine="240" w:firstLineChars="100"/>
        <w:jc w:val="left"/>
        <w:rPr>
          <w:rFonts w:ascii="宋体"/>
          <w:sz w:val="24"/>
        </w:rPr>
      </w:pPr>
      <w:r>
        <w:rPr>
          <w:rFonts w:hint="eastAsia" w:ascii="宋体"/>
          <w:sz w:val="24"/>
        </w:rPr>
        <w:t>第七节  标准</w:t>
      </w: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topLinePunct/>
        <w:adjustRightInd w:val="0"/>
        <w:snapToGrid w:val="0"/>
        <w:spacing w:line="360" w:lineRule="auto"/>
        <w:jc w:val="center"/>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jc w:val="center"/>
        <w:rPr>
          <w:rFonts w:ascii="宋体" w:hAnsi="宋体"/>
          <w:szCs w:val="21"/>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tabs>
          <w:tab w:val="left" w:pos="1057"/>
          <w:tab w:val="left" w:pos="2340"/>
          <w:tab w:val="center" w:pos="4776"/>
        </w:tabs>
        <w:spacing w:line="480" w:lineRule="auto"/>
        <w:jc w:val="left"/>
        <w:rPr>
          <w:rFonts w:ascii="黑体" w:hAnsi="黑体" w:eastAsia="黑体"/>
          <w:b/>
          <w:bCs/>
          <w:sz w:val="32"/>
        </w:rPr>
      </w:pPr>
    </w:p>
    <w:p>
      <w:pPr>
        <w:tabs>
          <w:tab w:val="left" w:pos="1057"/>
          <w:tab w:val="left" w:pos="2340"/>
          <w:tab w:val="center" w:pos="4776"/>
        </w:tabs>
        <w:spacing w:line="480" w:lineRule="auto"/>
        <w:jc w:val="left"/>
        <w:rPr>
          <w:rFonts w:ascii="黑体" w:hAnsi="黑体" w:eastAsia="黑体"/>
          <w:b/>
          <w:bCs/>
          <w:sz w:val="32"/>
        </w:rPr>
      </w:pPr>
    </w:p>
    <w:p>
      <w:pPr>
        <w:tabs>
          <w:tab w:val="left" w:pos="1057"/>
          <w:tab w:val="left" w:pos="2340"/>
          <w:tab w:val="center" w:pos="4776"/>
        </w:tabs>
        <w:spacing w:line="480" w:lineRule="auto"/>
        <w:jc w:val="left"/>
        <w:rPr>
          <w:rFonts w:ascii="黑体" w:hAnsi="黑体" w:eastAsia="黑体"/>
          <w:b/>
          <w:bCs/>
          <w:sz w:val="32"/>
        </w:rPr>
      </w:pPr>
    </w:p>
    <w:p>
      <w:pPr>
        <w:tabs>
          <w:tab w:val="left" w:pos="1057"/>
          <w:tab w:val="left" w:pos="2340"/>
          <w:tab w:val="center" w:pos="4776"/>
        </w:tabs>
        <w:spacing w:line="480" w:lineRule="auto"/>
        <w:jc w:val="left"/>
        <w:rPr>
          <w:rFonts w:ascii="黑体" w:hAnsi="黑体" w:eastAsia="黑体"/>
          <w:b/>
          <w:bCs/>
          <w:sz w:val="32"/>
        </w:rPr>
      </w:pPr>
      <w:r>
        <w:rPr>
          <w:rFonts w:hint="eastAsia" w:ascii="黑体" w:hAnsi="黑体" w:eastAsia="黑体"/>
          <w:b/>
          <w:bCs/>
          <w:sz w:val="32"/>
        </w:rPr>
        <w:tab/>
      </w:r>
    </w:p>
    <w:p>
      <w:pPr>
        <w:numPr>
          <w:ilvl w:val="0"/>
          <w:numId w:val="2"/>
        </w:numPr>
        <w:tabs>
          <w:tab w:val="left" w:pos="1057"/>
          <w:tab w:val="left" w:pos="2340"/>
          <w:tab w:val="center" w:pos="4776"/>
        </w:tabs>
        <w:spacing w:line="480" w:lineRule="auto"/>
        <w:jc w:val="center"/>
        <w:rPr>
          <w:rFonts w:ascii="黑体" w:hAnsi="黑体" w:eastAsia="黑体"/>
          <w:b/>
          <w:bCs/>
          <w:sz w:val="32"/>
        </w:rPr>
      </w:pPr>
      <w:r>
        <w:rPr>
          <w:rFonts w:hint="eastAsia" w:ascii="黑体" w:hAnsi="黑体" w:eastAsia="黑体"/>
          <w:b/>
          <w:bCs/>
          <w:sz w:val="32"/>
        </w:rPr>
        <w:t>供货范围、技术规格、参数与要求</w:t>
      </w:r>
    </w:p>
    <w:p>
      <w:pPr>
        <w:numPr>
          <w:ilvl w:val="0"/>
          <w:numId w:val="3"/>
        </w:numPr>
        <w:adjustRightInd w:val="0"/>
        <w:snapToGrid w:val="0"/>
        <w:spacing w:beforeLines="100" w:afterLines="100" w:line="360" w:lineRule="auto"/>
        <w:ind w:left="2246" w:leftChars="-5" w:hanging="2256" w:hangingChars="1070"/>
        <w:rPr>
          <w:b/>
          <w:szCs w:val="21"/>
        </w:rPr>
      </w:pPr>
      <w:r>
        <w:rPr>
          <w:rFonts w:hint="eastAsia"/>
          <w:b/>
          <w:szCs w:val="21"/>
        </w:rPr>
        <w:t>货物需求一览表</w:t>
      </w:r>
    </w:p>
    <w:tbl>
      <w:tblPr>
        <w:tblStyle w:val="8"/>
        <w:tblpPr w:leftFromText="180" w:rightFromText="180" w:vertAnchor="text" w:horzAnchor="page" w:tblpXSpec="center" w:tblpY="383"/>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936"/>
        <w:gridCol w:w="1546"/>
        <w:gridCol w:w="675"/>
        <w:gridCol w:w="885"/>
        <w:gridCol w:w="1515"/>
        <w:gridCol w:w="1470"/>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24"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1936"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名称</w:t>
            </w:r>
          </w:p>
        </w:tc>
        <w:tc>
          <w:tcPr>
            <w:tcW w:w="1546"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规格型号</w:t>
            </w:r>
          </w:p>
        </w:tc>
        <w:tc>
          <w:tcPr>
            <w:tcW w:w="675"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单位</w:t>
            </w:r>
          </w:p>
        </w:tc>
        <w:tc>
          <w:tcPr>
            <w:tcW w:w="885"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数量</w:t>
            </w:r>
          </w:p>
        </w:tc>
        <w:tc>
          <w:tcPr>
            <w:tcW w:w="1515" w:type="dxa"/>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交货时间</w:t>
            </w:r>
          </w:p>
        </w:tc>
        <w:tc>
          <w:tcPr>
            <w:tcW w:w="147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交货地点</w:t>
            </w:r>
          </w:p>
        </w:tc>
        <w:tc>
          <w:tcPr>
            <w:tcW w:w="1280" w:type="dxa"/>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24"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936" w:type="dxa"/>
            <w:vAlign w:val="center"/>
          </w:tcPr>
          <w:p>
            <w:pPr>
              <w:widowControl/>
              <w:jc w:val="center"/>
              <w:rPr>
                <w:rFonts w:ascii="宋体" w:hAnsi="宋体" w:cs="宋体"/>
                <w:b/>
                <w:bCs/>
                <w:color w:val="000000"/>
                <w:kern w:val="0"/>
                <w:szCs w:val="21"/>
              </w:rPr>
            </w:pPr>
            <w:r>
              <w:rPr>
                <w:rStyle w:val="20"/>
              </w:rPr>
              <w:t>工业电视系统</w:t>
            </w:r>
          </w:p>
        </w:tc>
        <w:tc>
          <w:tcPr>
            <w:tcW w:w="1546" w:type="dxa"/>
            <w:vAlign w:val="center"/>
          </w:tcPr>
          <w:p>
            <w:pPr>
              <w:widowControl/>
              <w:jc w:val="center"/>
              <w:rPr>
                <w:rFonts w:ascii="宋体" w:hAnsi="宋体" w:cs="宋体"/>
                <w:color w:val="000000"/>
                <w:kern w:val="0"/>
                <w:sz w:val="18"/>
                <w:szCs w:val="18"/>
              </w:rPr>
            </w:pPr>
          </w:p>
        </w:tc>
        <w:tc>
          <w:tcPr>
            <w:tcW w:w="6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套</w:t>
            </w:r>
          </w:p>
        </w:tc>
        <w:tc>
          <w:tcPr>
            <w:tcW w:w="885" w:type="dxa"/>
            <w:vAlign w:val="center"/>
          </w:tcPr>
          <w:p>
            <w:pPr>
              <w:widowControl/>
              <w:jc w:val="center"/>
              <w:rPr>
                <w:rFonts w:ascii="宋体" w:hAnsi="宋体" w:cs="宋体"/>
                <w:b/>
                <w:bCs/>
                <w:color w:val="000000"/>
                <w:kern w:val="0"/>
                <w:szCs w:val="21"/>
              </w:rPr>
            </w:pPr>
            <w:r>
              <w:rPr>
                <w:rFonts w:hint="eastAsia" w:ascii="宋体" w:hAnsi="宋体" w:cs="宋体"/>
                <w:color w:val="000000"/>
                <w:kern w:val="0"/>
                <w:sz w:val="18"/>
                <w:szCs w:val="18"/>
              </w:rPr>
              <w:t>1</w:t>
            </w:r>
          </w:p>
        </w:tc>
        <w:tc>
          <w:tcPr>
            <w:tcW w:w="1515" w:type="dxa"/>
            <w:vAlign w:val="center"/>
          </w:tcPr>
          <w:p>
            <w:pPr>
              <w:widowControl/>
              <w:jc w:val="center"/>
              <w:rPr>
                <w:rFonts w:ascii="宋体" w:hAnsi="宋体" w:cs="宋体"/>
                <w:b/>
                <w:bCs/>
                <w:kern w:val="0"/>
                <w:szCs w:val="21"/>
              </w:rPr>
            </w:pPr>
            <w:r>
              <w:rPr>
                <w:rFonts w:hint="eastAsia" w:ascii="宋体" w:hAnsi="宋体" w:cs="宋体"/>
                <w:bCs/>
                <w:kern w:val="0"/>
                <w:sz w:val="18"/>
                <w:szCs w:val="18"/>
              </w:rPr>
              <w:t>自合同签订之日起一个月内交货</w:t>
            </w:r>
          </w:p>
        </w:tc>
        <w:tc>
          <w:tcPr>
            <w:tcW w:w="1470" w:type="dxa"/>
            <w:vAlign w:val="center"/>
          </w:tcPr>
          <w:p>
            <w:pPr>
              <w:widowControl/>
              <w:jc w:val="center"/>
              <w:rPr>
                <w:rFonts w:ascii="宋体" w:hAnsi="宋体" w:cs="宋体"/>
                <w:b/>
                <w:bCs/>
                <w:kern w:val="0"/>
                <w:szCs w:val="21"/>
              </w:rPr>
            </w:pPr>
            <w:r>
              <w:rPr>
                <w:rFonts w:hint="eastAsia" w:ascii="宋体" w:hAnsi="宋体" w:cs="宋体"/>
                <w:color w:val="000000"/>
                <w:kern w:val="0"/>
                <w:sz w:val="18"/>
                <w:szCs w:val="18"/>
              </w:rPr>
              <w:t>布尔台煤矿</w:t>
            </w:r>
          </w:p>
        </w:tc>
        <w:tc>
          <w:tcPr>
            <w:tcW w:w="1280" w:type="dxa"/>
            <w:vAlign w:val="center"/>
          </w:tcPr>
          <w:p>
            <w:pPr>
              <w:widowControl/>
              <w:jc w:val="center"/>
              <w:rPr>
                <w:rFonts w:ascii="宋体" w:hAnsi="宋体" w:cs="宋体"/>
                <w:b/>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24" w:type="dxa"/>
            <w:vAlign w:val="center"/>
          </w:tcPr>
          <w:p>
            <w:pPr>
              <w:widowControl/>
              <w:jc w:val="center"/>
              <w:textAlignment w:val="center"/>
              <w:rPr>
                <w:rFonts w:ascii="宋体" w:hAnsi="宋体" w:cs="宋体"/>
                <w:color w:val="000000"/>
                <w:kern w:val="0"/>
                <w:sz w:val="18"/>
                <w:szCs w:val="18"/>
              </w:rPr>
            </w:pPr>
          </w:p>
        </w:tc>
        <w:tc>
          <w:tcPr>
            <w:tcW w:w="1936" w:type="dxa"/>
            <w:vAlign w:val="center"/>
          </w:tcPr>
          <w:p>
            <w:pPr>
              <w:widowControl/>
              <w:jc w:val="center"/>
              <w:rPr>
                <w:rFonts w:ascii="宋体" w:hAnsi="宋体" w:cs="宋体"/>
                <w:b/>
                <w:bCs/>
                <w:color w:val="000000"/>
                <w:kern w:val="0"/>
                <w:szCs w:val="21"/>
              </w:rPr>
            </w:pPr>
            <w:r>
              <w:rPr>
                <w:rFonts w:hint="eastAsia" w:ascii="宋体" w:hAnsi="宋体" w:cs="宋体"/>
                <w:color w:val="000000"/>
                <w:kern w:val="0"/>
                <w:sz w:val="18"/>
                <w:szCs w:val="18"/>
              </w:rPr>
              <w:t>每套包括</w:t>
            </w:r>
          </w:p>
        </w:tc>
        <w:tc>
          <w:tcPr>
            <w:tcW w:w="1546" w:type="dxa"/>
            <w:vAlign w:val="center"/>
          </w:tcPr>
          <w:p>
            <w:pPr>
              <w:widowControl/>
              <w:jc w:val="center"/>
              <w:rPr>
                <w:rFonts w:ascii="宋体" w:hAnsi="宋体" w:cs="宋体"/>
                <w:b/>
                <w:bCs/>
                <w:color w:val="000000"/>
                <w:kern w:val="0"/>
                <w:szCs w:val="21"/>
              </w:rPr>
            </w:pPr>
          </w:p>
        </w:tc>
        <w:tc>
          <w:tcPr>
            <w:tcW w:w="675" w:type="dxa"/>
            <w:vAlign w:val="center"/>
          </w:tcPr>
          <w:p>
            <w:pPr>
              <w:widowControl/>
              <w:jc w:val="center"/>
              <w:rPr>
                <w:rFonts w:ascii="宋体" w:hAnsi="宋体" w:cs="宋体"/>
                <w:b/>
                <w:bCs/>
                <w:color w:val="000000"/>
                <w:kern w:val="0"/>
                <w:szCs w:val="21"/>
              </w:rPr>
            </w:pPr>
          </w:p>
        </w:tc>
        <w:tc>
          <w:tcPr>
            <w:tcW w:w="885" w:type="dxa"/>
            <w:vAlign w:val="center"/>
          </w:tcPr>
          <w:p>
            <w:pPr>
              <w:widowControl/>
              <w:jc w:val="center"/>
              <w:rPr>
                <w:rFonts w:ascii="宋体" w:hAnsi="宋体" w:cs="宋体"/>
                <w:b/>
                <w:bCs/>
                <w:color w:val="000000"/>
                <w:kern w:val="0"/>
                <w:szCs w:val="21"/>
              </w:rPr>
            </w:pPr>
          </w:p>
        </w:tc>
        <w:tc>
          <w:tcPr>
            <w:tcW w:w="1515" w:type="dxa"/>
            <w:vAlign w:val="center"/>
          </w:tcPr>
          <w:p>
            <w:pPr>
              <w:widowControl/>
              <w:jc w:val="center"/>
              <w:rPr>
                <w:rFonts w:ascii="宋体" w:hAnsi="宋体" w:cs="宋体"/>
                <w:b/>
                <w:bCs/>
                <w:kern w:val="0"/>
                <w:szCs w:val="21"/>
              </w:rPr>
            </w:pPr>
          </w:p>
        </w:tc>
        <w:tc>
          <w:tcPr>
            <w:tcW w:w="1470" w:type="dxa"/>
            <w:vAlign w:val="center"/>
          </w:tcPr>
          <w:p>
            <w:pPr>
              <w:widowControl/>
              <w:jc w:val="center"/>
              <w:textAlignment w:val="center"/>
              <w:rPr>
                <w:rFonts w:ascii="宋体" w:hAnsi="宋体" w:cs="宋体"/>
                <w:b/>
                <w:bCs/>
                <w:kern w:val="0"/>
                <w:szCs w:val="21"/>
              </w:rPr>
            </w:pPr>
            <w:r>
              <w:rPr>
                <w:rFonts w:hint="eastAsia" w:ascii="宋体" w:hAnsi="宋体" w:cs="宋体"/>
                <w:bCs/>
                <w:kern w:val="0"/>
                <w:sz w:val="18"/>
                <w:szCs w:val="18"/>
              </w:rPr>
              <w:t>布尔台煤矿</w:t>
            </w:r>
          </w:p>
        </w:tc>
        <w:tc>
          <w:tcPr>
            <w:tcW w:w="1280" w:type="dxa"/>
            <w:vAlign w:val="center"/>
          </w:tcPr>
          <w:p>
            <w:pPr>
              <w:widowControl/>
              <w:jc w:val="center"/>
              <w:rPr>
                <w:rFonts w:ascii="宋体" w:hAnsi="宋体" w:cs="宋体"/>
                <w:b/>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24"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193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B20机箱系统</w:t>
            </w:r>
          </w:p>
        </w:tc>
        <w:tc>
          <w:tcPr>
            <w:tcW w:w="1546" w:type="dxa"/>
            <w:vAlign w:val="center"/>
          </w:tcPr>
          <w:p>
            <w:pPr>
              <w:widowControl/>
              <w:jc w:val="center"/>
              <w:rPr>
                <w:rFonts w:ascii="宋体" w:hAnsi="宋体" w:cs="宋体"/>
                <w:b/>
                <w:bCs/>
                <w:color w:val="000000"/>
                <w:kern w:val="0"/>
                <w:szCs w:val="21"/>
              </w:rPr>
            </w:pPr>
            <w:r>
              <w:rPr>
                <w:rFonts w:hint="eastAsia" w:ascii="宋体" w:hAnsi="宋体" w:cs="宋体"/>
                <w:color w:val="000000"/>
                <w:kern w:val="0"/>
                <w:sz w:val="18"/>
                <w:szCs w:val="18"/>
              </w:rPr>
              <w:t>DS-B20-S07-A</w:t>
            </w:r>
          </w:p>
        </w:tc>
        <w:tc>
          <w:tcPr>
            <w:tcW w:w="675"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台</w:t>
            </w:r>
          </w:p>
        </w:tc>
        <w:tc>
          <w:tcPr>
            <w:tcW w:w="885"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515" w:type="dxa"/>
            <w:vAlign w:val="center"/>
          </w:tcPr>
          <w:p>
            <w:pPr>
              <w:widowControl/>
              <w:jc w:val="center"/>
              <w:rPr>
                <w:rFonts w:ascii="宋体" w:hAnsi="宋体" w:cs="宋体"/>
                <w:b/>
                <w:bCs/>
                <w:kern w:val="0"/>
                <w:szCs w:val="21"/>
              </w:rPr>
            </w:pPr>
            <w:r>
              <w:rPr>
                <w:rFonts w:hint="eastAsia" w:ascii="宋体" w:hAnsi="宋体" w:cs="宋体"/>
                <w:bCs/>
                <w:kern w:val="0"/>
                <w:sz w:val="18"/>
                <w:szCs w:val="18"/>
              </w:rPr>
              <w:t>自合同签订之日起一个月内交</w:t>
            </w:r>
          </w:p>
        </w:tc>
        <w:tc>
          <w:tcPr>
            <w:tcW w:w="1470" w:type="dxa"/>
            <w:vAlign w:val="center"/>
          </w:tcPr>
          <w:p>
            <w:pPr>
              <w:widowControl/>
              <w:jc w:val="center"/>
              <w:rPr>
                <w:rFonts w:ascii="宋体" w:hAnsi="宋体" w:cs="宋体"/>
                <w:b/>
                <w:bCs/>
                <w:kern w:val="0"/>
                <w:szCs w:val="21"/>
              </w:rPr>
            </w:pPr>
            <w:r>
              <w:rPr>
                <w:rFonts w:hint="eastAsia" w:ascii="宋体" w:hAnsi="宋体" w:cs="宋体"/>
                <w:color w:val="000000"/>
                <w:kern w:val="0"/>
                <w:sz w:val="18"/>
                <w:szCs w:val="18"/>
              </w:rPr>
              <w:t>布尔台煤矿</w:t>
            </w:r>
          </w:p>
        </w:tc>
        <w:tc>
          <w:tcPr>
            <w:tcW w:w="1280" w:type="dxa"/>
            <w:vAlign w:val="center"/>
          </w:tcPr>
          <w:p>
            <w:pPr>
              <w:widowControl/>
              <w:jc w:val="center"/>
              <w:rPr>
                <w:rFonts w:ascii="宋体" w:hAnsi="宋体" w:cs="宋体"/>
                <w:b/>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24"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193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B20输入编码板</w:t>
            </w:r>
          </w:p>
        </w:tc>
        <w:tc>
          <w:tcPr>
            <w:tcW w:w="1546" w:type="dxa"/>
            <w:vAlign w:val="center"/>
          </w:tcPr>
          <w:p>
            <w:pPr>
              <w:widowControl/>
              <w:jc w:val="center"/>
              <w:rPr>
                <w:rFonts w:ascii="宋体" w:hAnsi="宋体" w:cs="宋体"/>
                <w:b/>
                <w:bCs/>
                <w:color w:val="000000"/>
                <w:kern w:val="0"/>
                <w:szCs w:val="21"/>
              </w:rPr>
            </w:pPr>
            <w:r>
              <w:rPr>
                <w:rFonts w:hint="eastAsia" w:ascii="宋体" w:hAnsi="宋体" w:cs="宋体"/>
                <w:color w:val="000000"/>
                <w:kern w:val="0"/>
                <w:sz w:val="18"/>
                <w:szCs w:val="18"/>
              </w:rPr>
              <w:t>DS-6408HFH-B20VD</w:t>
            </w:r>
          </w:p>
        </w:tc>
        <w:tc>
          <w:tcPr>
            <w:tcW w:w="675"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台</w:t>
            </w:r>
          </w:p>
        </w:tc>
        <w:tc>
          <w:tcPr>
            <w:tcW w:w="885"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515" w:type="dxa"/>
            <w:vAlign w:val="center"/>
          </w:tcPr>
          <w:p>
            <w:pPr>
              <w:widowControl/>
              <w:jc w:val="center"/>
              <w:rPr>
                <w:rFonts w:ascii="宋体" w:hAnsi="宋体" w:cs="宋体"/>
                <w:b/>
                <w:bCs/>
                <w:kern w:val="0"/>
                <w:szCs w:val="21"/>
              </w:rPr>
            </w:pPr>
            <w:r>
              <w:rPr>
                <w:rFonts w:hint="eastAsia" w:ascii="宋体" w:hAnsi="宋体" w:cs="宋体"/>
                <w:bCs/>
                <w:kern w:val="0"/>
                <w:sz w:val="18"/>
                <w:szCs w:val="18"/>
              </w:rPr>
              <w:t>自合同签订之日起一个月内交</w:t>
            </w:r>
          </w:p>
        </w:tc>
        <w:tc>
          <w:tcPr>
            <w:tcW w:w="1470" w:type="dxa"/>
            <w:vAlign w:val="center"/>
          </w:tcPr>
          <w:p>
            <w:pPr>
              <w:widowControl/>
              <w:jc w:val="center"/>
              <w:rPr>
                <w:rFonts w:ascii="宋体" w:hAnsi="宋体" w:cs="宋体"/>
                <w:b/>
                <w:bCs/>
                <w:kern w:val="0"/>
                <w:szCs w:val="21"/>
              </w:rPr>
            </w:pPr>
            <w:r>
              <w:rPr>
                <w:rFonts w:hint="eastAsia" w:ascii="宋体" w:hAnsi="宋体" w:cs="宋体"/>
                <w:color w:val="000000"/>
                <w:kern w:val="0"/>
                <w:sz w:val="18"/>
                <w:szCs w:val="18"/>
              </w:rPr>
              <w:t>布尔台煤矿</w:t>
            </w:r>
          </w:p>
        </w:tc>
        <w:tc>
          <w:tcPr>
            <w:tcW w:w="1280" w:type="dxa"/>
            <w:vAlign w:val="center"/>
          </w:tcPr>
          <w:p>
            <w:pPr>
              <w:widowControl/>
              <w:jc w:val="center"/>
              <w:rPr>
                <w:rFonts w:ascii="宋体" w:hAnsi="宋体" w:cs="宋体"/>
                <w:b/>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724"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1.3</w:t>
            </w:r>
          </w:p>
        </w:tc>
        <w:tc>
          <w:tcPr>
            <w:tcW w:w="193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B20输出解码板</w:t>
            </w:r>
          </w:p>
        </w:tc>
        <w:tc>
          <w:tcPr>
            <w:tcW w:w="1546" w:type="dxa"/>
            <w:vAlign w:val="center"/>
          </w:tcPr>
          <w:p>
            <w:pPr>
              <w:widowControl/>
              <w:jc w:val="center"/>
              <w:rPr>
                <w:rFonts w:ascii="宋体" w:hAnsi="宋体" w:cs="宋体"/>
                <w:b/>
                <w:bCs/>
                <w:color w:val="000000"/>
                <w:kern w:val="0"/>
                <w:szCs w:val="21"/>
              </w:rPr>
            </w:pPr>
            <w:r>
              <w:rPr>
                <w:rFonts w:hint="eastAsia" w:ascii="宋体" w:hAnsi="宋体" w:cs="宋体"/>
                <w:color w:val="000000"/>
                <w:kern w:val="0"/>
                <w:sz w:val="18"/>
                <w:szCs w:val="18"/>
              </w:rPr>
              <w:t>DS-6532HD-B20D</w:t>
            </w:r>
          </w:p>
        </w:tc>
        <w:tc>
          <w:tcPr>
            <w:tcW w:w="675"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台</w:t>
            </w:r>
          </w:p>
        </w:tc>
        <w:tc>
          <w:tcPr>
            <w:tcW w:w="885" w:type="dxa"/>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1515" w:type="dxa"/>
            <w:vAlign w:val="center"/>
          </w:tcPr>
          <w:p>
            <w:pPr>
              <w:widowControl/>
              <w:jc w:val="center"/>
              <w:rPr>
                <w:rFonts w:ascii="宋体" w:hAnsi="宋体" w:cs="宋体"/>
                <w:b/>
                <w:bCs/>
                <w:kern w:val="0"/>
                <w:szCs w:val="21"/>
              </w:rPr>
            </w:pPr>
            <w:r>
              <w:rPr>
                <w:rFonts w:hint="eastAsia" w:ascii="宋体" w:hAnsi="宋体" w:cs="宋体"/>
                <w:bCs/>
                <w:kern w:val="0"/>
                <w:sz w:val="18"/>
                <w:szCs w:val="18"/>
              </w:rPr>
              <w:t>自合同签订之日起一个月内交</w:t>
            </w:r>
          </w:p>
        </w:tc>
        <w:tc>
          <w:tcPr>
            <w:tcW w:w="1470" w:type="dxa"/>
            <w:vAlign w:val="center"/>
          </w:tcPr>
          <w:p>
            <w:pPr>
              <w:widowControl/>
              <w:jc w:val="center"/>
              <w:rPr>
                <w:rFonts w:ascii="宋体" w:hAnsi="宋体" w:cs="宋体"/>
                <w:b/>
                <w:bCs/>
                <w:kern w:val="0"/>
                <w:szCs w:val="21"/>
              </w:rPr>
            </w:pPr>
            <w:r>
              <w:rPr>
                <w:rFonts w:hint="eastAsia" w:ascii="宋体" w:hAnsi="宋体" w:cs="宋体"/>
                <w:color w:val="000000"/>
                <w:kern w:val="0"/>
                <w:sz w:val="18"/>
                <w:szCs w:val="18"/>
              </w:rPr>
              <w:t>布尔台煤矿</w:t>
            </w:r>
          </w:p>
        </w:tc>
        <w:tc>
          <w:tcPr>
            <w:tcW w:w="1280" w:type="dxa"/>
            <w:vAlign w:val="center"/>
          </w:tcPr>
          <w:p>
            <w:pPr>
              <w:widowControl/>
              <w:jc w:val="center"/>
              <w:rPr>
                <w:rFonts w:ascii="宋体" w:hAnsi="宋体" w:cs="宋体"/>
                <w:b/>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724"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1.4</w:t>
            </w:r>
          </w:p>
        </w:tc>
        <w:tc>
          <w:tcPr>
            <w:tcW w:w="1936" w:type="dxa"/>
            <w:vAlign w:val="center"/>
          </w:tcPr>
          <w:p>
            <w:pPr>
              <w:widowControl/>
              <w:jc w:val="center"/>
              <w:textAlignment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数据中心(服务器)</w:t>
            </w:r>
          </w:p>
        </w:tc>
        <w:tc>
          <w:tcPr>
            <w:tcW w:w="1546" w:type="dxa"/>
            <w:vAlign w:val="center"/>
          </w:tcPr>
          <w:p>
            <w:pPr>
              <w:widowControl/>
              <w:jc w:val="center"/>
              <w:textAlignment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DS-VE2208C-BBC</w:t>
            </w:r>
          </w:p>
        </w:tc>
        <w:tc>
          <w:tcPr>
            <w:tcW w:w="675" w:type="dxa"/>
            <w:vAlign w:val="center"/>
          </w:tcPr>
          <w:p>
            <w:pPr>
              <w:widowControl/>
              <w:jc w:val="center"/>
              <w:textAlignment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台</w:t>
            </w:r>
          </w:p>
        </w:tc>
        <w:tc>
          <w:tcPr>
            <w:tcW w:w="885" w:type="dxa"/>
            <w:vAlign w:val="center"/>
          </w:tcPr>
          <w:p>
            <w:pPr>
              <w:widowControl/>
              <w:jc w:val="center"/>
              <w:textAlignment w:val="center"/>
              <w:rPr>
                <w:rFonts w:ascii="宋体" w:hAnsi="宋体" w:cs="宋体"/>
                <w:color w:val="000000" w:themeColor="text1"/>
                <w:kern w:val="0"/>
                <w:sz w:val="18"/>
                <w:szCs w:val="18"/>
              </w:rPr>
            </w:pPr>
            <w:r>
              <w:rPr>
                <w:rFonts w:hint="eastAsia" w:ascii="宋体" w:hAnsi="宋体" w:cs="宋体"/>
                <w:color w:val="000000"/>
                <w:kern w:val="0"/>
                <w:sz w:val="18"/>
                <w:szCs w:val="18"/>
              </w:rPr>
              <w:t>1</w:t>
            </w:r>
          </w:p>
        </w:tc>
        <w:tc>
          <w:tcPr>
            <w:tcW w:w="1515" w:type="dxa"/>
            <w:vAlign w:val="center"/>
          </w:tcPr>
          <w:p>
            <w:pPr>
              <w:widowControl/>
              <w:jc w:val="center"/>
              <w:rPr>
                <w:rFonts w:ascii="宋体" w:hAnsi="宋体" w:cs="宋体"/>
                <w:color w:val="000000" w:themeColor="text1"/>
                <w:kern w:val="0"/>
                <w:sz w:val="18"/>
                <w:szCs w:val="18"/>
              </w:rPr>
            </w:pPr>
            <w:r>
              <w:rPr>
                <w:rFonts w:hint="eastAsia" w:ascii="宋体" w:hAnsi="宋体" w:cs="宋体"/>
                <w:bCs/>
                <w:color w:val="000000" w:themeColor="text1"/>
                <w:kern w:val="0"/>
                <w:sz w:val="18"/>
                <w:szCs w:val="18"/>
              </w:rPr>
              <w:t>自合同签订之日起一个月内交</w:t>
            </w:r>
          </w:p>
        </w:tc>
        <w:tc>
          <w:tcPr>
            <w:tcW w:w="1470" w:type="dxa"/>
            <w:vAlign w:val="center"/>
          </w:tcPr>
          <w:p>
            <w:pPr>
              <w:widowControl/>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布尔台煤矿</w:t>
            </w:r>
          </w:p>
        </w:tc>
        <w:tc>
          <w:tcPr>
            <w:tcW w:w="1280" w:type="dxa"/>
            <w:vAlign w:val="center"/>
          </w:tcPr>
          <w:p>
            <w:pPr>
              <w:widowControl/>
              <w:jc w:val="center"/>
              <w:rPr>
                <w:rFonts w:ascii="宋体" w:hAnsi="宋体" w:cs="宋体"/>
                <w:bCs/>
                <w:color w:val="000000" w:themeColor="text1"/>
                <w:kern w:val="0"/>
                <w:sz w:val="18"/>
                <w:szCs w:val="18"/>
              </w:rPr>
            </w:pPr>
            <w:r>
              <w:rPr>
                <w:rFonts w:hint="eastAsia" w:ascii="宋体" w:hAnsi="宋体" w:cs="宋体"/>
                <w:color w:val="000000" w:themeColor="text1"/>
                <w:kern w:val="0"/>
                <w:sz w:val="18"/>
                <w:szCs w:val="18"/>
              </w:rPr>
              <w:t>(含WindowsServer2008R2简体中文标准版)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724"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936" w:type="dxa"/>
            <w:vAlign w:val="center"/>
          </w:tcPr>
          <w:p>
            <w:pPr>
              <w:widowControl/>
              <w:jc w:val="center"/>
              <w:textAlignment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视频监控—中心产品</w:t>
            </w:r>
          </w:p>
        </w:tc>
        <w:tc>
          <w:tcPr>
            <w:tcW w:w="1546" w:type="dxa"/>
            <w:vAlign w:val="center"/>
          </w:tcPr>
          <w:p>
            <w:pPr>
              <w:widowControl/>
              <w:jc w:val="center"/>
              <w:textAlignment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行业管理软件/IVMS-9800（100路）</w:t>
            </w:r>
          </w:p>
        </w:tc>
        <w:tc>
          <w:tcPr>
            <w:tcW w:w="675" w:type="dxa"/>
            <w:vAlign w:val="center"/>
          </w:tcPr>
          <w:p>
            <w:pPr>
              <w:widowControl/>
              <w:jc w:val="center"/>
              <w:textAlignment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套</w:t>
            </w:r>
          </w:p>
        </w:tc>
        <w:tc>
          <w:tcPr>
            <w:tcW w:w="885" w:type="dxa"/>
            <w:vAlign w:val="center"/>
          </w:tcPr>
          <w:p>
            <w:pPr>
              <w:widowControl/>
              <w:jc w:val="center"/>
              <w:textAlignment w:val="center"/>
              <w:rPr>
                <w:rFonts w:ascii="宋体" w:hAnsi="宋体" w:cs="宋体"/>
                <w:color w:val="000000" w:themeColor="text1"/>
                <w:kern w:val="0"/>
                <w:sz w:val="18"/>
                <w:szCs w:val="18"/>
              </w:rPr>
            </w:pPr>
            <w:r>
              <w:rPr>
                <w:rFonts w:hint="eastAsia" w:ascii="宋体" w:hAnsi="宋体" w:cs="宋体"/>
                <w:color w:val="000000"/>
                <w:kern w:val="0"/>
                <w:sz w:val="18"/>
                <w:szCs w:val="18"/>
              </w:rPr>
              <w:t>1</w:t>
            </w:r>
          </w:p>
        </w:tc>
        <w:tc>
          <w:tcPr>
            <w:tcW w:w="1515" w:type="dxa"/>
            <w:vAlign w:val="center"/>
          </w:tcPr>
          <w:p>
            <w:pPr>
              <w:widowControl/>
              <w:jc w:val="center"/>
              <w:rPr>
                <w:rFonts w:ascii="宋体" w:hAnsi="宋体" w:cs="宋体"/>
                <w:color w:val="000000" w:themeColor="text1"/>
                <w:kern w:val="0"/>
                <w:sz w:val="18"/>
                <w:szCs w:val="18"/>
              </w:rPr>
            </w:pPr>
            <w:r>
              <w:rPr>
                <w:rFonts w:hint="eastAsia" w:ascii="宋体" w:hAnsi="宋体" w:cs="宋体"/>
                <w:bCs/>
                <w:color w:val="000000" w:themeColor="text1"/>
                <w:kern w:val="0"/>
                <w:sz w:val="18"/>
                <w:szCs w:val="18"/>
              </w:rPr>
              <w:t>自合同签订之日起一个月内交</w:t>
            </w:r>
          </w:p>
        </w:tc>
        <w:tc>
          <w:tcPr>
            <w:tcW w:w="1470" w:type="dxa"/>
            <w:vAlign w:val="center"/>
          </w:tcPr>
          <w:p>
            <w:pPr>
              <w:widowControl/>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布尔台煤矿</w:t>
            </w:r>
          </w:p>
        </w:tc>
        <w:tc>
          <w:tcPr>
            <w:tcW w:w="1280" w:type="dxa"/>
            <w:vAlign w:val="center"/>
          </w:tcPr>
          <w:p>
            <w:pPr>
              <w:widowControl/>
              <w:jc w:val="center"/>
              <w:rPr>
                <w:rFonts w:ascii="宋体" w:hAnsi="宋体" w:cs="宋体"/>
                <w:color w:val="000000" w:themeColor="text1"/>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724"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1936" w:type="dxa"/>
            <w:vAlign w:val="center"/>
          </w:tcPr>
          <w:p>
            <w:pPr>
              <w:widowControl/>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矿用隔爆光端机</w:t>
            </w:r>
          </w:p>
        </w:tc>
        <w:tc>
          <w:tcPr>
            <w:tcW w:w="1546" w:type="dxa"/>
            <w:vAlign w:val="center"/>
          </w:tcPr>
          <w:p>
            <w:pPr>
              <w:widowControl/>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KTG102-127A</w:t>
            </w:r>
          </w:p>
          <w:p>
            <w:pPr>
              <w:widowControl/>
              <w:jc w:val="center"/>
              <w:rPr>
                <w:rFonts w:ascii="宋体" w:hAnsi="宋体" w:cs="宋体"/>
                <w:color w:val="000000" w:themeColor="text1"/>
                <w:kern w:val="0"/>
                <w:sz w:val="18"/>
                <w:szCs w:val="18"/>
              </w:rPr>
            </w:pPr>
          </w:p>
        </w:tc>
        <w:tc>
          <w:tcPr>
            <w:tcW w:w="675" w:type="dxa"/>
            <w:vAlign w:val="center"/>
          </w:tcPr>
          <w:p>
            <w:pPr>
              <w:widowControl/>
              <w:jc w:val="center"/>
              <w:textAlignment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台</w:t>
            </w:r>
          </w:p>
        </w:tc>
        <w:tc>
          <w:tcPr>
            <w:tcW w:w="885" w:type="dxa"/>
            <w:vAlign w:val="center"/>
          </w:tcPr>
          <w:p>
            <w:pPr>
              <w:widowControl/>
              <w:jc w:val="center"/>
              <w:textAlignment w:val="center"/>
              <w:rPr>
                <w:rFonts w:hint="eastAsia" w:ascii="宋体" w:hAnsi="宋体" w:eastAsia="宋体" w:cs="宋体"/>
                <w:color w:val="000000" w:themeColor="text1"/>
                <w:kern w:val="0"/>
                <w:sz w:val="18"/>
                <w:szCs w:val="18"/>
                <w:lang w:eastAsia="zh-CN"/>
              </w:rPr>
            </w:pPr>
            <w:r>
              <w:rPr>
                <w:rFonts w:hint="eastAsia" w:ascii="宋体" w:hAnsi="宋体" w:cs="宋体"/>
                <w:color w:val="000000"/>
                <w:kern w:val="0"/>
                <w:sz w:val="18"/>
                <w:szCs w:val="18"/>
                <w:lang w:val="en-US" w:eastAsia="zh-CN"/>
              </w:rPr>
              <w:t>8</w:t>
            </w:r>
            <w:bookmarkStart w:id="10" w:name="_GoBack"/>
            <w:bookmarkEnd w:id="10"/>
          </w:p>
        </w:tc>
        <w:tc>
          <w:tcPr>
            <w:tcW w:w="1515" w:type="dxa"/>
            <w:vAlign w:val="center"/>
          </w:tcPr>
          <w:p>
            <w:pPr>
              <w:widowControl/>
              <w:jc w:val="center"/>
              <w:rPr>
                <w:rFonts w:ascii="宋体" w:hAnsi="宋体" w:cs="宋体"/>
                <w:color w:val="000000" w:themeColor="text1"/>
                <w:kern w:val="0"/>
                <w:sz w:val="18"/>
                <w:szCs w:val="18"/>
              </w:rPr>
            </w:pPr>
            <w:r>
              <w:rPr>
                <w:rFonts w:hint="eastAsia" w:ascii="宋体" w:hAnsi="宋体" w:cs="宋体"/>
                <w:bCs/>
                <w:color w:val="000000" w:themeColor="text1"/>
                <w:kern w:val="0"/>
                <w:sz w:val="18"/>
                <w:szCs w:val="18"/>
              </w:rPr>
              <w:t>自合同签订之日起一个月内交货</w:t>
            </w:r>
          </w:p>
        </w:tc>
        <w:tc>
          <w:tcPr>
            <w:tcW w:w="1470" w:type="dxa"/>
            <w:vAlign w:val="center"/>
          </w:tcPr>
          <w:p>
            <w:pPr>
              <w:widowControl/>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布尔台煤矿</w:t>
            </w:r>
          </w:p>
        </w:tc>
        <w:tc>
          <w:tcPr>
            <w:tcW w:w="1280" w:type="dxa"/>
            <w:vAlign w:val="center"/>
          </w:tcPr>
          <w:p>
            <w:pPr>
              <w:widowControl/>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含4电4光光纤收发器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724"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1.7</w:t>
            </w:r>
          </w:p>
        </w:tc>
        <w:tc>
          <w:tcPr>
            <w:tcW w:w="1936" w:type="dxa"/>
            <w:vAlign w:val="center"/>
          </w:tcPr>
          <w:p>
            <w:pPr>
              <w:widowControl/>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光纤收发器(卡式)</w:t>
            </w:r>
          </w:p>
        </w:tc>
        <w:tc>
          <w:tcPr>
            <w:tcW w:w="1546" w:type="dxa"/>
            <w:vAlign w:val="center"/>
          </w:tcPr>
          <w:p>
            <w:pPr>
              <w:widowControl/>
              <w:jc w:val="left"/>
              <w:rPr>
                <w:rFonts w:ascii="宋体" w:hAnsi="宋体" w:cs="宋体"/>
                <w:color w:val="000000" w:themeColor="text1"/>
                <w:kern w:val="0"/>
                <w:sz w:val="18"/>
                <w:szCs w:val="18"/>
              </w:rPr>
            </w:pPr>
            <w:r>
              <w:rPr>
                <w:rFonts w:hint="eastAsia" w:ascii="宋体" w:hAnsi="宋体" w:cs="宋体"/>
                <w:color w:val="000000" w:themeColor="text1"/>
                <w:kern w:val="0"/>
                <w:sz w:val="18"/>
                <w:szCs w:val="18"/>
              </w:rPr>
              <w:t>DDT-N0100SD-C</w:t>
            </w:r>
          </w:p>
        </w:tc>
        <w:tc>
          <w:tcPr>
            <w:tcW w:w="675" w:type="dxa"/>
            <w:vAlign w:val="center"/>
          </w:tcPr>
          <w:p>
            <w:pPr>
              <w:widowControl/>
              <w:jc w:val="center"/>
              <w:textAlignment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块</w:t>
            </w:r>
          </w:p>
        </w:tc>
        <w:tc>
          <w:tcPr>
            <w:tcW w:w="885" w:type="dxa"/>
            <w:vAlign w:val="center"/>
          </w:tcPr>
          <w:p>
            <w:pPr>
              <w:widowControl/>
              <w:jc w:val="center"/>
              <w:textAlignment w:val="center"/>
              <w:rPr>
                <w:rFonts w:ascii="宋体" w:hAnsi="宋体" w:cs="宋体"/>
                <w:color w:val="000000" w:themeColor="text1"/>
                <w:kern w:val="0"/>
                <w:sz w:val="18"/>
                <w:szCs w:val="18"/>
              </w:rPr>
            </w:pPr>
            <w:r>
              <w:rPr>
                <w:rFonts w:hint="eastAsia" w:ascii="宋体" w:hAnsi="宋体" w:cs="宋体"/>
                <w:color w:val="000000"/>
                <w:kern w:val="0"/>
                <w:sz w:val="18"/>
                <w:szCs w:val="18"/>
              </w:rPr>
              <w:t>35</w:t>
            </w:r>
          </w:p>
        </w:tc>
        <w:tc>
          <w:tcPr>
            <w:tcW w:w="1515" w:type="dxa"/>
            <w:vAlign w:val="center"/>
          </w:tcPr>
          <w:p>
            <w:pPr>
              <w:widowControl/>
              <w:jc w:val="center"/>
              <w:rPr>
                <w:rFonts w:ascii="宋体" w:hAnsi="宋体" w:cs="宋体"/>
                <w:color w:val="000000" w:themeColor="text1"/>
                <w:kern w:val="0"/>
                <w:sz w:val="18"/>
                <w:szCs w:val="18"/>
              </w:rPr>
            </w:pPr>
            <w:r>
              <w:rPr>
                <w:rFonts w:hint="eastAsia" w:ascii="宋体" w:hAnsi="宋体" w:cs="宋体"/>
                <w:bCs/>
                <w:color w:val="000000" w:themeColor="text1"/>
                <w:kern w:val="0"/>
                <w:sz w:val="18"/>
                <w:szCs w:val="18"/>
              </w:rPr>
              <w:t>自合同签订之日起一个月内交</w:t>
            </w:r>
          </w:p>
        </w:tc>
        <w:tc>
          <w:tcPr>
            <w:tcW w:w="1470" w:type="dxa"/>
            <w:vAlign w:val="center"/>
          </w:tcPr>
          <w:p>
            <w:pPr>
              <w:widowControl/>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布尔台煤矿</w:t>
            </w:r>
          </w:p>
        </w:tc>
        <w:tc>
          <w:tcPr>
            <w:tcW w:w="1280" w:type="dxa"/>
            <w:vAlign w:val="center"/>
          </w:tcPr>
          <w:p>
            <w:pPr>
              <w:widowControl/>
              <w:jc w:val="center"/>
              <w:rPr>
                <w:rFonts w:ascii="宋体" w:hAnsi="宋体" w:cs="宋体"/>
                <w:bCs/>
                <w:color w:val="000000" w:themeColor="text1"/>
                <w:kern w:val="0"/>
                <w:sz w:val="18"/>
                <w:szCs w:val="18"/>
              </w:rPr>
            </w:pPr>
            <w:r>
              <w:rPr>
                <w:rFonts w:hint="eastAsia" w:ascii="宋体" w:hAnsi="宋体" w:cs="宋体"/>
                <w:bCs/>
                <w:color w:val="000000" w:themeColor="text1"/>
                <w:kern w:val="0"/>
                <w:sz w:val="18"/>
                <w:szCs w:val="18"/>
              </w:rPr>
              <w:t>含机箱3套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24"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w:t>
            </w:r>
          </w:p>
        </w:tc>
        <w:tc>
          <w:tcPr>
            <w:tcW w:w="1936" w:type="dxa"/>
            <w:vAlign w:val="center"/>
          </w:tcPr>
          <w:p>
            <w:pPr>
              <w:widowControl/>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显示器</w:t>
            </w:r>
          </w:p>
        </w:tc>
        <w:tc>
          <w:tcPr>
            <w:tcW w:w="1546" w:type="dxa"/>
            <w:vAlign w:val="center"/>
          </w:tcPr>
          <w:p>
            <w:pPr>
              <w:widowControl/>
              <w:jc w:val="left"/>
              <w:rPr>
                <w:rFonts w:ascii="宋体" w:hAnsi="宋体" w:cs="宋体"/>
                <w:color w:val="000000" w:themeColor="text1"/>
                <w:kern w:val="0"/>
                <w:sz w:val="18"/>
                <w:szCs w:val="18"/>
              </w:rPr>
            </w:pPr>
            <w:r>
              <w:rPr>
                <w:rFonts w:hint="eastAsia" w:ascii="宋体" w:hAnsi="宋体" w:cs="宋体"/>
                <w:color w:val="000000" w:themeColor="text1"/>
                <w:kern w:val="0"/>
                <w:sz w:val="18"/>
                <w:szCs w:val="18"/>
              </w:rPr>
              <w:t>P2213</w:t>
            </w:r>
          </w:p>
        </w:tc>
        <w:tc>
          <w:tcPr>
            <w:tcW w:w="6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台</w:t>
            </w:r>
          </w:p>
        </w:tc>
        <w:tc>
          <w:tcPr>
            <w:tcW w:w="88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515" w:type="dxa"/>
            <w:vAlign w:val="center"/>
          </w:tcPr>
          <w:p>
            <w:pPr>
              <w:widowControl/>
              <w:jc w:val="center"/>
              <w:rPr>
                <w:rFonts w:ascii="宋体" w:hAnsi="宋体" w:cs="宋体"/>
                <w:color w:val="000000"/>
                <w:kern w:val="0"/>
                <w:sz w:val="18"/>
                <w:szCs w:val="18"/>
              </w:rPr>
            </w:pPr>
            <w:r>
              <w:rPr>
                <w:rFonts w:hint="eastAsia" w:ascii="宋体" w:hAnsi="宋体" w:cs="宋体"/>
                <w:bCs/>
                <w:kern w:val="0"/>
                <w:sz w:val="18"/>
                <w:szCs w:val="18"/>
              </w:rPr>
              <w:t>自合同签订之日起一个月内交</w:t>
            </w:r>
          </w:p>
        </w:tc>
        <w:tc>
          <w:tcPr>
            <w:tcW w:w="1470"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布尔台煤矿</w:t>
            </w:r>
          </w:p>
        </w:tc>
        <w:tc>
          <w:tcPr>
            <w:tcW w:w="1280" w:type="dxa"/>
            <w:vAlign w:val="center"/>
          </w:tcPr>
          <w:p>
            <w:pPr>
              <w:widowControl/>
              <w:jc w:val="center"/>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24"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1.9</w:t>
            </w:r>
          </w:p>
        </w:tc>
        <w:tc>
          <w:tcPr>
            <w:tcW w:w="193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硬盘</w:t>
            </w:r>
          </w:p>
        </w:tc>
        <w:tc>
          <w:tcPr>
            <w:tcW w:w="15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3T</w:t>
            </w:r>
          </w:p>
        </w:tc>
        <w:tc>
          <w:tcPr>
            <w:tcW w:w="6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块</w:t>
            </w:r>
          </w:p>
        </w:tc>
        <w:tc>
          <w:tcPr>
            <w:tcW w:w="88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18</w:t>
            </w:r>
          </w:p>
        </w:tc>
        <w:tc>
          <w:tcPr>
            <w:tcW w:w="1515" w:type="dxa"/>
            <w:vAlign w:val="center"/>
          </w:tcPr>
          <w:p>
            <w:pPr>
              <w:widowControl/>
              <w:jc w:val="center"/>
              <w:rPr>
                <w:rFonts w:ascii="宋体" w:hAnsi="宋体" w:cs="宋体"/>
                <w:color w:val="000000"/>
                <w:kern w:val="0"/>
                <w:sz w:val="18"/>
                <w:szCs w:val="18"/>
              </w:rPr>
            </w:pPr>
            <w:r>
              <w:rPr>
                <w:rFonts w:hint="eastAsia" w:ascii="宋体" w:hAnsi="宋体" w:cs="宋体"/>
                <w:bCs/>
                <w:kern w:val="0"/>
                <w:sz w:val="18"/>
                <w:szCs w:val="18"/>
              </w:rPr>
              <w:t>自合同签订之日起一个月内交</w:t>
            </w:r>
          </w:p>
        </w:tc>
        <w:tc>
          <w:tcPr>
            <w:tcW w:w="1470"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布尔台煤矿</w:t>
            </w:r>
          </w:p>
        </w:tc>
        <w:tc>
          <w:tcPr>
            <w:tcW w:w="1280" w:type="dxa"/>
            <w:vAlign w:val="center"/>
          </w:tcPr>
          <w:p>
            <w:pPr>
              <w:widowControl/>
              <w:jc w:val="center"/>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24"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193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机柜</w:t>
            </w:r>
          </w:p>
        </w:tc>
        <w:tc>
          <w:tcPr>
            <w:tcW w:w="1546" w:type="dxa"/>
            <w:vAlign w:val="center"/>
          </w:tcPr>
          <w:p>
            <w:pPr>
              <w:widowControl/>
              <w:jc w:val="left"/>
              <w:rPr>
                <w:rFonts w:ascii="宋体" w:hAnsi="宋体" w:cs="宋体"/>
                <w:color w:val="000000"/>
                <w:kern w:val="0"/>
                <w:sz w:val="18"/>
                <w:szCs w:val="18"/>
              </w:rPr>
            </w:pPr>
            <w:r>
              <w:rPr>
                <w:rFonts w:ascii="宋体" w:hAnsi="宋体" w:cs="宋体"/>
                <w:color w:val="000000"/>
                <w:kern w:val="0"/>
                <w:sz w:val="18"/>
                <w:szCs w:val="18"/>
              </w:rPr>
              <w:t>SD36042U 600×1000×2055mm</w:t>
            </w:r>
          </w:p>
        </w:tc>
        <w:tc>
          <w:tcPr>
            <w:tcW w:w="6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台</w:t>
            </w:r>
          </w:p>
        </w:tc>
        <w:tc>
          <w:tcPr>
            <w:tcW w:w="88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515" w:type="dxa"/>
            <w:vAlign w:val="center"/>
          </w:tcPr>
          <w:p>
            <w:pPr>
              <w:widowControl/>
              <w:jc w:val="center"/>
              <w:rPr>
                <w:rFonts w:ascii="宋体" w:hAnsi="宋体" w:cs="宋体"/>
                <w:color w:val="000000"/>
                <w:kern w:val="0"/>
                <w:sz w:val="18"/>
                <w:szCs w:val="18"/>
              </w:rPr>
            </w:pPr>
            <w:r>
              <w:rPr>
                <w:rFonts w:hint="eastAsia" w:ascii="宋体" w:hAnsi="宋体" w:cs="宋体"/>
                <w:bCs/>
                <w:kern w:val="0"/>
                <w:sz w:val="18"/>
                <w:szCs w:val="18"/>
              </w:rPr>
              <w:t>自合同签订之日起一个月内交</w:t>
            </w:r>
          </w:p>
        </w:tc>
        <w:tc>
          <w:tcPr>
            <w:tcW w:w="1470"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布尔台煤矿</w:t>
            </w:r>
          </w:p>
        </w:tc>
        <w:tc>
          <w:tcPr>
            <w:tcW w:w="1280" w:type="dxa"/>
            <w:vAlign w:val="center"/>
          </w:tcPr>
          <w:p>
            <w:pPr>
              <w:widowControl/>
              <w:jc w:val="center"/>
              <w:rPr>
                <w:rFonts w:ascii="宋体" w:hAnsi="宋体" w:cs="宋体"/>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24"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193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交换机</w:t>
            </w:r>
          </w:p>
        </w:tc>
        <w:tc>
          <w:tcPr>
            <w:tcW w:w="1546" w:type="dxa"/>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S5720-36PC-EI-AC 1000M 28口</w:t>
            </w:r>
          </w:p>
        </w:tc>
        <w:tc>
          <w:tcPr>
            <w:tcW w:w="6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台</w:t>
            </w:r>
          </w:p>
        </w:tc>
        <w:tc>
          <w:tcPr>
            <w:tcW w:w="88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515" w:type="dxa"/>
            <w:vAlign w:val="center"/>
          </w:tcPr>
          <w:p>
            <w:pPr>
              <w:widowControl/>
              <w:jc w:val="center"/>
              <w:rPr>
                <w:rFonts w:ascii="宋体" w:hAnsi="宋体" w:cs="宋体"/>
                <w:color w:val="000000"/>
                <w:kern w:val="0"/>
                <w:sz w:val="18"/>
                <w:szCs w:val="18"/>
              </w:rPr>
            </w:pPr>
            <w:r>
              <w:rPr>
                <w:rFonts w:hint="eastAsia" w:ascii="宋体" w:hAnsi="宋体" w:cs="宋体"/>
                <w:bCs/>
                <w:kern w:val="0"/>
                <w:sz w:val="18"/>
                <w:szCs w:val="18"/>
              </w:rPr>
              <w:t>自合同签订之日起一个月内交</w:t>
            </w:r>
            <w:r>
              <w:rPr>
                <w:rFonts w:hint="eastAsia" w:ascii="宋体" w:hAnsi="宋体" w:cs="宋体"/>
                <w:color w:val="000000"/>
                <w:kern w:val="0"/>
                <w:sz w:val="18"/>
                <w:szCs w:val="18"/>
              </w:rPr>
              <w:t>货</w:t>
            </w:r>
          </w:p>
        </w:tc>
        <w:tc>
          <w:tcPr>
            <w:tcW w:w="1470"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布尔台煤矿</w:t>
            </w:r>
          </w:p>
        </w:tc>
        <w:tc>
          <w:tcPr>
            <w:tcW w:w="1280" w:type="dxa"/>
            <w:vAlign w:val="center"/>
          </w:tcPr>
          <w:p>
            <w:pPr>
              <w:widowControl/>
              <w:rPr>
                <w:rFonts w:ascii="宋体" w:hAnsi="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724"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1936"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网络硬盘录像机</w:t>
            </w:r>
          </w:p>
        </w:tc>
        <w:tc>
          <w:tcPr>
            <w:tcW w:w="1546" w:type="dxa"/>
            <w:vAlign w:val="center"/>
          </w:tcPr>
          <w:p>
            <w:pPr>
              <w:widowControl/>
              <w:jc w:val="left"/>
              <w:rPr>
                <w:rFonts w:ascii="宋体" w:hAnsi="宋体" w:cs="宋体"/>
                <w:color w:val="000000"/>
                <w:kern w:val="0"/>
                <w:sz w:val="18"/>
                <w:szCs w:val="18"/>
              </w:rPr>
            </w:pPr>
            <w:r>
              <w:rPr>
                <w:rFonts w:ascii="宋体" w:hAnsi="宋体" w:cs="宋体"/>
                <w:color w:val="000000"/>
                <w:kern w:val="0"/>
                <w:sz w:val="18"/>
                <w:szCs w:val="18"/>
              </w:rPr>
              <w:t>DH- NVR5832-E 32</w:t>
            </w:r>
          </w:p>
        </w:tc>
        <w:tc>
          <w:tcPr>
            <w:tcW w:w="67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台</w:t>
            </w:r>
          </w:p>
        </w:tc>
        <w:tc>
          <w:tcPr>
            <w:tcW w:w="885"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515" w:type="dxa"/>
            <w:vAlign w:val="center"/>
          </w:tcPr>
          <w:p>
            <w:pPr>
              <w:widowControl/>
              <w:jc w:val="center"/>
              <w:rPr>
                <w:rFonts w:ascii="宋体" w:hAnsi="宋体" w:cs="宋体"/>
                <w:color w:val="000000"/>
                <w:kern w:val="0"/>
                <w:sz w:val="18"/>
                <w:szCs w:val="18"/>
              </w:rPr>
            </w:pPr>
            <w:r>
              <w:rPr>
                <w:rFonts w:hint="eastAsia" w:ascii="宋体" w:hAnsi="宋体" w:cs="宋体"/>
                <w:bCs/>
                <w:kern w:val="0"/>
                <w:sz w:val="18"/>
                <w:szCs w:val="18"/>
              </w:rPr>
              <w:t>自合同签订之日起一个月内交</w:t>
            </w:r>
          </w:p>
        </w:tc>
        <w:tc>
          <w:tcPr>
            <w:tcW w:w="1470" w:type="dxa"/>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布尔台煤矿</w:t>
            </w:r>
          </w:p>
        </w:tc>
        <w:tc>
          <w:tcPr>
            <w:tcW w:w="1280" w:type="dxa"/>
            <w:vAlign w:val="center"/>
          </w:tcPr>
          <w:p>
            <w:pPr>
              <w:widowControl/>
              <w:jc w:val="center"/>
              <w:rPr>
                <w:rFonts w:ascii="宋体" w:hAnsi="宋体" w:cs="宋体"/>
                <w:color w:val="000000"/>
                <w:kern w:val="0"/>
                <w:sz w:val="18"/>
                <w:szCs w:val="18"/>
              </w:rPr>
            </w:pPr>
          </w:p>
        </w:tc>
      </w:tr>
    </w:tbl>
    <w:p>
      <w:pPr>
        <w:adjustRightInd w:val="0"/>
        <w:snapToGrid w:val="0"/>
        <w:spacing w:beforeLines="100" w:afterLines="100" w:line="360" w:lineRule="auto"/>
        <w:ind w:left="-2258" w:leftChars="-1075"/>
        <w:rPr>
          <w:b/>
          <w:szCs w:val="21"/>
        </w:rPr>
      </w:pPr>
    </w:p>
    <w:p>
      <w:pPr>
        <w:tabs>
          <w:tab w:val="left" w:pos="7168"/>
        </w:tabs>
        <w:adjustRightInd w:val="0"/>
        <w:snapToGrid w:val="0"/>
        <w:spacing w:beforeLines="100" w:afterLines="100" w:line="360" w:lineRule="auto"/>
        <w:rPr>
          <w:b/>
          <w:szCs w:val="21"/>
        </w:rPr>
      </w:pPr>
    </w:p>
    <w:p>
      <w:pPr>
        <w:adjustRightInd w:val="0"/>
        <w:snapToGrid w:val="0"/>
        <w:spacing w:beforeLines="100" w:afterLines="100" w:line="360" w:lineRule="auto"/>
        <w:rPr>
          <w:b/>
          <w:szCs w:val="21"/>
        </w:rPr>
      </w:pPr>
      <w:r>
        <w:rPr>
          <w:rFonts w:hint="eastAsia"/>
          <w:b/>
          <w:szCs w:val="21"/>
        </w:rPr>
        <w:t>二、工作环境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+40℃</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+15℃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zCs w:val="21"/>
          <w:u w:val="single"/>
        </w:rPr>
        <w:t>95％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7级</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海拔高度：</w:t>
      </w:r>
      <w:r>
        <w:rPr>
          <w:rFonts w:hint="eastAsia" w:ascii="宋体" w:hAnsi="宋体"/>
          <w:szCs w:val="21"/>
          <w:u w:val="single"/>
        </w:rPr>
        <w:t>≤1400m</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安装地点：</w:t>
      </w:r>
      <w:r>
        <w:rPr>
          <w:rFonts w:hint="eastAsia" w:ascii="宋体" w:hAnsi="宋体"/>
          <w:szCs w:val="21"/>
          <w:u w:val="single"/>
        </w:rPr>
        <w:t>布尔台煤矿调度室</w:t>
      </w:r>
      <w:r>
        <w:rPr>
          <w:rFonts w:hint="eastAsia" w:ascii="宋体" w:hAnsi="宋体"/>
          <w:szCs w:val="21"/>
        </w:rPr>
        <w:t>。</w:t>
      </w:r>
    </w:p>
    <w:p>
      <w:pPr>
        <w:adjustRightInd w:val="0"/>
        <w:snapToGrid w:val="0"/>
        <w:spacing w:beforeLines="100" w:afterLines="100" w:line="360" w:lineRule="auto"/>
        <w:rPr>
          <w:b/>
          <w:szCs w:val="21"/>
        </w:rPr>
      </w:pPr>
    </w:p>
    <w:p>
      <w:pPr>
        <w:adjustRightInd w:val="0"/>
        <w:snapToGrid w:val="0"/>
        <w:spacing w:beforeLines="100" w:afterLines="100" w:line="360" w:lineRule="auto"/>
        <w:rPr>
          <w:b/>
          <w:color w:val="000000"/>
          <w:szCs w:val="21"/>
        </w:rPr>
      </w:pPr>
      <w:r>
        <w:rPr>
          <w:rFonts w:hint="eastAsia"/>
          <w:b/>
          <w:szCs w:val="21"/>
        </w:rPr>
        <w:t>三、</w:t>
      </w:r>
      <w:r>
        <w:rPr>
          <w:rFonts w:hint="eastAsia"/>
          <w:b/>
          <w:color w:val="000000"/>
          <w:szCs w:val="21"/>
        </w:rPr>
        <w:t>技术参数及要求</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b/>
          <w:bCs/>
          <w:szCs w:val="21"/>
        </w:rPr>
      </w:pPr>
      <w:r>
        <w:rPr>
          <w:rFonts w:hint="eastAsia" w:ascii="宋体" w:hAnsi="宋体"/>
          <w:b/>
          <w:bCs/>
          <w:szCs w:val="21"/>
        </w:rPr>
        <w:t>1  技术参数</w:t>
      </w:r>
    </w:p>
    <w:p>
      <w:pPr>
        <w:pStyle w:val="10"/>
        <w:spacing w:line="360" w:lineRule="auto"/>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1.1 B20机箱系统</w:t>
      </w:r>
    </w:p>
    <w:p>
      <w:pPr>
        <w:pStyle w:val="10"/>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.1.1 11U标准机箱，满足各种规模的监控需求。</w:t>
      </w:r>
    </w:p>
    <w:p>
      <w:pPr>
        <w:pStyle w:val="10"/>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1.2标准机架式设计，运营级ATCA机箱系统；插拔式模块化设计，可根据需求灵活扩展。</w:t>
      </w:r>
    </w:p>
    <w:p>
      <w:pPr>
        <w:pStyle w:val="10"/>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1.3 7槽位机箱，双电源适配器，单主控板；业务模块支持热插拔、双电源冗余、智能风扇自动调温，确保系统稳定可靠；双高速无阻塞背板设计，满足大容量视频数据高速交换的需求。</w:t>
      </w:r>
    </w:p>
    <w:p>
      <w:pPr>
        <w:pStyle w:val="10"/>
        <w:spacing w:line="360" w:lineRule="auto"/>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1.2.2B20输入编码板</w:t>
      </w:r>
    </w:p>
    <w:p>
      <w:pPr>
        <w:pStyle w:val="10"/>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2.1视频输入口：8路视频输入，4个VGA和4个DVI；</w:t>
      </w:r>
    </w:p>
    <w:p>
      <w:pPr>
        <w:pStyle w:val="10"/>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2.2输入分辨率：1024×768@60Hz、1280×1024@60Hz、1280×800@60Hz、1366×768@60Hz、1440×900@60Hz、1680×1050@60Hz、1280×960@60Hz、1600×1200@60Hz、1280×720P@50Hz、1280×720P@60Hz、1920×1080I@50Hz、1920×1080I@60Hz、1920×1080P@50Hz、1920×1080P@60Hz；</w:t>
      </w:r>
    </w:p>
    <w:p>
      <w:pPr>
        <w:pStyle w:val="10"/>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2.3音频输入口：8路音频输入，1个DB15转BNC接口；</w:t>
      </w:r>
    </w:p>
    <w:p>
      <w:pPr>
        <w:pStyle w:val="10"/>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2.4编码标准：标准H.264；</w:t>
      </w:r>
    </w:p>
    <w:p>
      <w:pPr>
        <w:pStyle w:val="10"/>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2.5编码能力：8路，支持的编码分辨率为：1080P/720P/4CIF/CIF/QCIF；</w:t>
      </w:r>
    </w:p>
    <w:p>
      <w:pPr>
        <w:pStyle w:val="10"/>
        <w:spacing w:line="360" w:lineRule="auto"/>
        <w:rPr>
          <w:rFonts w:asciiTheme="minorEastAsia" w:hAnsiTheme="minorEastAsia" w:eastAsiaTheme="minorEastAsia"/>
          <w:b/>
          <w:bCs/>
          <w:sz w:val="21"/>
          <w:szCs w:val="21"/>
        </w:rPr>
      </w:pPr>
      <w:r>
        <w:rPr>
          <w:rFonts w:hint="eastAsia" w:asciiTheme="minorEastAsia" w:hAnsiTheme="minorEastAsia" w:eastAsiaTheme="minorEastAsia"/>
          <w:b/>
          <w:bCs/>
          <w:sz w:val="21"/>
          <w:szCs w:val="21"/>
        </w:rPr>
        <w:t>1.3 B20输出解码板</w:t>
      </w:r>
    </w:p>
    <w:p>
      <w:pPr>
        <w:pStyle w:val="10"/>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3.1视频输出接口：8路视频输出，DVI接口；</w:t>
      </w:r>
    </w:p>
    <w:p>
      <w:pPr>
        <w:pStyle w:val="10"/>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3.2输出分辨率：1600×1200@60Hz、1920×1080@60Hz、1920×1080@50Hz、1440×1050@60Hz、1680×1050@60Hz、1280×720@60Hz、1280×720@50Hz、1360×768@60Hz1280×1024@60Hz、1024×768@60Hz；</w:t>
      </w:r>
    </w:p>
    <w:p>
      <w:pPr>
        <w:pStyle w:val="10"/>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3.3音频输出接口：1个DB15接口，转8路BNC（线性电平，阻抗：600Ω）；</w:t>
      </w:r>
    </w:p>
    <w:p>
      <w:pPr>
        <w:pStyle w:val="10"/>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3.4解码通道数：128个；</w:t>
      </w:r>
    </w:p>
    <w:p>
      <w:pPr>
        <w:pStyle w:val="10"/>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3.5解码能力：解码32路1080P，或64路720P，或128路4CIF以下分辨率；</w:t>
      </w:r>
    </w:p>
    <w:p>
      <w:pPr>
        <w:pStyle w:val="10"/>
        <w:spacing w:line="360" w:lineRule="auto"/>
        <w:rPr>
          <w:rFonts w:asciiTheme="minorEastAsia" w:hAnsiTheme="minorEastAsia" w:eastAsiaTheme="minorEastAsia"/>
          <w:sz w:val="21"/>
          <w:szCs w:val="21"/>
        </w:rPr>
      </w:pPr>
      <w:r>
        <w:rPr>
          <w:rFonts w:hint="eastAsia"/>
          <w:szCs w:val="21"/>
        </w:rPr>
        <w:t>*1.</w:t>
      </w:r>
      <w:r>
        <w:rPr>
          <w:rFonts w:hint="eastAsia" w:asciiTheme="minorEastAsia" w:hAnsiTheme="minorEastAsia" w:eastAsiaTheme="minorEastAsia"/>
          <w:sz w:val="21"/>
          <w:szCs w:val="21"/>
        </w:rPr>
        <w:t>3.6画面分割数：1/4/6/8/9/16画面分割；</w:t>
      </w:r>
    </w:p>
    <w:p>
      <w:pPr>
        <w:pStyle w:val="10"/>
        <w:spacing w:line="360" w:lineRule="auto"/>
        <w:rPr>
          <w:rFonts w:asciiTheme="minorEastAsia" w:hAnsiTheme="minorEastAsia" w:eastAsiaTheme="minorEastAsia"/>
          <w:b/>
          <w:bCs/>
          <w:sz w:val="21"/>
          <w:szCs w:val="21"/>
        </w:rPr>
      </w:pPr>
      <w:r>
        <w:rPr>
          <w:rFonts w:hint="eastAsia"/>
          <w:b/>
          <w:sz w:val="21"/>
          <w:szCs w:val="21"/>
        </w:rPr>
        <w:t>B20平台系统</w:t>
      </w:r>
      <w:r>
        <w:rPr>
          <w:b/>
          <w:sz w:val="21"/>
          <w:szCs w:val="21"/>
        </w:rPr>
        <w:t>功能要求</w:t>
      </w:r>
    </w:p>
    <w:p>
      <w:pPr>
        <w:pStyle w:val="10"/>
        <w:spacing w:line="360" w:lineRule="auto"/>
        <w:rPr>
          <w:rFonts w:asciiTheme="minorEastAsia" w:hAnsiTheme="minorEastAsia" w:eastAsiaTheme="minorEastAsia"/>
          <w:sz w:val="21"/>
          <w:szCs w:val="21"/>
        </w:rPr>
      </w:pPr>
      <w:r>
        <w:rPr>
          <w:rFonts w:hint="eastAsia" w:asciiTheme="minorEastAsia" w:hAnsiTheme="minorEastAsia" w:eastAsiaTheme="minorEastAsia"/>
          <w:szCs w:val="21"/>
        </w:rPr>
        <w:t>*</w:t>
      </w:r>
      <w:r>
        <w:rPr>
          <w:rFonts w:hint="eastAsia" w:asciiTheme="minorEastAsia" w:hAnsiTheme="minorEastAsia" w:eastAsiaTheme="minorEastAsia"/>
          <w:sz w:val="21"/>
          <w:szCs w:val="21"/>
        </w:rPr>
        <w:t>1.1整个大屏显示系统以视频综合平台作为拼接控制单元，视频综合平台支持多种视频输入、输出业务板，同时提供高速网络接口，接入视频专网，可以接入前端网络摄像机的网络视频数据、模拟视频信号、其他业务系统计算机显示信号或网络远程桌面，通过视频综合平台内部拼接控制功能，利用视频综合平台强大的数据处理能力，实现图像的拼接和漫游操作。视频综合平台提供DVI、HDMI等多种高清数字输出接口，连接LCD大屏幕显示系统，实现多种视频信号的高清输出显示。</w:t>
      </w:r>
    </w:p>
    <w:p>
      <w:pPr>
        <w:pStyle w:val="10"/>
        <w:spacing w:line="360" w:lineRule="auto"/>
        <w:rPr>
          <w:rFonts w:asciiTheme="minorEastAsia" w:hAnsiTheme="minorEastAsia" w:eastAsiaTheme="minorEastAsia"/>
          <w:sz w:val="21"/>
          <w:szCs w:val="21"/>
        </w:rPr>
      </w:pPr>
      <w:r>
        <w:rPr>
          <w:rFonts w:hint="eastAsia" w:asciiTheme="minorEastAsia" w:hAnsiTheme="minorEastAsia" w:eastAsiaTheme="minorEastAsia"/>
          <w:szCs w:val="21"/>
        </w:rPr>
        <w:t>*</w:t>
      </w:r>
      <w:r>
        <w:rPr>
          <w:rFonts w:hint="eastAsia" w:asciiTheme="minorEastAsia" w:hAnsiTheme="minorEastAsia" w:eastAsiaTheme="minorEastAsia"/>
          <w:sz w:val="21"/>
          <w:szCs w:val="21"/>
        </w:rPr>
        <w:t>1.2视频综合平台真正实现了矩阵切换、业务应用、存储、解码的大集成，可以轻松实现模拟前端、IP前端、数字高清前端和混合前端等多种监控网络的接入，升级扩容简洁、系统改造方便、设备高度集成，系统达到电信级的稳定性和可靠性。</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*1.3</w:t>
      </w:r>
      <w:r>
        <w:rPr>
          <w:rFonts w:asciiTheme="minorEastAsia" w:hAnsiTheme="minorEastAsia" w:eastAsiaTheme="minorEastAsia"/>
          <w:szCs w:val="21"/>
        </w:rPr>
        <w:t>单屏显示</w:t>
      </w:r>
      <w:r>
        <w:rPr>
          <w:rFonts w:hint="eastAsia" w:asciiTheme="minorEastAsia" w:hAnsiTheme="minorEastAsia" w:eastAsiaTheme="minorEastAsia"/>
          <w:szCs w:val="21"/>
        </w:rPr>
        <w:t>：组合大屏的每个单元单独显示一路视频画面，每个单元的视频信号可以任意切换。</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*1.4</w:t>
      </w:r>
      <w:r>
        <w:rPr>
          <w:rFonts w:asciiTheme="minorEastAsia" w:hAnsiTheme="minorEastAsia" w:eastAsiaTheme="minorEastAsia"/>
          <w:szCs w:val="21"/>
        </w:rPr>
        <w:t>整屏显示</w:t>
      </w:r>
      <w:r>
        <w:rPr>
          <w:rFonts w:hint="eastAsia" w:asciiTheme="minorEastAsia" w:hAnsiTheme="minorEastAsia" w:eastAsiaTheme="minorEastAsia"/>
          <w:szCs w:val="21"/>
        </w:rPr>
        <w:t>：整个大屏显示一路完整的视频图像，显示的图像可以是复合视频（PAL或NTSC）、VGA、S-Video、Ypbpr/YCbCr、DVI。</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*1.5</w:t>
      </w:r>
      <w:r>
        <w:rPr>
          <w:rFonts w:asciiTheme="minorEastAsia" w:hAnsiTheme="minorEastAsia" w:eastAsiaTheme="minorEastAsia"/>
          <w:szCs w:val="21"/>
        </w:rPr>
        <w:t>任意分割显示</w:t>
      </w:r>
      <w:r>
        <w:rPr>
          <w:rFonts w:hint="eastAsia" w:asciiTheme="minorEastAsia" w:hAnsiTheme="minorEastAsia" w:eastAsiaTheme="minorEastAsia"/>
          <w:szCs w:val="21"/>
        </w:rPr>
        <w:t>：以一个屏为单元可任意1、4、9、16路等画面分割显示。</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*1.6</w:t>
      </w:r>
      <w:r>
        <w:rPr>
          <w:rFonts w:asciiTheme="minorEastAsia" w:hAnsiTheme="minorEastAsia" w:eastAsiaTheme="minorEastAsia"/>
          <w:szCs w:val="21"/>
        </w:rPr>
        <w:t>图像叠加</w:t>
      </w:r>
      <w:r>
        <w:rPr>
          <w:rFonts w:hint="eastAsia" w:asciiTheme="minorEastAsia" w:hAnsiTheme="minorEastAsia" w:eastAsiaTheme="minorEastAsia"/>
          <w:szCs w:val="21"/>
        </w:rPr>
        <w:t>：可以将任意一个或者多个信号叠加到其他信号之上显示。</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*1.7</w:t>
      </w:r>
      <w:r>
        <w:rPr>
          <w:rFonts w:asciiTheme="minorEastAsia" w:hAnsiTheme="minorEastAsia" w:eastAsiaTheme="minorEastAsia"/>
          <w:szCs w:val="21"/>
        </w:rPr>
        <w:t>任意</w:t>
      </w:r>
      <w:r>
        <w:rPr>
          <w:rFonts w:hint="eastAsia" w:asciiTheme="minorEastAsia" w:hAnsiTheme="minorEastAsia" w:eastAsiaTheme="minorEastAsia"/>
          <w:szCs w:val="21"/>
        </w:rPr>
        <w:t>分</w:t>
      </w:r>
      <w:r>
        <w:rPr>
          <w:rFonts w:asciiTheme="minorEastAsia" w:hAnsiTheme="minorEastAsia" w:eastAsiaTheme="minorEastAsia"/>
          <w:szCs w:val="21"/>
        </w:rPr>
        <w:t>割显示</w:t>
      </w:r>
      <w:r>
        <w:rPr>
          <w:rFonts w:hint="eastAsia" w:asciiTheme="minorEastAsia" w:hAnsiTheme="minorEastAsia" w:eastAsiaTheme="minorEastAsia"/>
          <w:szCs w:val="21"/>
        </w:rPr>
        <w:t>：可以对任意重要目标细节画面进行切割放大显示。</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*1.8</w:t>
      </w:r>
      <w:r>
        <w:rPr>
          <w:rFonts w:asciiTheme="minorEastAsia" w:hAnsiTheme="minorEastAsia" w:eastAsiaTheme="minorEastAsia"/>
          <w:szCs w:val="21"/>
        </w:rPr>
        <w:t>任意组合显示</w:t>
      </w:r>
      <w:r>
        <w:rPr>
          <w:rFonts w:hint="eastAsia" w:asciiTheme="minorEastAsia" w:hAnsiTheme="minorEastAsia" w:eastAsiaTheme="minorEastAsia"/>
          <w:szCs w:val="21"/>
        </w:rPr>
        <w:t>:可以任意几个大屏组合显示一路画面。</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*1.9</w:t>
      </w:r>
      <w:r>
        <w:rPr>
          <w:rFonts w:asciiTheme="minorEastAsia" w:hAnsiTheme="minorEastAsia" w:eastAsiaTheme="minorEastAsia"/>
          <w:szCs w:val="21"/>
        </w:rPr>
        <w:t>图像半透明混合处理</w:t>
      </w:r>
      <w:r>
        <w:rPr>
          <w:rFonts w:hint="eastAsia" w:asciiTheme="minorEastAsia" w:hAnsiTheme="minorEastAsia" w:eastAsiaTheme="minorEastAsia"/>
          <w:szCs w:val="21"/>
        </w:rPr>
        <w:t>:可将任意一个信号叠加到其他信号（地图）之上，图像透明度可调，即可以看到实图像又不覆盖其他信号。</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*1.10</w:t>
      </w:r>
      <w:r>
        <w:rPr>
          <w:rFonts w:asciiTheme="minorEastAsia" w:hAnsiTheme="minorEastAsia" w:eastAsiaTheme="minorEastAsia"/>
          <w:szCs w:val="21"/>
        </w:rPr>
        <w:t>图像漫游</w:t>
      </w:r>
      <w:r>
        <w:rPr>
          <w:rFonts w:hint="eastAsia" w:asciiTheme="minorEastAsia" w:hAnsiTheme="minorEastAsia" w:eastAsiaTheme="minorEastAsia"/>
          <w:szCs w:val="21"/>
        </w:rPr>
        <w:t>：将任意一个信号在整个大屏上进行随意移动。</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*1.11</w:t>
      </w:r>
      <w:r>
        <w:rPr>
          <w:rFonts w:asciiTheme="minorEastAsia" w:hAnsiTheme="minorEastAsia" w:eastAsiaTheme="minorEastAsia"/>
          <w:szCs w:val="21"/>
        </w:rPr>
        <w:t>图像拉伸</w:t>
      </w:r>
      <w:r>
        <w:rPr>
          <w:rFonts w:hint="eastAsia" w:asciiTheme="minorEastAsia" w:hAnsiTheme="minorEastAsia" w:eastAsiaTheme="minorEastAsia"/>
          <w:szCs w:val="21"/>
        </w:rPr>
        <w:t>：可将一个信号在整个屏幕墙上随意缩放。</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*1..12</w:t>
      </w:r>
      <w:r>
        <w:rPr>
          <w:rFonts w:asciiTheme="minorEastAsia" w:hAnsiTheme="minorEastAsia" w:eastAsiaTheme="minorEastAsia"/>
          <w:szCs w:val="21"/>
        </w:rPr>
        <w:t>logo/OSD显示</w:t>
      </w:r>
      <w:r>
        <w:rPr>
          <w:rFonts w:hint="eastAsia" w:asciiTheme="minorEastAsia" w:hAnsiTheme="minorEastAsia" w:eastAsiaTheme="minorEastAsia"/>
          <w:szCs w:val="21"/>
        </w:rPr>
        <w:t>：在不占用视频输入的情况下，可通过网络在任意单元上以任意大小显示任意多幅静止图像，也可以是LOGO信息或地图。可在任意单元任意位置显示适量字库文本信息，文字透明度可调。</w:t>
      </w:r>
    </w:p>
    <w:p>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1.13</w:t>
      </w:r>
      <w:r>
        <w:rPr>
          <w:rFonts w:asciiTheme="minorEastAsia" w:hAnsiTheme="minorEastAsia" w:eastAsiaTheme="minorEastAsia"/>
          <w:szCs w:val="21"/>
        </w:rPr>
        <w:t>网络抓屏</w:t>
      </w:r>
      <w:r>
        <w:rPr>
          <w:rFonts w:hint="eastAsia" w:asciiTheme="minorEastAsia" w:hAnsiTheme="minorEastAsia" w:eastAsiaTheme="minorEastAsia"/>
          <w:szCs w:val="21"/>
        </w:rPr>
        <w:t>：可通过网络将远端电脑的操作界面投射到电视墙上(例如将客户端操作投像到大屏显示)。</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1.14虚拟</w:t>
      </w:r>
      <w:r>
        <w:rPr>
          <w:rFonts w:asciiTheme="minorEastAsia" w:hAnsiTheme="minorEastAsia" w:eastAsiaTheme="minorEastAsia"/>
          <w:szCs w:val="21"/>
        </w:rPr>
        <w:t>LED：</w:t>
      </w:r>
      <w:r>
        <w:rPr>
          <w:rFonts w:hint="eastAsia" w:asciiTheme="minorEastAsia" w:hAnsiTheme="minorEastAsia" w:eastAsiaTheme="minorEastAsia"/>
          <w:szCs w:val="21"/>
        </w:rPr>
        <w:t>支持动态字符叠加功能，可在拼接屏上，虚拟出一段字符显示，对文字字体、颜色、字符间距、背景色、速度可调节。</w:t>
      </w:r>
      <w:bookmarkStart w:id="4" w:name="_Toc357086145"/>
    </w:p>
    <w:p>
      <w:pPr>
        <w:spacing w:line="360" w:lineRule="auto"/>
        <w:rPr>
          <w:rFonts w:asciiTheme="minorEastAsia" w:hAnsiTheme="minorEastAsia" w:eastAsiaTheme="minorEastAsia"/>
          <w:b/>
          <w:bCs/>
          <w:szCs w:val="21"/>
        </w:rPr>
      </w:pPr>
      <w:r>
        <w:rPr>
          <w:rFonts w:hint="eastAsia" w:asciiTheme="minorEastAsia" w:hAnsiTheme="minorEastAsia" w:eastAsiaTheme="minorEastAsia"/>
          <w:b/>
          <w:bCs/>
          <w:szCs w:val="21"/>
        </w:rPr>
        <w:t>1.4数据中心技术参数</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*1.4.1 E5-2620 V3(6核2.4GHz)×1/16GB DDR4/1TB SATA×2/热插拔/SAS3008/DVD/1GbE×4/冗电/导轨/2U/Windows Server 2008 R2简体中文标准版激活码 。</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*1.4.2电源：高效能550W铂金1+1 冗余电源。</w:t>
      </w:r>
    </w:p>
    <w:p>
      <w:pPr>
        <w:spacing w:line="360" w:lineRule="auto"/>
        <w:rPr>
          <w:rFonts w:asciiTheme="minorEastAsia" w:hAnsiTheme="minorEastAsia" w:eastAsiaTheme="minorEastAsia"/>
          <w:szCs w:val="21"/>
        </w:rPr>
      </w:pPr>
      <w:r>
        <w:rPr>
          <w:rFonts w:hint="eastAsia" w:ascii="Tahoma" w:hAnsi="Tahoma" w:eastAsia="Tahoma" w:cs="Tahoma"/>
          <w:color w:val="444444"/>
          <w:szCs w:val="21"/>
          <w:shd w:val="clear" w:color="auto" w:fill="FFFFFF"/>
        </w:rPr>
        <w:t>△</w:t>
      </w:r>
      <w:r>
        <w:rPr>
          <w:rFonts w:hint="eastAsia" w:asciiTheme="minorEastAsia" w:hAnsiTheme="minorEastAsia" w:eastAsiaTheme="minorEastAsia"/>
          <w:szCs w:val="21"/>
        </w:rPr>
        <w:t>1.4.3电源电压 200-240V/50Hz。</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1.4.4机箱尺寸：87.8mm(高)×448mm(宽)×794.4mm(深)。</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1.4.5重量 最大35 千克（不含导轨）。</w:t>
      </w:r>
    </w:p>
    <w:p>
      <w:pPr>
        <w:spacing w:line="360" w:lineRule="auto"/>
        <w:rPr>
          <w:rFonts w:asciiTheme="minorEastAsia" w:hAnsiTheme="minorEastAsia" w:eastAsiaTheme="minorEastAsia"/>
          <w:b/>
          <w:bCs/>
          <w:szCs w:val="21"/>
        </w:rPr>
      </w:pPr>
      <w:r>
        <w:rPr>
          <w:rFonts w:hint="eastAsia" w:asciiTheme="minorEastAsia" w:hAnsiTheme="minorEastAsia" w:eastAsiaTheme="minorEastAsia"/>
          <w:b/>
          <w:bCs/>
          <w:szCs w:val="21"/>
        </w:rPr>
        <w:t>1.5视频监控—中心产品</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*1.5.1监控点管理：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监控点管理容量10000</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支持监控点树状结构管理，根组织节点可系统默认创建或用户自定义创建</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支持监控点在线状态统计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支持监控点模糊搜索</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*1.5.2用户管理：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支持注册管理10000个用户，并发访问100个用户</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支持用户名、所属组织、用户级别、联系电话、E-mail、用户角色分配的信息管理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对用户有效时间段进行管理，支持对有效时间段内的用户进行禁用或解禁</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支持用户在线ID查看，管理员可强制在线用户下线</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*1.5.3角色管理：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支持角色功能访问权限、角色资源访问权限、角色组织划分，角色类型设置</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*1.5.4设备资源管理：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支持添加、删除与管理设备资源，包括网络摄像机、编码器、服务器、解码设备、电视墙，网络键盘等</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支持远程修改设备参数、通道参数、设备升级、设备重启等</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*1.5.5预览：</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支持多种规格显示模式，支持显示鱼眼图像或矫正后图像</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支持1/3/4/6/7/9/12/15/24画面分割显示及全屏显示</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预览画面支持亮度、明度、色调、饱和度参数调节</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预览画面支持监控点信息、语音对讲、开关声音、音量控制、主/子码流切换、切换到第三码流、云台与镜头控制、抓图、多图抓拍、鱼眼、图像选取定位</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*1.5.6录像及回放：</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支持定时录像、报警录像等录像模式，不同类型录像以不同颜色进行区分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支持按时间、监控点、录像类型检索录像</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回放支持1/4/9/16画面分割，画面支持4:3、16:9、自适应显示模式</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回放时支持暂停、单帧进、单帧退、播放速度控制（1/16、1/8、1/4、1/2、1、2、4、8、16倍速）、同步回放、异步回放</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回放支持快速定位指定时间点</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回放支持分段回放，以分段缩略图展示录像片段</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支持录像文件增加/删除标签</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支持下载器分段、多任务下载录像文件</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*1.5.7轮巡：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支持轮巡预案，对窗口布局、轮巡点顺序、监控点预置位和码流、预案执行时间等参数进行设置</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支持最多四个预案之间的轮巡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*1.5.8电视墙：</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支持大屏新建、编辑、大屏与解码输出通道关联</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支持大屏拼接、开窗、漫游、预览上墙、回放上墙、报警联动录像上墙、支持在客户端上查看屏上的实时画面，并查看监控点名称、分辨率、码率、帧率等参数</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*1.5.9门禁应用：</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支持通过客户端或电子地图控制门的开关，并在平台中显示门禁点开关门状态</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支持实时查询门禁事件记录</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支持对门禁系统进行参数配置、权限管理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非法开门触发报警时，可联动录像、抓图、上传中心以及报警输出等功能</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*1.5.10动环应用：</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支持接收温湿度、风速、UPS等传感器采集的数据，并以图形化方式展示</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支持对采集数据进行阈值设定，超过设定阈值将触发报警</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支持自定义设定数据采集的频率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支持对采集数据进行时间节点统计，并以图形化方式展示</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*1.5.11报警应用检查：</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支持对监控点、报警器、环境量等设备进行报警配置并产生联动</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支持对实时和历史报警警信息进行排序、过滤显示，并对查看的联动录像、报警详情；可导出查询结果</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支持查询过滤历史告警，用户可以根据检索到的报警信息，查看相关的联动录像、报警详情；支持导出查询结果。</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*1.5.12电子地图检查：</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支持在线/离线GIS地图，bmp、png、jpg格式的静态地图导入</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GIS地图支持监控点、移动设备的地图元素呈现以及移动设备跟踪，支持地图标记，自定义图标添加，支持监控、自定义图标全局搜索</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静态地图支持监控点、IO输入/输出设备、环境监测设备图标添加、报警提示地图链接</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静态地图支持地图链接</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*1.5.13人脸检测：</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支持人脸检测，并报警抓拍图片</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支持按时间、监控点、人员信息、目标人脸图片等组合条件检索人脸检测图片历史记录、并可录入人员库，实现人脸黑白名单对比</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*1.5.14客流统计：</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在特定情况下，支持以某出入口或区域为单位进行客流数据统计，并以图形化方式展示</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支持对采集的进出数据进行时间节点统计，并以图形化方式展示</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*1.5.15报警接收：</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支持接收前端智能报警信息，并可联动录像、抓图、上传中心以及报警输出等功能</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*1.5.16运维管理：</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支持对平台内注册设备的在线状态、录像状态、监控点在线率等运维状态进行实时监测</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支持接收视频丢失、图像雪花干扰、条纹干扰等异常报警信息</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支持对监控点的在线率、录像状况、视频异常数量、视频质量诊断等数据进行统计并可生成报表，可手动创建维护记录，并按时间节点生成报表。</w:t>
      </w:r>
    </w:p>
    <w:p>
      <w:pPr>
        <w:widowControl/>
        <w:jc w:val="left"/>
        <w:rPr>
          <w:rFonts w:ascii="宋体" w:hAnsi="宋体" w:cs="宋体"/>
          <w:b/>
          <w:color w:val="000000"/>
          <w:kern w:val="0"/>
          <w:szCs w:val="21"/>
        </w:rPr>
      </w:pPr>
      <w:r>
        <w:rPr>
          <w:rFonts w:hint="eastAsia" w:ascii="宋体" w:hAnsi="宋体" w:cs="宋体"/>
          <w:b/>
          <w:color w:val="000000"/>
          <w:kern w:val="0"/>
          <w:szCs w:val="21"/>
        </w:rPr>
        <w:t>1.6矿用隔爆光端机：</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1.6.1.1</w:t>
      </w:r>
      <w:r>
        <w:rPr>
          <w:rFonts w:ascii="宋体" w:hAnsi="宋体" w:cs="宋体"/>
          <w:bCs/>
          <w:color w:val="000000"/>
          <w:kern w:val="0"/>
          <w:szCs w:val="21"/>
        </w:rPr>
        <w:t>KTG102-127</w:t>
      </w:r>
      <w:r>
        <w:rPr>
          <w:rFonts w:hint="eastAsia" w:ascii="宋体" w:hAnsi="宋体" w:cs="宋体"/>
          <w:bCs/>
          <w:color w:val="000000"/>
          <w:kern w:val="0"/>
          <w:szCs w:val="21"/>
        </w:rPr>
        <w:t>A</w:t>
      </w:r>
      <w:r>
        <w:rPr>
          <w:rFonts w:ascii="宋体" w:hAnsi="宋体" w:cs="宋体"/>
          <w:bCs/>
          <w:color w:val="000000"/>
          <w:kern w:val="0"/>
          <w:szCs w:val="21"/>
        </w:rPr>
        <w:t>矿用隔爆光端机安装了</w:t>
      </w:r>
      <w:r>
        <w:rPr>
          <w:rFonts w:hint="eastAsia" w:ascii="宋体" w:hAnsi="宋体" w:cs="宋体"/>
          <w:bCs/>
          <w:color w:val="000000"/>
          <w:kern w:val="0"/>
          <w:szCs w:val="21"/>
        </w:rPr>
        <w:t>4光4电光纤收发器</w:t>
      </w:r>
      <w:r>
        <w:rPr>
          <w:rFonts w:ascii="宋体" w:hAnsi="宋体" w:cs="宋体"/>
          <w:bCs/>
          <w:color w:val="000000"/>
          <w:kern w:val="0"/>
          <w:szCs w:val="21"/>
        </w:rPr>
        <w:t>，通过与防爆摄像仪的连接，</w:t>
      </w:r>
      <w:r>
        <w:rPr>
          <w:rFonts w:hint="eastAsia" w:ascii="宋体" w:hAnsi="宋体" w:cs="宋体"/>
          <w:b/>
          <w:color w:val="000000"/>
          <w:kern w:val="0"/>
          <w:szCs w:val="21"/>
        </w:rPr>
        <w:t>*</w:t>
      </w:r>
      <w:r>
        <w:rPr>
          <w:rFonts w:hint="eastAsia" w:ascii="宋体" w:hAnsi="宋体" w:cs="宋体"/>
          <w:bCs/>
          <w:color w:val="000000"/>
          <w:kern w:val="0"/>
          <w:szCs w:val="21"/>
        </w:rPr>
        <w:t>1.6.2</w:t>
      </w:r>
      <w:r>
        <w:rPr>
          <w:rFonts w:ascii="宋体" w:hAnsi="宋体" w:cs="宋体"/>
          <w:bCs/>
          <w:color w:val="000000"/>
          <w:kern w:val="0"/>
          <w:szCs w:val="21"/>
        </w:rPr>
        <w:t>以有效延长信号的通讯距离，保证高质量的信号传输。</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1.6.3</w:t>
      </w:r>
      <w:r>
        <w:rPr>
          <w:rFonts w:ascii="宋体" w:hAnsi="宋体" w:cs="宋体"/>
          <w:bCs/>
          <w:color w:val="000000"/>
          <w:kern w:val="0"/>
          <w:szCs w:val="21"/>
        </w:rPr>
        <w:t>支持单模或者多模光缆，光波长1310nm。</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color w:val="000000"/>
          <w:kern w:val="0"/>
          <w:szCs w:val="21"/>
        </w:rPr>
        <w:t>△</w:t>
      </w:r>
      <w:r>
        <w:rPr>
          <w:rFonts w:hint="eastAsia" w:ascii="宋体" w:hAnsi="宋体" w:cs="宋体"/>
          <w:bCs/>
          <w:color w:val="000000"/>
          <w:kern w:val="0"/>
          <w:szCs w:val="21"/>
        </w:rPr>
        <w:t>1.6.4</w:t>
      </w:r>
      <w:r>
        <w:rPr>
          <w:rFonts w:ascii="宋体" w:hAnsi="宋体" w:cs="宋体"/>
          <w:bCs/>
          <w:color w:val="000000"/>
          <w:kern w:val="0"/>
          <w:szCs w:val="21"/>
        </w:rPr>
        <w:t>能在0℃到+40℃温度条件下长时间稳定工作。</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1.6.5防爆标志：</w:t>
      </w:r>
      <w:r>
        <w:rPr>
          <w:rFonts w:ascii="宋体" w:hAnsi="宋体" w:cs="宋体"/>
          <w:bCs/>
          <w:color w:val="000000"/>
          <w:kern w:val="0"/>
          <w:szCs w:val="21"/>
        </w:rPr>
        <w:t>ExdI Mb</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1.6.6防护等级：IP66</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1.6.7出线孔数量：10</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1.6.8出线孔螺纹规格：M24*1.5</w:t>
      </w:r>
    </w:p>
    <w:p>
      <w:pPr>
        <w:autoSpaceDE w:val="0"/>
        <w:autoSpaceDN w:val="0"/>
        <w:adjustRightInd w:val="0"/>
        <w:spacing w:line="360" w:lineRule="auto"/>
        <w:ind w:firstLine="102" w:firstLineChars="49"/>
        <w:jc w:val="left"/>
        <w:rPr>
          <w:rFonts w:ascii="宋体" w:hAnsi="宋体" w:cs="宋体"/>
          <w:bCs/>
          <w:color w:val="000000"/>
          <w:kern w:val="0"/>
          <w:szCs w:val="21"/>
        </w:rPr>
      </w:pPr>
      <w:r>
        <w:rPr>
          <w:rFonts w:hint="eastAsia" w:ascii="宋体" w:hAnsi="宋体" w:cs="宋体"/>
          <w:bCs/>
          <w:color w:val="000000"/>
          <w:kern w:val="0"/>
          <w:szCs w:val="21"/>
        </w:rPr>
        <w:t>1.6.9环境温度：0℃ ~+40℃</w:t>
      </w:r>
    </w:p>
    <w:p>
      <w:pPr>
        <w:autoSpaceDE w:val="0"/>
        <w:autoSpaceDN w:val="0"/>
        <w:adjustRightInd w:val="0"/>
        <w:spacing w:line="360" w:lineRule="auto"/>
        <w:ind w:firstLine="102" w:firstLineChars="49"/>
        <w:jc w:val="left"/>
        <w:rPr>
          <w:rFonts w:ascii="宋体" w:hAnsi="宋体" w:cs="宋体"/>
          <w:bCs/>
          <w:color w:val="000000"/>
          <w:kern w:val="0"/>
          <w:szCs w:val="21"/>
        </w:rPr>
      </w:pPr>
      <w:r>
        <w:rPr>
          <w:rFonts w:hint="eastAsia" w:ascii="宋体" w:hAnsi="宋体" w:cs="宋体"/>
          <w:bCs/>
          <w:color w:val="000000"/>
          <w:kern w:val="0"/>
          <w:szCs w:val="21"/>
        </w:rPr>
        <w:t>1.6.10相对湿度：≤95%RH（+25℃）</w:t>
      </w:r>
    </w:p>
    <w:p>
      <w:pPr>
        <w:autoSpaceDE w:val="0"/>
        <w:autoSpaceDN w:val="0"/>
        <w:adjustRightInd w:val="0"/>
        <w:spacing w:line="360" w:lineRule="auto"/>
        <w:jc w:val="left"/>
        <w:rPr>
          <w:rFonts w:ascii="宋体" w:hAnsi="宋体" w:cs="宋体"/>
          <w:b/>
          <w:color w:val="000000"/>
          <w:kern w:val="0"/>
          <w:szCs w:val="21"/>
        </w:rPr>
      </w:pPr>
      <w:r>
        <w:rPr>
          <w:rFonts w:hint="eastAsia" w:ascii="宋体" w:hAnsi="宋体" w:cs="宋体"/>
          <w:b/>
          <w:color w:val="000000"/>
          <w:kern w:val="0"/>
          <w:szCs w:val="21"/>
        </w:rPr>
        <w:t>1.7光纤收发器，卡式：</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1.7.1数据传输模式：10/100 Mbs</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1.7.2双工模式：Full or Half Duplex Mode</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color w:val="000000"/>
          <w:kern w:val="0"/>
          <w:szCs w:val="21"/>
        </w:rPr>
        <w:t>△</w:t>
      </w:r>
      <w:r>
        <w:rPr>
          <w:rFonts w:hint="eastAsia" w:ascii="宋体" w:hAnsi="宋体" w:cs="宋体"/>
          <w:bCs/>
          <w:color w:val="000000"/>
          <w:kern w:val="0"/>
          <w:szCs w:val="21"/>
        </w:rPr>
        <w:t>1.7.3线    缆：Cat.5 UTP cable</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color w:val="000000"/>
          <w:kern w:val="0"/>
          <w:szCs w:val="21"/>
        </w:rPr>
        <w:t>△</w:t>
      </w:r>
      <w:r>
        <w:rPr>
          <w:rFonts w:hint="eastAsia" w:ascii="宋体" w:hAnsi="宋体" w:cs="宋体"/>
          <w:bCs/>
          <w:color w:val="000000"/>
          <w:kern w:val="0"/>
          <w:szCs w:val="21"/>
        </w:rPr>
        <w:t>1.7.4连 接 器：SC/FC/ST</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1.7.5光纤线缆：单模 / 多模</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color w:val="000000"/>
          <w:kern w:val="0"/>
          <w:szCs w:val="21"/>
        </w:rPr>
        <w:t>△</w:t>
      </w:r>
      <w:r>
        <w:rPr>
          <w:rFonts w:hint="eastAsia" w:ascii="宋体" w:hAnsi="宋体" w:cs="宋体"/>
          <w:bCs/>
          <w:color w:val="000000"/>
          <w:kern w:val="0"/>
          <w:szCs w:val="21"/>
        </w:rPr>
        <w:t>1.7.6典型距离：20 / 2Km</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1.7.7工作波长：1310 nm</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1.7.8</w:t>
      </w:r>
      <w:r>
        <w:rPr>
          <w:rFonts w:ascii="宋体" w:hAnsi="宋体" w:cs="宋体"/>
          <w:bCs/>
          <w:color w:val="000000"/>
          <w:kern w:val="0"/>
          <w:szCs w:val="21"/>
        </w:rPr>
        <w:t>Min TX PWR</w:t>
      </w:r>
      <w:r>
        <w:rPr>
          <w:rFonts w:hint="eastAsia" w:ascii="宋体" w:hAnsi="宋体" w:cs="宋体"/>
          <w:bCs/>
          <w:color w:val="000000"/>
          <w:kern w:val="0"/>
          <w:szCs w:val="21"/>
        </w:rPr>
        <w:t>：</w:t>
      </w:r>
      <w:r>
        <w:rPr>
          <w:rFonts w:ascii="宋体" w:hAnsi="宋体" w:cs="宋体"/>
          <w:bCs/>
          <w:color w:val="000000"/>
          <w:kern w:val="0"/>
          <w:szCs w:val="21"/>
        </w:rPr>
        <w:t>—10.0dBm</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1.7.9</w:t>
      </w:r>
      <w:r>
        <w:rPr>
          <w:rFonts w:ascii="宋体" w:hAnsi="宋体" w:cs="宋体"/>
          <w:bCs/>
          <w:color w:val="000000"/>
          <w:kern w:val="0"/>
          <w:szCs w:val="21"/>
        </w:rPr>
        <w:t>Sensitivity</w:t>
      </w:r>
      <w:r>
        <w:rPr>
          <w:rFonts w:hint="eastAsia" w:ascii="宋体" w:hAnsi="宋体" w:cs="宋体"/>
          <w:bCs/>
          <w:color w:val="000000"/>
          <w:kern w:val="0"/>
          <w:szCs w:val="21"/>
        </w:rPr>
        <w:t>：</w:t>
      </w:r>
      <w:r>
        <w:rPr>
          <w:rFonts w:ascii="宋体" w:hAnsi="宋体" w:cs="宋体"/>
          <w:bCs/>
          <w:color w:val="000000"/>
          <w:kern w:val="0"/>
          <w:szCs w:val="21"/>
        </w:rPr>
        <w:t>31.0dBm</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1.7.10</w:t>
      </w:r>
      <w:r>
        <w:rPr>
          <w:rFonts w:ascii="宋体" w:hAnsi="宋体" w:cs="宋体"/>
          <w:bCs/>
          <w:color w:val="000000"/>
          <w:kern w:val="0"/>
          <w:szCs w:val="21"/>
        </w:rPr>
        <w:t>Link Budget</w:t>
      </w:r>
      <w:r>
        <w:rPr>
          <w:rFonts w:ascii="宋体" w:hAnsi="宋体" w:cs="宋体"/>
          <w:bCs/>
          <w:color w:val="000000"/>
          <w:kern w:val="0"/>
          <w:szCs w:val="21"/>
        </w:rPr>
        <w:tab/>
      </w:r>
      <w:r>
        <w:rPr>
          <w:rFonts w:ascii="宋体" w:hAnsi="宋体" w:cs="宋体"/>
          <w:bCs/>
          <w:color w:val="000000"/>
          <w:kern w:val="0"/>
          <w:szCs w:val="21"/>
        </w:rPr>
        <w:t>12.0dBm</w:t>
      </w:r>
    </w:p>
    <w:p>
      <w:pPr>
        <w:autoSpaceDE w:val="0"/>
        <w:autoSpaceDN w:val="0"/>
        <w:adjustRightInd w:val="0"/>
        <w:spacing w:line="360" w:lineRule="auto"/>
        <w:ind w:firstLine="102" w:firstLineChars="49"/>
        <w:jc w:val="left"/>
        <w:rPr>
          <w:rFonts w:ascii="宋体" w:hAnsi="宋体" w:cs="宋体"/>
          <w:bCs/>
          <w:color w:val="000000"/>
          <w:kern w:val="0"/>
          <w:szCs w:val="21"/>
        </w:rPr>
      </w:pPr>
      <w:r>
        <w:rPr>
          <w:rFonts w:hint="eastAsia" w:ascii="宋体" w:hAnsi="宋体" w:cs="宋体"/>
          <w:bCs/>
          <w:color w:val="000000"/>
          <w:kern w:val="0"/>
          <w:szCs w:val="21"/>
        </w:rPr>
        <w:t>1.7.11工作温度：0℃ — +70℃</w:t>
      </w:r>
    </w:p>
    <w:p>
      <w:pPr>
        <w:autoSpaceDE w:val="0"/>
        <w:autoSpaceDN w:val="0"/>
        <w:adjustRightInd w:val="0"/>
        <w:spacing w:line="360" w:lineRule="auto"/>
        <w:ind w:firstLine="102" w:firstLineChars="49"/>
        <w:jc w:val="left"/>
        <w:rPr>
          <w:rFonts w:ascii="宋体" w:hAnsi="宋体" w:cs="宋体"/>
          <w:bCs/>
          <w:color w:val="000000"/>
          <w:kern w:val="0"/>
          <w:szCs w:val="21"/>
        </w:rPr>
      </w:pPr>
      <w:r>
        <w:rPr>
          <w:rFonts w:hint="eastAsia" w:ascii="宋体" w:hAnsi="宋体" w:cs="宋体"/>
          <w:bCs/>
          <w:color w:val="000000"/>
          <w:kern w:val="0"/>
          <w:szCs w:val="21"/>
        </w:rPr>
        <w:t>1.7.12储存温度：—10℃ — +85℃</w:t>
      </w:r>
    </w:p>
    <w:p>
      <w:pPr>
        <w:autoSpaceDE w:val="0"/>
        <w:autoSpaceDN w:val="0"/>
        <w:adjustRightInd w:val="0"/>
        <w:spacing w:line="360" w:lineRule="auto"/>
        <w:ind w:firstLine="102" w:firstLineChars="49"/>
        <w:jc w:val="left"/>
        <w:rPr>
          <w:rFonts w:ascii="宋体" w:hAnsi="宋体" w:cs="宋体"/>
          <w:bCs/>
          <w:color w:val="000000"/>
          <w:kern w:val="0"/>
          <w:szCs w:val="21"/>
        </w:rPr>
      </w:pPr>
      <w:r>
        <w:rPr>
          <w:rFonts w:hint="eastAsia" w:ascii="宋体" w:hAnsi="宋体" w:cs="宋体"/>
          <w:bCs/>
          <w:color w:val="000000"/>
          <w:kern w:val="0"/>
          <w:szCs w:val="21"/>
        </w:rPr>
        <w:t>1.7.13工作湿度：5—90%（无冷凝）</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1.7.14电源输入：AC 100 - 240V，AC/DC 12-48V可选</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1.7.15电源输出：DC5V2A</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1.7.16纹波：≤20mV</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1.7.17噪音：≤50mV</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color w:val="000000"/>
          <w:kern w:val="0"/>
          <w:szCs w:val="21"/>
        </w:rPr>
        <w:t>△</w:t>
      </w:r>
      <w:r>
        <w:rPr>
          <w:rFonts w:hint="eastAsia" w:ascii="宋体" w:hAnsi="宋体" w:cs="宋体"/>
          <w:bCs/>
          <w:color w:val="000000"/>
          <w:kern w:val="0"/>
          <w:szCs w:val="21"/>
        </w:rPr>
        <w:t>1.7.18电源保护：过压保护、过流保护</w:t>
      </w:r>
    </w:p>
    <w:p>
      <w:pPr>
        <w:autoSpaceDE w:val="0"/>
        <w:autoSpaceDN w:val="0"/>
        <w:adjustRightInd w:val="0"/>
        <w:spacing w:line="360" w:lineRule="auto"/>
        <w:ind w:firstLine="102" w:firstLineChars="49"/>
        <w:jc w:val="left"/>
        <w:rPr>
          <w:rFonts w:ascii="宋体" w:hAnsi="宋体" w:cs="宋体"/>
          <w:bCs/>
          <w:color w:val="000000"/>
          <w:kern w:val="0"/>
          <w:szCs w:val="21"/>
        </w:rPr>
      </w:pPr>
      <w:r>
        <w:rPr>
          <w:rFonts w:hint="eastAsia" w:ascii="宋体" w:hAnsi="宋体" w:cs="宋体"/>
          <w:bCs/>
          <w:color w:val="000000"/>
          <w:kern w:val="0"/>
          <w:szCs w:val="21"/>
        </w:rPr>
        <w:t>1.7.19功耗：≤3W</w:t>
      </w:r>
    </w:p>
    <w:p>
      <w:pPr>
        <w:autoSpaceDE w:val="0"/>
        <w:autoSpaceDN w:val="0"/>
        <w:adjustRightInd w:val="0"/>
        <w:spacing w:line="360" w:lineRule="auto"/>
        <w:ind w:firstLine="102" w:firstLineChars="49"/>
        <w:jc w:val="left"/>
        <w:rPr>
          <w:rFonts w:ascii="宋体" w:hAnsi="宋体" w:cs="宋体"/>
          <w:bCs/>
          <w:color w:val="000000"/>
          <w:kern w:val="0"/>
          <w:szCs w:val="21"/>
        </w:rPr>
      </w:pPr>
      <w:r>
        <w:rPr>
          <w:rFonts w:hint="eastAsia" w:ascii="宋体" w:hAnsi="宋体" w:cs="宋体"/>
          <w:bCs/>
          <w:color w:val="000000"/>
          <w:kern w:val="0"/>
          <w:szCs w:val="21"/>
        </w:rPr>
        <w:t>1.7.20长×宽×高：95mm×70mm×25mm</w:t>
      </w:r>
    </w:p>
    <w:p>
      <w:pPr>
        <w:autoSpaceDE w:val="0"/>
        <w:autoSpaceDN w:val="0"/>
        <w:adjustRightInd w:val="0"/>
        <w:spacing w:line="360" w:lineRule="auto"/>
        <w:jc w:val="left"/>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1.7.21平均无故障时间：＞50,000小时"</w:t>
      </w:r>
    </w:p>
    <w:p>
      <w:pPr>
        <w:pStyle w:val="4"/>
        <w:spacing w:line="360" w:lineRule="auto"/>
        <w:ind w:firstLine="0" w:firstLineChars="0"/>
        <w:rPr>
          <w:rFonts w:ascii="宋体" w:hAnsi="宋体" w:cs="宋体"/>
          <w:b/>
          <w:color w:val="000000"/>
          <w:kern w:val="0"/>
          <w:szCs w:val="21"/>
        </w:rPr>
      </w:pPr>
      <w:r>
        <w:rPr>
          <w:rFonts w:hint="eastAsia" w:ascii="宋体" w:hAnsi="宋体" w:cs="宋体"/>
          <w:b/>
          <w:color w:val="000000"/>
          <w:kern w:val="0"/>
          <w:szCs w:val="21"/>
        </w:rPr>
        <w:t>*1.8：液晶显示器</w:t>
      </w:r>
      <w:r>
        <w:rPr>
          <w:rFonts w:hint="eastAsia" w:ascii="宋体" w:hAnsi="宋体" w:cs="宋体"/>
          <w:b/>
          <w:color w:val="000000"/>
          <w:kern w:val="0"/>
          <w:szCs w:val="21"/>
        </w:rPr>
        <w:tab/>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*1.8.1屏幕尺寸：22英寸</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*1.8.2屏幕比例：16:10（宽屏）</w:t>
      </w:r>
    </w:p>
    <w:p>
      <w:pPr>
        <w:pStyle w:val="4"/>
        <w:spacing w:line="360" w:lineRule="auto"/>
        <w:ind w:firstLine="0" w:firstLineChars="0"/>
        <w:rPr>
          <w:rFonts w:ascii="宋体" w:hAnsi="宋体" w:cs="宋体"/>
          <w:bCs/>
          <w:color w:val="000000"/>
          <w:kern w:val="0"/>
          <w:szCs w:val="21"/>
        </w:rPr>
      </w:pPr>
      <w:r>
        <w:rPr>
          <w:rFonts w:hint="eastAsia" w:ascii="宋体" w:hAnsi="宋体" w:cs="宋体"/>
          <w:color w:val="000000"/>
          <w:kern w:val="0"/>
          <w:szCs w:val="21"/>
        </w:rPr>
        <w:t>△</w:t>
      </w:r>
      <w:r>
        <w:rPr>
          <w:rFonts w:hint="eastAsia" w:ascii="宋体" w:hAnsi="宋体" w:cs="宋体"/>
          <w:bCs/>
          <w:color w:val="000000"/>
          <w:kern w:val="0"/>
          <w:szCs w:val="21"/>
        </w:rPr>
        <w:t>1.8.3最佳分辨率|：1680x1050</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*1.8.4面板类型：TN</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*1.8.5背光类型：LED背光</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*1.8.6动态对比度：200万:1</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*1.8.7静态对比度：1000:01:00</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*1.8.8黑白响应时间：5ms</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*1.8.9点距：0.282mm</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*1.8.10亮度：250cd/㎡</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*1.8.11可视角度：170/160°</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*1.8.12显示颜色：16.7M</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*1.8.13控制方式：按键</w:t>
      </w:r>
    </w:p>
    <w:p>
      <w:pPr>
        <w:pStyle w:val="4"/>
        <w:spacing w:line="360" w:lineRule="auto"/>
        <w:ind w:firstLine="0" w:firstLineChars="0"/>
        <w:rPr>
          <w:rFonts w:ascii="宋体" w:hAnsi="宋体" w:cs="宋体"/>
          <w:bCs/>
          <w:color w:val="000000"/>
          <w:kern w:val="0"/>
          <w:szCs w:val="21"/>
        </w:rPr>
      </w:pPr>
      <w:r>
        <w:rPr>
          <w:rFonts w:hint="eastAsia" w:ascii="宋体" w:hAnsi="宋体" w:cs="宋体"/>
          <w:color w:val="000000"/>
          <w:kern w:val="0"/>
          <w:szCs w:val="21"/>
        </w:rPr>
        <w:t>△</w:t>
      </w:r>
      <w:r>
        <w:rPr>
          <w:rFonts w:hint="eastAsia" w:ascii="宋体" w:hAnsi="宋体" w:cs="宋体"/>
          <w:bCs/>
          <w:color w:val="000000"/>
          <w:kern w:val="0"/>
          <w:szCs w:val="21"/>
        </w:rPr>
        <w:t>1.8.14语言菜单：英文，德语，法语，意大利语，西班牙语，俄语，葡萄牙语，土耳其语，简体中文</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*1.8.15视频接口：D-Sub（VGA），DVI-D，Displayport</w:t>
      </w:r>
    </w:p>
    <w:p>
      <w:pPr>
        <w:pStyle w:val="4"/>
        <w:spacing w:line="360" w:lineRule="auto"/>
        <w:ind w:firstLine="0" w:firstLineChars="0"/>
        <w:rPr>
          <w:rFonts w:ascii="宋体" w:hAnsi="宋体" w:cs="宋体"/>
          <w:bCs/>
          <w:color w:val="000000"/>
          <w:kern w:val="0"/>
          <w:szCs w:val="21"/>
        </w:rPr>
      </w:pPr>
      <w:r>
        <w:rPr>
          <w:rFonts w:hint="eastAsia" w:ascii="宋体" w:hAnsi="宋体" w:cs="宋体"/>
          <w:color w:val="000000"/>
          <w:kern w:val="0"/>
          <w:szCs w:val="21"/>
        </w:rPr>
        <w:t>△</w:t>
      </w:r>
      <w:r>
        <w:rPr>
          <w:rFonts w:hint="eastAsia" w:ascii="宋体" w:hAnsi="宋体" w:cs="宋体"/>
          <w:bCs/>
          <w:color w:val="000000"/>
          <w:kern w:val="0"/>
          <w:szCs w:val="21"/>
        </w:rPr>
        <w:t>1.8.16产品尺寸：332.7×510.4×59.8mm（不含底座）</w:t>
      </w:r>
    </w:p>
    <w:p>
      <w:pPr>
        <w:pStyle w:val="4"/>
        <w:spacing w:line="360" w:lineRule="auto"/>
        <w:ind w:firstLine="0" w:firstLineChars="0"/>
        <w:rPr>
          <w:rFonts w:ascii="宋体" w:hAnsi="宋体" w:cs="宋体"/>
          <w:bCs/>
          <w:color w:val="000000"/>
          <w:kern w:val="0"/>
          <w:szCs w:val="21"/>
        </w:rPr>
      </w:pPr>
      <w:r>
        <w:rPr>
          <w:rFonts w:hint="eastAsia" w:ascii="宋体" w:hAnsi="宋体" w:cs="宋体"/>
          <w:color w:val="000000"/>
          <w:kern w:val="0"/>
          <w:szCs w:val="21"/>
        </w:rPr>
        <w:t>△</w:t>
      </w:r>
      <w:r>
        <w:rPr>
          <w:rFonts w:hint="eastAsia" w:ascii="宋体" w:hAnsi="宋体" w:cs="宋体"/>
          <w:bCs/>
          <w:color w:val="000000"/>
          <w:kern w:val="0"/>
          <w:szCs w:val="21"/>
        </w:rPr>
        <w:t>1.8.17497.4×510.4×183.3mm（包含底座）</w:t>
      </w:r>
    </w:p>
    <w:p>
      <w:pPr>
        <w:pStyle w:val="4"/>
        <w:spacing w:line="360" w:lineRule="auto"/>
        <w:ind w:firstLine="0" w:firstLineChars="0"/>
        <w:rPr>
          <w:rFonts w:ascii="宋体" w:hAnsi="宋体" w:cs="宋体"/>
          <w:bCs/>
          <w:color w:val="000000"/>
          <w:kern w:val="0"/>
          <w:szCs w:val="21"/>
        </w:rPr>
      </w:pPr>
      <w:r>
        <w:rPr>
          <w:rFonts w:hint="eastAsia" w:ascii="宋体" w:hAnsi="宋体" w:cs="宋体"/>
          <w:color w:val="000000"/>
          <w:kern w:val="0"/>
          <w:szCs w:val="21"/>
        </w:rPr>
        <w:t>△</w:t>
      </w:r>
      <w:r>
        <w:rPr>
          <w:rFonts w:hint="eastAsia" w:ascii="宋体" w:hAnsi="宋体" w:cs="宋体"/>
          <w:bCs/>
          <w:color w:val="000000"/>
          <w:kern w:val="0"/>
          <w:szCs w:val="21"/>
        </w:rPr>
        <w:t>1.8.18产品重量：3.43kg（净重）  7.43kg（毛重）</w:t>
      </w:r>
    </w:p>
    <w:p>
      <w:pPr>
        <w:pStyle w:val="4"/>
        <w:spacing w:line="360" w:lineRule="auto"/>
        <w:ind w:firstLine="0" w:firstLineChars="0"/>
        <w:rPr>
          <w:rFonts w:ascii="宋体" w:hAnsi="宋体" w:cs="宋体"/>
          <w:bCs/>
          <w:color w:val="000000"/>
          <w:kern w:val="0"/>
          <w:szCs w:val="21"/>
        </w:rPr>
      </w:pPr>
      <w:r>
        <w:rPr>
          <w:rFonts w:hint="eastAsia" w:ascii="宋体" w:hAnsi="宋体" w:cs="宋体"/>
          <w:color w:val="000000"/>
          <w:kern w:val="0"/>
          <w:szCs w:val="21"/>
        </w:rPr>
        <w:t>△</w:t>
      </w:r>
      <w:r>
        <w:rPr>
          <w:rFonts w:hint="eastAsia" w:ascii="宋体" w:hAnsi="宋体" w:cs="宋体"/>
          <w:bCs/>
          <w:color w:val="000000"/>
          <w:kern w:val="0"/>
          <w:szCs w:val="21"/>
        </w:rPr>
        <w:t>1.8.19安规认证：CCC，EPEAT Gold，TCO 5.0</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*1.8.20HDCP：支持HDCP</w:t>
      </w:r>
    </w:p>
    <w:p>
      <w:pPr>
        <w:pStyle w:val="4"/>
        <w:spacing w:line="360" w:lineRule="auto"/>
        <w:ind w:firstLine="105" w:firstLineChars="50"/>
        <w:rPr>
          <w:rFonts w:ascii="宋体" w:hAnsi="宋体" w:cs="宋体"/>
          <w:bCs/>
          <w:color w:val="000000"/>
          <w:kern w:val="0"/>
          <w:szCs w:val="21"/>
        </w:rPr>
      </w:pPr>
      <w:r>
        <w:rPr>
          <w:rFonts w:hint="eastAsia" w:ascii="宋体" w:hAnsi="宋体" w:cs="宋体"/>
          <w:bCs/>
          <w:color w:val="000000"/>
          <w:kern w:val="0"/>
          <w:szCs w:val="21"/>
        </w:rPr>
        <w:t>1.8.21电源性能：100-240V，50-60Hz</w:t>
      </w:r>
    </w:p>
    <w:p>
      <w:pPr>
        <w:pStyle w:val="4"/>
        <w:spacing w:line="360" w:lineRule="auto"/>
        <w:ind w:firstLine="105" w:firstLineChars="50"/>
        <w:rPr>
          <w:rFonts w:ascii="宋体" w:hAnsi="宋体" w:cs="宋体"/>
          <w:bCs/>
          <w:color w:val="000000"/>
          <w:kern w:val="0"/>
          <w:szCs w:val="21"/>
        </w:rPr>
      </w:pPr>
      <w:r>
        <w:rPr>
          <w:rFonts w:hint="eastAsia" w:ascii="宋体" w:hAnsi="宋体" w:cs="宋体"/>
          <w:bCs/>
          <w:color w:val="000000"/>
          <w:kern w:val="0"/>
          <w:szCs w:val="21"/>
        </w:rPr>
        <w:t>1.8.22消耗功率：最大:45W  典型:25W  待机:0.3W</w:t>
      </w:r>
    </w:p>
    <w:p>
      <w:pPr>
        <w:pStyle w:val="4"/>
        <w:spacing w:line="360" w:lineRule="auto"/>
        <w:ind w:firstLine="0" w:firstLineChars="0"/>
        <w:rPr>
          <w:rFonts w:ascii="宋体" w:hAnsi="宋体" w:cs="宋体"/>
          <w:b/>
          <w:color w:val="000000"/>
          <w:kern w:val="0"/>
          <w:szCs w:val="21"/>
        </w:rPr>
      </w:pPr>
      <w:r>
        <w:rPr>
          <w:rFonts w:hint="eastAsia" w:ascii="宋体" w:hAnsi="宋体" w:cs="宋体"/>
          <w:b/>
          <w:color w:val="000000"/>
          <w:kern w:val="0"/>
          <w:szCs w:val="21"/>
        </w:rPr>
        <w:t>*1.9硬盘</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1.9.1型号：ST3000VX000监控级3.5寸硬盘</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1.9.2容量（GB）：3072</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1.9.3接口：SATA3.0</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1.9.4转速（rpm）：7200</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1.9.5传输速率：6Gb/s</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1.9.6缓存：64MB</w:t>
      </w:r>
    </w:p>
    <w:p>
      <w:pPr>
        <w:pStyle w:val="4"/>
        <w:spacing w:line="360" w:lineRule="auto"/>
        <w:ind w:firstLine="102" w:firstLineChars="49"/>
        <w:rPr>
          <w:rFonts w:ascii="宋体" w:hAnsi="宋体" w:cs="宋体"/>
          <w:bCs/>
          <w:color w:val="000000"/>
          <w:kern w:val="0"/>
          <w:szCs w:val="21"/>
        </w:rPr>
      </w:pPr>
      <w:r>
        <w:rPr>
          <w:rFonts w:hint="eastAsia" w:ascii="宋体" w:hAnsi="宋体" w:cs="宋体"/>
          <w:bCs/>
          <w:color w:val="000000"/>
          <w:kern w:val="0"/>
          <w:szCs w:val="21"/>
        </w:rPr>
        <w:t>1.9.7工作温度：0-60°C</w:t>
      </w:r>
    </w:p>
    <w:p>
      <w:pPr>
        <w:pStyle w:val="4"/>
        <w:spacing w:line="360" w:lineRule="auto"/>
        <w:ind w:firstLine="102" w:firstLineChars="49"/>
        <w:rPr>
          <w:rFonts w:ascii="宋体" w:hAnsi="宋体" w:cs="宋体"/>
          <w:bCs/>
          <w:color w:val="000000"/>
          <w:kern w:val="0"/>
          <w:szCs w:val="21"/>
        </w:rPr>
      </w:pPr>
      <w:r>
        <w:rPr>
          <w:rFonts w:hint="eastAsia" w:ascii="宋体" w:hAnsi="宋体" w:cs="宋体"/>
          <w:bCs/>
          <w:color w:val="000000"/>
          <w:kern w:val="0"/>
          <w:szCs w:val="21"/>
        </w:rPr>
        <w:t>1.9.8存储温度：-40-70°C</w:t>
      </w:r>
    </w:p>
    <w:p>
      <w:pPr>
        <w:pStyle w:val="4"/>
        <w:spacing w:line="360" w:lineRule="auto"/>
        <w:ind w:firstLine="0" w:firstLineChars="0"/>
        <w:rPr>
          <w:rFonts w:ascii="宋体" w:hAnsi="宋体" w:cs="宋体"/>
          <w:bCs/>
          <w:color w:val="000000"/>
          <w:kern w:val="0"/>
          <w:szCs w:val="21"/>
        </w:rPr>
      </w:pPr>
      <w:bookmarkStart w:id="5" w:name="_Toc357086143"/>
      <w:bookmarkStart w:id="6" w:name="_Toc357086144"/>
      <w:r>
        <w:rPr>
          <w:rFonts w:hint="eastAsia" w:ascii="宋体" w:hAnsi="宋体" w:cs="宋体"/>
          <w:b/>
          <w:color w:val="000000"/>
          <w:kern w:val="0"/>
          <w:szCs w:val="21"/>
        </w:rPr>
        <w:t>*2.0机柜</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2.0.1整体构造为框架式</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2.0.2承载800kg，</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2.0.3前后门为高密度平面网孔门，带弹力锁，</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2.0.4内含1个6位电源，3块固定板，2块风扇，四个脚轮，四个支脚，40套螺钉螺母，1个内六角扳手。</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2.0.5主色调：黑色。</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2.0.6尺寸： 600×1000×2055mm</w:t>
      </w:r>
    </w:p>
    <w:p>
      <w:pPr>
        <w:pStyle w:val="4"/>
        <w:spacing w:line="360" w:lineRule="auto"/>
        <w:ind w:firstLine="0" w:firstLineChars="0"/>
        <w:rPr>
          <w:rFonts w:ascii="宋体" w:hAnsi="宋体" w:cs="宋体"/>
          <w:b/>
          <w:color w:val="000000"/>
          <w:kern w:val="0"/>
          <w:szCs w:val="21"/>
        </w:rPr>
      </w:pPr>
      <w:r>
        <w:rPr>
          <w:rFonts w:hint="eastAsia" w:ascii="宋体" w:hAnsi="宋体" w:cs="宋体"/>
          <w:b/>
          <w:color w:val="000000"/>
          <w:kern w:val="0"/>
          <w:szCs w:val="21"/>
        </w:rPr>
        <w:t>*2.1交换机</w:t>
      </w:r>
    </w:p>
    <w:p>
      <w:pPr>
        <w:pStyle w:val="4"/>
        <w:spacing w:line="360" w:lineRule="auto"/>
        <w:ind w:firstLine="0" w:firstLineChars="0"/>
        <w:rPr>
          <w:rFonts w:ascii="宋体" w:hAnsi="宋体" w:cs="宋体"/>
          <w:color w:val="000000"/>
          <w:kern w:val="0"/>
          <w:sz w:val="18"/>
          <w:szCs w:val="18"/>
        </w:rPr>
      </w:pPr>
      <w:r>
        <w:rPr>
          <w:rFonts w:hint="eastAsia" w:ascii="宋体" w:hAnsi="宋体" w:cs="宋体"/>
          <w:b/>
          <w:color w:val="000000"/>
          <w:kern w:val="0"/>
          <w:szCs w:val="21"/>
        </w:rPr>
        <w:t>*</w:t>
      </w:r>
      <w:r>
        <w:rPr>
          <w:rFonts w:hint="eastAsia" w:ascii="宋体" w:hAnsi="宋体" w:cs="宋体"/>
          <w:color w:val="000000"/>
          <w:kern w:val="0"/>
          <w:sz w:val="18"/>
          <w:szCs w:val="18"/>
        </w:rPr>
        <w:t>2.1.1型号：S5720-36PC-EI-AC 1000M 28口型交换机</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2.1.2交换容量</w:t>
      </w:r>
      <w:r>
        <w:rPr>
          <w:rFonts w:hint="eastAsia" w:ascii="宋体" w:hAnsi="宋体" w:cs="宋体"/>
          <w:bCs/>
          <w:color w:val="000000"/>
          <w:kern w:val="0"/>
          <w:szCs w:val="21"/>
        </w:rPr>
        <w:tab/>
      </w:r>
      <w:r>
        <w:rPr>
          <w:rFonts w:hint="eastAsia" w:ascii="宋体" w:hAnsi="宋体" w:cs="宋体"/>
          <w:bCs/>
          <w:color w:val="000000"/>
          <w:kern w:val="0"/>
          <w:szCs w:val="21"/>
        </w:rPr>
        <w:t>交换容量≥598Gbps</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2.1.3转发性能</w:t>
      </w:r>
      <w:r>
        <w:rPr>
          <w:rFonts w:hint="eastAsia" w:ascii="宋体" w:hAnsi="宋体" w:cs="宋体"/>
          <w:bCs/>
          <w:color w:val="000000"/>
          <w:kern w:val="0"/>
          <w:szCs w:val="21"/>
        </w:rPr>
        <w:tab/>
      </w:r>
      <w:r>
        <w:rPr>
          <w:rFonts w:hint="eastAsia" w:ascii="宋体" w:hAnsi="宋体" w:cs="宋体"/>
          <w:bCs/>
          <w:color w:val="000000"/>
          <w:kern w:val="0"/>
          <w:szCs w:val="21"/>
        </w:rPr>
        <w:t>转发性能≥198Mpps</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2.1.4电源风扇：</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支持电源冗余配置</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支持风扇冗余配置</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2.1.5端口类型</w:t>
      </w:r>
      <w:r>
        <w:rPr>
          <w:rFonts w:hint="eastAsia" w:ascii="宋体" w:hAnsi="宋体" w:cs="宋体"/>
          <w:bCs/>
          <w:color w:val="000000"/>
          <w:kern w:val="0"/>
          <w:szCs w:val="21"/>
        </w:rPr>
        <w:tab/>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24个10/100/1000Base-T以太网端口， 4个千兆SFP</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支持扩展插卡，支持万兆端口扩展，支持万兆电口扩展</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支持USB接口</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配置4个千兆上行</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2.1.6链路层与接口功能</w:t>
      </w:r>
      <w:r>
        <w:rPr>
          <w:rFonts w:hint="eastAsia" w:ascii="宋体" w:hAnsi="宋体" w:cs="宋体"/>
          <w:bCs/>
          <w:color w:val="000000"/>
          <w:kern w:val="0"/>
          <w:szCs w:val="21"/>
        </w:rPr>
        <w:tab/>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支持端口聚合，每个聚合组至少8个端口；</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支持跨设备链路聚合。</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2.1.7二层功能</w:t>
      </w:r>
      <w:r>
        <w:rPr>
          <w:rFonts w:hint="eastAsia" w:ascii="宋体" w:hAnsi="宋体" w:cs="宋体"/>
          <w:bCs/>
          <w:color w:val="000000"/>
          <w:kern w:val="0"/>
          <w:szCs w:val="21"/>
        </w:rPr>
        <w:tab/>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遵循IEEE 802.1d标准</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支持64K MAC地址容量,提供官网链接证明</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支持MAC地址自动学习和老化</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支持静态、动态、黑洞MAC表项</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支持源MAC地址过滤</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支持Jumbo≥12K。</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支持4K个VLAN</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支持Guest VLAN、Voice VLAN</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支持GVRP协议</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支持MUX VLAN功能或类似技术,提供官网链接证明</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支持基于MAC/协议/IP子网/策略/端口的VLAN</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支持1:1和N:1 VLAN Mapping功能</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支持协议透明VLAN</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支持RRPP环型拓扑和RRPP多实例</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支持SmartLink树型拓朴和SmartLink多实例，提供主备链路的毫秒级保护</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支持STP(IEEE 802.1d)，RSTP(IEEE 802.1w)和MSTP(IEEE 802.1s)协议</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支持BPDU保护、根保护和环回保护</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支持BPDU Tunnel</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2.1.8三层功能</w:t>
      </w:r>
      <w:r>
        <w:rPr>
          <w:rFonts w:hint="eastAsia" w:ascii="宋体" w:hAnsi="宋体" w:cs="宋体"/>
          <w:bCs/>
          <w:color w:val="000000"/>
          <w:kern w:val="0"/>
          <w:szCs w:val="21"/>
        </w:rPr>
        <w:tab/>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路由表≥16000；</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支持静态路由、RIPv1/2、RIPng、OSPF、OSPFv3、IS-IS、IS-ISv6、BGP、BGP4+、ECMP、路由策略</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支持ND（Neighbor Discovery）</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支持PMTU</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支持IPv6 Ping、IPv6 Tracert、IPv6 Telnet</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支持6to4、ISATAP、手动配置tunnel</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支持基于源IPv6地址、目的IPv6地址、四层端口、协议类型等ACL</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支持MLD v1/v2 snooping（Multicast Listener Discovery snooping）</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2.1.9组播</w:t>
      </w:r>
      <w:r>
        <w:rPr>
          <w:rFonts w:hint="eastAsia" w:ascii="宋体" w:hAnsi="宋体" w:cs="宋体"/>
          <w:bCs/>
          <w:color w:val="000000"/>
          <w:kern w:val="0"/>
          <w:szCs w:val="21"/>
        </w:rPr>
        <w:tab/>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三层组播组数≥2048 ；</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支持IGMP v1/v2/v3 Snooping和快速离开机制</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支持VLAN内组播转发和组播多VLAN复制</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支持捆绑端口的组播负载分担</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支持可控组播</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支持基于端口的组播流量统计</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支持IGMP v1/v2/v3、PIM-SM、PIM-DM、PIM-SSM</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支持MSDP</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2.1.10镜像功能</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支持多个物理端口的流量镜像到一个端口；</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支持流镜像；</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支持远程端口镜像（RSPAN）。</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2.1.11QoS</w:t>
      </w:r>
      <w:r>
        <w:rPr>
          <w:rFonts w:hint="eastAsia" w:ascii="宋体" w:hAnsi="宋体" w:cs="宋体"/>
          <w:bCs/>
          <w:color w:val="000000"/>
          <w:kern w:val="0"/>
          <w:szCs w:val="21"/>
        </w:rPr>
        <w:tab/>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支持对端口入方向、出方向进行速率限制</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支持报文重定向</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支持基于端口的流量监管，支持双速三色CAR功能</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每端口支持8个队列</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支持WRR、DRR、SP、WRR＋SP、DRR+ SP队列调度算法</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支持WRED</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支持报文的802.1p和DSCP优先级重新标记</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支持L2（Layer 2）~L4（Layer 4）包过滤功能，提供基于源MAC地址、目的MAC地址、源IP地址、目的IP地址、TCP/UDP协议源/目的端口号、协议、VLAN的包过滤功能</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支持基于队列限速和端口整形功能</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支持4:4端口镜像</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2.1.12安全功能</w:t>
      </w:r>
      <w:r>
        <w:rPr>
          <w:rFonts w:hint="eastAsia" w:ascii="宋体" w:hAnsi="宋体" w:cs="宋体"/>
          <w:bCs/>
          <w:color w:val="000000"/>
          <w:kern w:val="0"/>
          <w:szCs w:val="21"/>
        </w:rPr>
        <w:tab/>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用户分级管理和口令保护</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支持防止DOS、ARP攻击功能、ICMP防攻击</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支持IP、MAC、端口、VLAN的组合绑定</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支持端口隔离、端口安全、Sticky MAC</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支持MFF</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支持黑洞MAC地址</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支持MAC地址学习数目限制</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支持IEEE 802.1x认证，支持单端口最大用户数限制</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支持AAA认证，支持Radius、HWTACACS等多种方式</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支持NAC功能</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支持SSH V2.0</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支持HTTPS</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支持CPU保护功能</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支持黑名单和白名单</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2.1.13可靠性</w:t>
      </w:r>
      <w:r>
        <w:rPr>
          <w:rFonts w:hint="eastAsia" w:ascii="宋体" w:hAnsi="宋体" w:cs="宋体"/>
          <w:bCs/>
          <w:color w:val="000000"/>
          <w:kern w:val="0"/>
          <w:szCs w:val="21"/>
        </w:rPr>
        <w:tab/>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支持G.8032开放环或SEP、REP半环协议,可与其他厂商设备混合组网，要求倒换时间≤50ms</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支持以太网OAM 802.3ah和802.1ag</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 ITU-Y.1731</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 BFD for BGP/IS-IS/OSPF/静态路由</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2.1.14虚拟化</w:t>
      </w:r>
      <w:r>
        <w:rPr>
          <w:rFonts w:hint="eastAsia" w:ascii="宋体" w:hAnsi="宋体" w:cs="宋体"/>
          <w:bCs/>
          <w:color w:val="000000"/>
          <w:kern w:val="0"/>
          <w:szCs w:val="21"/>
        </w:rPr>
        <w:tab/>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支持纵向虚拟化技术，可以使原来“小型核心/汇聚+接入交换机+AP”的网络架构，虚拟化为一台设备进行管理, 支持横向虚拟化，纵向虚拟化可与横向虚拟化同时工作</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2.1.15管理协议</w:t>
      </w:r>
      <w:r>
        <w:rPr>
          <w:rFonts w:hint="eastAsia" w:ascii="宋体" w:hAnsi="宋体" w:cs="宋体"/>
          <w:bCs/>
          <w:color w:val="000000"/>
          <w:kern w:val="0"/>
          <w:szCs w:val="21"/>
        </w:rPr>
        <w:tab/>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支持智能堆叠iStack</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支持虚拟电缆检测(Virtual Cable Test)</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支持SNMPv1/v2/v3</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支持RMON/RMON2</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支持网管系统、支持WEB网管特性</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支持系统日志、分级告警</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支持sFlow</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支持带外管理以太网口。</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2.1.16功耗</w:t>
      </w:r>
      <w:r>
        <w:rPr>
          <w:rFonts w:hint="eastAsia" w:ascii="宋体" w:hAnsi="宋体" w:cs="宋体"/>
          <w:bCs/>
          <w:color w:val="000000"/>
          <w:kern w:val="0"/>
          <w:szCs w:val="21"/>
        </w:rPr>
        <w:tab/>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设备功耗≤90W,提供官网链接证明</w:t>
      </w:r>
    </w:p>
    <w:p>
      <w:pPr>
        <w:pStyle w:val="4"/>
        <w:spacing w:line="360" w:lineRule="auto"/>
        <w:ind w:firstLine="0" w:firstLineChars="0"/>
        <w:rPr>
          <w:rFonts w:ascii="宋体" w:hAnsi="宋体" w:cs="宋体"/>
          <w:bCs/>
          <w:color w:val="000000"/>
          <w:kern w:val="0"/>
          <w:szCs w:val="21"/>
        </w:rPr>
      </w:pPr>
      <w:r>
        <w:rPr>
          <w:rFonts w:hint="eastAsia" w:ascii="宋体" w:hAnsi="宋体" w:cs="宋体"/>
          <w:b/>
          <w:color w:val="000000"/>
          <w:kern w:val="0"/>
          <w:szCs w:val="21"/>
        </w:rPr>
        <w:t>*</w:t>
      </w:r>
      <w:r>
        <w:rPr>
          <w:rFonts w:hint="eastAsia" w:ascii="宋体" w:hAnsi="宋体" w:cs="宋体"/>
          <w:bCs/>
          <w:color w:val="000000"/>
          <w:kern w:val="0"/>
          <w:szCs w:val="21"/>
        </w:rPr>
        <w:t>2.1.17设备维护</w:t>
      </w:r>
      <w:r>
        <w:rPr>
          <w:rFonts w:hint="eastAsia" w:ascii="宋体" w:hAnsi="宋体" w:cs="宋体"/>
          <w:bCs/>
          <w:color w:val="000000"/>
          <w:kern w:val="0"/>
          <w:szCs w:val="21"/>
        </w:rPr>
        <w:tab/>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支持自动配置，请详细描述功能和实现</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支持批量升级；</w:t>
      </w:r>
    </w:p>
    <w:p>
      <w:pPr>
        <w:pStyle w:val="4"/>
        <w:spacing w:line="360" w:lineRule="auto"/>
        <w:ind w:firstLine="0" w:firstLineChars="0"/>
        <w:rPr>
          <w:rFonts w:ascii="宋体" w:hAnsi="宋体" w:cs="宋体"/>
          <w:bCs/>
          <w:color w:val="000000"/>
          <w:kern w:val="0"/>
          <w:szCs w:val="21"/>
        </w:rPr>
      </w:pPr>
      <w:r>
        <w:rPr>
          <w:rFonts w:hint="eastAsia" w:ascii="宋体" w:hAnsi="宋体" w:cs="宋体"/>
          <w:bCs/>
          <w:color w:val="000000"/>
          <w:kern w:val="0"/>
          <w:szCs w:val="21"/>
        </w:rPr>
        <w:t>支持NAP远程开局。</w:t>
      </w:r>
    </w:p>
    <w:p>
      <w:pPr>
        <w:pStyle w:val="4"/>
        <w:spacing w:line="360" w:lineRule="auto"/>
        <w:ind w:firstLine="0" w:firstLineChars="0"/>
        <w:rPr>
          <w:rFonts w:ascii="宋体" w:hAnsi="宋体" w:cs="宋体"/>
          <w:b/>
          <w:color w:val="000000"/>
          <w:kern w:val="0"/>
          <w:szCs w:val="21"/>
        </w:rPr>
      </w:pPr>
      <w:r>
        <w:rPr>
          <w:rFonts w:hint="eastAsia" w:ascii="宋体" w:hAnsi="宋体" w:cs="宋体"/>
          <w:b/>
          <w:color w:val="000000"/>
          <w:kern w:val="0"/>
          <w:szCs w:val="21"/>
        </w:rPr>
        <w:t>*2.2 网络硬盘录像机</w:t>
      </w:r>
    </w:p>
    <w:p>
      <w:pPr>
        <w:pStyle w:val="4"/>
        <w:spacing w:line="360" w:lineRule="auto"/>
        <w:ind w:firstLine="0" w:firstLineChars="0"/>
        <w:rPr>
          <w:rFonts w:ascii="宋体" w:hAnsi="宋体" w:cs="宋体"/>
          <w:color w:val="000000"/>
          <w:kern w:val="0"/>
          <w:sz w:val="18"/>
          <w:szCs w:val="18"/>
        </w:rPr>
      </w:pPr>
      <w:r>
        <w:rPr>
          <w:rFonts w:hint="eastAsia" w:ascii="宋体" w:hAnsi="宋体" w:cs="宋体"/>
          <w:b/>
          <w:color w:val="000000"/>
          <w:kern w:val="0"/>
          <w:szCs w:val="21"/>
        </w:rPr>
        <w:t>*</w:t>
      </w:r>
      <w:r>
        <w:rPr>
          <w:rFonts w:hint="eastAsia" w:ascii="宋体" w:hAnsi="宋体" w:cs="宋体"/>
          <w:color w:val="000000"/>
          <w:kern w:val="0"/>
          <w:sz w:val="18"/>
          <w:szCs w:val="18"/>
        </w:rPr>
        <w:t>2.2.1型号：</w:t>
      </w:r>
      <w:r>
        <w:rPr>
          <w:rFonts w:ascii="宋体" w:hAnsi="宋体" w:cs="宋体"/>
          <w:color w:val="000000"/>
          <w:kern w:val="0"/>
          <w:sz w:val="18"/>
          <w:szCs w:val="18"/>
        </w:rPr>
        <w:t>DH- NVR5832-E 32</w:t>
      </w:r>
    </w:p>
    <w:p>
      <w:pPr>
        <w:pStyle w:val="4"/>
        <w:spacing w:line="360" w:lineRule="auto"/>
        <w:ind w:firstLine="0" w:firstLineChars="0"/>
        <w:rPr>
          <w:rFonts w:ascii="宋体" w:hAnsi="宋体" w:cs="宋体"/>
          <w:color w:val="000000"/>
          <w:kern w:val="0"/>
          <w:sz w:val="18"/>
          <w:szCs w:val="18"/>
        </w:rPr>
      </w:pPr>
      <w:r>
        <w:rPr>
          <w:rFonts w:hint="eastAsia" w:ascii="宋体" w:hAnsi="宋体" w:cs="宋体"/>
          <w:b/>
          <w:color w:val="000000"/>
          <w:kern w:val="0"/>
          <w:szCs w:val="21"/>
        </w:rPr>
        <w:t>*</w:t>
      </w:r>
      <w:r>
        <w:rPr>
          <w:rFonts w:hint="eastAsia" w:ascii="宋体" w:hAnsi="宋体" w:cs="宋体"/>
          <w:color w:val="000000"/>
          <w:kern w:val="0"/>
          <w:sz w:val="18"/>
          <w:szCs w:val="18"/>
        </w:rPr>
        <w:t>2.2.2支持1080P高清预览；</w:t>
      </w:r>
    </w:p>
    <w:p>
      <w:pPr>
        <w:pStyle w:val="4"/>
        <w:spacing w:line="360" w:lineRule="auto"/>
        <w:ind w:firstLine="0" w:firstLineChars="0"/>
        <w:rPr>
          <w:rFonts w:ascii="宋体" w:hAnsi="宋体" w:cs="宋体"/>
          <w:color w:val="000000"/>
          <w:kern w:val="0"/>
          <w:sz w:val="18"/>
          <w:szCs w:val="18"/>
        </w:rPr>
      </w:pPr>
      <w:r>
        <w:rPr>
          <w:rFonts w:hint="eastAsia" w:ascii="宋体" w:hAnsi="宋体" w:cs="宋体"/>
          <w:b/>
          <w:color w:val="000000"/>
          <w:kern w:val="0"/>
          <w:szCs w:val="21"/>
        </w:rPr>
        <w:t>*</w:t>
      </w:r>
      <w:r>
        <w:rPr>
          <w:rFonts w:hint="eastAsia" w:ascii="宋体" w:hAnsi="宋体" w:cs="宋体"/>
          <w:color w:val="000000"/>
          <w:kern w:val="0"/>
          <w:sz w:val="18"/>
          <w:szCs w:val="18"/>
        </w:rPr>
        <w:t>2.2.3可接驳SAMSUNG、Panasonic、SONY、Bosch、Arecont、AXIS、Honeywell、LGVivotek、SANYO、景阳等网络摄像机；</w:t>
      </w:r>
    </w:p>
    <w:p>
      <w:pPr>
        <w:pStyle w:val="4"/>
        <w:spacing w:line="360" w:lineRule="auto"/>
        <w:ind w:firstLine="0" w:firstLineChars="0"/>
        <w:rPr>
          <w:rFonts w:ascii="宋体" w:hAnsi="宋体" w:cs="宋体"/>
          <w:color w:val="000000"/>
          <w:kern w:val="0"/>
          <w:sz w:val="18"/>
          <w:szCs w:val="18"/>
        </w:rPr>
      </w:pPr>
      <w:r>
        <w:rPr>
          <w:rFonts w:hint="eastAsia" w:ascii="宋体" w:hAnsi="宋体" w:cs="宋体"/>
          <w:b/>
          <w:color w:val="000000"/>
          <w:kern w:val="0"/>
          <w:szCs w:val="21"/>
        </w:rPr>
        <w:t>*</w:t>
      </w:r>
      <w:r>
        <w:rPr>
          <w:rFonts w:hint="eastAsia" w:ascii="宋体" w:hAnsi="宋体" w:cs="宋体"/>
          <w:color w:val="000000"/>
          <w:kern w:val="0"/>
          <w:sz w:val="18"/>
          <w:szCs w:val="18"/>
        </w:rPr>
        <w:t>2.2.4 HDMI/VGA视频输出分辨 高达1920×1080；支持VGA、HDMI同步输出；支持16路720P高清预览;；支持16路720P或8路1080P回放；</w:t>
      </w:r>
    </w:p>
    <w:p>
      <w:pPr>
        <w:pStyle w:val="4"/>
        <w:spacing w:line="360" w:lineRule="auto"/>
        <w:ind w:firstLine="0" w:firstLineChars="0"/>
        <w:rPr>
          <w:rFonts w:ascii="宋体" w:hAnsi="宋体" w:cs="宋体"/>
          <w:color w:val="000000"/>
          <w:kern w:val="0"/>
          <w:sz w:val="18"/>
          <w:szCs w:val="18"/>
        </w:rPr>
      </w:pPr>
      <w:r>
        <w:rPr>
          <w:rFonts w:hint="eastAsia" w:ascii="宋体" w:hAnsi="宋体" w:cs="宋体"/>
          <w:b/>
          <w:color w:val="000000"/>
          <w:kern w:val="0"/>
          <w:szCs w:val="21"/>
        </w:rPr>
        <w:t>*</w:t>
      </w:r>
      <w:r>
        <w:rPr>
          <w:rFonts w:hint="eastAsia" w:ascii="宋体" w:hAnsi="宋体" w:cs="宋体"/>
          <w:color w:val="000000"/>
          <w:kern w:val="0"/>
          <w:sz w:val="18"/>
          <w:szCs w:val="18"/>
        </w:rPr>
        <w:t>2.2.5双网卡</w:t>
      </w:r>
    </w:p>
    <w:p>
      <w:pPr>
        <w:pStyle w:val="4"/>
        <w:spacing w:line="360" w:lineRule="auto"/>
        <w:ind w:firstLine="0" w:firstLineChars="0"/>
        <w:rPr>
          <w:rFonts w:ascii="宋体" w:hAnsi="宋体" w:cs="宋体"/>
          <w:color w:val="000000"/>
          <w:kern w:val="0"/>
          <w:sz w:val="18"/>
          <w:szCs w:val="18"/>
        </w:rPr>
      </w:pPr>
      <w:r>
        <w:rPr>
          <w:rFonts w:hint="eastAsia" w:ascii="宋体" w:hAnsi="宋体" w:cs="宋体"/>
          <w:b/>
          <w:color w:val="000000"/>
          <w:kern w:val="0"/>
          <w:szCs w:val="21"/>
        </w:rPr>
        <w:t>*</w:t>
      </w:r>
      <w:r>
        <w:rPr>
          <w:rFonts w:hint="eastAsia" w:ascii="宋体" w:hAnsi="宋体" w:cs="宋体"/>
          <w:color w:val="000000"/>
          <w:kern w:val="0"/>
          <w:sz w:val="18"/>
          <w:szCs w:val="18"/>
        </w:rPr>
        <w:t>2.2.6 最大支持32路接入</w:t>
      </w:r>
    </w:p>
    <w:p>
      <w:pPr>
        <w:numPr>
          <w:ilvl w:val="0"/>
          <w:numId w:val="4"/>
        </w:numPr>
        <w:spacing w:line="360" w:lineRule="auto"/>
        <w:rPr>
          <w:rFonts w:asciiTheme="minorEastAsia" w:hAnsiTheme="minorEastAsia" w:eastAsiaTheme="minorEastAsia"/>
          <w:b/>
          <w:bCs/>
          <w:szCs w:val="21"/>
        </w:rPr>
      </w:pPr>
      <w:r>
        <w:rPr>
          <w:rFonts w:hint="eastAsia" w:asciiTheme="minorEastAsia" w:hAnsiTheme="minorEastAsia" w:eastAsiaTheme="minorEastAsia"/>
          <w:b/>
          <w:bCs/>
          <w:szCs w:val="21"/>
        </w:rPr>
        <w:t>招标人提出的特别技术要求</w:t>
      </w:r>
    </w:p>
    <w:p>
      <w:pPr>
        <w:widowControl/>
        <w:jc w:val="left"/>
        <w:rPr>
          <w:rFonts w:ascii="宋体" w:hAnsi="宋体" w:cs="宋体"/>
          <w:color w:val="000000"/>
          <w:szCs w:val="21"/>
        </w:rPr>
      </w:pPr>
      <w:r>
        <w:rPr>
          <w:rFonts w:hint="eastAsia" w:ascii="宋体" w:hAnsi="宋体" w:cs="宋体"/>
          <w:color w:val="000000"/>
          <w:szCs w:val="21"/>
        </w:rPr>
        <w:t>*2.1产品授权：投标现场提供原厂商针对本项目的授权书原件和售后服务承若书原件。</w:t>
      </w:r>
    </w:p>
    <w:p>
      <w:pPr>
        <w:widowControl/>
        <w:jc w:val="left"/>
        <w:rPr>
          <w:rFonts w:ascii="宋体" w:hAnsi="宋体" w:cs="宋体"/>
          <w:bCs/>
          <w:color w:val="000000"/>
          <w:kern w:val="0"/>
          <w:szCs w:val="21"/>
        </w:rPr>
      </w:pPr>
      <w:r>
        <w:rPr>
          <w:rFonts w:hint="eastAsia" w:ascii="宋体" w:hAnsi="宋体" w:cs="宋体"/>
          <w:bCs/>
          <w:color w:val="000000"/>
          <w:kern w:val="0"/>
          <w:szCs w:val="21"/>
        </w:rPr>
        <w:t>*2.2.上表分项报价合计价格与投标报价设备总价格必须一致。</w:t>
      </w:r>
    </w:p>
    <w:p>
      <w:pPr>
        <w:widowControl/>
        <w:jc w:val="left"/>
        <w:rPr>
          <w:rFonts w:ascii="宋体" w:hAnsi="宋体" w:cs="宋体"/>
          <w:bCs/>
          <w:color w:val="000000"/>
          <w:kern w:val="0"/>
          <w:szCs w:val="21"/>
        </w:rPr>
      </w:pPr>
      <w:r>
        <w:rPr>
          <w:rFonts w:hint="eastAsia" w:ascii="宋体" w:hAnsi="宋体" w:cs="宋体"/>
          <w:bCs/>
          <w:color w:val="000000"/>
          <w:kern w:val="0"/>
          <w:szCs w:val="21"/>
        </w:rPr>
        <w:t>*2.3.如有辅材或其他有缺项也在本次招标范围。</w:t>
      </w:r>
    </w:p>
    <w:p>
      <w:pPr>
        <w:widowControl/>
        <w:jc w:val="left"/>
        <w:rPr>
          <w:rFonts w:ascii="宋体" w:hAnsi="宋体" w:cs="宋体"/>
          <w:bCs/>
          <w:color w:val="000000"/>
          <w:kern w:val="0"/>
          <w:szCs w:val="21"/>
        </w:rPr>
      </w:pPr>
      <w:r>
        <w:rPr>
          <w:rFonts w:hint="eastAsia" w:ascii="宋体" w:hAnsi="宋体" w:cs="宋体"/>
          <w:bCs/>
          <w:color w:val="000000"/>
          <w:kern w:val="0"/>
          <w:szCs w:val="21"/>
        </w:rPr>
        <w:t>*2.4.投标厂家必须注册资金在1000万及以上。</w:t>
      </w:r>
    </w:p>
    <w:p>
      <w:pPr>
        <w:widowControl/>
        <w:spacing w:beforeLines="15" w:afterLines="15"/>
        <w:textAlignment w:val="baseline"/>
        <w:rPr>
          <w:rFonts w:ascii="宋体" w:hAnsi="宋体" w:cs="宋体"/>
          <w:color w:val="000000"/>
          <w:szCs w:val="21"/>
        </w:rPr>
      </w:pPr>
      <w:r>
        <w:rPr>
          <w:rFonts w:hint="eastAsia" w:ascii="宋体" w:hAnsi="宋体" w:cs="宋体"/>
          <w:bCs/>
          <w:color w:val="000000"/>
          <w:kern w:val="0"/>
          <w:szCs w:val="21"/>
        </w:rPr>
        <w:t>*</w:t>
      </w:r>
      <w:r>
        <w:rPr>
          <w:rFonts w:hint="eastAsia" w:ascii="宋体" w:hAnsi="宋体" w:cs="宋体"/>
          <w:color w:val="000000"/>
          <w:szCs w:val="21"/>
        </w:rPr>
        <w:t>2.5  设备制造商拥有自主知识产权，非</w:t>
      </w:r>
      <w:r>
        <w:rPr>
          <w:rFonts w:ascii="宋体" w:hAnsi="宋体" w:cs="宋体"/>
          <w:color w:val="000000"/>
          <w:szCs w:val="21"/>
        </w:rPr>
        <w:t>OEM</w:t>
      </w:r>
      <w:r>
        <w:rPr>
          <w:rFonts w:hint="eastAsia" w:ascii="宋体" w:hAnsi="宋体" w:cs="宋体"/>
          <w:color w:val="000000"/>
          <w:szCs w:val="21"/>
        </w:rPr>
        <w:t>品牌或联合品牌(提供非OEM证明、加盖原厂公章，提供设备制造商资格证明原件和制造商营业执照复印件，加盖原厂公章）。</w:t>
      </w:r>
    </w:p>
    <w:p>
      <w:pPr>
        <w:widowControl/>
        <w:spacing w:beforeLines="15" w:afterLines="15"/>
        <w:textAlignment w:val="baseline"/>
        <w:rPr>
          <w:rFonts w:ascii="宋体" w:hAnsi="宋体" w:cs="宋体"/>
          <w:color w:val="000000"/>
          <w:szCs w:val="21"/>
        </w:rPr>
      </w:pPr>
      <w:r>
        <w:rPr>
          <w:rFonts w:hint="eastAsia" w:ascii="宋体" w:hAnsi="宋体" w:cs="宋体"/>
          <w:bCs/>
          <w:color w:val="000000"/>
          <w:kern w:val="0"/>
          <w:szCs w:val="21"/>
        </w:rPr>
        <w:t>*</w:t>
      </w:r>
      <w:r>
        <w:rPr>
          <w:rFonts w:hint="eastAsia" w:ascii="宋体" w:hAnsi="宋体" w:cs="宋体"/>
          <w:color w:val="000000"/>
          <w:szCs w:val="21"/>
        </w:rPr>
        <w:t>2.6对于提供设备制造商关于该类货物相关产品知识专利证书复印件，加盖原厂公章的优先考虑。</w:t>
      </w:r>
    </w:p>
    <w:p>
      <w:pPr>
        <w:widowControl/>
        <w:spacing w:beforeLines="15" w:afterLines="15"/>
        <w:textAlignment w:val="baseline"/>
        <w:rPr>
          <w:rFonts w:ascii="宋体" w:hAnsi="宋体" w:cs="宋体"/>
          <w:color w:val="000000"/>
          <w:szCs w:val="21"/>
        </w:rPr>
      </w:pPr>
      <w:r>
        <w:rPr>
          <w:rFonts w:hint="eastAsia" w:ascii="宋体" w:hAnsi="宋体" w:cs="宋体"/>
          <w:bCs/>
          <w:color w:val="000000"/>
          <w:kern w:val="0"/>
          <w:szCs w:val="21"/>
        </w:rPr>
        <w:t>*</w:t>
      </w:r>
      <w:r>
        <w:rPr>
          <w:rFonts w:hint="eastAsia" w:ascii="宋体" w:hAnsi="宋体" w:cs="宋体"/>
          <w:color w:val="000000"/>
          <w:szCs w:val="21"/>
        </w:rPr>
        <w:t>2.7投标厂家必须对招标文件中的技术条款逐条解释并满足工作环境。</w:t>
      </w:r>
    </w:p>
    <w:p>
      <w:pPr>
        <w:widowControl/>
        <w:spacing w:beforeLines="15" w:afterLines="15"/>
        <w:textAlignment w:val="baseline"/>
        <w:rPr>
          <w:rFonts w:ascii="宋体" w:hAnsi="宋体" w:cs="宋体"/>
          <w:color w:val="000000"/>
          <w:szCs w:val="21"/>
        </w:rPr>
      </w:pPr>
      <w:r>
        <w:rPr>
          <w:rFonts w:hint="eastAsia" w:ascii="宋体" w:hAnsi="宋体" w:cs="宋体"/>
          <w:bCs/>
          <w:color w:val="000000"/>
          <w:kern w:val="0"/>
          <w:szCs w:val="21"/>
        </w:rPr>
        <w:t>*</w:t>
      </w:r>
      <w:r>
        <w:rPr>
          <w:rFonts w:hint="eastAsia" w:ascii="宋体" w:hAnsi="宋体" w:cs="宋体"/>
          <w:color w:val="000000"/>
          <w:szCs w:val="21"/>
        </w:rPr>
        <w:t>2.8投标人在中标后，送货物同时必须出具设备、软件达到技术标书的检测报告或相关产品证明，否则按不响应技术标书，不予验收。</w:t>
      </w:r>
    </w:p>
    <w:p>
      <w:pPr>
        <w:spacing w:line="360" w:lineRule="auto"/>
        <w:rPr>
          <w:rFonts w:ascii="宋体" w:hAnsi="宋体"/>
          <w:color w:val="000000"/>
          <w:szCs w:val="21"/>
        </w:rPr>
      </w:pPr>
      <w:r>
        <w:rPr>
          <w:rFonts w:hint="eastAsia" w:ascii="宋体" w:hAnsi="宋体"/>
          <w:color w:val="000000"/>
          <w:szCs w:val="21"/>
        </w:rPr>
        <w:t>2.9投标产品必须满足相关的最新国家和行业标准要求，招标技术要求中相关条款指标高于国家行业要求的，按照招标文件要求条款执行。</w:t>
      </w:r>
    </w:p>
    <w:p>
      <w:pPr>
        <w:spacing w:line="360" w:lineRule="auto"/>
        <w:rPr>
          <w:rFonts w:ascii="宋体" w:hAnsi="宋体"/>
          <w:color w:val="000000"/>
          <w:szCs w:val="21"/>
        </w:rPr>
      </w:pPr>
      <w:r>
        <w:rPr>
          <w:rFonts w:hint="eastAsia" w:ascii="宋体" w:hAnsi="宋体"/>
          <w:color w:val="000000"/>
          <w:szCs w:val="21"/>
        </w:rPr>
        <w:t>△2.10投标人应承诺交付的所有产品是未被使用过的全新产品。</w:t>
      </w:r>
    </w:p>
    <w:p>
      <w:pPr>
        <w:spacing w:line="360" w:lineRule="auto"/>
        <w:rPr>
          <w:rFonts w:ascii="宋体" w:hAnsi="宋体"/>
          <w:color w:val="000000"/>
          <w:szCs w:val="21"/>
        </w:rPr>
      </w:pPr>
      <w:r>
        <w:rPr>
          <w:rFonts w:hint="eastAsia" w:ascii="宋体" w:hAnsi="宋体"/>
          <w:color w:val="000000"/>
          <w:szCs w:val="21"/>
        </w:rPr>
        <w:t>* 2.11投标文件必须包括标书要求下的技术方案和设备配置清单，其中技术参数及配置需生产厂家提供公开发布的印刷资料、产品说明书彩页（可官方网站截图）等技术资料予以支持。未提供技术资料支持的技术参数及配置不能视为响应。</w:t>
      </w:r>
    </w:p>
    <w:p>
      <w:pPr>
        <w:spacing w:line="360" w:lineRule="auto"/>
        <w:rPr>
          <w:rFonts w:ascii="宋体" w:hAnsi="宋体"/>
          <w:color w:val="000000"/>
          <w:szCs w:val="21"/>
        </w:rPr>
      </w:pPr>
      <w:r>
        <w:rPr>
          <w:rFonts w:hint="eastAsia" w:ascii="宋体" w:hAnsi="宋体"/>
          <w:color w:val="000000"/>
          <w:szCs w:val="21"/>
        </w:rPr>
        <w:t>* 2.12投标商提供的技术偏离表中的技术参数必须与所提供的支持技术资料参数一致，此条款同时作为验收条款。</w:t>
      </w:r>
    </w:p>
    <w:p>
      <w:pPr>
        <w:spacing w:line="360" w:lineRule="auto"/>
        <w:rPr>
          <w:rFonts w:ascii="宋体" w:hAnsi="宋体"/>
          <w:color w:val="000000"/>
          <w:szCs w:val="21"/>
        </w:rPr>
      </w:pPr>
      <w:r>
        <w:rPr>
          <w:rFonts w:hint="eastAsia" w:ascii="宋体" w:hAnsi="宋体"/>
          <w:color w:val="000000"/>
          <w:szCs w:val="21"/>
        </w:rPr>
        <w:t>△2.13投标方应保证所提供的设备及设备的使用将不违反任何工业所有权和知识产权或任何第三方的知识产权问题（包括所有软件产品），所提供的软件和授权必须是正版的、合法的、满足项目需求的。</w:t>
      </w:r>
    </w:p>
    <w:p>
      <w:pPr>
        <w:spacing w:line="360" w:lineRule="auto"/>
        <w:rPr>
          <w:rFonts w:ascii="宋体" w:hAnsi="宋体"/>
          <w:color w:val="000000"/>
          <w:szCs w:val="21"/>
        </w:rPr>
      </w:pPr>
      <w:r>
        <w:rPr>
          <w:rFonts w:hint="eastAsia" w:ascii="宋体" w:hAnsi="宋体"/>
          <w:color w:val="000000"/>
          <w:szCs w:val="21"/>
        </w:rPr>
        <w:t>* 2.15投标方需对本技术规范书内所提各项要求能否实现及满足的程度逐条逐项的予以应答，同时要求提供相应软、硬件产品(包括第三方产品)的详细技术资料和性能参数。</w:t>
      </w:r>
    </w:p>
    <w:p>
      <w:pPr>
        <w:spacing w:line="360" w:lineRule="auto"/>
        <w:rPr>
          <w:rFonts w:ascii="宋体" w:hAnsi="宋体"/>
          <w:color w:val="000000"/>
          <w:szCs w:val="21"/>
        </w:rPr>
      </w:pPr>
      <w:r>
        <w:rPr>
          <w:rFonts w:hint="eastAsia" w:ascii="宋体" w:hAnsi="宋体"/>
          <w:color w:val="000000"/>
          <w:szCs w:val="21"/>
        </w:rPr>
        <w:t>△2.16投标方须确保所提供设备与其他各系统之间联接、通讯畅通无阻，确保各系统功能的实现。</w:t>
      </w:r>
    </w:p>
    <w:p>
      <w:pPr>
        <w:spacing w:line="360" w:lineRule="auto"/>
        <w:rPr>
          <w:rFonts w:ascii="宋体" w:hAnsi="宋体"/>
          <w:color w:val="000000"/>
          <w:szCs w:val="21"/>
        </w:rPr>
      </w:pPr>
      <w:r>
        <w:rPr>
          <w:rFonts w:hint="eastAsia" w:ascii="宋体" w:hAnsi="宋体"/>
          <w:color w:val="000000"/>
          <w:szCs w:val="21"/>
        </w:rPr>
        <w:t>2.17对于所投标产品功能、性能低于或不符合招标书要求的将按照重大技术偏离处理。</w:t>
      </w:r>
    </w:p>
    <w:p>
      <w:pPr>
        <w:spacing w:line="360" w:lineRule="auto"/>
        <w:rPr>
          <w:rFonts w:ascii="宋体" w:hAnsi="宋体"/>
          <w:color w:val="000000"/>
          <w:szCs w:val="21"/>
        </w:rPr>
      </w:pPr>
      <w:r>
        <w:rPr>
          <w:rFonts w:hint="eastAsia" w:ascii="宋体" w:hAnsi="宋体"/>
          <w:color w:val="000000"/>
          <w:szCs w:val="21"/>
        </w:rPr>
        <w:t>2.18对于投标产品要求提供叁年原厂质保、免费技术支持服务。</w:t>
      </w:r>
    </w:p>
    <w:p>
      <w:pPr>
        <w:spacing w:line="360" w:lineRule="auto"/>
        <w:rPr>
          <w:rFonts w:ascii="宋体" w:hAnsi="宋体"/>
          <w:color w:val="000000"/>
          <w:szCs w:val="21"/>
        </w:rPr>
      </w:pPr>
      <w:r>
        <w:rPr>
          <w:rFonts w:hint="eastAsia" w:ascii="宋体" w:hAnsi="宋体"/>
          <w:color w:val="000000"/>
          <w:szCs w:val="21"/>
        </w:rPr>
        <w:t>△2.19投标报价包括：设备费、材料费、辅件及辅材、安装调试费、运费、增值税（统一为17%的设备购置税）、人员培训费等。要求投标方按照以上费用列表分项单独进行报价（未列事项，视为总报价已包含）。</w:t>
      </w:r>
    </w:p>
    <w:p>
      <w:pPr>
        <w:spacing w:line="360" w:lineRule="auto"/>
        <w:rPr>
          <w:rFonts w:ascii="宋体" w:hAnsi="宋体" w:cs="宋体"/>
          <w:b/>
          <w:bCs/>
          <w:color w:val="000000"/>
          <w:szCs w:val="21"/>
        </w:rPr>
      </w:pPr>
      <w:r>
        <w:rPr>
          <w:rFonts w:hint="eastAsia" w:ascii="宋体" w:hAnsi="宋体"/>
          <w:color w:val="000000"/>
          <w:szCs w:val="21"/>
        </w:rPr>
        <w:t>*2.20投标设备必须完全响应技术标书,否则按废标对待。</w:t>
      </w:r>
    </w:p>
    <w:p>
      <w:pPr>
        <w:spacing w:line="500" w:lineRule="exact"/>
        <w:rPr>
          <w:rFonts w:ascii="宋体" w:hAnsi="宋体" w:cs="宋体"/>
          <w:b/>
          <w:bCs/>
          <w:color w:val="000000"/>
          <w:szCs w:val="21"/>
        </w:rPr>
      </w:pPr>
      <w:r>
        <w:rPr>
          <w:rFonts w:hint="eastAsia" w:ascii="宋体" w:hAnsi="宋体" w:cs="宋体"/>
          <w:b/>
          <w:bCs/>
          <w:color w:val="000000"/>
          <w:szCs w:val="21"/>
        </w:rPr>
        <w:t>3．安全技术要求</w:t>
      </w:r>
    </w:p>
    <w:p>
      <w:pPr>
        <w:spacing w:line="500" w:lineRule="exact"/>
        <w:rPr>
          <w:rFonts w:ascii="宋体" w:hAnsi="宋体" w:cs="宋体"/>
          <w:color w:val="000000"/>
          <w:szCs w:val="21"/>
        </w:rPr>
      </w:pPr>
      <w:r>
        <w:rPr>
          <w:rFonts w:hint="eastAsia" w:ascii="宋体" w:hAnsi="宋体" w:cs="宋体"/>
          <w:color w:val="000000"/>
          <w:szCs w:val="21"/>
        </w:rPr>
        <w:t>3.1  卖方应对设备的安全性负责，在设计时应注意到整体和局部的安全性问题。</w:t>
      </w:r>
    </w:p>
    <w:p>
      <w:pPr>
        <w:spacing w:line="440" w:lineRule="exact"/>
        <w:rPr>
          <w:rFonts w:ascii="宋体" w:hAnsi="宋体" w:cs="宋体"/>
          <w:color w:val="000000"/>
          <w:szCs w:val="21"/>
        </w:rPr>
      </w:pPr>
      <w:r>
        <w:rPr>
          <w:rFonts w:hint="eastAsia" w:ascii="宋体" w:hAnsi="宋体" w:cs="宋体"/>
          <w:color w:val="000000"/>
          <w:szCs w:val="21"/>
        </w:rPr>
        <w:t>3.2、电气系统所使用的电线和电缆为各种铜芯电线和电缆，必须具有耐高温、防火、机械强度高、安全可靠的特性。</w:t>
      </w:r>
    </w:p>
    <w:p>
      <w:pPr>
        <w:spacing w:line="440" w:lineRule="exact"/>
        <w:rPr>
          <w:rFonts w:ascii="宋体" w:hAnsi="宋体" w:cs="宋体"/>
          <w:color w:val="000000"/>
          <w:szCs w:val="21"/>
        </w:rPr>
      </w:pPr>
      <w:r>
        <w:rPr>
          <w:rFonts w:hint="eastAsia" w:ascii="宋体" w:hAnsi="宋体" w:cs="宋体"/>
          <w:color w:val="000000"/>
          <w:szCs w:val="21"/>
        </w:rPr>
        <w:t>3.3、在使用过程中，防水、防电、防潮、防腐蚀。</w:t>
      </w:r>
    </w:p>
    <w:p>
      <w:pPr>
        <w:spacing w:line="440" w:lineRule="exact"/>
        <w:rPr>
          <w:rFonts w:ascii="宋体" w:hAnsi="宋体" w:cs="宋体"/>
          <w:color w:val="000000"/>
          <w:szCs w:val="21"/>
        </w:rPr>
      </w:pPr>
      <w:r>
        <w:rPr>
          <w:rFonts w:hint="eastAsia" w:ascii="宋体" w:hAnsi="宋体" w:cs="宋体"/>
          <w:color w:val="000000"/>
          <w:szCs w:val="21"/>
        </w:rPr>
        <w:t>3.4、设备的噪音和振动应符合国家相关标准。</w:t>
      </w:r>
    </w:p>
    <w:p>
      <w:pPr>
        <w:spacing w:line="500" w:lineRule="exact"/>
        <w:rPr>
          <w:rFonts w:ascii="宋体" w:hAnsi="宋体" w:cs="宋体"/>
          <w:b/>
          <w:color w:val="000000"/>
          <w:szCs w:val="21"/>
        </w:rPr>
      </w:pPr>
      <w:r>
        <w:rPr>
          <w:rFonts w:hint="eastAsia" w:ascii="宋体" w:hAnsi="宋体" w:cs="宋体"/>
          <w:b/>
          <w:color w:val="000000"/>
          <w:szCs w:val="21"/>
        </w:rPr>
        <w:t>4.招标人提出的特别技术要求</w:t>
      </w:r>
    </w:p>
    <w:p>
      <w:pPr>
        <w:spacing w:line="500" w:lineRule="exact"/>
        <w:rPr>
          <w:rFonts w:ascii="宋体" w:hAnsi="宋体" w:cs="宋体"/>
          <w:szCs w:val="21"/>
        </w:rPr>
      </w:pPr>
      <w:r>
        <w:rPr>
          <w:rFonts w:hint="eastAsia" w:ascii="宋体" w:hAnsi="宋体" w:cs="宋体"/>
          <w:szCs w:val="21"/>
        </w:rPr>
        <w:t>4.1 必须对所有技术条款逐条解释并满足使用环境。</w:t>
      </w:r>
    </w:p>
    <w:p>
      <w:pPr>
        <w:spacing w:line="360" w:lineRule="auto"/>
        <w:rPr>
          <w:rFonts w:ascii="宋体" w:hAnsi="宋体" w:cs="宋体"/>
          <w:szCs w:val="21"/>
        </w:rPr>
      </w:pPr>
      <w:r>
        <w:rPr>
          <w:rFonts w:hint="eastAsia" w:ascii="宋体" w:hAnsi="宋体" w:cs="宋体"/>
          <w:szCs w:val="21"/>
        </w:rPr>
        <w:t>4.2 未说明事项必须符合合同规定的要求和相关标准、中国国家标准、规范以及国际标准和双方认可的标准。</w:t>
      </w:r>
    </w:p>
    <w:p>
      <w:pPr>
        <w:spacing w:line="500" w:lineRule="exact"/>
        <w:rPr>
          <w:rFonts w:ascii="宋体" w:hAnsi="宋体" w:cs="宋体"/>
          <w:szCs w:val="21"/>
        </w:rPr>
      </w:pPr>
      <w:r>
        <w:rPr>
          <w:rFonts w:hint="eastAsia" w:ascii="宋体" w:hAnsi="宋体" w:cs="宋体"/>
          <w:szCs w:val="21"/>
        </w:rPr>
        <w:t>4.3 上表分项报价合计价格与投标报价设备总价格必须一致。</w:t>
      </w:r>
    </w:p>
    <w:p>
      <w:pPr>
        <w:spacing w:line="500" w:lineRule="exact"/>
        <w:rPr>
          <w:rFonts w:ascii="宋体" w:hAnsi="宋体" w:cs="宋体"/>
          <w:szCs w:val="21"/>
        </w:rPr>
      </w:pPr>
      <w:r>
        <w:rPr>
          <w:rFonts w:hint="eastAsia" w:ascii="宋体" w:hAnsi="宋体" w:cs="宋体"/>
          <w:szCs w:val="21"/>
        </w:rPr>
        <w:t xml:space="preserve">4.4 </w:t>
      </w:r>
      <w:r>
        <w:rPr>
          <w:rFonts w:hint="eastAsia" w:ascii="宋体" w:hAnsi="宋体" w:cs="宋体"/>
          <w:color w:val="000000"/>
          <w:szCs w:val="21"/>
        </w:rPr>
        <w:t>供货时和使用单位签订技术协议。</w:t>
      </w:r>
    </w:p>
    <w:p>
      <w:pPr>
        <w:spacing w:line="500" w:lineRule="exact"/>
        <w:rPr>
          <w:rFonts w:ascii="宋体" w:hAnsi="宋体" w:cs="宋体"/>
          <w:b/>
          <w:color w:val="000000"/>
          <w:szCs w:val="21"/>
        </w:rPr>
      </w:pPr>
      <w:r>
        <w:rPr>
          <w:rFonts w:hint="eastAsia" w:ascii="宋体" w:hAnsi="宋体" w:cs="宋体"/>
          <w:b/>
          <w:color w:val="000000"/>
          <w:szCs w:val="21"/>
        </w:rPr>
        <w:t>5.标准</w:t>
      </w:r>
    </w:p>
    <w:p>
      <w:pPr>
        <w:spacing w:line="500" w:lineRule="exact"/>
        <w:rPr>
          <w:rFonts w:ascii="宋体" w:hAnsi="宋体" w:cs="宋体"/>
          <w:color w:val="000000"/>
          <w:szCs w:val="21"/>
        </w:rPr>
      </w:pPr>
      <w:r>
        <w:rPr>
          <w:rFonts w:hint="eastAsia" w:ascii="宋体" w:hAnsi="宋体" w:cs="宋体"/>
          <w:color w:val="000000"/>
          <w:szCs w:val="21"/>
        </w:rPr>
        <w:t>5.1.所供应的货物将按下列标准（推荐）进行设计和制造</w:t>
      </w:r>
    </w:p>
    <w:p>
      <w:pPr>
        <w:spacing w:line="360" w:lineRule="auto"/>
        <w:rPr>
          <w:rFonts w:ascii="宋体" w:hAnsi="宋体"/>
          <w:color w:val="000000"/>
          <w:szCs w:val="21"/>
        </w:rPr>
      </w:pPr>
      <w:r>
        <w:rPr>
          <w:rFonts w:ascii="宋体" w:hAnsi="宋体"/>
          <w:color w:val="000000"/>
          <w:szCs w:val="21"/>
        </w:rPr>
        <w:t>电器:     IEC标准/EN标准</w:t>
      </w:r>
    </w:p>
    <w:p>
      <w:pPr>
        <w:spacing w:line="360" w:lineRule="auto"/>
        <w:rPr>
          <w:rFonts w:ascii="宋体" w:hAnsi="宋体"/>
          <w:color w:val="000000"/>
          <w:szCs w:val="21"/>
        </w:rPr>
      </w:pPr>
      <w:r>
        <w:rPr>
          <w:rFonts w:ascii="宋体" w:hAnsi="宋体"/>
          <w:color w:val="000000"/>
          <w:szCs w:val="21"/>
        </w:rPr>
        <w:t>机械:     ISO标准</w:t>
      </w:r>
    </w:p>
    <w:p>
      <w:pPr>
        <w:spacing w:line="360" w:lineRule="auto"/>
        <w:rPr>
          <w:rFonts w:ascii="宋体" w:hAnsi="宋体"/>
          <w:color w:val="000000"/>
          <w:szCs w:val="21"/>
        </w:rPr>
      </w:pPr>
      <w:r>
        <w:rPr>
          <w:rFonts w:hint="eastAsia" w:ascii="宋体" w:hAnsi="宋体"/>
          <w:color w:val="000000"/>
          <w:szCs w:val="21"/>
        </w:rPr>
        <w:t>5.</w:t>
      </w:r>
      <w:r>
        <w:rPr>
          <w:rFonts w:ascii="宋体" w:hAnsi="宋体"/>
          <w:color w:val="000000"/>
          <w:szCs w:val="21"/>
        </w:rPr>
        <w:t>2.设备的设计与制造要求采用国际公制单位，个别部件采用英制单位应列出清单。</w:t>
      </w:r>
    </w:p>
    <w:p>
      <w:pPr>
        <w:spacing w:line="360" w:lineRule="auto"/>
        <w:rPr>
          <w:rFonts w:ascii="宋体" w:hAnsi="宋体"/>
          <w:color w:val="000000"/>
          <w:szCs w:val="21"/>
        </w:rPr>
      </w:pPr>
      <w:r>
        <w:rPr>
          <w:rFonts w:hint="eastAsia" w:ascii="宋体" w:hAnsi="宋体"/>
          <w:color w:val="000000"/>
          <w:szCs w:val="21"/>
        </w:rPr>
        <w:t>5.</w:t>
      </w:r>
      <w:r>
        <w:rPr>
          <w:rFonts w:ascii="宋体" w:hAnsi="宋体"/>
          <w:color w:val="000000"/>
          <w:szCs w:val="21"/>
        </w:rPr>
        <w:t>3.上述标准均应为</w:t>
      </w:r>
      <w:r>
        <w:rPr>
          <w:rFonts w:hint="eastAsia" w:ascii="宋体" w:hAnsi="宋体"/>
          <w:color w:val="000000"/>
          <w:szCs w:val="21"/>
        </w:rPr>
        <w:t>投</w:t>
      </w:r>
      <w:r>
        <w:rPr>
          <w:rFonts w:ascii="宋体" w:hAnsi="宋体"/>
          <w:color w:val="000000"/>
          <w:szCs w:val="21"/>
        </w:rPr>
        <w:t>标截止日时的最新有效版</w:t>
      </w:r>
      <w:r>
        <w:rPr>
          <w:rFonts w:hint="eastAsia" w:ascii="宋体" w:hAnsi="宋体"/>
          <w:color w:val="000000"/>
          <w:szCs w:val="21"/>
        </w:rPr>
        <w:t>。</w:t>
      </w:r>
    </w:p>
    <w:p>
      <w:pPr>
        <w:spacing w:line="360" w:lineRule="auto"/>
        <w:ind w:firstLine="210" w:firstLineChars="100"/>
        <w:rPr>
          <w:rFonts w:ascii="宋体" w:hAnsi="宋体"/>
          <w:color w:val="000000"/>
          <w:szCs w:val="21"/>
        </w:rPr>
      </w:pPr>
    </w:p>
    <w:p>
      <w:pPr>
        <w:spacing w:line="360" w:lineRule="auto"/>
        <w:ind w:firstLine="210" w:firstLineChars="100"/>
        <w:rPr>
          <w:rFonts w:ascii="宋体" w:hAnsi="宋体"/>
          <w:color w:val="000000"/>
          <w:szCs w:val="21"/>
        </w:rPr>
      </w:pPr>
    </w:p>
    <w:p>
      <w:pPr>
        <w:pStyle w:val="18"/>
        <w:jc w:val="center"/>
        <w:rPr>
          <w:rFonts w:ascii="黑体" w:hAnsi="黑体" w:cs="Times New Roman"/>
          <w:b/>
          <w:bCs/>
          <w:sz w:val="32"/>
          <w:szCs w:val="24"/>
        </w:rPr>
      </w:pPr>
    </w:p>
    <w:p>
      <w:pPr>
        <w:pStyle w:val="18"/>
        <w:jc w:val="center"/>
        <w:rPr>
          <w:rFonts w:ascii="黑体" w:hAnsi="黑体" w:cs="Times New Roman"/>
          <w:b/>
          <w:bCs/>
          <w:sz w:val="32"/>
          <w:szCs w:val="24"/>
        </w:rPr>
      </w:pPr>
    </w:p>
    <w:p>
      <w:pPr>
        <w:pStyle w:val="18"/>
        <w:jc w:val="center"/>
        <w:rPr>
          <w:rFonts w:ascii="黑体" w:hAnsi="黑体" w:cs="Times New Roman"/>
          <w:b/>
          <w:bCs/>
          <w:sz w:val="32"/>
          <w:szCs w:val="24"/>
        </w:rPr>
      </w:pPr>
    </w:p>
    <w:bookmarkEnd w:id="5"/>
    <w:p>
      <w:pPr>
        <w:adjustRightInd w:val="0"/>
        <w:snapToGrid w:val="0"/>
        <w:spacing w:line="360" w:lineRule="auto"/>
        <w:jc w:val="center"/>
        <w:rPr>
          <w:rFonts w:ascii="宋体" w:hAnsi="宋体"/>
          <w:szCs w:val="21"/>
        </w:rPr>
      </w:pPr>
    </w:p>
    <w:p>
      <w:pPr>
        <w:adjustRightInd w:val="0"/>
        <w:snapToGrid w:val="0"/>
        <w:spacing w:beforeLines="50" w:line="360" w:lineRule="auto"/>
        <w:ind w:left="480" w:hanging="480" w:hangingChars="150"/>
        <w:jc w:val="center"/>
        <w:rPr>
          <w:rFonts w:ascii="黑体" w:hAnsi="黑体" w:eastAsia="黑体" w:cs="黑体"/>
          <w:sz w:val="32"/>
          <w:szCs w:val="32"/>
        </w:rPr>
      </w:pPr>
      <w:r>
        <w:rPr>
          <w:rFonts w:hint="eastAsia" w:ascii="黑体" w:hAnsi="黑体" w:eastAsia="黑体" w:cs="黑体"/>
          <w:sz w:val="32"/>
          <w:szCs w:val="32"/>
        </w:rPr>
        <w:t>第二节 备件和工具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中标人应提供完整备件手册、备件件号、数量、规格型号、价格表的CD盘，随同设备发货。</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中标人应保证所有零部件均有唯一编码，如属外购标准件，要求必须按照原厂家编码执行。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中标人还将进一步提供可靠信息以及机械与电气设备上的所需的备件、易耗品及标准件的货源地，包括润滑油脂。</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中标人应保证长期以最优惠的价格供给易损件和备件。如果备件发生设计变更，应将变更信息及时通知用户。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中标人备件价格在设备开始使用的3年内必须维持同期的市场价。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5年后在备件停止生产后，如果招标人要求，中标人应免费向招标人提供备件的蓝图、图纸和规格。</w:t>
      </w:r>
    </w:p>
    <w:p>
      <w:pPr>
        <w:pStyle w:val="18"/>
        <w:jc w:val="center"/>
        <w:rPr>
          <w:rFonts w:ascii="黑体" w:hAnsi="黑体" w:cs="Times New Roman"/>
          <w:b/>
          <w:bCs/>
          <w:sz w:val="32"/>
          <w:szCs w:val="24"/>
        </w:rPr>
      </w:pPr>
    </w:p>
    <w:p>
      <w:pPr>
        <w:pStyle w:val="18"/>
        <w:rPr>
          <w:rFonts w:ascii="黑体" w:hAnsi="黑体" w:cs="Times New Roman"/>
          <w:b/>
          <w:bCs/>
          <w:sz w:val="32"/>
          <w:szCs w:val="24"/>
        </w:rPr>
      </w:pPr>
    </w:p>
    <w:p>
      <w:pPr>
        <w:pStyle w:val="18"/>
        <w:jc w:val="center"/>
        <w:rPr>
          <w:rFonts w:ascii="黑体" w:hAnsi="黑体" w:cs="Times New Roman"/>
          <w:b/>
          <w:bCs/>
          <w:sz w:val="32"/>
          <w:szCs w:val="24"/>
        </w:rPr>
      </w:pPr>
      <w:r>
        <w:rPr>
          <w:rFonts w:hint="eastAsia" w:ascii="黑体" w:hAnsi="黑体" w:cs="Times New Roman"/>
          <w:b/>
          <w:bCs/>
          <w:sz w:val="32"/>
          <w:szCs w:val="24"/>
        </w:rPr>
        <w:t>第三节 设备出厂前检验</w:t>
      </w:r>
      <w:bookmarkEnd w:id="6"/>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18"/>
        <w:jc w:val="center"/>
        <w:rPr>
          <w:rFonts w:ascii="黑体" w:hAnsi="黑体" w:cs="Times New Roman"/>
          <w:b/>
          <w:bCs/>
          <w:sz w:val="32"/>
          <w:szCs w:val="24"/>
        </w:rPr>
      </w:pPr>
    </w:p>
    <w:bookmarkEnd w:id="4"/>
    <w:p>
      <w:pPr>
        <w:adjustRightInd w:val="0"/>
        <w:snapToGrid w:val="0"/>
        <w:spacing w:line="360" w:lineRule="auto"/>
        <w:rPr>
          <w:rFonts w:ascii="宋体" w:hAnsi="宋体"/>
          <w:szCs w:val="21"/>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p>
    <w:p>
      <w:pPr>
        <w:adjustRightInd w:val="0"/>
        <w:snapToGrid w:val="0"/>
        <w:spacing w:beforeLines="50" w:line="360" w:lineRule="auto"/>
        <w:ind w:left="482" w:hanging="482" w:hangingChars="150"/>
        <w:jc w:val="center"/>
        <w:rPr>
          <w:rFonts w:ascii="黑体" w:hAnsi="黑体" w:eastAsia="黑体" w:cs="黑体"/>
          <w:b/>
          <w:bCs/>
          <w:sz w:val="32"/>
          <w:szCs w:val="32"/>
        </w:rPr>
      </w:pPr>
      <w:r>
        <w:rPr>
          <w:rFonts w:hint="eastAsia" w:ascii="黑体" w:hAnsi="黑体" w:eastAsia="黑体" w:cs="黑体"/>
          <w:b/>
          <w:bCs/>
          <w:sz w:val="32"/>
          <w:szCs w:val="32"/>
        </w:rPr>
        <w:t>第四节 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——矿区现场培训招标人人员。</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8"/>
        <w:jc w:val="center"/>
      </w:pPr>
      <w:r>
        <w:rPr>
          <w:rFonts w:hint="eastAsia" w:ascii="宋体" w:hAnsi="宋体"/>
          <w:szCs w:val="21"/>
        </w:rPr>
        <w:br w:type="page"/>
      </w:r>
      <w:bookmarkStart w:id="7" w:name="_Toc357086146"/>
      <w:r>
        <w:rPr>
          <w:rFonts w:hint="eastAsia" w:ascii="黑体" w:hAnsi="黑体" w:cs="Times New Roman"/>
          <w:b/>
          <w:bCs/>
          <w:sz w:val="32"/>
          <w:szCs w:val="24"/>
        </w:rPr>
        <w:t>第五节 安装、检验、调试、试运行及验收</w:t>
      </w:r>
      <w:bookmarkEnd w:id="7"/>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8"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pStyle w:val="18"/>
        <w:jc w:val="center"/>
        <w:rPr>
          <w:rFonts w:ascii="黑体" w:hAnsi="黑体" w:cs="Times New Roman"/>
          <w:b/>
          <w:bCs/>
          <w:sz w:val="32"/>
          <w:szCs w:val="24"/>
        </w:rPr>
      </w:pPr>
    </w:p>
    <w:p>
      <w:pPr>
        <w:pStyle w:val="18"/>
        <w:spacing w:before="0" w:line="240" w:lineRule="auto"/>
        <w:rPr>
          <w:rFonts w:ascii="黑体" w:hAnsi="黑体" w:cs="Times New Roman"/>
          <w:b/>
          <w:bCs/>
          <w:sz w:val="32"/>
          <w:szCs w:val="24"/>
        </w:rPr>
      </w:pPr>
    </w:p>
    <w:p>
      <w:pPr>
        <w:pStyle w:val="18"/>
        <w:spacing w:before="0" w:line="240" w:lineRule="auto"/>
        <w:rPr>
          <w:rFonts w:ascii="黑体" w:hAnsi="黑体" w:cs="Times New Roman"/>
          <w:b/>
          <w:bCs/>
          <w:sz w:val="32"/>
          <w:szCs w:val="24"/>
        </w:rPr>
      </w:pPr>
    </w:p>
    <w:p>
      <w:pPr>
        <w:pStyle w:val="18"/>
        <w:spacing w:before="0" w:line="240" w:lineRule="auto"/>
        <w:rPr>
          <w:rFonts w:ascii="黑体" w:hAnsi="黑体" w:cs="Times New Roman"/>
          <w:b/>
          <w:bCs/>
          <w:sz w:val="32"/>
          <w:szCs w:val="24"/>
        </w:rPr>
      </w:pPr>
    </w:p>
    <w:p>
      <w:pPr>
        <w:pStyle w:val="18"/>
        <w:spacing w:before="0" w:line="240" w:lineRule="auto"/>
        <w:jc w:val="center"/>
        <w:rPr>
          <w:rFonts w:ascii="黑体" w:hAnsi="黑体" w:cs="Times New Roman"/>
          <w:b/>
          <w:bCs/>
          <w:sz w:val="32"/>
          <w:szCs w:val="24"/>
        </w:rPr>
      </w:pPr>
      <w:r>
        <w:rPr>
          <w:rFonts w:hint="eastAsia" w:ascii="黑体" w:hAnsi="黑体" w:cs="Times New Roman"/>
          <w:b/>
          <w:bCs/>
          <w:sz w:val="32"/>
          <w:szCs w:val="24"/>
        </w:rPr>
        <w:t>第六节 质量保证</w:t>
      </w:r>
      <w:bookmarkEnd w:id="8"/>
    </w:p>
    <w:p>
      <w:pPr>
        <w:adjustRightInd w:val="0"/>
        <w:snapToGrid w:val="0"/>
        <w:spacing w:line="360" w:lineRule="auto"/>
        <w:jc w:val="center"/>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14"/>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8"/>
        <w:jc w:val="center"/>
        <w:rPr>
          <w:rFonts w:ascii="宋体" w:hAnsi="宋体"/>
          <w:szCs w:val="21"/>
        </w:rPr>
      </w:pPr>
      <w:r>
        <w:rPr>
          <w:rFonts w:hint="eastAsia" w:ascii="宋体" w:hAnsi="宋体"/>
          <w:szCs w:val="21"/>
        </w:rPr>
        <w:br w:type="page"/>
      </w:r>
      <w:bookmarkStart w:id="9" w:name="_Toc357086148"/>
      <w:r>
        <w:rPr>
          <w:rFonts w:hint="eastAsia" w:ascii="黑体" w:hAnsi="黑体" w:cs="Times New Roman"/>
          <w:b/>
          <w:bCs/>
          <w:sz w:val="32"/>
          <w:szCs w:val="24"/>
        </w:rPr>
        <w:t>第七节 技术资料和图纸</w:t>
      </w:r>
      <w:bookmarkEnd w:id="9"/>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spacing w:line="360" w:lineRule="auto"/>
        <w:rPr>
          <w:rFonts w:ascii="宋体" w:hAnsi="宋体"/>
          <w:color w:val="00000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Light">
    <w:altName w:val="Arial Unicode MS"/>
    <w:panose1 w:val="00000000000000000000"/>
    <w:charset w:val="00"/>
    <w:family w:val="swiss"/>
    <w:pitch w:val="default"/>
    <w:sig w:usb0="00000000" w:usb1="00000000" w:usb2="00000009" w:usb3="00000000" w:csb0="200001F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91B78"/>
    <w:multiLevelType w:val="singleLevel"/>
    <w:tmpl w:val="58B91B78"/>
    <w:lvl w:ilvl="0" w:tentative="0">
      <w:start w:val="1"/>
      <w:numFmt w:val="chineseCounting"/>
      <w:suff w:val="space"/>
      <w:lvlText w:val="第%1节"/>
      <w:lvlJc w:val="left"/>
    </w:lvl>
  </w:abstractNum>
  <w:abstractNum w:abstractNumId="1">
    <w:nsid w:val="58C10E0C"/>
    <w:multiLevelType w:val="singleLevel"/>
    <w:tmpl w:val="58C10E0C"/>
    <w:lvl w:ilvl="0" w:tentative="0">
      <w:start w:val="1"/>
      <w:numFmt w:val="chineseCounting"/>
      <w:suff w:val="nothing"/>
      <w:lvlText w:val="%1、"/>
      <w:lvlJc w:val="left"/>
    </w:lvl>
  </w:abstractNum>
  <w:abstractNum w:abstractNumId="2">
    <w:nsid w:val="58CF3927"/>
    <w:multiLevelType w:val="singleLevel"/>
    <w:tmpl w:val="58CF3927"/>
    <w:lvl w:ilvl="0" w:tentative="0">
      <w:start w:val="2"/>
      <w:numFmt w:val="decimal"/>
      <w:suff w:val="space"/>
      <w:lvlText w:val="%1."/>
      <w:lvlJc w:val="left"/>
    </w:lvl>
  </w:abstractNum>
  <w:abstractNum w:abstractNumId="3">
    <w:nsid w:val="6CC91813"/>
    <w:multiLevelType w:val="multilevel"/>
    <w:tmpl w:val="6CC91813"/>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pStyle w:val="12"/>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00F21B4C"/>
    <w:rsid w:val="00060848"/>
    <w:rsid w:val="000835FD"/>
    <w:rsid w:val="000E0904"/>
    <w:rsid w:val="0010592A"/>
    <w:rsid w:val="002156F7"/>
    <w:rsid w:val="00235208"/>
    <w:rsid w:val="002E7BB1"/>
    <w:rsid w:val="00603577"/>
    <w:rsid w:val="007C1D3E"/>
    <w:rsid w:val="008813DF"/>
    <w:rsid w:val="00951441"/>
    <w:rsid w:val="009E04D2"/>
    <w:rsid w:val="00B812F4"/>
    <w:rsid w:val="00BA77E5"/>
    <w:rsid w:val="00BB443C"/>
    <w:rsid w:val="00C27801"/>
    <w:rsid w:val="00CD050F"/>
    <w:rsid w:val="00CF5986"/>
    <w:rsid w:val="00D471FF"/>
    <w:rsid w:val="00E2191F"/>
    <w:rsid w:val="00E60C5C"/>
    <w:rsid w:val="00E7789E"/>
    <w:rsid w:val="00E94439"/>
    <w:rsid w:val="00F21B4C"/>
    <w:rsid w:val="00FA1197"/>
    <w:rsid w:val="00FE3805"/>
    <w:rsid w:val="00FF5A72"/>
    <w:rsid w:val="00FF7466"/>
    <w:rsid w:val="055E402A"/>
    <w:rsid w:val="0792025B"/>
    <w:rsid w:val="099438EB"/>
    <w:rsid w:val="0999021E"/>
    <w:rsid w:val="09DE1DA0"/>
    <w:rsid w:val="0C1969BB"/>
    <w:rsid w:val="0EA2706C"/>
    <w:rsid w:val="0F4363D8"/>
    <w:rsid w:val="10525AE3"/>
    <w:rsid w:val="141D7EF5"/>
    <w:rsid w:val="151E730B"/>
    <w:rsid w:val="15B90128"/>
    <w:rsid w:val="17C11570"/>
    <w:rsid w:val="187B6220"/>
    <w:rsid w:val="1A1E6C83"/>
    <w:rsid w:val="1A3B06DF"/>
    <w:rsid w:val="1ADE01D3"/>
    <w:rsid w:val="1B24246F"/>
    <w:rsid w:val="1D2157FE"/>
    <w:rsid w:val="1E0B1E70"/>
    <w:rsid w:val="1EA33C51"/>
    <w:rsid w:val="23CC252A"/>
    <w:rsid w:val="2A721AC7"/>
    <w:rsid w:val="2E667D07"/>
    <w:rsid w:val="2EB24DF2"/>
    <w:rsid w:val="2F734330"/>
    <w:rsid w:val="30536B32"/>
    <w:rsid w:val="31CD40C2"/>
    <w:rsid w:val="338221A0"/>
    <w:rsid w:val="33CF13F7"/>
    <w:rsid w:val="343C46E1"/>
    <w:rsid w:val="36271752"/>
    <w:rsid w:val="386B40BB"/>
    <w:rsid w:val="39034AAA"/>
    <w:rsid w:val="3BE63704"/>
    <w:rsid w:val="3C1410E1"/>
    <w:rsid w:val="3DC4316C"/>
    <w:rsid w:val="3E510DFD"/>
    <w:rsid w:val="41092B37"/>
    <w:rsid w:val="44017B07"/>
    <w:rsid w:val="44CE180C"/>
    <w:rsid w:val="4AB8728B"/>
    <w:rsid w:val="4D0205C5"/>
    <w:rsid w:val="4F1B0759"/>
    <w:rsid w:val="516952C5"/>
    <w:rsid w:val="531F19D3"/>
    <w:rsid w:val="54D33202"/>
    <w:rsid w:val="577519E6"/>
    <w:rsid w:val="5798269F"/>
    <w:rsid w:val="59EA53D6"/>
    <w:rsid w:val="5BCA2495"/>
    <w:rsid w:val="5D8E11AB"/>
    <w:rsid w:val="61A36C57"/>
    <w:rsid w:val="61C66C1E"/>
    <w:rsid w:val="625F300E"/>
    <w:rsid w:val="64CC4529"/>
    <w:rsid w:val="65CC6B80"/>
    <w:rsid w:val="6DDA3529"/>
    <w:rsid w:val="730866AD"/>
    <w:rsid w:val="7623763B"/>
    <w:rsid w:val="7AD47A84"/>
    <w:rsid w:val="7BC66B1D"/>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6" w:lineRule="auto"/>
      <w:outlineLvl w:val="1"/>
    </w:pPr>
    <w:rPr>
      <w:rFonts w:ascii="Cambria" w:hAnsi="Cambria"/>
      <w:b/>
      <w:bCs/>
      <w:sz w:val="32"/>
      <w:szCs w:val="32"/>
    </w:rPr>
  </w:style>
  <w:style w:type="character" w:default="1" w:styleId="7">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正文"/>
    <w:basedOn w:val="1"/>
    <w:link w:val="11"/>
    <w:qFormat/>
    <w:uiPriority w:val="0"/>
    <w:rPr>
      <w:rFonts w:ascii="宋体" w:hAnsi="宋体"/>
      <w:sz w:val="22"/>
    </w:rPr>
  </w:style>
  <w:style w:type="character" w:customStyle="1" w:styleId="11">
    <w:name w:val="*正文 Char"/>
    <w:link w:val="10"/>
    <w:qFormat/>
    <w:uiPriority w:val="0"/>
    <w:rPr>
      <w:rFonts w:ascii="宋体" w:hAnsi="宋体" w:eastAsia="宋体" w:cs="Times New Roman"/>
      <w:sz w:val="22"/>
      <w:szCs w:val="24"/>
    </w:rPr>
  </w:style>
  <w:style w:type="paragraph" w:customStyle="1" w:styleId="12">
    <w:name w:val="4级标题"/>
    <w:basedOn w:val="1"/>
    <w:qFormat/>
    <w:uiPriority w:val="0"/>
    <w:pPr>
      <w:keepLines/>
      <w:numPr>
        <w:ilvl w:val="3"/>
        <w:numId w:val="1"/>
      </w:numPr>
      <w:spacing w:line="360" w:lineRule="auto"/>
      <w:contextualSpacing/>
      <w:jc w:val="left"/>
      <w:outlineLvl w:val="3"/>
    </w:pPr>
    <w:rPr>
      <w:rFonts w:ascii="黑体" w:hAnsi="黑体" w:eastAsia="黑体"/>
      <w:kern w:val="0"/>
      <w:sz w:val="24"/>
      <w:lang w:eastAsia="en-US" w:bidi="en-US"/>
    </w:rPr>
  </w:style>
  <w:style w:type="paragraph" w:customStyle="1" w:styleId="13">
    <w:name w:val="普通 (Web)"/>
    <w:qFormat/>
    <w:uiPriority w:val="0"/>
    <w:pPr>
      <w:spacing w:before="100" w:after="100"/>
    </w:pPr>
    <w:rPr>
      <w:rFonts w:ascii="宋体" w:hAnsi="Times New Roman" w:eastAsia="宋体" w:cs="Times New Roman"/>
      <w:sz w:val="24"/>
      <w:lang w:val="en-US" w:eastAsia="zh-CN" w:bidi="ar-SA"/>
    </w:rPr>
  </w:style>
  <w:style w:type="paragraph" w:customStyle="1" w:styleId="14">
    <w:name w:val="列出段落1"/>
    <w:basedOn w:val="1"/>
    <w:qFormat/>
    <w:uiPriority w:val="34"/>
    <w:pPr>
      <w:ind w:firstLine="420" w:firstLineChars="200"/>
    </w:pPr>
  </w:style>
  <w:style w:type="character" w:customStyle="1" w:styleId="15">
    <w:name w:val="页眉 Char"/>
    <w:basedOn w:val="7"/>
    <w:link w:val="6"/>
    <w:qFormat/>
    <w:uiPriority w:val="99"/>
    <w:rPr>
      <w:rFonts w:ascii="Times New Roman" w:hAnsi="Times New Roman" w:eastAsia="宋体" w:cs="Times New Roman"/>
      <w:sz w:val="18"/>
      <w:szCs w:val="18"/>
    </w:rPr>
  </w:style>
  <w:style w:type="character" w:customStyle="1" w:styleId="16">
    <w:name w:val="页脚 Char"/>
    <w:basedOn w:val="7"/>
    <w:link w:val="5"/>
    <w:qFormat/>
    <w:uiPriority w:val="99"/>
    <w:rPr>
      <w:rFonts w:ascii="Times New Roman" w:hAnsi="Times New Roman" w:eastAsia="宋体" w:cs="Times New Roman"/>
      <w:sz w:val="18"/>
      <w:szCs w:val="18"/>
    </w:rPr>
  </w:style>
  <w:style w:type="paragraph" w:customStyle="1" w:styleId="17">
    <w:name w:val="p0"/>
    <w:basedOn w:val="1"/>
    <w:qFormat/>
    <w:uiPriority w:val="0"/>
    <w:pPr>
      <w:widowControl/>
    </w:pPr>
    <w:rPr>
      <w:kern w:val="0"/>
      <w:szCs w:val="21"/>
    </w:rPr>
  </w:style>
  <w:style w:type="paragraph" w:customStyle="1" w:styleId="18">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19">
    <w:name w:val="Table Text"/>
    <w:qFormat/>
    <w:uiPriority w:val="0"/>
    <w:pPr>
      <w:tabs>
        <w:tab w:val="decimal" w:pos="0"/>
      </w:tabs>
    </w:pPr>
    <w:rPr>
      <w:rFonts w:ascii="Arial" w:hAnsi="Arial" w:eastAsia="宋体" w:cs="Times New Roman"/>
      <w:sz w:val="21"/>
      <w:szCs w:val="21"/>
      <w:lang w:val="en-US" w:eastAsia="zh-CN" w:bidi="ar-SA"/>
    </w:rPr>
  </w:style>
  <w:style w:type="character" w:customStyle="1" w:styleId="20">
    <w:name w:val="urtxtstd17"/>
    <w:basedOn w:val="7"/>
    <w:qFormat/>
    <w:uiPriority w:val="0"/>
    <w:rPr>
      <w:rFonts w:hint="default" w:ascii="Arial" w:hAnsi="Arial" w:cs="Arial"/>
      <w:sz w:val="17"/>
      <w:szCs w:val="17"/>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1955</Words>
  <Characters>11149</Characters>
  <Lines>92</Lines>
  <Paragraphs>26</Paragraphs>
  <TotalTime>0</TotalTime>
  <ScaleCrop>false</ScaleCrop>
  <LinksUpToDate>false</LinksUpToDate>
  <CharactersWithSpaces>13078</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2017-03-06T15:12:00Z</dcterms:created>
  <dc:creator>胡昌金</dc:creator>
  <cp:lastModifiedBy>中国神华国际工程有限公司:马鹏军</cp:lastModifiedBy>
  <dcterms:modified xsi:type="dcterms:W3CDTF">2017-09-28T07:28:25Z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