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b/>
          <w:bCs/>
          <w:sz w:val="32"/>
          <w:szCs w:val="32"/>
        </w:rPr>
      </w:pPr>
      <w:r>
        <w:rPr>
          <w:rFonts w:hint="eastAsia" w:ascii="宋体" w:hAnsi="宋体"/>
          <w:b/>
          <w:bCs/>
          <w:sz w:val="32"/>
          <w:szCs w:val="32"/>
        </w:rPr>
        <w:t>工业空调</w:t>
      </w:r>
      <w:bookmarkStart w:id="0" w:name="_GoBack"/>
      <w:bookmarkEnd w:id="0"/>
    </w:p>
    <w:p>
      <w:pPr>
        <w:adjustRightInd w:val="0"/>
        <w:snapToGrid w:val="0"/>
        <w:spacing w:line="360" w:lineRule="auto"/>
        <w:jc w:val="center"/>
        <w:rPr>
          <w:rFonts w:hint="eastAsia" w:ascii="宋体"/>
          <w:b/>
          <w:bCs/>
          <w:sz w:val="28"/>
          <w:szCs w:val="24"/>
        </w:rPr>
      </w:pPr>
      <w:r>
        <w:rPr>
          <w:rFonts w:hint="eastAsia"/>
          <w:b/>
          <w:bCs/>
          <w:sz w:val="28"/>
          <w:szCs w:val="24"/>
        </w:rPr>
        <w:t xml:space="preserve">第一节 </w:t>
      </w:r>
      <w:r>
        <w:rPr>
          <w:rFonts w:hint="eastAsia"/>
          <w:b/>
          <w:bCs/>
          <w:sz w:val="28"/>
          <w:szCs w:val="28"/>
        </w:rPr>
        <w:t>（1）</w:t>
      </w:r>
      <w:r>
        <w:rPr>
          <w:b/>
          <w:bCs/>
          <w:sz w:val="28"/>
          <w:szCs w:val="24"/>
        </w:rPr>
        <w:t>物资需求一览表</w:t>
      </w:r>
    </w:p>
    <w:tbl>
      <w:tblPr>
        <w:tblStyle w:val="3"/>
        <w:tblpPr w:leftFromText="180" w:rightFromText="180" w:vertAnchor="text" w:horzAnchor="margin" w:tblpXSpec="center" w:tblpY="272"/>
        <w:tblW w:w="8521" w:type="dxa"/>
        <w:tblInd w:w="0" w:type="dxa"/>
        <w:tblLayout w:type="fixed"/>
        <w:tblCellMar>
          <w:top w:w="0" w:type="dxa"/>
          <w:left w:w="108" w:type="dxa"/>
          <w:bottom w:w="0" w:type="dxa"/>
          <w:right w:w="108" w:type="dxa"/>
        </w:tblCellMar>
      </w:tblPr>
      <w:tblGrid>
        <w:gridCol w:w="817"/>
        <w:gridCol w:w="2126"/>
        <w:gridCol w:w="1330"/>
        <w:gridCol w:w="797"/>
        <w:gridCol w:w="741"/>
        <w:gridCol w:w="1161"/>
        <w:gridCol w:w="1549"/>
      </w:tblGrid>
      <w:tr>
        <w:tblPrEx>
          <w:tblLayout w:type="fixed"/>
          <w:tblCellMar>
            <w:top w:w="0" w:type="dxa"/>
            <w:left w:w="108" w:type="dxa"/>
            <w:bottom w:w="0" w:type="dxa"/>
            <w:right w:w="108" w:type="dxa"/>
          </w:tblCellMar>
        </w:tblPrEx>
        <w:trPr>
          <w:trHeight w:val="465" w:hRule="atLeast"/>
        </w:trPr>
        <w:tc>
          <w:tcPr>
            <w:tcW w:w="81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b/>
                <w:color w:val="000000"/>
                <w:kern w:val="0"/>
                <w:sz w:val="24"/>
                <w:szCs w:val="21"/>
              </w:rPr>
            </w:pPr>
            <w:r>
              <w:rPr>
                <w:rFonts w:hint="eastAsia" w:ascii="宋体"/>
                <w:b/>
                <w:color w:val="000000"/>
                <w:kern w:val="0"/>
                <w:sz w:val="24"/>
                <w:szCs w:val="21"/>
              </w:rPr>
              <w:t>序号</w:t>
            </w:r>
          </w:p>
        </w:tc>
        <w:tc>
          <w:tcPr>
            <w:tcW w:w="2126" w:type="dxa"/>
            <w:tcBorders>
              <w:top w:val="single" w:color="auto" w:sz="4" w:space="0"/>
              <w:left w:val="nil"/>
              <w:bottom w:val="single" w:color="auto" w:sz="4" w:space="0"/>
              <w:right w:val="single" w:color="auto" w:sz="4" w:space="0"/>
            </w:tcBorders>
            <w:vAlign w:val="center"/>
          </w:tcPr>
          <w:p>
            <w:pPr>
              <w:widowControl/>
              <w:jc w:val="center"/>
              <w:rPr>
                <w:rFonts w:hint="eastAsia" w:ascii="宋体"/>
                <w:b/>
                <w:kern w:val="0"/>
                <w:sz w:val="24"/>
                <w:szCs w:val="21"/>
              </w:rPr>
            </w:pPr>
            <w:r>
              <w:rPr>
                <w:rFonts w:hint="eastAsia" w:ascii="宋体"/>
                <w:b/>
                <w:kern w:val="0"/>
                <w:sz w:val="24"/>
                <w:szCs w:val="21"/>
              </w:rPr>
              <w:t>名 称</w:t>
            </w:r>
          </w:p>
        </w:tc>
        <w:tc>
          <w:tcPr>
            <w:tcW w:w="1330" w:type="dxa"/>
            <w:tcBorders>
              <w:top w:val="single" w:color="auto" w:sz="4" w:space="0"/>
              <w:left w:val="nil"/>
              <w:bottom w:val="single" w:color="auto" w:sz="4" w:space="0"/>
              <w:right w:val="single" w:color="auto" w:sz="4" w:space="0"/>
            </w:tcBorders>
            <w:vAlign w:val="center"/>
          </w:tcPr>
          <w:p>
            <w:pPr>
              <w:widowControl/>
              <w:jc w:val="center"/>
              <w:rPr>
                <w:rFonts w:hint="eastAsia" w:ascii="宋体"/>
                <w:b/>
                <w:color w:val="000000"/>
                <w:kern w:val="0"/>
                <w:sz w:val="24"/>
                <w:szCs w:val="21"/>
              </w:rPr>
            </w:pPr>
            <w:r>
              <w:rPr>
                <w:rFonts w:hint="eastAsia" w:ascii="宋体"/>
                <w:b/>
                <w:color w:val="000000"/>
                <w:kern w:val="0"/>
                <w:sz w:val="24"/>
                <w:szCs w:val="21"/>
              </w:rPr>
              <w:t>规格型号</w:t>
            </w:r>
          </w:p>
        </w:tc>
        <w:tc>
          <w:tcPr>
            <w:tcW w:w="797" w:type="dxa"/>
            <w:tcBorders>
              <w:top w:val="single" w:color="auto" w:sz="4" w:space="0"/>
              <w:left w:val="nil"/>
              <w:bottom w:val="single" w:color="auto" w:sz="4" w:space="0"/>
              <w:right w:val="single" w:color="auto" w:sz="4" w:space="0"/>
            </w:tcBorders>
            <w:vAlign w:val="center"/>
          </w:tcPr>
          <w:p>
            <w:pPr>
              <w:widowControl/>
              <w:jc w:val="center"/>
              <w:rPr>
                <w:rFonts w:hint="eastAsia" w:ascii="宋体"/>
                <w:b/>
                <w:color w:val="000000"/>
                <w:kern w:val="0"/>
                <w:sz w:val="24"/>
                <w:szCs w:val="21"/>
              </w:rPr>
            </w:pPr>
            <w:r>
              <w:rPr>
                <w:rFonts w:hint="eastAsia" w:ascii="宋体"/>
                <w:b/>
                <w:color w:val="000000"/>
                <w:kern w:val="0"/>
                <w:sz w:val="24"/>
                <w:szCs w:val="21"/>
              </w:rPr>
              <w:t>单位</w:t>
            </w:r>
          </w:p>
        </w:tc>
        <w:tc>
          <w:tcPr>
            <w:tcW w:w="741" w:type="dxa"/>
            <w:tcBorders>
              <w:top w:val="single" w:color="auto" w:sz="4" w:space="0"/>
              <w:left w:val="nil"/>
              <w:bottom w:val="single" w:color="auto" w:sz="4" w:space="0"/>
              <w:right w:val="single" w:color="auto" w:sz="4" w:space="0"/>
            </w:tcBorders>
            <w:vAlign w:val="center"/>
          </w:tcPr>
          <w:p>
            <w:pPr>
              <w:widowControl/>
              <w:jc w:val="center"/>
              <w:rPr>
                <w:rFonts w:hint="eastAsia" w:ascii="宋体"/>
                <w:b/>
                <w:color w:val="000000"/>
                <w:kern w:val="0"/>
                <w:sz w:val="24"/>
                <w:szCs w:val="21"/>
              </w:rPr>
            </w:pPr>
            <w:r>
              <w:rPr>
                <w:rFonts w:hint="eastAsia" w:ascii="宋体"/>
                <w:b/>
                <w:color w:val="000000"/>
                <w:kern w:val="0"/>
                <w:sz w:val="24"/>
                <w:szCs w:val="21"/>
              </w:rPr>
              <w:t>数量</w:t>
            </w:r>
          </w:p>
        </w:tc>
        <w:tc>
          <w:tcPr>
            <w:tcW w:w="1161" w:type="dxa"/>
            <w:tcBorders>
              <w:top w:val="single" w:color="auto" w:sz="4" w:space="0"/>
              <w:left w:val="nil"/>
              <w:bottom w:val="single" w:color="auto" w:sz="4" w:space="0"/>
              <w:right w:val="single" w:color="auto" w:sz="4" w:space="0"/>
            </w:tcBorders>
            <w:vAlign w:val="center"/>
          </w:tcPr>
          <w:p>
            <w:pPr>
              <w:widowControl/>
              <w:jc w:val="center"/>
              <w:rPr>
                <w:rFonts w:hint="eastAsia" w:ascii="宋体"/>
                <w:b/>
                <w:color w:val="000000"/>
                <w:kern w:val="0"/>
                <w:sz w:val="24"/>
                <w:szCs w:val="21"/>
              </w:rPr>
            </w:pPr>
            <w:r>
              <w:rPr>
                <w:rFonts w:hint="eastAsia" w:ascii="宋体"/>
                <w:b/>
                <w:color w:val="000000"/>
                <w:kern w:val="0"/>
                <w:sz w:val="24"/>
                <w:szCs w:val="21"/>
              </w:rPr>
              <w:t>交货期</w:t>
            </w:r>
          </w:p>
        </w:tc>
        <w:tc>
          <w:tcPr>
            <w:tcW w:w="1549" w:type="dxa"/>
            <w:tcBorders>
              <w:top w:val="single" w:color="auto" w:sz="4" w:space="0"/>
              <w:left w:val="nil"/>
              <w:bottom w:val="single" w:color="auto" w:sz="4" w:space="0"/>
              <w:right w:val="single" w:color="auto" w:sz="4" w:space="0"/>
            </w:tcBorders>
            <w:vAlign w:val="center"/>
          </w:tcPr>
          <w:p>
            <w:pPr>
              <w:widowControl/>
              <w:jc w:val="center"/>
              <w:rPr>
                <w:rFonts w:hint="eastAsia" w:ascii="宋体"/>
                <w:b/>
                <w:color w:val="000000"/>
                <w:kern w:val="0"/>
                <w:sz w:val="24"/>
                <w:szCs w:val="21"/>
              </w:rPr>
            </w:pPr>
            <w:r>
              <w:rPr>
                <w:rFonts w:hint="eastAsia" w:ascii="宋体"/>
                <w:b/>
                <w:color w:val="000000"/>
                <w:kern w:val="0"/>
                <w:sz w:val="24"/>
                <w:szCs w:val="21"/>
              </w:rPr>
              <w:t>使用单位</w:t>
            </w:r>
          </w:p>
        </w:tc>
      </w:tr>
      <w:tr>
        <w:tblPrEx>
          <w:tblLayout w:type="fixed"/>
          <w:tblCellMar>
            <w:top w:w="0" w:type="dxa"/>
            <w:left w:w="108" w:type="dxa"/>
            <w:bottom w:w="0" w:type="dxa"/>
            <w:right w:w="108" w:type="dxa"/>
          </w:tblCellMar>
        </w:tblPrEx>
        <w:trPr>
          <w:trHeight w:val="816" w:hRule="atLeast"/>
        </w:trPr>
        <w:tc>
          <w:tcPr>
            <w:tcW w:w="81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color w:val="000000"/>
                <w:kern w:val="0"/>
                <w:szCs w:val="21"/>
              </w:rPr>
            </w:pPr>
            <w:r>
              <w:rPr>
                <w:rFonts w:hint="eastAsia" w:ascii="宋体"/>
                <w:color w:val="000000"/>
                <w:kern w:val="0"/>
                <w:szCs w:val="21"/>
              </w:rPr>
              <w:t>1</w:t>
            </w:r>
          </w:p>
        </w:tc>
        <w:tc>
          <w:tcPr>
            <w:tcW w:w="2126" w:type="dxa"/>
            <w:tcBorders>
              <w:top w:val="nil"/>
              <w:left w:val="nil"/>
              <w:bottom w:val="single" w:color="auto" w:sz="4" w:space="0"/>
              <w:right w:val="single" w:color="auto" w:sz="4" w:space="0"/>
            </w:tcBorders>
            <w:vAlign w:val="center"/>
          </w:tcPr>
          <w:p>
            <w:pPr>
              <w:spacing w:line="360" w:lineRule="auto"/>
              <w:jc w:val="center"/>
              <w:rPr>
                <w:rFonts w:hint="eastAsia" w:ascii="宋体"/>
                <w:szCs w:val="21"/>
              </w:rPr>
            </w:pPr>
            <w:r>
              <w:rPr>
                <w:rFonts w:hint="eastAsia" w:ascii="宋体"/>
                <w:szCs w:val="21"/>
              </w:rPr>
              <w:t>工业空调</w:t>
            </w:r>
          </w:p>
        </w:tc>
        <w:tc>
          <w:tcPr>
            <w:tcW w:w="1330" w:type="dxa"/>
            <w:tcBorders>
              <w:top w:val="nil"/>
              <w:left w:val="nil"/>
              <w:bottom w:val="single" w:color="auto" w:sz="4" w:space="0"/>
              <w:right w:val="single" w:color="auto" w:sz="4" w:space="0"/>
            </w:tcBorders>
            <w:vAlign w:val="center"/>
          </w:tcPr>
          <w:p>
            <w:pPr>
              <w:widowControl/>
              <w:spacing w:line="360" w:lineRule="auto"/>
              <w:jc w:val="center"/>
              <w:rPr>
                <w:rFonts w:hint="eastAsia" w:ascii="宋体"/>
                <w:kern w:val="0"/>
                <w:szCs w:val="21"/>
              </w:rPr>
            </w:pPr>
          </w:p>
        </w:tc>
        <w:tc>
          <w:tcPr>
            <w:tcW w:w="797" w:type="dxa"/>
            <w:tcBorders>
              <w:top w:val="nil"/>
              <w:left w:val="nil"/>
              <w:bottom w:val="single" w:color="auto" w:sz="4" w:space="0"/>
              <w:right w:val="single" w:color="auto" w:sz="4" w:space="0"/>
            </w:tcBorders>
            <w:vAlign w:val="center"/>
          </w:tcPr>
          <w:p>
            <w:pPr>
              <w:widowControl/>
              <w:spacing w:line="360" w:lineRule="auto"/>
              <w:jc w:val="center"/>
              <w:rPr>
                <w:rFonts w:hint="eastAsia" w:ascii="宋体"/>
                <w:kern w:val="0"/>
                <w:szCs w:val="21"/>
              </w:rPr>
            </w:pPr>
            <w:r>
              <w:rPr>
                <w:rFonts w:hint="eastAsia" w:ascii="宋体"/>
                <w:kern w:val="0"/>
                <w:szCs w:val="21"/>
              </w:rPr>
              <w:t>台</w:t>
            </w:r>
          </w:p>
        </w:tc>
        <w:tc>
          <w:tcPr>
            <w:tcW w:w="741" w:type="dxa"/>
            <w:tcBorders>
              <w:top w:val="nil"/>
              <w:left w:val="nil"/>
              <w:bottom w:val="single" w:color="auto" w:sz="4" w:space="0"/>
              <w:right w:val="single" w:color="auto" w:sz="4" w:space="0"/>
            </w:tcBorders>
            <w:vAlign w:val="center"/>
          </w:tcPr>
          <w:p>
            <w:pPr>
              <w:widowControl/>
              <w:spacing w:line="360" w:lineRule="auto"/>
              <w:jc w:val="center"/>
              <w:rPr>
                <w:rFonts w:hint="eastAsia" w:ascii="宋体"/>
                <w:kern w:val="0"/>
                <w:szCs w:val="21"/>
              </w:rPr>
            </w:pPr>
            <w:r>
              <w:rPr>
                <w:rFonts w:hint="eastAsia" w:ascii="宋体"/>
                <w:kern w:val="0"/>
                <w:szCs w:val="21"/>
              </w:rPr>
              <w:t>1</w:t>
            </w:r>
          </w:p>
        </w:tc>
        <w:tc>
          <w:tcPr>
            <w:tcW w:w="1161" w:type="dxa"/>
            <w:tcBorders>
              <w:top w:val="nil"/>
              <w:left w:val="nil"/>
              <w:bottom w:val="single" w:color="auto" w:sz="4" w:space="0"/>
              <w:right w:val="single" w:color="auto" w:sz="4" w:space="0"/>
            </w:tcBorders>
            <w:vAlign w:val="center"/>
          </w:tcPr>
          <w:p>
            <w:pPr>
              <w:widowControl/>
              <w:jc w:val="center"/>
              <w:rPr>
                <w:rFonts w:hint="eastAsia" w:ascii="宋体"/>
                <w:color w:val="000000"/>
                <w:kern w:val="0"/>
                <w:szCs w:val="21"/>
              </w:rPr>
            </w:pPr>
          </w:p>
        </w:tc>
        <w:tc>
          <w:tcPr>
            <w:tcW w:w="1549" w:type="dxa"/>
            <w:tcBorders>
              <w:top w:val="nil"/>
              <w:left w:val="nil"/>
              <w:bottom w:val="single" w:color="auto" w:sz="4" w:space="0"/>
              <w:right w:val="single" w:color="auto" w:sz="4" w:space="0"/>
            </w:tcBorders>
            <w:vAlign w:val="center"/>
          </w:tcPr>
          <w:p>
            <w:pPr>
              <w:widowControl/>
              <w:jc w:val="center"/>
              <w:rPr>
                <w:rFonts w:hint="eastAsia" w:ascii="宋体"/>
                <w:color w:val="000000"/>
                <w:kern w:val="0"/>
                <w:szCs w:val="21"/>
              </w:rPr>
            </w:pPr>
            <w:r>
              <w:rPr>
                <w:rFonts w:hint="eastAsia" w:ascii="宋体"/>
                <w:color w:val="000000"/>
                <w:kern w:val="0"/>
                <w:szCs w:val="21"/>
              </w:rPr>
              <w:t>寸草塔二矿</w:t>
            </w:r>
          </w:p>
        </w:tc>
      </w:tr>
      <w:tr>
        <w:tblPrEx>
          <w:tblLayout w:type="fixed"/>
          <w:tblCellMar>
            <w:top w:w="0" w:type="dxa"/>
            <w:left w:w="108" w:type="dxa"/>
            <w:bottom w:w="0" w:type="dxa"/>
            <w:right w:w="108" w:type="dxa"/>
          </w:tblCellMar>
        </w:tblPrEx>
        <w:trPr>
          <w:trHeight w:val="465" w:hRule="atLeast"/>
        </w:trPr>
        <w:tc>
          <w:tcPr>
            <w:tcW w:w="81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color w:val="000000"/>
                <w:kern w:val="0"/>
                <w:szCs w:val="21"/>
              </w:rPr>
            </w:pPr>
            <w:r>
              <w:rPr>
                <w:rFonts w:hint="eastAsia" w:ascii="宋体"/>
                <w:color w:val="000000"/>
                <w:kern w:val="0"/>
                <w:szCs w:val="21"/>
              </w:rPr>
              <w:t>2</w:t>
            </w:r>
          </w:p>
        </w:tc>
        <w:tc>
          <w:tcPr>
            <w:tcW w:w="2126" w:type="dxa"/>
            <w:tcBorders>
              <w:top w:val="nil"/>
              <w:left w:val="nil"/>
              <w:bottom w:val="single" w:color="auto" w:sz="4" w:space="0"/>
              <w:right w:val="single" w:color="auto" w:sz="4" w:space="0"/>
            </w:tcBorders>
            <w:vAlign w:val="center"/>
          </w:tcPr>
          <w:p>
            <w:pPr>
              <w:widowControl/>
              <w:spacing w:line="360" w:lineRule="auto"/>
              <w:jc w:val="center"/>
              <w:rPr>
                <w:rFonts w:hint="eastAsia" w:ascii="宋体"/>
                <w:color w:val="000000"/>
                <w:kern w:val="0"/>
                <w:szCs w:val="21"/>
              </w:rPr>
            </w:pPr>
            <w:r>
              <w:rPr>
                <w:rFonts w:hint="eastAsia" w:ascii="宋体"/>
                <w:color w:val="000000"/>
                <w:kern w:val="0"/>
                <w:szCs w:val="21"/>
              </w:rPr>
              <w:t>质保期内备品备件</w:t>
            </w:r>
          </w:p>
        </w:tc>
        <w:tc>
          <w:tcPr>
            <w:tcW w:w="1330" w:type="dxa"/>
            <w:tcBorders>
              <w:top w:val="nil"/>
              <w:left w:val="nil"/>
              <w:bottom w:val="single" w:color="auto" w:sz="4" w:space="0"/>
              <w:right w:val="single" w:color="auto" w:sz="4" w:space="0"/>
            </w:tcBorders>
            <w:vAlign w:val="center"/>
          </w:tcPr>
          <w:p>
            <w:pPr>
              <w:widowControl/>
              <w:spacing w:line="360" w:lineRule="auto"/>
              <w:jc w:val="center"/>
              <w:rPr>
                <w:rFonts w:hint="eastAsia" w:ascii="宋体"/>
                <w:kern w:val="0"/>
                <w:szCs w:val="21"/>
              </w:rPr>
            </w:pPr>
          </w:p>
        </w:tc>
        <w:tc>
          <w:tcPr>
            <w:tcW w:w="797" w:type="dxa"/>
            <w:tcBorders>
              <w:top w:val="nil"/>
              <w:left w:val="nil"/>
              <w:bottom w:val="single" w:color="auto" w:sz="4" w:space="0"/>
              <w:right w:val="single" w:color="auto" w:sz="4" w:space="0"/>
            </w:tcBorders>
            <w:vAlign w:val="center"/>
          </w:tcPr>
          <w:p>
            <w:pPr>
              <w:widowControl/>
              <w:spacing w:line="360" w:lineRule="auto"/>
              <w:jc w:val="center"/>
              <w:rPr>
                <w:rFonts w:hint="eastAsia" w:ascii="宋体"/>
                <w:kern w:val="0"/>
                <w:szCs w:val="21"/>
              </w:rPr>
            </w:pPr>
            <w:r>
              <w:rPr>
                <w:rFonts w:hint="eastAsia" w:ascii="宋体"/>
                <w:kern w:val="0"/>
                <w:szCs w:val="21"/>
              </w:rPr>
              <w:t>批</w:t>
            </w:r>
          </w:p>
        </w:tc>
        <w:tc>
          <w:tcPr>
            <w:tcW w:w="741" w:type="dxa"/>
            <w:tcBorders>
              <w:top w:val="nil"/>
              <w:left w:val="nil"/>
              <w:bottom w:val="single" w:color="auto" w:sz="4" w:space="0"/>
              <w:right w:val="single" w:color="auto" w:sz="4" w:space="0"/>
            </w:tcBorders>
            <w:vAlign w:val="center"/>
          </w:tcPr>
          <w:p>
            <w:pPr>
              <w:widowControl/>
              <w:spacing w:line="360" w:lineRule="auto"/>
              <w:jc w:val="center"/>
              <w:rPr>
                <w:rFonts w:hint="eastAsia" w:ascii="宋体"/>
                <w:kern w:val="0"/>
                <w:szCs w:val="21"/>
              </w:rPr>
            </w:pPr>
            <w:r>
              <w:rPr>
                <w:rFonts w:hint="eastAsia" w:ascii="宋体"/>
                <w:kern w:val="0"/>
                <w:szCs w:val="21"/>
              </w:rPr>
              <w:t>1</w:t>
            </w:r>
          </w:p>
        </w:tc>
        <w:tc>
          <w:tcPr>
            <w:tcW w:w="1161" w:type="dxa"/>
            <w:tcBorders>
              <w:top w:val="nil"/>
              <w:left w:val="nil"/>
              <w:bottom w:val="single" w:color="auto" w:sz="4" w:space="0"/>
              <w:right w:val="single" w:color="auto" w:sz="4" w:space="0"/>
            </w:tcBorders>
            <w:vAlign w:val="center"/>
          </w:tcPr>
          <w:p>
            <w:pPr>
              <w:widowControl/>
              <w:jc w:val="center"/>
              <w:rPr>
                <w:rFonts w:hint="eastAsia" w:ascii="宋体"/>
                <w:color w:val="000000"/>
                <w:kern w:val="0"/>
                <w:szCs w:val="21"/>
              </w:rPr>
            </w:pPr>
          </w:p>
        </w:tc>
        <w:tc>
          <w:tcPr>
            <w:tcW w:w="1549" w:type="dxa"/>
            <w:tcBorders>
              <w:top w:val="nil"/>
              <w:left w:val="nil"/>
              <w:bottom w:val="single" w:color="auto" w:sz="4" w:space="0"/>
              <w:right w:val="single" w:color="auto" w:sz="4" w:space="0"/>
            </w:tcBorders>
            <w:vAlign w:val="center"/>
          </w:tcPr>
          <w:p>
            <w:pPr>
              <w:widowControl/>
              <w:jc w:val="center"/>
              <w:rPr>
                <w:rFonts w:hint="eastAsia" w:ascii="宋体"/>
                <w:color w:val="000000"/>
                <w:kern w:val="0"/>
                <w:szCs w:val="21"/>
              </w:rPr>
            </w:pPr>
          </w:p>
        </w:tc>
      </w:tr>
      <w:tr>
        <w:tblPrEx>
          <w:tblLayout w:type="fixed"/>
          <w:tblCellMar>
            <w:top w:w="0" w:type="dxa"/>
            <w:left w:w="108" w:type="dxa"/>
            <w:bottom w:w="0" w:type="dxa"/>
            <w:right w:w="108" w:type="dxa"/>
          </w:tblCellMar>
        </w:tblPrEx>
        <w:trPr>
          <w:trHeight w:val="611" w:hRule="atLeast"/>
        </w:trPr>
        <w:tc>
          <w:tcPr>
            <w:tcW w:w="817"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color w:val="000000"/>
                <w:kern w:val="0"/>
                <w:szCs w:val="21"/>
              </w:rPr>
            </w:pPr>
            <w:r>
              <w:rPr>
                <w:rFonts w:hint="eastAsia" w:ascii="宋体"/>
                <w:color w:val="000000"/>
                <w:kern w:val="0"/>
                <w:szCs w:val="21"/>
              </w:rPr>
              <w:t>3</w:t>
            </w:r>
          </w:p>
        </w:tc>
        <w:tc>
          <w:tcPr>
            <w:tcW w:w="2126" w:type="dxa"/>
            <w:tcBorders>
              <w:top w:val="nil"/>
              <w:left w:val="nil"/>
              <w:bottom w:val="single" w:color="auto" w:sz="4" w:space="0"/>
              <w:right w:val="single" w:color="auto" w:sz="4" w:space="0"/>
            </w:tcBorders>
            <w:vAlign w:val="center"/>
          </w:tcPr>
          <w:p>
            <w:pPr>
              <w:widowControl/>
              <w:spacing w:line="360" w:lineRule="auto"/>
              <w:rPr>
                <w:rFonts w:hint="eastAsia" w:ascii="宋体"/>
                <w:color w:val="000000"/>
                <w:kern w:val="0"/>
                <w:szCs w:val="21"/>
              </w:rPr>
            </w:pPr>
            <w:r>
              <w:rPr>
                <w:rFonts w:hint="eastAsia" w:ascii="宋体"/>
                <w:color w:val="000000"/>
                <w:kern w:val="0"/>
                <w:szCs w:val="21"/>
              </w:rPr>
              <w:t>技术资料与质检资料</w:t>
            </w:r>
          </w:p>
        </w:tc>
        <w:tc>
          <w:tcPr>
            <w:tcW w:w="1330" w:type="dxa"/>
            <w:tcBorders>
              <w:top w:val="nil"/>
              <w:left w:val="nil"/>
              <w:bottom w:val="single" w:color="auto" w:sz="4" w:space="0"/>
              <w:right w:val="single" w:color="auto" w:sz="4" w:space="0"/>
            </w:tcBorders>
            <w:vAlign w:val="center"/>
          </w:tcPr>
          <w:p>
            <w:pPr>
              <w:widowControl/>
              <w:spacing w:line="360" w:lineRule="auto"/>
              <w:jc w:val="center"/>
              <w:rPr>
                <w:rFonts w:hint="eastAsia" w:ascii="宋体"/>
                <w:kern w:val="0"/>
                <w:szCs w:val="21"/>
              </w:rPr>
            </w:pPr>
          </w:p>
        </w:tc>
        <w:tc>
          <w:tcPr>
            <w:tcW w:w="797" w:type="dxa"/>
            <w:tcBorders>
              <w:top w:val="nil"/>
              <w:left w:val="nil"/>
              <w:bottom w:val="single" w:color="auto" w:sz="4" w:space="0"/>
              <w:right w:val="single" w:color="auto" w:sz="4" w:space="0"/>
            </w:tcBorders>
            <w:vAlign w:val="center"/>
          </w:tcPr>
          <w:p>
            <w:pPr>
              <w:widowControl/>
              <w:spacing w:line="360" w:lineRule="auto"/>
              <w:jc w:val="center"/>
              <w:rPr>
                <w:rFonts w:hint="eastAsia" w:ascii="宋体"/>
                <w:kern w:val="0"/>
                <w:szCs w:val="21"/>
              </w:rPr>
            </w:pPr>
            <w:r>
              <w:rPr>
                <w:rFonts w:hint="eastAsia" w:ascii="宋体"/>
                <w:kern w:val="0"/>
                <w:szCs w:val="21"/>
              </w:rPr>
              <w:t>套/台</w:t>
            </w:r>
          </w:p>
        </w:tc>
        <w:tc>
          <w:tcPr>
            <w:tcW w:w="741" w:type="dxa"/>
            <w:tcBorders>
              <w:top w:val="nil"/>
              <w:left w:val="nil"/>
              <w:bottom w:val="single" w:color="auto" w:sz="4" w:space="0"/>
              <w:right w:val="single" w:color="auto" w:sz="4" w:space="0"/>
            </w:tcBorders>
            <w:vAlign w:val="center"/>
          </w:tcPr>
          <w:p>
            <w:pPr>
              <w:widowControl/>
              <w:spacing w:line="360" w:lineRule="auto"/>
              <w:jc w:val="center"/>
              <w:rPr>
                <w:rFonts w:hint="eastAsia" w:ascii="宋体"/>
                <w:kern w:val="0"/>
                <w:szCs w:val="21"/>
              </w:rPr>
            </w:pPr>
            <w:r>
              <w:rPr>
                <w:rFonts w:hint="eastAsia" w:ascii="宋体"/>
                <w:kern w:val="0"/>
                <w:szCs w:val="21"/>
              </w:rPr>
              <w:t>6</w:t>
            </w:r>
          </w:p>
        </w:tc>
        <w:tc>
          <w:tcPr>
            <w:tcW w:w="1161" w:type="dxa"/>
            <w:tcBorders>
              <w:top w:val="nil"/>
              <w:left w:val="nil"/>
              <w:bottom w:val="single" w:color="auto" w:sz="4" w:space="0"/>
              <w:right w:val="single" w:color="auto" w:sz="4" w:space="0"/>
            </w:tcBorders>
            <w:vAlign w:val="center"/>
          </w:tcPr>
          <w:p>
            <w:pPr>
              <w:widowControl/>
              <w:jc w:val="center"/>
              <w:rPr>
                <w:rFonts w:hint="eastAsia" w:ascii="宋体"/>
                <w:color w:val="000000"/>
                <w:kern w:val="0"/>
                <w:szCs w:val="21"/>
              </w:rPr>
            </w:pPr>
          </w:p>
        </w:tc>
        <w:tc>
          <w:tcPr>
            <w:tcW w:w="1549" w:type="dxa"/>
            <w:tcBorders>
              <w:top w:val="nil"/>
              <w:left w:val="nil"/>
              <w:bottom w:val="single" w:color="auto" w:sz="4" w:space="0"/>
              <w:right w:val="single" w:color="auto" w:sz="4" w:space="0"/>
            </w:tcBorders>
            <w:vAlign w:val="center"/>
          </w:tcPr>
          <w:p>
            <w:pPr>
              <w:widowControl/>
              <w:jc w:val="center"/>
              <w:rPr>
                <w:rFonts w:hint="eastAsia" w:ascii="宋体"/>
                <w:color w:val="000000"/>
                <w:kern w:val="0"/>
                <w:szCs w:val="21"/>
              </w:rPr>
            </w:pPr>
          </w:p>
        </w:tc>
      </w:tr>
    </w:tbl>
    <w:p>
      <w:pPr>
        <w:adjustRightInd w:val="0"/>
        <w:snapToGrid w:val="0"/>
        <w:spacing w:line="360" w:lineRule="auto"/>
        <w:rPr>
          <w:rFonts w:hint="eastAsia" w:ascii="宋体"/>
          <w:b/>
          <w:color w:val="000000"/>
          <w:sz w:val="24"/>
          <w:szCs w:val="21"/>
        </w:rPr>
      </w:pPr>
    </w:p>
    <w:p>
      <w:pPr>
        <w:spacing w:before="312" w:beforeLines="100"/>
        <w:jc w:val="center"/>
        <w:rPr>
          <w:rFonts w:hint="eastAsia" w:ascii="宋体" w:hAnsi="宋体"/>
          <w:b/>
          <w:sz w:val="28"/>
          <w:szCs w:val="28"/>
        </w:rPr>
      </w:pPr>
      <w:r>
        <w:rPr>
          <w:rFonts w:hint="eastAsia" w:ascii="宋体" w:hAnsi="宋体"/>
          <w:b/>
          <w:sz w:val="28"/>
          <w:szCs w:val="28"/>
        </w:rPr>
        <w:t>（2）分项报价表</w:t>
      </w:r>
    </w:p>
    <w:tbl>
      <w:tblPr>
        <w:tblStyle w:val="3"/>
        <w:tblpPr w:leftFromText="180" w:rightFromText="180" w:vertAnchor="text" w:horzAnchor="margin" w:tblpXSpec="center" w:tblpY="158"/>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115"/>
        <w:gridCol w:w="567"/>
        <w:gridCol w:w="709"/>
        <w:gridCol w:w="992"/>
        <w:gridCol w:w="709"/>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5" w:hRule="atLeast"/>
        </w:trPr>
        <w:tc>
          <w:tcPr>
            <w:tcW w:w="828" w:type="dxa"/>
            <w:vAlign w:val="center"/>
          </w:tcPr>
          <w:p>
            <w:pPr>
              <w:jc w:val="center"/>
              <w:rPr>
                <w:rFonts w:hint="eastAsia" w:ascii="宋体" w:hAnsi="宋体"/>
                <w:b/>
                <w:sz w:val="24"/>
              </w:rPr>
            </w:pPr>
            <w:r>
              <w:rPr>
                <w:rFonts w:hint="eastAsia" w:ascii="宋体" w:hAnsi="宋体"/>
                <w:b/>
                <w:sz w:val="24"/>
              </w:rPr>
              <w:t>序号</w:t>
            </w:r>
          </w:p>
        </w:tc>
        <w:tc>
          <w:tcPr>
            <w:tcW w:w="2115" w:type="dxa"/>
            <w:vAlign w:val="center"/>
          </w:tcPr>
          <w:p>
            <w:pPr>
              <w:jc w:val="center"/>
              <w:rPr>
                <w:rFonts w:hint="eastAsia" w:ascii="宋体" w:hAnsi="宋体"/>
                <w:b/>
                <w:sz w:val="24"/>
              </w:rPr>
            </w:pPr>
            <w:r>
              <w:rPr>
                <w:rFonts w:hint="eastAsia" w:ascii="宋体" w:hAnsi="宋体"/>
                <w:b/>
                <w:sz w:val="24"/>
              </w:rPr>
              <w:t>名　称</w:t>
            </w:r>
          </w:p>
        </w:tc>
        <w:tc>
          <w:tcPr>
            <w:tcW w:w="567" w:type="dxa"/>
            <w:vAlign w:val="center"/>
          </w:tcPr>
          <w:p>
            <w:pPr>
              <w:jc w:val="center"/>
              <w:rPr>
                <w:rFonts w:hint="eastAsia" w:ascii="宋体" w:hAnsi="宋体"/>
                <w:b/>
                <w:sz w:val="24"/>
              </w:rPr>
            </w:pPr>
            <w:r>
              <w:rPr>
                <w:rFonts w:hint="eastAsia" w:ascii="宋体" w:hAnsi="宋体"/>
                <w:b/>
                <w:sz w:val="24"/>
              </w:rPr>
              <w:t>单位</w:t>
            </w:r>
          </w:p>
        </w:tc>
        <w:tc>
          <w:tcPr>
            <w:tcW w:w="709" w:type="dxa"/>
            <w:vAlign w:val="center"/>
          </w:tcPr>
          <w:p>
            <w:pPr>
              <w:jc w:val="center"/>
              <w:rPr>
                <w:rFonts w:hint="eastAsia" w:ascii="宋体" w:hAnsi="宋体"/>
                <w:b/>
                <w:sz w:val="24"/>
              </w:rPr>
            </w:pPr>
            <w:r>
              <w:rPr>
                <w:rFonts w:hint="eastAsia" w:ascii="宋体" w:hAnsi="宋体"/>
                <w:b/>
                <w:sz w:val="24"/>
              </w:rPr>
              <w:t>数量</w:t>
            </w:r>
          </w:p>
        </w:tc>
        <w:tc>
          <w:tcPr>
            <w:tcW w:w="992" w:type="dxa"/>
            <w:vAlign w:val="center"/>
          </w:tcPr>
          <w:p>
            <w:pPr>
              <w:jc w:val="center"/>
              <w:rPr>
                <w:rFonts w:hint="eastAsia" w:ascii="宋体" w:hAnsi="宋体"/>
                <w:b/>
                <w:sz w:val="24"/>
              </w:rPr>
            </w:pPr>
            <w:r>
              <w:rPr>
                <w:rFonts w:hint="eastAsia" w:ascii="宋体" w:hAnsi="宋体"/>
                <w:b/>
                <w:sz w:val="24"/>
              </w:rPr>
              <w:t>单价（元）</w:t>
            </w:r>
          </w:p>
        </w:tc>
        <w:tc>
          <w:tcPr>
            <w:tcW w:w="709" w:type="dxa"/>
            <w:vAlign w:val="center"/>
          </w:tcPr>
          <w:p>
            <w:pPr>
              <w:jc w:val="center"/>
              <w:rPr>
                <w:rFonts w:hint="eastAsia" w:ascii="宋体" w:hAnsi="宋体"/>
                <w:b/>
                <w:sz w:val="24"/>
              </w:rPr>
            </w:pPr>
            <w:r>
              <w:rPr>
                <w:rFonts w:hint="eastAsia" w:ascii="宋体" w:hAnsi="宋体"/>
                <w:b/>
                <w:sz w:val="24"/>
              </w:rPr>
              <w:t>总计</w:t>
            </w:r>
          </w:p>
        </w:tc>
        <w:tc>
          <w:tcPr>
            <w:tcW w:w="1276" w:type="dxa"/>
            <w:vAlign w:val="center"/>
          </w:tcPr>
          <w:p>
            <w:pPr>
              <w:jc w:val="center"/>
              <w:rPr>
                <w:rFonts w:hint="eastAsia" w:ascii="宋体" w:hAnsi="宋体"/>
                <w:b/>
                <w:sz w:val="24"/>
              </w:rPr>
            </w:pPr>
            <w:r>
              <w:rPr>
                <w:rFonts w:hint="eastAsia" w:ascii="宋体" w:hAnsi="宋体"/>
                <w:b/>
                <w:sz w:val="24"/>
              </w:rPr>
              <w:t>重要程度</w:t>
            </w:r>
          </w:p>
        </w:tc>
        <w:tc>
          <w:tcPr>
            <w:tcW w:w="1276" w:type="dxa"/>
            <w:vAlign w:val="center"/>
          </w:tcPr>
          <w:p>
            <w:pPr>
              <w:jc w:val="center"/>
              <w:rPr>
                <w:rFonts w:hint="eastAsia" w:ascii="宋体" w:hAnsi="宋体"/>
                <w:b/>
                <w:sz w:val="24"/>
              </w:rPr>
            </w:pPr>
            <w:r>
              <w:rPr>
                <w:rFonts w:hint="eastAsia" w:ascii="宋体" w:hAnsi="宋体"/>
                <w:b/>
                <w:sz w:val="24"/>
              </w:rPr>
              <w:t>易损等级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8" w:type="dxa"/>
            <w:vAlign w:val="center"/>
          </w:tcPr>
          <w:p>
            <w:pPr>
              <w:jc w:val="center"/>
              <w:rPr>
                <w:rFonts w:hint="eastAsia" w:ascii="宋体" w:hAnsi="宋体"/>
                <w:szCs w:val="21"/>
              </w:rPr>
            </w:pPr>
            <w:r>
              <w:rPr>
                <w:rFonts w:hint="eastAsia" w:ascii="宋体" w:hAnsi="宋体"/>
                <w:szCs w:val="21"/>
              </w:rPr>
              <w:t>1</w:t>
            </w:r>
          </w:p>
        </w:tc>
        <w:tc>
          <w:tcPr>
            <w:tcW w:w="2115" w:type="dxa"/>
            <w:vAlign w:val="center"/>
          </w:tcPr>
          <w:p>
            <w:pPr>
              <w:jc w:val="center"/>
              <w:rPr>
                <w:rFonts w:hint="eastAsia" w:ascii="宋体" w:hAnsi="宋体"/>
                <w:szCs w:val="21"/>
              </w:rPr>
            </w:pPr>
            <w:r>
              <w:rPr>
                <w:rFonts w:hint="eastAsia" w:ascii="宋体" w:hAnsi="宋体"/>
                <w:szCs w:val="21"/>
              </w:rPr>
              <w:t>工业空调</w:t>
            </w:r>
          </w:p>
        </w:tc>
        <w:tc>
          <w:tcPr>
            <w:tcW w:w="567" w:type="dxa"/>
            <w:vAlign w:val="center"/>
          </w:tcPr>
          <w:p>
            <w:pPr>
              <w:jc w:val="center"/>
              <w:rPr>
                <w:rFonts w:hint="eastAsia" w:ascii="宋体" w:hAnsi="宋体"/>
                <w:szCs w:val="21"/>
              </w:rPr>
            </w:pPr>
            <w:r>
              <w:rPr>
                <w:rFonts w:hint="eastAsia" w:ascii="宋体" w:hAnsi="宋体"/>
                <w:szCs w:val="21"/>
              </w:rPr>
              <w:t>台</w:t>
            </w:r>
          </w:p>
        </w:tc>
        <w:tc>
          <w:tcPr>
            <w:tcW w:w="709" w:type="dxa"/>
            <w:vAlign w:val="center"/>
          </w:tcPr>
          <w:p>
            <w:pPr>
              <w:jc w:val="center"/>
              <w:rPr>
                <w:rFonts w:hint="eastAsia" w:ascii="宋体" w:hAnsi="宋体"/>
                <w:szCs w:val="21"/>
              </w:rPr>
            </w:pPr>
            <w:r>
              <w:rPr>
                <w:rFonts w:hint="eastAsia" w:ascii="宋体" w:hAnsi="宋体"/>
                <w:szCs w:val="21"/>
              </w:rPr>
              <w:t>1</w:t>
            </w:r>
          </w:p>
        </w:tc>
        <w:tc>
          <w:tcPr>
            <w:tcW w:w="992" w:type="dxa"/>
            <w:vAlign w:val="center"/>
          </w:tcPr>
          <w:p>
            <w:pPr>
              <w:jc w:val="center"/>
              <w:rPr>
                <w:rFonts w:hint="eastAsia" w:ascii="宋体" w:hAnsi="宋体"/>
                <w:szCs w:val="21"/>
              </w:rPr>
            </w:pPr>
          </w:p>
        </w:tc>
        <w:tc>
          <w:tcPr>
            <w:tcW w:w="709" w:type="dxa"/>
            <w:vAlign w:val="center"/>
          </w:tcPr>
          <w:p>
            <w:pPr>
              <w:jc w:val="center"/>
              <w:rPr>
                <w:rFonts w:hint="eastAsia" w:ascii="宋体" w:hAnsi="宋体"/>
                <w:szCs w:val="21"/>
              </w:rPr>
            </w:pPr>
          </w:p>
        </w:tc>
        <w:tc>
          <w:tcPr>
            <w:tcW w:w="1276" w:type="dxa"/>
            <w:vAlign w:val="center"/>
          </w:tcPr>
          <w:p>
            <w:pPr>
              <w:jc w:val="center"/>
              <w:rPr>
                <w:rFonts w:hint="eastAsia" w:ascii="宋体" w:hAnsi="宋体"/>
                <w:szCs w:val="21"/>
              </w:rPr>
            </w:pPr>
          </w:p>
        </w:tc>
        <w:tc>
          <w:tcPr>
            <w:tcW w:w="1276"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8" w:type="dxa"/>
            <w:vAlign w:val="center"/>
          </w:tcPr>
          <w:p>
            <w:pPr>
              <w:jc w:val="center"/>
              <w:rPr>
                <w:rFonts w:hint="eastAsia" w:ascii="宋体" w:hAnsi="宋体"/>
                <w:szCs w:val="21"/>
              </w:rPr>
            </w:pPr>
          </w:p>
        </w:tc>
        <w:tc>
          <w:tcPr>
            <w:tcW w:w="2115" w:type="dxa"/>
            <w:vAlign w:val="center"/>
          </w:tcPr>
          <w:p>
            <w:pPr>
              <w:jc w:val="center"/>
              <w:rPr>
                <w:rFonts w:hint="eastAsia" w:ascii="宋体" w:hAnsi="宋体"/>
                <w:szCs w:val="21"/>
              </w:rPr>
            </w:pPr>
            <w:r>
              <w:rPr>
                <w:rFonts w:hint="eastAsia" w:ascii="宋体" w:hAnsi="宋体"/>
                <w:szCs w:val="21"/>
              </w:rPr>
              <w:t>每台包括</w:t>
            </w:r>
          </w:p>
        </w:tc>
        <w:tc>
          <w:tcPr>
            <w:tcW w:w="567" w:type="dxa"/>
            <w:vAlign w:val="center"/>
          </w:tcPr>
          <w:p>
            <w:pPr>
              <w:jc w:val="center"/>
              <w:rPr>
                <w:rFonts w:hint="eastAsia" w:ascii="宋体" w:hAnsi="宋体"/>
                <w:szCs w:val="21"/>
              </w:rPr>
            </w:pPr>
          </w:p>
        </w:tc>
        <w:tc>
          <w:tcPr>
            <w:tcW w:w="709" w:type="dxa"/>
            <w:vAlign w:val="center"/>
          </w:tcPr>
          <w:p>
            <w:pPr>
              <w:jc w:val="center"/>
              <w:rPr>
                <w:rFonts w:hint="eastAsia" w:ascii="宋体" w:hAnsi="宋体"/>
                <w:szCs w:val="21"/>
              </w:rPr>
            </w:pPr>
          </w:p>
        </w:tc>
        <w:tc>
          <w:tcPr>
            <w:tcW w:w="992" w:type="dxa"/>
            <w:vAlign w:val="center"/>
          </w:tcPr>
          <w:p>
            <w:pPr>
              <w:jc w:val="center"/>
              <w:rPr>
                <w:rFonts w:hint="eastAsia" w:ascii="宋体" w:hAnsi="宋体"/>
                <w:szCs w:val="21"/>
              </w:rPr>
            </w:pPr>
          </w:p>
        </w:tc>
        <w:tc>
          <w:tcPr>
            <w:tcW w:w="709" w:type="dxa"/>
            <w:vAlign w:val="center"/>
          </w:tcPr>
          <w:p>
            <w:pPr>
              <w:jc w:val="center"/>
              <w:rPr>
                <w:rFonts w:hint="eastAsia" w:ascii="宋体" w:hAnsi="宋体"/>
                <w:szCs w:val="21"/>
              </w:rPr>
            </w:pPr>
          </w:p>
        </w:tc>
        <w:tc>
          <w:tcPr>
            <w:tcW w:w="1276" w:type="dxa"/>
            <w:vAlign w:val="center"/>
          </w:tcPr>
          <w:p>
            <w:pPr>
              <w:jc w:val="center"/>
              <w:rPr>
                <w:rFonts w:hint="eastAsia" w:ascii="宋体" w:hAnsi="宋体"/>
                <w:szCs w:val="21"/>
              </w:rPr>
            </w:pPr>
          </w:p>
        </w:tc>
        <w:tc>
          <w:tcPr>
            <w:tcW w:w="1276"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8" w:type="dxa"/>
            <w:vAlign w:val="center"/>
          </w:tcPr>
          <w:p>
            <w:pPr>
              <w:jc w:val="center"/>
              <w:rPr>
                <w:rFonts w:hint="eastAsia" w:ascii="宋体" w:hAnsi="宋体"/>
                <w:szCs w:val="21"/>
              </w:rPr>
            </w:pPr>
            <w:r>
              <w:rPr>
                <w:rFonts w:hint="eastAsia" w:ascii="宋体" w:hAnsi="宋体"/>
                <w:szCs w:val="21"/>
              </w:rPr>
              <w:t>1.1</w:t>
            </w:r>
          </w:p>
        </w:tc>
        <w:tc>
          <w:tcPr>
            <w:tcW w:w="2115" w:type="dxa"/>
            <w:vAlign w:val="center"/>
          </w:tcPr>
          <w:p>
            <w:pPr>
              <w:widowControl/>
              <w:jc w:val="center"/>
              <w:rPr>
                <w:rFonts w:hint="eastAsia" w:ascii="宋体" w:hAnsi="宋体"/>
                <w:szCs w:val="21"/>
              </w:rPr>
            </w:pPr>
            <w:r>
              <w:rPr>
                <w:rFonts w:hint="eastAsia" w:ascii="宋体" w:hAnsi="宋体" w:cs="宋体"/>
                <w:kern w:val="0"/>
                <w:szCs w:val="21"/>
              </w:rPr>
              <w:t>机房精密空调室内机</w:t>
            </w:r>
          </w:p>
        </w:tc>
        <w:tc>
          <w:tcPr>
            <w:tcW w:w="567" w:type="dxa"/>
            <w:vAlign w:val="center"/>
          </w:tcPr>
          <w:p>
            <w:pPr>
              <w:widowControl/>
              <w:jc w:val="center"/>
              <w:rPr>
                <w:rFonts w:hint="eastAsia" w:ascii="宋体" w:hAnsi="宋体"/>
                <w:szCs w:val="21"/>
              </w:rPr>
            </w:pPr>
            <w:r>
              <w:rPr>
                <w:rFonts w:hint="eastAsia" w:ascii="宋体" w:hAnsi="宋体" w:cs="宋体"/>
                <w:kern w:val="0"/>
                <w:szCs w:val="21"/>
              </w:rPr>
              <w:t>台</w:t>
            </w:r>
          </w:p>
        </w:tc>
        <w:tc>
          <w:tcPr>
            <w:tcW w:w="709" w:type="dxa"/>
            <w:vAlign w:val="center"/>
          </w:tcPr>
          <w:p>
            <w:pPr>
              <w:widowControl/>
              <w:jc w:val="center"/>
              <w:rPr>
                <w:rFonts w:hint="eastAsia" w:ascii="宋体" w:hAnsi="宋体"/>
                <w:szCs w:val="21"/>
              </w:rPr>
            </w:pPr>
            <w:r>
              <w:rPr>
                <w:rFonts w:hint="eastAsia" w:ascii="宋体" w:hAnsi="宋体" w:cs="宋体"/>
                <w:kern w:val="0"/>
                <w:szCs w:val="21"/>
              </w:rPr>
              <w:t>1</w:t>
            </w:r>
          </w:p>
        </w:tc>
        <w:tc>
          <w:tcPr>
            <w:tcW w:w="992" w:type="dxa"/>
            <w:vAlign w:val="center"/>
          </w:tcPr>
          <w:p>
            <w:pPr>
              <w:widowControl/>
              <w:jc w:val="center"/>
              <w:rPr>
                <w:rFonts w:hint="eastAsia" w:ascii="宋体" w:hAnsi="宋体"/>
                <w:szCs w:val="21"/>
              </w:rPr>
            </w:pPr>
          </w:p>
        </w:tc>
        <w:tc>
          <w:tcPr>
            <w:tcW w:w="709" w:type="dxa"/>
            <w:vAlign w:val="center"/>
          </w:tcPr>
          <w:p>
            <w:pPr>
              <w:jc w:val="center"/>
              <w:rPr>
                <w:rFonts w:hint="eastAsia" w:ascii="宋体" w:hAnsi="宋体"/>
                <w:szCs w:val="21"/>
              </w:rPr>
            </w:pPr>
          </w:p>
        </w:tc>
        <w:tc>
          <w:tcPr>
            <w:tcW w:w="1276" w:type="dxa"/>
            <w:vAlign w:val="top"/>
          </w:tcPr>
          <w:p>
            <w:pPr>
              <w:jc w:val="center"/>
              <w:rPr>
                <w:rFonts w:hint="eastAsia" w:ascii="宋体" w:hAnsi="宋体"/>
                <w:szCs w:val="21"/>
              </w:rPr>
            </w:pPr>
          </w:p>
        </w:tc>
        <w:tc>
          <w:tcPr>
            <w:tcW w:w="1276" w:type="dxa"/>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8" w:type="dxa"/>
            <w:vAlign w:val="center"/>
          </w:tcPr>
          <w:p>
            <w:pPr>
              <w:jc w:val="center"/>
              <w:rPr>
                <w:rFonts w:hint="eastAsia" w:ascii="宋体" w:hAnsi="宋体"/>
                <w:szCs w:val="21"/>
              </w:rPr>
            </w:pPr>
            <w:r>
              <w:rPr>
                <w:rFonts w:hint="eastAsia" w:ascii="宋体" w:hAnsi="宋体"/>
                <w:szCs w:val="21"/>
              </w:rPr>
              <w:t>1.2</w:t>
            </w:r>
          </w:p>
        </w:tc>
        <w:tc>
          <w:tcPr>
            <w:tcW w:w="2115" w:type="dxa"/>
            <w:vAlign w:val="center"/>
          </w:tcPr>
          <w:p>
            <w:pPr>
              <w:widowControl/>
              <w:jc w:val="center"/>
              <w:rPr>
                <w:rFonts w:hint="eastAsia" w:ascii="宋体" w:hAnsi="宋体"/>
                <w:szCs w:val="21"/>
              </w:rPr>
            </w:pPr>
            <w:r>
              <w:rPr>
                <w:rFonts w:hint="eastAsia" w:ascii="宋体" w:hAnsi="宋体" w:cs="宋体"/>
                <w:kern w:val="0"/>
                <w:szCs w:val="21"/>
              </w:rPr>
              <w:t>机房精密空调室外机</w:t>
            </w:r>
          </w:p>
        </w:tc>
        <w:tc>
          <w:tcPr>
            <w:tcW w:w="567" w:type="dxa"/>
            <w:vAlign w:val="center"/>
          </w:tcPr>
          <w:p>
            <w:pPr>
              <w:widowControl/>
              <w:jc w:val="center"/>
              <w:rPr>
                <w:rFonts w:hint="eastAsia" w:ascii="宋体" w:hAnsi="宋体"/>
                <w:szCs w:val="21"/>
              </w:rPr>
            </w:pPr>
            <w:r>
              <w:rPr>
                <w:rFonts w:hint="eastAsia" w:ascii="宋体" w:hAnsi="宋体" w:cs="宋体"/>
                <w:kern w:val="0"/>
                <w:szCs w:val="21"/>
              </w:rPr>
              <w:t>台</w:t>
            </w:r>
          </w:p>
        </w:tc>
        <w:tc>
          <w:tcPr>
            <w:tcW w:w="709" w:type="dxa"/>
            <w:vAlign w:val="center"/>
          </w:tcPr>
          <w:p>
            <w:pPr>
              <w:widowControl/>
              <w:jc w:val="center"/>
              <w:rPr>
                <w:rFonts w:hint="eastAsia" w:ascii="宋体" w:hAnsi="宋体"/>
                <w:szCs w:val="21"/>
              </w:rPr>
            </w:pPr>
            <w:r>
              <w:rPr>
                <w:rFonts w:hint="eastAsia" w:ascii="宋体" w:hAnsi="宋体" w:cs="宋体"/>
                <w:kern w:val="0"/>
                <w:szCs w:val="21"/>
              </w:rPr>
              <w:t>1</w:t>
            </w:r>
          </w:p>
        </w:tc>
        <w:tc>
          <w:tcPr>
            <w:tcW w:w="992" w:type="dxa"/>
            <w:vAlign w:val="center"/>
          </w:tcPr>
          <w:p>
            <w:pPr>
              <w:widowControl/>
              <w:jc w:val="center"/>
              <w:rPr>
                <w:rFonts w:hint="eastAsia" w:ascii="宋体" w:hAnsi="宋体"/>
                <w:szCs w:val="21"/>
              </w:rPr>
            </w:pPr>
          </w:p>
        </w:tc>
        <w:tc>
          <w:tcPr>
            <w:tcW w:w="709" w:type="dxa"/>
            <w:vAlign w:val="center"/>
          </w:tcPr>
          <w:p>
            <w:pPr>
              <w:jc w:val="center"/>
              <w:rPr>
                <w:rFonts w:hint="eastAsia" w:ascii="宋体" w:hAnsi="宋体"/>
                <w:szCs w:val="21"/>
              </w:rPr>
            </w:pPr>
          </w:p>
        </w:tc>
        <w:tc>
          <w:tcPr>
            <w:tcW w:w="1276" w:type="dxa"/>
            <w:vAlign w:val="top"/>
          </w:tcPr>
          <w:p>
            <w:pPr>
              <w:jc w:val="center"/>
              <w:rPr>
                <w:rFonts w:hint="eastAsia" w:ascii="宋体" w:hAnsi="宋体"/>
                <w:szCs w:val="21"/>
              </w:rPr>
            </w:pPr>
          </w:p>
        </w:tc>
        <w:tc>
          <w:tcPr>
            <w:tcW w:w="1276" w:type="dxa"/>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828" w:type="dxa"/>
            <w:vAlign w:val="center"/>
          </w:tcPr>
          <w:p>
            <w:pPr>
              <w:jc w:val="center"/>
              <w:rPr>
                <w:rFonts w:hint="eastAsia" w:ascii="宋体" w:hAnsi="宋体"/>
                <w:szCs w:val="21"/>
              </w:rPr>
            </w:pPr>
            <w:r>
              <w:rPr>
                <w:rFonts w:hint="eastAsia" w:ascii="宋体" w:hAnsi="宋体"/>
                <w:szCs w:val="21"/>
              </w:rPr>
              <w:t>1.3</w:t>
            </w:r>
          </w:p>
        </w:tc>
        <w:tc>
          <w:tcPr>
            <w:tcW w:w="2115" w:type="dxa"/>
            <w:vAlign w:val="center"/>
          </w:tcPr>
          <w:p>
            <w:pPr>
              <w:jc w:val="center"/>
              <w:rPr>
                <w:rFonts w:hint="eastAsia" w:ascii="宋体" w:hAnsi="宋体"/>
                <w:szCs w:val="21"/>
              </w:rPr>
            </w:pPr>
            <w:r>
              <w:rPr>
                <w:rFonts w:hint="eastAsia" w:ascii="宋体" w:hAnsi="宋体"/>
                <w:szCs w:val="21"/>
              </w:rPr>
              <w:t>低温启动组件</w:t>
            </w:r>
          </w:p>
        </w:tc>
        <w:tc>
          <w:tcPr>
            <w:tcW w:w="567" w:type="dxa"/>
            <w:vAlign w:val="center"/>
          </w:tcPr>
          <w:p>
            <w:pPr>
              <w:jc w:val="center"/>
              <w:rPr>
                <w:rFonts w:hint="eastAsia" w:ascii="宋体" w:hAnsi="宋体"/>
                <w:szCs w:val="21"/>
              </w:rPr>
            </w:pPr>
            <w:r>
              <w:rPr>
                <w:rFonts w:hint="eastAsia" w:ascii="宋体" w:hAnsi="宋体"/>
                <w:szCs w:val="21"/>
              </w:rPr>
              <w:t>个</w:t>
            </w:r>
          </w:p>
        </w:tc>
        <w:tc>
          <w:tcPr>
            <w:tcW w:w="709" w:type="dxa"/>
            <w:vAlign w:val="center"/>
          </w:tcPr>
          <w:p>
            <w:pPr>
              <w:jc w:val="center"/>
              <w:rPr>
                <w:rFonts w:hint="eastAsia" w:ascii="宋体" w:hAnsi="宋体"/>
                <w:szCs w:val="21"/>
              </w:rPr>
            </w:pPr>
            <w:r>
              <w:rPr>
                <w:rFonts w:hint="eastAsia" w:ascii="宋体" w:hAnsi="宋体"/>
                <w:szCs w:val="21"/>
              </w:rPr>
              <w:t>1</w:t>
            </w:r>
          </w:p>
        </w:tc>
        <w:tc>
          <w:tcPr>
            <w:tcW w:w="992" w:type="dxa"/>
            <w:vAlign w:val="center"/>
          </w:tcPr>
          <w:p>
            <w:pPr>
              <w:jc w:val="center"/>
              <w:rPr>
                <w:rFonts w:hint="eastAsia" w:ascii="宋体" w:hAnsi="宋体"/>
                <w:szCs w:val="21"/>
              </w:rPr>
            </w:pPr>
          </w:p>
        </w:tc>
        <w:tc>
          <w:tcPr>
            <w:tcW w:w="709" w:type="dxa"/>
            <w:vAlign w:val="center"/>
          </w:tcPr>
          <w:p>
            <w:pPr>
              <w:jc w:val="center"/>
              <w:rPr>
                <w:rFonts w:hint="eastAsia" w:ascii="宋体" w:hAnsi="宋体"/>
                <w:szCs w:val="21"/>
              </w:rPr>
            </w:pPr>
          </w:p>
        </w:tc>
        <w:tc>
          <w:tcPr>
            <w:tcW w:w="1276" w:type="dxa"/>
            <w:vAlign w:val="top"/>
          </w:tcPr>
          <w:p>
            <w:pPr>
              <w:jc w:val="center"/>
              <w:rPr>
                <w:rFonts w:hint="eastAsia" w:ascii="宋体" w:hAnsi="宋体"/>
                <w:szCs w:val="21"/>
              </w:rPr>
            </w:pPr>
          </w:p>
        </w:tc>
        <w:tc>
          <w:tcPr>
            <w:tcW w:w="1276" w:type="dxa"/>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828" w:type="dxa"/>
            <w:vAlign w:val="center"/>
          </w:tcPr>
          <w:p>
            <w:pPr>
              <w:jc w:val="center"/>
              <w:rPr>
                <w:rFonts w:hint="eastAsia" w:ascii="宋体" w:hAnsi="宋体"/>
                <w:szCs w:val="21"/>
              </w:rPr>
            </w:pPr>
            <w:r>
              <w:rPr>
                <w:rFonts w:hint="eastAsia" w:ascii="宋体" w:hAnsi="宋体"/>
                <w:szCs w:val="21"/>
              </w:rPr>
              <w:t>1.4</w:t>
            </w:r>
          </w:p>
        </w:tc>
        <w:tc>
          <w:tcPr>
            <w:tcW w:w="2115" w:type="dxa"/>
            <w:vAlign w:val="center"/>
          </w:tcPr>
          <w:p>
            <w:pPr>
              <w:jc w:val="center"/>
              <w:rPr>
                <w:rFonts w:hint="eastAsia" w:ascii="宋体" w:hAnsi="宋体"/>
                <w:szCs w:val="21"/>
              </w:rPr>
            </w:pPr>
            <w:r>
              <w:rPr>
                <w:rFonts w:hint="eastAsia" w:ascii="宋体" w:hAnsi="宋体"/>
                <w:szCs w:val="21"/>
              </w:rPr>
              <w:t>上送风风帽</w:t>
            </w:r>
          </w:p>
        </w:tc>
        <w:tc>
          <w:tcPr>
            <w:tcW w:w="567" w:type="dxa"/>
            <w:vAlign w:val="center"/>
          </w:tcPr>
          <w:p>
            <w:pPr>
              <w:jc w:val="center"/>
              <w:rPr>
                <w:rFonts w:hint="eastAsia" w:ascii="宋体" w:hAnsi="宋体"/>
                <w:szCs w:val="21"/>
              </w:rPr>
            </w:pPr>
            <w:r>
              <w:rPr>
                <w:rFonts w:hint="eastAsia" w:ascii="宋体" w:hAnsi="宋体"/>
                <w:szCs w:val="21"/>
              </w:rPr>
              <w:t>个</w:t>
            </w:r>
          </w:p>
        </w:tc>
        <w:tc>
          <w:tcPr>
            <w:tcW w:w="709" w:type="dxa"/>
            <w:vAlign w:val="center"/>
          </w:tcPr>
          <w:p>
            <w:pPr>
              <w:jc w:val="center"/>
              <w:rPr>
                <w:rFonts w:hint="eastAsia" w:ascii="宋体" w:hAnsi="宋体"/>
                <w:szCs w:val="21"/>
              </w:rPr>
            </w:pPr>
            <w:r>
              <w:rPr>
                <w:rFonts w:hint="eastAsia" w:ascii="宋体" w:hAnsi="宋体"/>
                <w:szCs w:val="21"/>
              </w:rPr>
              <w:t>1</w:t>
            </w:r>
          </w:p>
        </w:tc>
        <w:tc>
          <w:tcPr>
            <w:tcW w:w="992" w:type="dxa"/>
            <w:vAlign w:val="center"/>
          </w:tcPr>
          <w:p>
            <w:pPr>
              <w:jc w:val="center"/>
              <w:rPr>
                <w:rFonts w:hint="eastAsia" w:ascii="宋体" w:hAnsi="宋体"/>
                <w:szCs w:val="21"/>
              </w:rPr>
            </w:pPr>
          </w:p>
        </w:tc>
        <w:tc>
          <w:tcPr>
            <w:tcW w:w="709" w:type="dxa"/>
            <w:vAlign w:val="center"/>
          </w:tcPr>
          <w:p>
            <w:pPr>
              <w:jc w:val="center"/>
              <w:rPr>
                <w:rFonts w:hint="eastAsia" w:ascii="宋体" w:hAnsi="宋体"/>
                <w:szCs w:val="21"/>
              </w:rPr>
            </w:pPr>
          </w:p>
        </w:tc>
        <w:tc>
          <w:tcPr>
            <w:tcW w:w="1276" w:type="dxa"/>
            <w:vAlign w:val="top"/>
          </w:tcPr>
          <w:p>
            <w:pPr>
              <w:jc w:val="center"/>
              <w:rPr>
                <w:rFonts w:hint="eastAsia" w:ascii="宋体" w:hAnsi="宋体"/>
                <w:szCs w:val="21"/>
              </w:rPr>
            </w:pPr>
          </w:p>
        </w:tc>
        <w:tc>
          <w:tcPr>
            <w:tcW w:w="1276" w:type="dxa"/>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8" w:type="dxa"/>
            <w:vAlign w:val="center"/>
          </w:tcPr>
          <w:p>
            <w:pPr>
              <w:jc w:val="center"/>
              <w:rPr>
                <w:rFonts w:hint="eastAsia" w:ascii="宋体" w:hAnsi="宋体"/>
                <w:szCs w:val="21"/>
              </w:rPr>
            </w:pPr>
            <w:r>
              <w:rPr>
                <w:rFonts w:hint="eastAsia" w:ascii="宋体" w:hAnsi="宋体"/>
                <w:szCs w:val="21"/>
              </w:rPr>
              <w:t>1.5</w:t>
            </w:r>
          </w:p>
        </w:tc>
        <w:tc>
          <w:tcPr>
            <w:tcW w:w="2115" w:type="dxa"/>
            <w:vAlign w:val="center"/>
          </w:tcPr>
          <w:p>
            <w:pPr>
              <w:jc w:val="center"/>
              <w:rPr>
                <w:rFonts w:hint="eastAsia" w:ascii="宋体" w:hAnsi="宋体"/>
                <w:szCs w:val="21"/>
              </w:rPr>
            </w:pPr>
            <w:r>
              <w:rPr>
                <w:rFonts w:hint="eastAsia" w:ascii="宋体" w:hAnsi="宋体"/>
                <w:szCs w:val="21"/>
              </w:rPr>
              <w:t>第二级电子式再热器</w:t>
            </w:r>
          </w:p>
        </w:tc>
        <w:tc>
          <w:tcPr>
            <w:tcW w:w="567" w:type="dxa"/>
            <w:vAlign w:val="center"/>
          </w:tcPr>
          <w:p>
            <w:pPr>
              <w:jc w:val="center"/>
              <w:rPr>
                <w:rFonts w:hint="eastAsia" w:ascii="宋体" w:hAnsi="宋体"/>
                <w:szCs w:val="21"/>
              </w:rPr>
            </w:pPr>
            <w:r>
              <w:rPr>
                <w:rFonts w:hint="eastAsia" w:ascii="宋体" w:hAnsi="宋体"/>
                <w:szCs w:val="21"/>
              </w:rPr>
              <w:t>个</w:t>
            </w:r>
          </w:p>
        </w:tc>
        <w:tc>
          <w:tcPr>
            <w:tcW w:w="709" w:type="dxa"/>
            <w:vAlign w:val="center"/>
          </w:tcPr>
          <w:p>
            <w:pPr>
              <w:jc w:val="center"/>
              <w:rPr>
                <w:rFonts w:hint="eastAsia" w:ascii="宋体" w:hAnsi="宋体"/>
                <w:szCs w:val="21"/>
              </w:rPr>
            </w:pPr>
            <w:r>
              <w:rPr>
                <w:rFonts w:hint="eastAsia" w:ascii="宋体" w:hAnsi="宋体"/>
                <w:szCs w:val="21"/>
              </w:rPr>
              <w:t>1</w:t>
            </w:r>
          </w:p>
        </w:tc>
        <w:tc>
          <w:tcPr>
            <w:tcW w:w="992" w:type="dxa"/>
            <w:vAlign w:val="center"/>
          </w:tcPr>
          <w:p>
            <w:pPr>
              <w:jc w:val="center"/>
              <w:rPr>
                <w:rFonts w:hint="eastAsia" w:ascii="宋体" w:hAnsi="宋体"/>
                <w:szCs w:val="21"/>
              </w:rPr>
            </w:pPr>
          </w:p>
        </w:tc>
        <w:tc>
          <w:tcPr>
            <w:tcW w:w="709" w:type="dxa"/>
            <w:vAlign w:val="center"/>
          </w:tcPr>
          <w:p>
            <w:pPr>
              <w:jc w:val="center"/>
              <w:rPr>
                <w:rFonts w:hint="eastAsia" w:ascii="宋体" w:hAnsi="宋体"/>
                <w:szCs w:val="21"/>
              </w:rPr>
            </w:pPr>
          </w:p>
        </w:tc>
        <w:tc>
          <w:tcPr>
            <w:tcW w:w="1276" w:type="dxa"/>
            <w:vAlign w:val="top"/>
          </w:tcPr>
          <w:p>
            <w:pPr>
              <w:jc w:val="center"/>
              <w:rPr>
                <w:rFonts w:hint="eastAsia" w:ascii="宋体" w:hAnsi="宋体"/>
                <w:szCs w:val="21"/>
              </w:rPr>
            </w:pPr>
          </w:p>
        </w:tc>
        <w:tc>
          <w:tcPr>
            <w:tcW w:w="1276" w:type="dxa"/>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8" w:type="dxa"/>
            <w:vAlign w:val="center"/>
          </w:tcPr>
          <w:p>
            <w:pPr>
              <w:jc w:val="center"/>
              <w:rPr>
                <w:rFonts w:hint="eastAsia" w:ascii="宋体" w:hAnsi="宋体"/>
                <w:szCs w:val="21"/>
              </w:rPr>
            </w:pPr>
            <w:r>
              <w:rPr>
                <w:rFonts w:hint="eastAsia" w:ascii="宋体" w:hAnsi="宋体"/>
                <w:szCs w:val="21"/>
              </w:rPr>
              <w:t>1.6</w:t>
            </w:r>
          </w:p>
        </w:tc>
        <w:tc>
          <w:tcPr>
            <w:tcW w:w="2115" w:type="dxa"/>
            <w:vAlign w:val="center"/>
          </w:tcPr>
          <w:p>
            <w:pPr>
              <w:widowControl/>
              <w:jc w:val="center"/>
              <w:rPr>
                <w:rFonts w:hint="eastAsia" w:ascii="宋体" w:hAnsi="宋体"/>
                <w:szCs w:val="21"/>
              </w:rPr>
            </w:pPr>
            <w:r>
              <w:rPr>
                <w:rFonts w:hint="eastAsia" w:ascii="宋体" w:hAnsi="宋体" w:cs="宋体"/>
                <w:kern w:val="0"/>
                <w:szCs w:val="21"/>
              </w:rPr>
              <w:t>监控接口卡</w:t>
            </w:r>
          </w:p>
        </w:tc>
        <w:tc>
          <w:tcPr>
            <w:tcW w:w="567" w:type="dxa"/>
            <w:vAlign w:val="center"/>
          </w:tcPr>
          <w:p>
            <w:pPr>
              <w:widowControl/>
              <w:jc w:val="center"/>
              <w:rPr>
                <w:rFonts w:hint="eastAsia" w:ascii="宋体" w:hAnsi="宋体"/>
                <w:szCs w:val="21"/>
              </w:rPr>
            </w:pPr>
            <w:r>
              <w:rPr>
                <w:rFonts w:hint="eastAsia" w:ascii="宋体" w:hAnsi="宋体" w:cs="宋体"/>
                <w:kern w:val="0"/>
                <w:szCs w:val="21"/>
              </w:rPr>
              <w:t>个</w:t>
            </w:r>
          </w:p>
        </w:tc>
        <w:tc>
          <w:tcPr>
            <w:tcW w:w="709" w:type="dxa"/>
            <w:vAlign w:val="center"/>
          </w:tcPr>
          <w:p>
            <w:pPr>
              <w:widowControl/>
              <w:jc w:val="center"/>
              <w:rPr>
                <w:rFonts w:hint="eastAsia" w:ascii="宋体" w:hAnsi="宋体"/>
                <w:szCs w:val="21"/>
              </w:rPr>
            </w:pPr>
            <w:r>
              <w:rPr>
                <w:rFonts w:hint="eastAsia" w:ascii="宋体" w:hAnsi="宋体" w:cs="宋体"/>
                <w:kern w:val="0"/>
                <w:szCs w:val="21"/>
              </w:rPr>
              <w:t>1</w:t>
            </w:r>
          </w:p>
        </w:tc>
        <w:tc>
          <w:tcPr>
            <w:tcW w:w="992" w:type="dxa"/>
            <w:vAlign w:val="center"/>
          </w:tcPr>
          <w:p>
            <w:pPr>
              <w:widowControl/>
              <w:jc w:val="center"/>
              <w:rPr>
                <w:rFonts w:hint="eastAsia" w:ascii="宋体" w:hAnsi="宋体"/>
                <w:szCs w:val="21"/>
              </w:rPr>
            </w:pPr>
          </w:p>
        </w:tc>
        <w:tc>
          <w:tcPr>
            <w:tcW w:w="709" w:type="dxa"/>
            <w:vAlign w:val="center"/>
          </w:tcPr>
          <w:p>
            <w:pPr>
              <w:jc w:val="center"/>
              <w:rPr>
                <w:rFonts w:hint="eastAsia" w:ascii="宋体" w:hAnsi="宋体"/>
                <w:szCs w:val="21"/>
              </w:rPr>
            </w:pPr>
          </w:p>
        </w:tc>
        <w:tc>
          <w:tcPr>
            <w:tcW w:w="1276" w:type="dxa"/>
            <w:vAlign w:val="top"/>
          </w:tcPr>
          <w:p>
            <w:pPr>
              <w:jc w:val="center"/>
              <w:rPr>
                <w:rFonts w:hint="eastAsia" w:ascii="宋体" w:hAnsi="宋体"/>
                <w:szCs w:val="21"/>
              </w:rPr>
            </w:pPr>
          </w:p>
        </w:tc>
        <w:tc>
          <w:tcPr>
            <w:tcW w:w="1276" w:type="dxa"/>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8" w:type="dxa"/>
            <w:vAlign w:val="center"/>
          </w:tcPr>
          <w:p>
            <w:pPr>
              <w:jc w:val="center"/>
              <w:rPr>
                <w:rFonts w:hint="eastAsia" w:ascii="宋体" w:hAnsi="宋体"/>
                <w:szCs w:val="21"/>
              </w:rPr>
            </w:pPr>
            <w:r>
              <w:rPr>
                <w:rFonts w:hint="eastAsia" w:ascii="宋体" w:hAnsi="宋体"/>
                <w:szCs w:val="21"/>
              </w:rPr>
              <w:t>1.7</w:t>
            </w:r>
          </w:p>
        </w:tc>
        <w:tc>
          <w:tcPr>
            <w:tcW w:w="2115" w:type="dxa"/>
            <w:vAlign w:val="center"/>
          </w:tcPr>
          <w:p>
            <w:pPr>
              <w:widowControl/>
              <w:jc w:val="center"/>
              <w:rPr>
                <w:rFonts w:hint="eastAsia" w:ascii="宋体" w:hAnsi="宋体"/>
                <w:szCs w:val="21"/>
              </w:rPr>
            </w:pPr>
            <w:r>
              <w:rPr>
                <w:rFonts w:hint="eastAsia" w:ascii="宋体" w:hAnsi="宋体" w:cs="宋体"/>
                <w:kern w:val="0"/>
                <w:szCs w:val="21"/>
              </w:rPr>
              <w:t>安装材料</w:t>
            </w:r>
          </w:p>
        </w:tc>
        <w:tc>
          <w:tcPr>
            <w:tcW w:w="567" w:type="dxa"/>
            <w:vAlign w:val="center"/>
          </w:tcPr>
          <w:p>
            <w:pPr>
              <w:widowControl/>
              <w:jc w:val="center"/>
              <w:rPr>
                <w:rFonts w:hint="eastAsia" w:ascii="宋体" w:hAnsi="宋体"/>
                <w:szCs w:val="21"/>
              </w:rPr>
            </w:pPr>
            <w:r>
              <w:rPr>
                <w:rFonts w:hint="eastAsia" w:ascii="宋体" w:hAnsi="宋体" w:cs="宋体"/>
                <w:kern w:val="0"/>
                <w:szCs w:val="21"/>
              </w:rPr>
              <w:t>套</w:t>
            </w:r>
          </w:p>
        </w:tc>
        <w:tc>
          <w:tcPr>
            <w:tcW w:w="709" w:type="dxa"/>
            <w:vAlign w:val="center"/>
          </w:tcPr>
          <w:p>
            <w:pPr>
              <w:widowControl/>
              <w:jc w:val="center"/>
              <w:rPr>
                <w:rFonts w:hint="eastAsia" w:ascii="宋体" w:hAnsi="宋体"/>
                <w:szCs w:val="21"/>
              </w:rPr>
            </w:pPr>
            <w:r>
              <w:rPr>
                <w:rFonts w:hint="eastAsia" w:ascii="宋体" w:hAnsi="宋体" w:cs="宋体"/>
                <w:kern w:val="0"/>
                <w:szCs w:val="21"/>
              </w:rPr>
              <w:t>1</w:t>
            </w:r>
          </w:p>
        </w:tc>
        <w:tc>
          <w:tcPr>
            <w:tcW w:w="992" w:type="dxa"/>
            <w:vAlign w:val="center"/>
          </w:tcPr>
          <w:p>
            <w:pPr>
              <w:widowControl/>
              <w:jc w:val="center"/>
              <w:rPr>
                <w:rFonts w:hint="eastAsia" w:ascii="宋体" w:hAnsi="宋体"/>
                <w:szCs w:val="21"/>
              </w:rPr>
            </w:pPr>
          </w:p>
        </w:tc>
        <w:tc>
          <w:tcPr>
            <w:tcW w:w="709" w:type="dxa"/>
            <w:vAlign w:val="center"/>
          </w:tcPr>
          <w:p>
            <w:pPr>
              <w:jc w:val="center"/>
              <w:rPr>
                <w:rFonts w:hint="eastAsia" w:ascii="宋体" w:hAnsi="宋体"/>
                <w:szCs w:val="21"/>
              </w:rPr>
            </w:pPr>
          </w:p>
        </w:tc>
        <w:tc>
          <w:tcPr>
            <w:tcW w:w="1276" w:type="dxa"/>
            <w:vAlign w:val="top"/>
          </w:tcPr>
          <w:p>
            <w:pPr>
              <w:jc w:val="center"/>
              <w:rPr>
                <w:rFonts w:hint="eastAsia" w:ascii="宋体" w:hAnsi="宋体"/>
                <w:szCs w:val="21"/>
              </w:rPr>
            </w:pPr>
          </w:p>
        </w:tc>
        <w:tc>
          <w:tcPr>
            <w:tcW w:w="1276" w:type="dxa"/>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8" w:type="dxa"/>
            <w:vAlign w:val="center"/>
          </w:tcPr>
          <w:p>
            <w:pPr>
              <w:jc w:val="center"/>
              <w:rPr>
                <w:rFonts w:hint="eastAsia" w:ascii="宋体" w:hAnsi="宋体"/>
                <w:szCs w:val="21"/>
              </w:rPr>
            </w:pPr>
            <w:r>
              <w:rPr>
                <w:rFonts w:hint="eastAsia" w:ascii="宋体" w:hAnsi="宋体"/>
                <w:szCs w:val="21"/>
              </w:rPr>
              <w:t>1.8</w:t>
            </w:r>
          </w:p>
        </w:tc>
        <w:tc>
          <w:tcPr>
            <w:tcW w:w="2115" w:type="dxa"/>
            <w:vAlign w:val="center"/>
          </w:tcPr>
          <w:p>
            <w:pPr>
              <w:widowControl/>
              <w:jc w:val="center"/>
              <w:rPr>
                <w:rFonts w:hint="eastAsia" w:ascii="宋体" w:hAnsi="宋体" w:cs="宋体"/>
                <w:kern w:val="0"/>
                <w:szCs w:val="21"/>
              </w:rPr>
            </w:pPr>
            <w:r>
              <w:rPr>
                <w:rFonts w:hint="eastAsia" w:ascii="宋体" w:hAnsi="宋体" w:cs="宋体"/>
                <w:kern w:val="0"/>
                <w:szCs w:val="21"/>
              </w:rPr>
              <w:t>其它</w:t>
            </w:r>
          </w:p>
        </w:tc>
        <w:tc>
          <w:tcPr>
            <w:tcW w:w="567" w:type="dxa"/>
            <w:vAlign w:val="center"/>
          </w:tcPr>
          <w:p>
            <w:pPr>
              <w:widowControl/>
              <w:jc w:val="center"/>
              <w:rPr>
                <w:rFonts w:hint="eastAsia" w:ascii="宋体" w:hAnsi="宋体" w:cs="宋体"/>
                <w:kern w:val="0"/>
                <w:szCs w:val="21"/>
              </w:rPr>
            </w:pPr>
            <w:r>
              <w:rPr>
                <w:rFonts w:hint="eastAsia" w:ascii="宋体" w:hAnsi="宋体" w:cs="宋体"/>
                <w:kern w:val="0"/>
                <w:szCs w:val="21"/>
              </w:rPr>
              <w:t>套</w:t>
            </w:r>
          </w:p>
        </w:tc>
        <w:tc>
          <w:tcPr>
            <w:tcW w:w="709" w:type="dxa"/>
            <w:vAlign w:val="center"/>
          </w:tcPr>
          <w:p>
            <w:pPr>
              <w:widowControl/>
              <w:jc w:val="center"/>
              <w:rPr>
                <w:rFonts w:hint="eastAsia" w:ascii="宋体" w:hAnsi="宋体" w:cs="宋体"/>
                <w:kern w:val="0"/>
                <w:szCs w:val="21"/>
              </w:rPr>
            </w:pPr>
            <w:r>
              <w:rPr>
                <w:rFonts w:hint="eastAsia" w:ascii="宋体" w:hAnsi="宋体" w:cs="宋体"/>
                <w:kern w:val="0"/>
                <w:szCs w:val="21"/>
              </w:rPr>
              <w:t>1</w:t>
            </w:r>
          </w:p>
        </w:tc>
        <w:tc>
          <w:tcPr>
            <w:tcW w:w="992" w:type="dxa"/>
            <w:vAlign w:val="center"/>
          </w:tcPr>
          <w:p>
            <w:pPr>
              <w:widowControl/>
              <w:jc w:val="center"/>
              <w:rPr>
                <w:rFonts w:hint="eastAsia" w:ascii="宋体" w:hAnsi="宋体"/>
                <w:szCs w:val="21"/>
              </w:rPr>
            </w:pPr>
          </w:p>
        </w:tc>
        <w:tc>
          <w:tcPr>
            <w:tcW w:w="709" w:type="dxa"/>
            <w:vAlign w:val="center"/>
          </w:tcPr>
          <w:p>
            <w:pPr>
              <w:jc w:val="center"/>
              <w:rPr>
                <w:rFonts w:hint="eastAsia" w:ascii="宋体" w:hAnsi="宋体"/>
                <w:szCs w:val="21"/>
              </w:rPr>
            </w:pPr>
          </w:p>
        </w:tc>
        <w:tc>
          <w:tcPr>
            <w:tcW w:w="1276" w:type="dxa"/>
            <w:vAlign w:val="top"/>
          </w:tcPr>
          <w:p>
            <w:pPr>
              <w:jc w:val="center"/>
              <w:rPr>
                <w:rFonts w:hint="eastAsia" w:ascii="宋体" w:hAnsi="宋体"/>
                <w:szCs w:val="21"/>
              </w:rPr>
            </w:pPr>
          </w:p>
        </w:tc>
        <w:tc>
          <w:tcPr>
            <w:tcW w:w="1276" w:type="dxa"/>
            <w:vAlign w:val="top"/>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828" w:type="dxa"/>
            <w:vAlign w:val="top"/>
          </w:tcPr>
          <w:p>
            <w:pPr>
              <w:jc w:val="center"/>
              <w:rPr>
                <w:rFonts w:hint="eastAsia" w:ascii="宋体" w:hAnsi="宋体"/>
                <w:szCs w:val="21"/>
              </w:rPr>
            </w:pPr>
          </w:p>
        </w:tc>
        <w:tc>
          <w:tcPr>
            <w:tcW w:w="2115" w:type="dxa"/>
            <w:vAlign w:val="top"/>
          </w:tcPr>
          <w:p>
            <w:pPr>
              <w:jc w:val="center"/>
              <w:rPr>
                <w:rFonts w:hint="eastAsia" w:ascii="宋体" w:hAnsi="宋体"/>
                <w:szCs w:val="21"/>
              </w:rPr>
            </w:pPr>
            <w:r>
              <w:rPr>
                <w:rFonts w:hint="eastAsia" w:ascii="宋体" w:hAnsi="宋体"/>
                <w:szCs w:val="21"/>
              </w:rPr>
              <w:t>合计</w:t>
            </w:r>
          </w:p>
        </w:tc>
        <w:tc>
          <w:tcPr>
            <w:tcW w:w="567" w:type="dxa"/>
            <w:vAlign w:val="top"/>
          </w:tcPr>
          <w:p>
            <w:pPr>
              <w:rPr>
                <w:rFonts w:hint="eastAsia" w:ascii="宋体" w:hAnsi="宋体"/>
                <w:szCs w:val="21"/>
              </w:rPr>
            </w:pPr>
          </w:p>
        </w:tc>
        <w:tc>
          <w:tcPr>
            <w:tcW w:w="709" w:type="dxa"/>
            <w:vAlign w:val="top"/>
          </w:tcPr>
          <w:p>
            <w:pPr>
              <w:jc w:val="center"/>
              <w:rPr>
                <w:rFonts w:hint="eastAsia" w:ascii="宋体" w:hAnsi="宋体"/>
                <w:szCs w:val="21"/>
              </w:rPr>
            </w:pPr>
          </w:p>
        </w:tc>
        <w:tc>
          <w:tcPr>
            <w:tcW w:w="992" w:type="dxa"/>
            <w:vAlign w:val="top"/>
          </w:tcPr>
          <w:p>
            <w:pPr>
              <w:jc w:val="center"/>
              <w:rPr>
                <w:rFonts w:hint="eastAsia" w:ascii="宋体" w:hAnsi="宋体"/>
                <w:szCs w:val="21"/>
              </w:rPr>
            </w:pPr>
          </w:p>
        </w:tc>
        <w:tc>
          <w:tcPr>
            <w:tcW w:w="709" w:type="dxa"/>
            <w:vAlign w:val="top"/>
          </w:tcPr>
          <w:p>
            <w:pPr>
              <w:jc w:val="center"/>
              <w:rPr>
                <w:rFonts w:hint="eastAsia" w:ascii="宋体" w:hAnsi="宋体"/>
                <w:szCs w:val="21"/>
              </w:rPr>
            </w:pPr>
          </w:p>
        </w:tc>
        <w:tc>
          <w:tcPr>
            <w:tcW w:w="1276" w:type="dxa"/>
            <w:vAlign w:val="top"/>
          </w:tcPr>
          <w:p>
            <w:pPr>
              <w:jc w:val="center"/>
              <w:rPr>
                <w:rFonts w:hint="eastAsia" w:ascii="宋体" w:hAnsi="宋体"/>
                <w:szCs w:val="21"/>
              </w:rPr>
            </w:pPr>
          </w:p>
        </w:tc>
        <w:tc>
          <w:tcPr>
            <w:tcW w:w="1276" w:type="dxa"/>
            <w:vAlign w:val="top"/>
          </w:tcPr>
          <w:p>
            <w:pPr>
              <w:jc w:val="center"/>
              <w:rPr>
                <w:rFonts w:hint="eastAsia" w:ascii="宋体" w:hAnsi="宋体"/>
                <w:szCs w:val="21"/>
              </w:rPr>
            </w:pPr>
          </w:p>
        </w:tc>
      </w:tr>
    </w:tbl>
    <w:p>
      <w:pPr>
        <w:ind w:right="-380" w:rightChars="-181"/>
        <w:rPr>
          <w:rFonts w:hint="eastAsia" w:ascii="宋体" w:hAnsi="宋体"/>
          <w:b/>
          <w:sz w:val="24"/>
          <w:szCs w:val="24"/>
        </w:rPr>
      </w:pPr>
    </w:p>
    <w:p>
      <w:pPr>
        <w:spacing w:line="360" w:lineRule="auto"/>
        <w:ind w:left="1080" w:right="-380" w:rightChars="-181" w:hanging="1080" w:hangingChars="450"/>
        <w:jc w:val="left"/>
        <w:rPr>
          <w:rFonts w:hint="eastAsia" w:ascii="宋体" w:hAnsi="宋体"/>
          <w:sz w:val="24"/>
          <w:szCs w:val="24"/>
        </w:rPr>
      </w:pPr>
      <w:r>
        <w:rPr>
          <w:rFonts w:hint="eastAsia" w:ascii="宋体" w:hAnsi="宋体"/>
          <w:sz w:val="24"/>
          <w:szCs w:val="24"/>
        </w:rPr>
        <w:t>说明：1、重要程度分为A、B、C三级，A为极重要关键件；B为一般重要件；C为普通件。</w:t>
      </w:r>
    </w:p>
    <w:p>
      <w:pPr>
        <w:spacing w:line="360" w:lineRule="auto"/>
        <w:ind w:left="1080" w:right="-380" w:rightChars="-181" w:hanging="1080" w:hangingChars="450"/>
        <w:jc w:val="left"/>
        <w:rPr>
          <w:rFonts w:hint="eastAsia" w:ascii="宋体" w:hAnsi="宋体"/>
          <w:sz w:val="24"/>
          <w:szCs w:val="24"/>
        </w:rPr>
      </w:pPr>
      <w:r>
        <w:rPr>
          <w:rFonts w:hint="eastAsia" w:ascii="宋体" w:hAnsi="宋体"/>
          <w:sz w:val="24"/>
          <w:szCs w:val="24"/>
        </w:rPr>
        <w:t xml:space="preserve">      2、易损等级分为1，2，3三级，1级为易损件；2为周期损耗件（定期需更换的备件）；3为非常规损耗件。</w:t>
      </w:r>
    </w:p>
    <w:p>
      <w:pPr>
        <w:numPr>
          <w:ilvl w:val="0"/>
          <w:numId w:val="1"/>
        </w:numPr>
        <w:tabs>
          <w:tab w:val="left" w:pos="4921"/>
        </w:tabs>
        <w:spacing w:line="360" w:lineRule="auto"/>
        <w:ind w:right="-380" w:rightChars="-181" w:firstLine="720" w:firstLineChars="300"/>
        <w:jc w:val="left"/>
        <w:rPr>
          <w:rFonts w:hint="eastAsia" w:ascii="宋体" w:hAnsi="宋体"/>
          <w:sz w:val="24"/>
          <w:szCs w:val="24"/>
        </w:rPr>
      </w:pPr>
      <w:r>
        <w:rPr>
          <w:rFonts w:hint="eastAsia" w:ascii="宋体" w:hAnsi="宋体"/>
          <w:sz w:val="24"/>
          <w:szCs w:val="24"/>
        </w:rPr>
        <w:t>分项报价表中分项报价合计价格与投标报价设备总价格必须一致。</w:t>
      </w:r>
    </w:p>
    <w:p>
      <w:pPr>
        <w:numPr>
          <w:numId w:val="0"/>
        </w:numPr>
        <w:tabs>
          <w:tab w:val="left" w:pos="4921"/>
        </w:tabs>
        <w:spacing w:line="360" w:lineRule="auto"/>
        <w:ind w:right="-380" w:rightChars="-181"/>
        <w:jc w:val="left"/>
        <w:rPr>
          <w:rFonts w:hint="eastAsia" w:ascii="宋体" w:hAnsi="宋体"/>
          <w:sz w:val="24"/>
          <w:szCs w:val="24"/>
        </w:rPr>
      </w:pPr>
    </w:p>
    <w:p>
      <w:pPr>
        <w:spacing w:line="360" w:lineRule="auto"/>
        <w:jc w:val="center"/>
        <w:rPr>
          <w:rFonts w:hint="eastAsia" w:ascii="宋体" w:hAnsi="宋体"/>
          <w:b/>
          <w:sz w:val="24"/>
        </w:rPr>
      </w:pPr>
      <w:r>
        <w:rPr>
          <w:rFonts w:hint="eastAsia" w:ascii="宋体" w:hAnsi="宋体"/>
          <w:b/>
          <w:sz w:val="24"/>
        </w:rPr>
        <w:t>第二节  工作环境</w:t>
      </w:r>
    </w:p>
    <w:p>
      <w:pPr>
        <w:widowControl/>
        <w:spacing w:line="360" w:lineRule="auto"/>
        <w:ind w:firstLine="480" w:firstLineChars="200"/>
        <w:rPr>
          <w:rFonts w:ascii="宋体" w:hAnsi="宋体"/>
          <w:sz w:val="24"/>
        </w:rPr>
      </w:pPr>
      <w:r>
        <w:rPr>
          <w:rFonts w:hint="eastAsia" w:ascii="宋体" w:hAnsi="宋体"/>
          <w:sz w:val="24"/>
        </w:rPr>
        <w:t>1 设备工作环境：</w:t>
      </w:r>
    </w:p>
    <w:p>
      <w:pPr>
        <w:widowControl/>
        <w:spacing w:line="360" w:lineRule="auto"/>
        <w:ind w:firstLine="480" w:firstLineChars="200"/>
        <w:rPr>
          <w:rFonts w:hint="eastAsia" w:ascii="宋体" w:hAnsi="宋体"/>
          <w:sz w:val="24"/>
        </w:rPr>
      </w:pPr>
      <w:r>
        <w:rPr>
          <w:rFonts w:hint="eastAsia" w:ascii="宋体" w:hAnsi="宋体"/>
          <w:sz w:val="24"/>
        </w:rPr>
        <w:t>1.1 安装地点：</w:t>
      </w:r>
      <w:r>
        <w:rPr>
          <w:rFonts w:hint="eastAsia" w:ascii="宋体" w:hAnsi="宋体"/>
          <w:sz w:val="24"/>
          <w:szCs w:val="24"/>
          <w:u w:val="single"/>
          <w:lang w:eastAsia="zh-CN"/>
        </w:rPr>
        <w:t>主通风机房</w:t>
      </w:r>
      <w:r>
        <w:rPr>
          <w:rFonts w:hint="eastAsia" w:ascii="宋体" w:hAnsi="宋体"/>
          <w:sz w:val="24"/>
          <w:szCs w:val="24"/>
          <w:u w:val="single"/>
        </w:rPr>
        <w:t>配电室</w:t>
      </w:r>
    </w:p>
    <w:p>
      <w:pPr>
        <w:widowControl/>
        <w:spacing w:line="360" w:lineRule="auto"/>
        <w:ind w:firstLine="480" w:firstLineChars="200"/>
        <w:rPr>
          <w:rFonts w:hint="eastAsia" w:ascii="宋体" w:hAnsi="宋体"/>
          <w:sz w:val="24"/>
        </w:rPr>
      </w:pPr>
      <w:r>
        <w:rPr>
          <w:rFonts w:hint="eastAsia" w:ascii="宋体" w:hAnsi="宋体"/>
          <w:sz w:val="24"/>
        </w:rPr>
        <w:t>1.2 海拔高度：</w:t>
      </w:r>
      <w:r>
        <w:rPr>
          <w:rFonts w:hint="eastAsia" w:ascii="宋体" w:hAnsi="宋体"/>
          <w:sz w:val="24"/>
          <w:u w:val="single"/>
        </w:rPr>
        <w:t>1100~1500M</w:t>
      </w:r>
    </w:p>
    <w:p>
      <w:pPr>
        <w:widowControl/>
        <w:spacing w:line="360" w:lineRule="auto"/>
        <w:ind w:firstLine="480" w:firstLineChars="200"/>
        <w:rPr>
          <w:rFonts w:hint="eastAsia" w:ascii="宋体" w:hAnsi="宋体"/>
          <w:sz w:val="24"/>
        </w:rPr>
      </w:pPr>
      <w:r>
        <w:rPr>
          <w:rFonts w:hint="eastAsia" w:ascii="宋体" w:hAnsi="宋体"/>
          <w:sz w:val="24"/>
        </w:rPr>
        <w:t>1.3 环境温度：</w:t>
      </w:r>
      <w:r>
        <w:rPr>
          <w:rFonts w:hint="eastAsia" w:ascii="宋体" w:hAnsi="宋体"/>
          <w:sz w:val="24"/>
          <w:u w:val="single"/>
        </w:rPr>
        <w:t>最高+40℃  最低-35℃</w:t>
      </w:r>
    </w:p>
    <w:p>
      <w:pPr>
        <w:widowControl/>
        <w:spacing w:line="360" w:lineRule="auto"/>
        <w:ind w:firstLine="480" w:firstLineChars="200"/>
        <w:rPr>
          <w:rFonts w:hint="eastAsia" w:ascii="宋体" w:hAnsi="宋体"/>
          <w:sz w:val="24"/>
          <w:szCs w:val="24"/>
        </w:rPr>
      </w:pPr>
      <w:r>
        <w:rPr>
          <w:rFonts w:hint="eastAsia" w:ascii="宋体" w:hAnsi="宋体"/>
          <w:sz w:val="24"/>
        </w:rPr>
        <w:t>1.4 湿    度：</w:t>
      </w:r>
      <w:r>
        <w:rPr>
          <w:rFonts w:hint="eastAsia" w:ascii="宋体" w:hAnsi="宋体"/>
          <w:sz w:val="24"/>
          <w:szCs w:val="24"/>
        </w:rPr>
        <w:t>日平均值不大于95%，月平均值不大于90%，应考虑到由于温度的变化可能会偶然产生凝露的影响</w:t>
      </w:r>
    </w:p>
    <w:p>
      <w:pPr>
        <w:widowControl/>
        <w:spacing w:line="360" w:lineRule="auto"/>
        <w:ind w:firstLine="480" w:firstLineChars="200"/>
        <w:rPr>
          <w:rFonts w:hint="eastAsia" w:ascii="宋体" w:hAnsi="宋体"/>
          <w:sz w:val="24"/>
        </w:rPr>
      </w:pPr>
      <w:r>
        <w:rPr>
          <w:rFonts w:hint="eastAsia" w:ascii="宋体" w:hAnsi="宋体"/>
          <w:sz w:val="24"/>
        </w:rPr>
        <w:t>1.5 耐震能力：</w:t>
      </w:r>
      <w:r>
        <w:rPr>
          <w:rFonts w:hint="eastAsia" w:ascii="宋体" w:hAnsi="宋体"/>
          <w:sz w:val="24"/>
          <w:u w:val="single"/>
        </w:rPr>
        <w:t>6级</w:t>
      </w:r>
      <w:r>
        <w:rPr>
          <w:rFonts w:hint="eastAsia" w:ascii="宋体" w:hAnsi="宋体"/>
          <w:sz w:val="24"/>
        </w:rPr>
        <w:t>。</w:t>
      </w:r>
    </w:p>
    <w:p>
      <w:pPr>
        <w:widowControl/>
        <w:spacing w:line="360" w:lineRule="auto"/>
        <w:ind w:firstLine="480" w:firstLineChars="200"/>
        <w:rPr>
          <w:rFonts w:hint="eastAsia" w:ascii="宋体" w:hAnsi="宋体"/>
          <w:sz w:val="24"/>
        </w:rPr>
      </w:pPr>
      <w:r>
        <w:rPr>
          <w:rFonts w:hint="eastAsia" w:ascii="宋体" w:hAnsi="宋体"/>
          <w:sz w:val="24"/>
        </w:rPr>
        <w:t>1.6 建筑面积：</w:t>
      </w:r>
      <w:r>
        <w:rPr>
          <w:rFonts w:hint="eastAsia" w:ascii="宋体" w:hAnsi="宋体"/>
          <w:sz w:val="24"/>
          <w:u w:val="single"/>
          <w:lang w:val="en-US" w:eastAsia="zh-CN"/>
        </w:rPr>
        <w:t>49</w:t>
      </w:r>
      <w:r>
        <w:rPr>
          <w:rFonts w:hint="eastAsia" w:ascii="宋体" w:hAnsi="宋体"/>
          <w:sz w:val="24"/>
          <w:u w:val="single"/>
        </w:rPr>
        <w:t>㎡</w:t>
      </w:r>
      <w:r>
        <w:rPr>
          <w:rFonts w:hint="eastAsia" w:ascii="宋体" w:hAnsi="宋体"/>
          <w:sz w:val="24"/>
        </w:rPr>
        <w:t>。</w:t>
      </w:r>
    </w:p>
    <w:p>
      <w:pPr>
        <w:widowControl/>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7</w:t>
      </w:r>
      <w:r>
        <w:rPr>
          <w:rFonts w:hint="eastAsia" w:ascii="宋体" w:hAnsi="宋体"/>
          <w:sz w:val="24"/>
        </w:rPr>
        <w:t xml:space="preserve"> 设计</w:t>
      </w:r>
      <w:r>
        <w:rPr>
          <w:rFonts w:hint="eastAsia" w:ascii="宋体" w:hAnsi="宋体"/>
          <w:sz w:val="24"/>
          <w:lang w:eastAsia="zh-CN"/>
        </w:rPr>
        <w:t>制冷功率</w:t>
      </w:r>
      <w:r>
        <w:rPr>
          <w:rFonts w:hint="eastAsia"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19</w:t>
      </w:r>
      <w:r>
        <w:rPr>
          <w:rFonts w:hint="eastAsia" w:ascii="宋体" w:hAnsi="宋体"/>
          <w:sz w:val="24"/>
          <w:u w:val="single"/>
        </w:rPr>
        <w:t xml:space="preserve">kW   </w:t>
      </w:r>
      <w:r>
        <w:rPr>
          <w:rFonts w:hint="eastAsia" w:ascii="宋体" w:hAnsi="宋体"/>
          <w:sz w:val="24"/>
        </w:rPr>
        <w:t>。</w:t>
      </w:r>
    </w:p>
    <w:p>
      <w:pPr>
        <w:widowControl/>
        <w:spacing w:line="360" w:lineRule="auto"/>
        <w:ind w:firstLine="480" w:firstLineChars="200"/>
        <w:rPr>
          <w:rFonts w:hint="eastAsia" w:ascii="宋体" w:hAnsi="宋体" w:eastAsia="宋体"/>
          <w:sz w:val="24"/>
          <w:lang w:val="en-US" w:eastAsia="zh-CN"/>
        </w:rPr>
      </w:pPr>
      <w:r>
        <w:rPr>
          <w:rFonts w:hint="eastAsia" w:ascii="宋体" w:hAnsi="宋体"/>
          <w:sz w:val="24"/>
          <w:lang w:val="en-US" w:eastAsia="zh-CN"/>
        </w:rPr>
        <w:t xml:space="preserve">1.8 </w:t>
      </w:r>
      <w:r>
        <w:rPr>
          <w:rFonts w:hint="eastAsia" w:ascii="宋体" w:hAnsi="宋体"/>
          <w:sz w:val="24"/>
        </w:rPr>
        <w:t>设计</w:t>
      </w:r>
      <w:r>
        <w:rPr>
          <w:rFonts w:hint="eastAsia" w:ascii="宋体" w:hAnsi="宋体"/>
          <w:sz w:val="24"/>
          <w:lang w:eastAsia="zh-CN"/>
        </w:rPr>
        <w:t>制热功率</w:t>
      </w:r>
      <w:r>
        <w:rPr>
          <w:rFonts w:hint="eastAsia"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12</w:t>
      </w:r>
      <w:r>
        <w:rPr>
          <w:rFonts w:hint="eastAsia" w:ascii="宋体" w:hAnsi="宋体"/>
          <w:sz w:val="24"/>
          <w:u w:val="single"/>
        </w:rPr>
        <w:t xml:space="preserve">kW   </w:t>
      </w:r>
      <w:r>
        <w:rPr>
          <w:rFonts w:hint="eastAsia" w:ascii="宋体" w:hAnsi="宋体"/>
          <w:sz w:val="24"/>
        </w:rPr>
        <w:t>。</w:t>
      </w:r>
    </w:p>
    <w:p>
      <w:pPr>
        <w:spacing w:line="360" w:lineRule="auto"/>
        <w:jc w:val="center"/>
        <w:rPr>
          <w:rFonts w:hint="eastAsia" w:ascii="宋体" w:hAnsi="宋体"/>
          <w:b/>
          <w:sz w:val="24"/>
        </w:rPr>
      </w:pPr>
      <w:r>
        <w:rPr>
          <w:rFonts w:hint="eastAsia" w:ascii="宋体" w:hAnsi="宋体"/>
          <w:b/>
          <w:sz w:val="24"/>
        </w:rPr>
        <w:t>第三节  技术要求</w:t>
      </w:r>
    </w:p>
    <w:p>
      <w:pPr>
        <w:widowControl/>
        <w:spacing w:line="360" w:lineRule="auto"/>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.1、机房专用空调机组的机械性能</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.1.1、机房精密空调选用艾默生公司力博特品牌的PEX系列。</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.1.2、外观工艺、检查：机柜表面喷涂均匀、无破损；信号灯、开关、测量显示装置布局合理。操作及维修安全、方便。</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.1.3、结构工艺：部件排列合理、整齐；导线颜色和截面合理，布放平整；接插件牢固；进出线符合工程需要；具备抗震措施。</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.1.4、标牌、标记：应平整清晰。</w:t>
      </w:r>
    </w:p>
    <w:p>
      <w:pPr>
        <w:widowControl/>
        <w:spacing w:line="360" w:lineRule="auto"/>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.2、机房专用空调机组的电气性能</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.2.1、机房专用空调机组的的电气性能应符合IEC标准</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.2.2、输入电压允许波动范围：380V -15%～+15%</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 xml:space="preserve">.2.3、频率：50HZ～2HZ </w:t>
      </w:r>
    </w:p>
    <w:p>
      <w:pPr>
        <w:widowControl/>
        <w:spacing w:line="360" w:lineRule="auto"/>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.3、机房专用空调机组的适应环境</w:t>
      </w:r>
    </w:p>
    <w:p>
      <w:pPr>
        <w:widowControl/>
        <w:spacing w:line="360" w:lineRule="auto"/>
        <w:ind w:firstLine="480" w:firstLineChars="200"/>
        <w:rPr>
          <w:rFonts w:hint="eastAsia" w:ascii="宋体" w:hAnsi="宋体"/>
          <w:sz w:val="24"/>
        </w:rPr>
      </w:pPr>
      <w:r>
        <w:rPr>
          <w:rFonts w:hint="eastAsia" w:ascii="宋体" w:hAnsi="宋体"/>
          <w:sz w:val="24"/>
        </w:rPr>
        <w:t xml:space="preserve">     温度：室内  -10℃～+30℃</w:t>
      </w:r>
    </w:p>
    <w:p>
      <w:pPr>
        <w:widowControl/>
        <w:spacing w:line="360" w:lineRule="auto"/>
        <w:ind w:firstLine="480" w:firstLineChars="200"/>
        <w:rPr>
          <w:rFonts w:hint="eastAsia" w:ascii="宋体" w:hAnsi="宋体"/>
          <w:sz w:val="24"/>
        </w:rPr>
      </w:pPr>
      <w:r>
        <w:rPr>
          <w:rFonts w:hint="eastAsia" w:ascii="宋体" w:hAnsi="宋体"/>
          <w:sz w:val="24"/>
        </w:rPr>
        <w:t xml:space="preserve">           室外  -30℃～+45℃</w:t>
      </w:r>
    </w:p>
    <w:p>
      <w:pPr>
        <w:widowControl/>
        <w:spacing w:line="360" w:lineRule="auto"/>
        <w:ind w:firstLine="480" w:firstLineChars="200"/>
        <w:rPr>
          <w:rFonts w:hint="eastAsia" w:ascii="宋体" w:hAnsi="宋体"/>
          <w:sz w:val="24"/>
        </w:rPr>
      </w:pPr>
      <w:r>
        <w:rPr>
          <w:rFonts w:hint="eastAsia" w:ascii="宋体" w:hAnsi="宋体"/>
          <w:sz w:val="24"/>
        </w:rPr>
        <w:t xml:space="preserve">           湿度  ≤95%RH</w:t>
      </w:r>
    </w:p>
    <w:p>
      <w:pPr>
        <w:widowControl/>
        <w:spacing w:line="360" w:lineRule="auto"/>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.4、机房专用空调机组的温度、湿度控制性能</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.4.1、机房专用空调应能按要求自动调节室内温、湿度，具有制冷、加热、加湿、除湿等功能。</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.4.2、温度调节范围：+17℃～+28℃</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.4.3、温度调节精度：</w:t>
      </w:r>
    </w:p>
    <w:p>
      <w:pPr>
        <w:widowControl/>
        <w:spacing w:line="360" w:lineRule="auto"/>
        <w:ind w:firstLine="480" w:firstLineChars="200"/>
        <w:rPr>
          <w:rFonts w:hint="eastAsia" w:ascii="宋体" w:hAnsi="宋体"/>
          <w:sz w:val="24"/>
        </w:rPr>
      </w:pPr>
      <w:r>
        <w:rPr>
          <w:rFonts w:hint="eastAsia" w:ascii="宋体" w:hAnsi="宋体"/>
          <w:sz w:val="24"/>
        </w:rPr>
        <w:t xml:space="preserve">        </w:t>
      </w:r>
      <w:r>
        <w:rPr>
          <w:rFonts w:hint="eastAsia" w:ascii="宋体" w:hAnsi="宋体"/>
          <w:sz w:val="24"/>
        </w:rPr>
        <w:sym w:font="Symbol" w:char="F0B1"/>
      </w:r>
      <w:r>
        <w:rPr>
          <w:rFonts w:hint="eastAsia" w:ascii="宋体" w:hAnsi="宋体"/>
          <w:sz w:val="24"/>
        </w:rPr>
        <w:t>2℃ （制冷量＜20KW）温度变化率&lt; 5℃/小时</w:t>
      </w:r>
    </w:p>
    <w:p>
      <w:pPr>
        <w:widowControl/>
        <w:spacing w:line="360" w:lineRule="auto"/>
        <w:ind w:firstLine="480" w:firstLineChars="200"/>
        <w:rPr>
          <w:rFonts w:hint="eastAsia" w:ascii="宋体" w:hAnsi="宋体"/>
          <w:sz w:val="24"/>
        </w:rPr>
      </w:pPr>
      <w:r>
        <w:rPr>
          <w:rFonts w:hint="eastAsia" w:ascii="宋体" w:hAnsi="宋体"/>
          <w:sz w:val="24"/>
        </w:rPr>
        <w:t xml:space="preserve">        </w:t>
      </w:r>
      <w:r>
        <w:rPr>
          <w:rFonts w:hint="eastAsia" w:ascii="宋体" w:hAnsi="宋体"/>
          <w:sz w:val="24"/>
        </w:rPr>
        <w:sym w:font="Symbol" w:char="F0B1"/>
      </w:r>
      <w:r>
        <w:rPr>
          <w:rFonts w:hint="eastAsia" w:ascii="宋体" w:hAnsi="宋体"/>
          <w:sz w:val="24"/>
        </w:rPr>
        <w:t>1℃ （制冷量≥20KW）温度变化率&lt; 5℃/小时</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.4.4、湿度调节范围：40%～60%RH</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.4.5、湿度调节精度：</w:t>
      </w:r>
    </w:p>
    <w:p>
      <w:pPr>
        <w:widowControl/>
        <w:spacing w:line="360" w:lineRule="auto"/>
        <w:ind w:firstLine="480" w:firstLineChars="200"/>
        <w:rPr>
          <w:rFonts w:hint="eastAsia" w:ascii="宋体" w:hAnsi="宋体"/>
          <w:sz w:val="24"/>
        </w:rPr>
      </w:pPr>
      <w:r>
        <w:rPr>
          <w:rFonts w:hint="eastAsia" w:ascii="宋体" w:hAnsi="宋体"/>
          <w:sz w:val="24"/>
        </w:rPr>
        <w:t xml:space="preserve">        </w:t>
      </w:r>
      <w:r>
        <w:rPr>
          <w:rFonts w:hint="eastAsia" w:ascii="宋体" w:hAnsi="宋体"/>
          <w:sz w:val="24"/>
        </w:rPr>
        <w:sym w:font="Symbol" w:char="F0B1"/>
      </w:r>
      <w:r>
        <w:rPr>
          <w:rFonts w:hint="eastAsia" w:ascii="宋体" w:hAnsi="宋体"/>
          <w:sz w:val="24"/>
        </w:rPr>
        <w:t>10%RH （制冷量＜20KW）</w:t>
      </w:r>
    </w:p>
    <w:p>
      <w:pPr>
        <w:widowControl/>
        <w:spacing w:line="360" w:lineRule="auto"/>
        <w:ind w:firstLine="480" w:firstLineChars="200"/>
        <w:rPr>
          <w:rFonts w:hint="eastAsia" w:ascii="宋体" w:hAnsi="宋体"/>
          <w:sz w:val="24"/>
        </w:rPr>
      </w:pPr>
      <w:r>
        <w:rPr>
          <w:rFonts w:hint="eastAsia" w:ascii="宋体" w:hAnsi="宋体"/>
          <w:sz w:val="24"/>
        </w:rPr>
        <w:t xml:space="preserve">        </w:t>
      </w:r>
      <w:r>
        <w:rPr>
          <w:rFonts w:hint="eastAsia" w:ascii="宋体" w:hAnsi="宋体"/>
          <w:sz w:val="24"/>
        </w:rPr>
        <w:sym w:font="Symbol" w:char="F0B1"/>
      </w:r>
      <w:r>
        <w:rPr>
          <w:rFonts w:hint="eastAsia" w:ascii="宋体" w:hAnsi="宋体"/>
          <w:sz w:val="24"/>
        </w:rPr>
        <w:t>5%RH （制冷量≥20KW）</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.4.6、温、湿度波动超限应能发出报警信号</w:t>
      </w:r>
    </w:p>
    <w:p>
      <w:pPr>
        <w:widowControl/>
        <w:spacing w:line="360" w:lineRule="auto"/>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.5、机房专用空调机组的机组性能</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.5.1、机房专用空调应有较大的送风量</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.5.2、冷风比 ≤2.5</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.5.3、机房专用空调应能应解决机房的高显热量负荷，显热比 ≥0.9</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.5.4、机房专用空调应具有高效节能性，压缩机具有较高的能效比</w:t>
      </w:r>
    </w:p>
    <w:p>
      <w:pPr>
        <w:widowControl/>
        <w:spacing w:line="360" w:lineRule="auto"/>
        <w:ind w:firstLine="480" w:firstLineChars="200"/>
        <w:rPr>
          <w:rFonts w:hint="eastAsia" w:ascii="宋体" w:hAnsi="宋体"/>
          <w:sz w:val="24"/>
        </w:rPr>
      </w:pPr>
      <w:r>
        <w:rPr>
          <w:rFonts w:hint="eastAsia" w:ascii="宋体" w:hAnsi="宋体"/>
          <w:sz w:val="24"/>
        </w:rPr>
        <w:t xml:space="preserve">        活塞式：COP ≥ 3</w:t>
      </w:r>
    </w:p>
    <w:p>
      <w:pPr>
        <w:widowControl/>
        <w:spacing w:line="360" w:lineRule="auto"/>
        <w:ind w:firstLine="480" w:firstLineChars="200"/>
        <w:rPr>
          <w:rFonts w:hint="eastAsia" w:ascii="宋体" w:hAnsi="宋体"/>
          <w:sz w:val="24"/>
        </w:rPr>
      </w:pPr>
      <w:r>
        <w:rPr>
          <w:rFonts w:hint="eastAsia" w:ascii="宋体" w:hAnsi="宋体"/>
          <w:sz w:val="24"/>
        </w:rPr>
        <w:t xml:space="preserve">        涡旋式：COP ≥ 3.3</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.5.5、机房专用空调系统应具有高可靠性 单机制冷量大于</w:t>
      </w:r>
      <w:r>
        <w:rPr>
          <w:rFonts w:hint="eastAsia" w:ascii="宋体" w:hAnsi="宋体"/>
          <w:sz w:val="24"/>
          <w:lang w:val="en-US" w:eastAsia="zh-CN"/>
        </w:rPr>
        <w:t>19</w:t>
      </w:r>
      <w:r>
        <w:rPr>
          <w:rFonts w:hint="eastAsia" w:ascii="宋体" w:hAnsi="宋体"/>
          <w:sz w:val="24"/>
        </w:rPr>
        <w:t>KW，保障机组运行的可靠性。</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.5.6、机房专用空调运行的平均无故障时间MTBF≥10万小时。</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.5.7、机房专用空调应有模块化机型可供选择，各模块应具备制冷、加热、加湿、除湿及温、湿度传感器和控制器。各模块可自主运行同时也可协同运行。机房内应采用占地空间小的机组及方案。</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.5.8、机房专用空调系统应采用环保机型或能更新为环保机型的机组，使用替代工质制冷剂的制冷效率的降低不应超过原制冷量的10%。</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.5.9、机房专用空调机组的噪音：</w:t>
      </w:r>
    </w:p>
    <w:p>
      <w:pPr>
        <w:widowControl/>
        <w:spacing w:line="360" w:lineRule="auto"/>
        <w:ind w:firstLine="480" w:firstLineChars="200"/>
        <w:rPr>
          <w:rFonts w:hint="eastAsia" w:ascii="宋体" w:hAnsi="宋体"/>
          <w:sz w:val="24"/>
        </w:rPr>
      </w:pPr>
      <w:r>
        <w:rPr>
          <w:rFonts w:hint="eastAsia" w:ascii="宋体" w:hAnsi="宋体"/>
          <w:sz w:val="24"/>
        </w:rPr>
        <w:t xml:space="preserve">        室内机组：距机组2米处自由空间声压级</w:t>
      </w:r>
      <w:r>
        <w:rPr>
          <w:rFonts w:hint="eastAsia" w:ascii="宋体" w:hAnsi="宋体"/>
          <w:sz w:val="24"/>
        </w:rPr>
        <w:sym w:font="Times New Roman" w:char="0000"/>
      </w:r>
      <w:r>
        <w:rPr>
          <w:rFonts w:hint="eastAsia" w:ascii="宋体" w:hAnsi="宋体"/>
          <w:sz w:val="24"/>
        </w:rPr>
        <w:t xml:space="preserve"> 65dB(A)</w:t>
      </w:r>
    </w:p>
    <w:p>
      <w:pPr>
        <w:widowControl/>
        <w:spacing w:line="360" w:lineRule="auto"/>
        <w:ind w:firstLine="480" w:firstLineChars="200"/>
        <w:rPr>
          <w:rFonts w:hint="eastAsia" w:ascii="宋体" w:hAnsi="宋体"/>
          <w:sz w:val="24"/>
        </w:rPr>
      </w:pPr>
      <w:r>
        <w:rPr>
          <w:rFonts w:hint="eastAsia" w:ascii="宋体" w:hAnsi="宋体"/>
          <w:sz w:val="24"/>
        </w:rPr>
        <w:t xml:space="preserve">        室内机组：距机组10米处自由空间声压级</w:t>
      </w:r>
      <w:r>
        <w:rPr>
          <w:rFonts w:hint="eastAsia" w:ascii="宋体" w:hAnsi="宋体"/>
          <w:sz w:val="24"/>
        </w:rPr>
        <w:sym w:font="Times New Roman" w:char="0000"/>
      </w:r>
      <w:r>
        <w:rPr>
          <w:rFonts w:hint="eastAsia" w:ascii="宋体" w:hAnsi="宋体"/>
          <w:sz w:val="24"/>
        </w:rPr>
        <w:t xml:space="preserve"> 50dB(A)</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.5.10、机房专用空调的加热性能：具备电子再热器，二级加热量不低于12KW。</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.5.11、机房专用空调的加湿性能：应采用可在场地拆卸清洗的远红外型加湿器，加湿器应具有对水垢或杂质进行自动清洗的功能，加湿器可以重复利用及长期使用。</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.5.12、机房专用空调的空气洁净度：应安装中效空气过滤器，空气过滤器应便于更换，进口设备的过滤器应符合美国ASHRAE52-76或Eurovent4-5标准。所安装的过滤器应保证机房的洁净度达到A级机房的要求(直径大于0.5</w:t>
      </w:r>
      <w:r>
        <w:rPr>
          <w:rFonts w:hint="eastAsia" w:ascii="宋体" w:hAnsi="宋体"/>
          <w:sz w:val="24"/>
        </w:rPr>
        <w:sym w:font="Times New Roman" w:char="0000"/>
      </w:r>
      <w:r>
        <w:rPr>
          <w:rFonts w:hint="eastAsia" w:ascii="宋体" w:hAnsi="宋体"/>
          <w:sz w:val="24"/>
        </w:rPr>
        <w:t>m的灰尘粒子浓度</w:t>
      </w:r>
      <w:r>
        <w:rPr>
          <w:rFonts w:hint="eastAsia" w:ascii="宋体" w:hAnsi="宋体"/>
          <w:sz w:val="24"/>
        </w:rPr>
        <w:sym w:font="Times New Roman" w:char="0000"/>
      </w:r>
      <w:r>
        <w:rPr>
          <w:rFonts w:hint="eastAsia" w:ascii="宋体" w:hAnsi="宋体"/>
          <w:sz w:val="24"/>
        </w:rPr>
        <w:t>350粒/升，直径大于5</w:t>
      </w:r>
      <w:r>
        <w:rPr>
          <w:rFonts w:hint="eastAsia" w:ascii="宋体" w:hAnsi="宋体"/>
          <w:sz w:val="24"/>
        </w:rPr>
        <w:sym w:font="Times New Roman" w:char="0000"/>
      </w:r>
      <w:r>
        <w:rPr>
          <w:rFonts w:hint="eastAsia" w:ascii="宋体" w:hAnsi="宋体"/>
          <w:sz w:val="24"/>
        </w:rPr>
        <w:t>m的灰尘粒子浓度</w:t>
      </w:r>
      <w:r>
        <w:rPr>
          <w:rFonts w:hint="eastAsia" w:ascii="宋体" w:hAnsi="宋体"/>
          <w:sz w:val="24"/>
        </w:rPr>
        <w:sym w:font="Times New Roman" w:char="0000"/>
      </w:r>
      <w:r>
        <w:rPr>
          <w:rFonts w:hint="eastAsia" w:ascii="宋体" w:hAnsi="宋体"/>
          <w:sz w:val="24"/>
        </w:rPr>
        <w:t>3粒/升)。</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5.13、机房专用空调的控制系统：应具有先进的微处理控制器，应采用先进的模糊逻辑控制或PID调节技术，具有LCD大屏幕多行中文显示器，能显示温湿度曲线，具有图形显示机组内各组件的运行状态的功能，应具有大容量的故障报警记录储存的功能机组应具有过压 、欠压等报警及故、障诊断，告警记录功能，自动保护，自动恢复，自动重启动等功能。控制系统应具有多级密码保护功能。</w:t>
      </w:r>
    </w:p>
    <w:p>
      <w:pPr>
        <w:widowControl/>
        <w:spacing w:line="360" w:lineRule="auto"/>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.6、机房专用空调机组的监控性能</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.6.1、机房专用空调机组应具有方便的现场监控及远程监控能力</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.6.2、系统应具有三遥性能</w:t>
      </w:r>
    </w:p>
    <w:p>
      <w:pPr>
        <w:widowControl/>
        <w:spacing w:line="360" w:lineRule="auto"/>
        <w:ind w:firstLine="480" w:firstLineChars="200"/>
        <w:rPr>
          <w:rFonts w:hint="eastAsia" w:ascii="宋体" w:hAnsi="宋体"/>
          <w:sz w:val="24"/>
        </w:rPr>
      </w:pPr>
      <w:r>
        <w:rPr>
          <w:rFonts w:hint="eastAsia" w:ascii="宋体" w:hAnsi="宋体"/>
          <w:sz w:val="24"/>
        </w:rPr>
        <w:t>遥测项目：送风温度、回风温度、送风湿度、回风湿度、显示机组工作状态等</w:t>
      </w:r>
    </w:p>
    <w:p>
      <w:pPr>
        <w:widowControl/>
        <w:spacing w:line="360" w:lineRule="auto"/>
        <w:ind w:firstLine="480" w:firstLineChars="200"/>
        <w:rPr>
          <w:rFonts w:hint="eastAsia" w:ascii="宋体" w:hAnsi="宋体"/>
          <w:sz w:val="24"/>
        </w:rPr>
      </w:pPr>
      <w:r>
        <w:rPr>
          <w:rFonts w:hint="eastAsia" w:ascii="宋体" w:hAnsi="宋体"/>
          <w:sz w:val="24"/>
        </w:rPr>
        <w:t xml:space="preserve">遥信项目：开/关机，电压、电流过高/低，回风温度过高/低，回风湿度过高/低，过滤器正常/堵塞，风机正常/故障，压缩机正常/故障等 </w:t>
      </w:r>
    </w:p>
    <w:p>
      <w:pPr>
        <w:widowControl/>
        <w:spacing w:line="360" w:lineRule="auto"/>
        <w:ind w:firstLine="480" w:firstLineChars="200"/>
        <w:rPr>
          <w:rFonts w:hint="eastAsia" w:ascii="宋体" w:hAnsi="宋体"/>
          <w:sz w:val="24"/>
        </w:rPr>
      </w:pPr>
      <w:r>
        <w:rPr>
          <w:rFonts w:hint="eastAsia" w:ascii="宋体" w:hAnsi="宋体"/>
          <w:sz w:val="24"/>
        </w:rPr>
        <w:t>遥控项目：空调开/关机</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6.3、系统应具备通信接口，具备RS232和RS485(或RS422)接口，或通过SNMP卡与机房监控系统通讯。协议格式必须符合电网交1999(625)号文《通信局（站）电源、空调及环境集中监控管理系统前端智能设备通讯协议》。免费提供通讯协议。</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.6.4、设备运行参数的设置  设备应具有智能判断功能，对于超常规的参数设置（错误命令），应能自动拒绝。</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.6.5、准确度对三遥量：开关量和控制操作准确度应达到100%；</w:t>
      </w:r>
    </w:p>
    <w:p>
      <w:pPr>
        <w:widowControl/>
        <w:spacing w:line="360" w:lineRule="auto"/>
        <w:ind w:firstLine="480" w:firstLineChars="200"/>
        <w:rPr>
          <w:rFonts w:hint="eastAsia" w:ascii="宋体" w:hAnsi="宋体"/>
          <w:sz w:val="24"/>
        </w:rPr>
      </w:pPr>
      <w:r>
        <w:rPr>
          <w:rFonts w:hint="eastAsia" w:ascii="宋体" w:hAnsi="宋体"/>
          <w:sz w:val="24"/>
        </w:rPr>
        <w:t>模拟量精确度应达到：交流电量误差 ≤2%；非电量误差 ≤5%</w:t>
      </w:r>
    </w:p>
    <w:p>
      <w:pPr>
        <w:widowControl/>
        <w:spacing w:line="360" w:lineRule="auto"/>
        <w:ind w:firstLine="480" w:firstLineChars="200"/>
        <w:rPr>
          <w:rFonts w:hint="eastAsia" w:ascii="宋体" w:hAnsi="宋体"/>
          <w:sz w:val="24"/>
        </w:rPr>
      </w:pPr>
      <w:r>
        <w:rPr>
          <w:rFonts w:hint="eastAsia" w:ascii="宋体" w:hAnsi="宋体"/>
          <w:sz w:val="24"/>
        </w:rPr>
        <w:t>设备显示面板或表头显示值应与从通信接口读出的三遥量值保持一致。</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.6.6、机房专用空调机组的冷却设备</w:t>
      </w:r>
    </w:p>
    <w:p>
      <w:pPr>
        <w:widowControl/>
        <w:spacing w:line="360" w:lineRule="auto"/>
        <w:ind w:firstLine="480" w:firstLineChars="200"/>
        <w:rPr>
          <w:rFonts w:hint="eastAsia" w:ascii="宋体" w:hAnsi="宋体"/>
          <w:sz w:val="24"/>
        </w:rPr>
      </w:pPr>
      <w:r>
        <w:rPr>
          <w:rFonts w:hint="eastAsia" w:ascii="宋体" w:hAnsi="宋体"/>
          <w:sz w:val="24"/>
        </w:rPr>
        <w:t xml:space="preserve">    机房专用空调机组应采用风冷作为冷却方式。</w:t>
      </w:r>
    </w:p>
    <w:p>
      <w:pPr>
        <w:widowControl/>
        <w:spacing w:line="360" w:lineRule="auto"/>
        <w:ind w:firstLine="480" w:firstLineChars="200"/>
        <w:rPr>
          <w:rFonts w:hint="eastAsia" w:ascii="宋体" w:hAnsi="宋体"/>
          <w:sz w:val="24"/>
        </w:rPr>
      </w:pPr>
      <w:r>
        <w:rPr>
          <w:rFonts w:hint="eastAsia" w:ascii="宋体" w:hAnsi="宋体"/>
          <w:sz w:val="24"/>
        </w:rPr>
        <w:t xml:space="preserve">    机房专用室外冷凝器的选配应根据当地的气象条件(选配依据为国家公布的当地月平均最高环境温度值)，并提供相关参数，保证足够的散热量需求。</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.6.7、机房专用空调室外机应具有良好的刚性和防腐性能，适应多种环境条件。</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.6.8、机房专用空调机组的风冷型室外机组应采用风扇调速装置，可根据冷凝压力的高低调节风机的转速，以保证系统冷凝压力的稳定。</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.6.9、机房专用空调机组的风冷冷凝器可水平或垂直安装。</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.6.10、机房专用空调机组的风冷冷凝器的风机电机、风机调速器、压力控制器等应有良好的防水性能。</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.6.11、机房专用空调机组的冷凝器出厂时应保压，管路端口应有防止异物进入的措施。</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.6.12、机房专用空调机组的水冷机组应采用可现场清理的壳管式冷凝器或易于更换的板式换热器。</w:t>
      </w:r>
    </w:p>
    <w:p>
      <w:pPr>
        <w:widowControl/>
        <w:spacing w:line="360" w:lineRule="auto"/>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.7、机房专用空调机组安装特性</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.7.1、在设计要求的室内、外组的安装正、负高差或水平距离条件下，机房专用空调机组能在较高效率下可靠运行。风冷型冷凝器要求在管路的当量长度在60米以内时，空调制冷量不低于标准值的95%。</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.7.2、室内空调机组需可以靠装，能够在机组设备的正面进行全面维修。</w:t>
      </w:r>
    </w:p>
    <w:p>
      <w:pPr>
        <w:widowControl/>
        <w:spacing w:line="360" w:lineRule="auto"/>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.8、机房专用空调机组的适用性：</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.8.1、机房专用空调机组采用包括上送风下回风的送风方式。</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.8.2、机房专用空调机组的送风余压应不小于75Pa，并可根据设计需要提供更高余压。提高机组送风余压应不减少机组的送风量。</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.8.3、机房专用空调机组应为系列产品，满足不同工况和负荷下的应用。机房专用空调机组的另配件规格统一或成为系列，并易于更换。</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.8.4、中标方人员在买方人员的监督下，将整套设备或一个系统安装起来，费用包含在货物报价内。</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.8.5、设备有载试运转将由买方操作人员在卖方技术人员的密切指导下进行，有载试运转不少于7天。有载试运转过程中，设备所出现的故障由卖方负责解决，买方给予协助。</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.8.6、设备到货应随机提供出厂验收报告。</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.8.7、在设备经过安装测试、试运行之后，买卖双方对设备性能进行鉴定，符合合同要求，买方出据验收证明并由中标方确认。验收标准为合同规定的要求和相关标准、中国国家标准、规范和双方认可的标准。</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.8.8、设备采用的外购、外协件应提供原产地证明及检验合格证书。</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.8.9、质保期为最终验收合格后12个月或验收后2000工作小时先到为准，</w:t>
      </w:r>
    </w:p>
    <w:p>
      <w:pPr>
        <w:widowControl/>
        <w:spacing w:line="360" w:lineRule="auto"/>
        <w:ind w:firstLine="480" w:firstLineChars="200"/>
        <w:rPr>
          <w:rFonts w:hint="eastAsia" w:ascii="宋体" w:hAnsi="宋体"/>
          <w:sz w:val="24"/>
        </w:rPr>
      </w:pPr>
      <w:r>
        <w:rPr>
          <w:rFonts w:hint="eastAsia" w:ascii="宋体" w:hAnsi="宋体"/>
          <w:sz w:val="24"/>
        </w:rPr>
        <w:t>对由于设计或质量问题而引起的设备故障，中标方应全权对此负责。</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.9、在设备到货时随车的专用工具必须到位。</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.9.1、卖方应在报价中说明质保期满后如何在技术上继续给买方以支持。如是否可定期派人到买方现场对设备作全面检查，根据检查结果向买方提出维修建议。</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9.2、卖方应在报价中说明质保期满后，卖方在设备维修方面能给买方什么样的支持。如买方是否可得到卖方在专业维修点的帮助；对于买方遇到的紧急故障需要卖方帮助处理时，卖方如何以最快的速度给予支持。</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.9.3、中标方对设备大修周期、使用寿命及各主要部件的寿命承诺为使用寿命应不少于10年。</w:t>
      </w:r>
    </w:p>
    <w:p>
      <w:pPr>
        <w:widowControl/>
        <w:spacing w:line="360" w:lineRule="auto"/>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.9.4、中标方定期对设备进行回访，并对用户提出的问题在七个工作日内进行解决。</w:t>
      </w:r>
    </w:p>
    <w:p>
      <w:pPr>
        <w:spacing w:line="360" w:lineRule="auto"/>
        <w:rPr>
          <w:rFonts w:hint="eastAsia" w:ascii="宋体" w:hAnsi="宋体"/>
          <w:sz w:val="24"/>
          <w:szCs w:val="24"/>
        </w:rPr>
      </w:pPr>
    </w:p>
    <w:p>
      <w:pPr>
        <w:spacing w:line="360" w:lineRule="auto"/>
        <w:jc w:val="center"/>
        <w:rPr>
          <w:rFonts w:hint="eastAsia" w:ascii="宋体" w:hAnsi="宋体"/>
          <w:b/>
          <w:sz w:val="24"/>
        </w:rPr>
      </w:pPr>
      <w:r>
        <w:rPr>
          <w:rFonts w:hint="eastAsia" w:ascii="宋体" w:hAnsi="宋体"/>
          <w:b/>
          <w:sz w:val="24"/>
        </w:rPr>
        <w:t>第四节  设计和制造标准</w:t>
      </w:r>
    </w:p>
    <w:p>
      <w:pPr>
        <w:spacing w:line="360" w:lineRule="auto"/>
        <w:ind w:firstLine="480" w:firstLineChars="200"/>
        <w:rPr>
          <w:rFonts w:ascii="宋体" w:hAnsi="宋体"/>
          <w:sz w:val="24"/>
        </w:rPr>
      </w:pPr>
      <w:r>
        <w:rPr>
          <w:rFonts w:hint="eastAsia" w:ascii="宋体" w:hAnsi="宋体"/>
          <w:sz w:val="24"/>
        </w:rPr>
        <w:t xml:space="preserve">1.1 </w:t>
      </w:r>
      <w:r>
        <w:rPr>
          <w:rFonts w:ascii="宋体" w:hAnsi="宋体"/>
          <w:sz w:val="24"/>
        </w:rPr>
        <w:t>GB/T 29044-2012 –</w:t>
      </w:r>
      <w:r>
        <w:rPr>
          <w:rFonts w:hint="eastAsia" w:ascii="宋体" w:hAnsi="宋体"/>
          <w:sz w:val="24"/>
        </w:rPr>
        <w:t>《采暖空调系统水质》</w:t>
      </w:r>
    </w:p>
    <w:p>
      <w:pPr>
        <w:spacing w:line="360" w:lineRule="auto"/>
        <w:ind w:firstLine="480" w:firstLineChars="200"/>
        <w:rPr>
          <w:rFonts w:hint="eastAsia" w:ascii="宋体" w:hAnsi="宋体"/>
          <w:sz w:val="24"/>
        </w:rPr>
      </w:pPr>
      <w:r>
        <w:rPr>
          <w:rFonts w:hint="eastAsia" w:ascii="宋体" w:hAnsi="宋体"/>
          <w:sz w:val="24"/>
        </w:rPr>
        <w:t xml:space="preserve">1.2 </w:t>
      </w:r>
      <w:r>
        <w:rPr>
          <w:rFonts w:ascii="宋体" w:hAnsi="宋体"/>
          <w:sz w:val="24"/>
        </w:rPr>
        <w:t>GB/T 28636-2012 –</w:t>
      </w:r>
      <w:r>
        <w:rPr>
          <w:rFonts w:hint="eastAsia" w:ascii="宋体" w:hAnsi="宋体"/>
          <w:sz w:val="24"/>
        </w:rPr>
        <w:t>《采暖与空调系统水力平衡阀》</w:t>
      </w:r>
    </w:p>
    <w:p>
      <w:pPr>
        <w:spacing w:line="360" w:lineRule="auto"/>
        <w:ind w:firstLine="480" w:firstLineChars="200"/>
        <w:rPr>
          <w:rFonts w:hint="eastAsia" w:ascii="宋体" w:hAnsi="宋体"/>
          <w:sz w:val="24"/>
        </w:rPr>
      </w:pPr>
      <w:r>
        <w:rPr>
          <w:rFonts w:hint="eastAsia" w:ascii="宋体" w:hAnsi="宋体"/>
          <w:sz w:val="24"/>
        </w:rPr>
        <w:t xml:space="preserve">1.3 </w:t>
      </w:r>
      <w:r>
        <w:rPr>
          <w:rFonts w:ascii="宋体" w:hAnsi="宋体"/>
          <w:sz w:val="24"/>
        </w:rPr>
        <w:t xml:space="preserve">GB 50738-2011 – </w:t>
      </w:r>
      <w:r>
        <w:rPr>
          <w:rFonts w:hint="eastAsia" w:ascii="宋体" w:hAnsi="宋体"/>
          <w:sz w:val="24"/>
        </w:rPr>
        <w:t>《通风与空调工程施工规范(附条文说明)》</w:t>
      </w:r>
    </w:p>
    <w:p>
      <w:pPr>
        <w:spacing w:line="360" w:lineRule="auto"/>
        <w:ind w:firstLine="480" w:firstLineChars="200"/>
        <w:rPr>
          <w:rFonts w:hint="eastAsia" w:ascii="宋体" w:hAnsi="宋体"/>
          <w:sz w:val="24"/>
        </w:rPr>
      </w:pPr>
      <w:r>
        <w:rPr>
          <w:rFonts w:hint="eastAsia" w:ascii="宋体" w:hAnsi="宋体"/>
          <w:sz w:val="24"/>
        </w:rPr>
        <w:t xml:space="preserve">1.4 </w:t>
      </w:r>
      <w:r>
        <w:rPr>
          <w:rFonts w:ascii="宋体" w:hAnsi="宋体"/>
          <w:sz w:val="24"/>
        </w:rPr>
        <w:t xml:space="preserve">GB/T 26759-2011 – </w:t>
      </w:r>
      <w:r>
        <w:rPr>
          <w:rFonts w:hint="eastAsia" w:ascii="宋体" w:hAnsi="宋体"/>
          <w:sz w:val="24"/>
        </w:rPr>
        <w:t>《中央空调水系统节能控制装置技术规范》</w:t>
      </w:r>
    </w:p>
    <w:p>
      <w:pPr>
        <w:spacing w:line="360" w:lineRule="auto"/>
        <w:ind w:firstLine="480" w:firstLineChars="200"/>
        <w:rPr>
          <w:rFonts w:hint="eastAsia" w:ascii="宋体" w:hAnsi="宋体"/>
          <w:sz w:val="24"/>
        </w:rPr>
      </w:pPr>
      <w:r>
        <w:rPr>
          <w:rFonts w:hint="eastAsia" w:ascii="宋体" w:hAnsi="宋体"/>
          <w:sz w:val="24"/>
        </w:rPr>
        <w:t xml:space="preserve">1.5 </w:t>
      </w:r>
      <w:r>
        <w:rPr>
          <w:rFonts w:ascii="宋体" w:hAnsi="宋体"/>
          <w:sz w:val="24"/>
        </w:rPr>
        <w:t xml:space="preserve">GB/T 25858-2010 – </w:t>
      </w:r>
      <w:r>
        <w:rPr>
          <w:rFonts w:hint="eastAsia" w:ascii="宋体" w:hAnsi="宋体"/>
          <w:sz w:val="24"/>
        </w:rPr>
        <w:t>《精密空调机组性能测试方法》</w:t>
      </w:r>
    </w:p>
    <w:p>
      <w:pPr>
        <w:spacing w:line="360" w:lineRule="auto"/>
        <w:ind w:firstLine="480" w:firstLineChars="200"/>
        <w:rPr>
          <w:rFonts w:hint="eastAsia" w:ascii="宋体" w:hAnsi="宋体"/>
          <w:sz w:val="24"/>
        </w:rPr>
      </w:pPr>
      <w:r>
        <w:rPr>
          <w:rFonts w:hint="eastAsia" w:ascii="宋体" w:hAnsi="宋体"/>
          <w:sz w:val="24"/>
        </w:rPr>
        <w:t xml:space="preserve">1.6 </w:t>
      </w:r>
      <w:r>
        <w:rPr>
          <w:rFonts w:ascii="宋体" w:hAnsi="宋体"/>
          <w:sz w:val="24"/>
        </w:rPr>
        <w:t xml:space="preserve">GB/T 50114-2010 – </w:t>
      </w:r>
      <w:r>
        <w:rPr>
          <w:rFonts w:hint="eastAsia" w:ascii="宋体" w:hAnsi="宋体"/>
          <w:sz w:val="24"/>
        </w:rPr>
        <w:t>《暖通空调制图标准(附条文说明)》</w:t>
      </w:r>
    </w:p>
    <w:p>
      <w:pPr>
        <w:spacing w:line="360" w:lineRule="auto"/>
        <w:ind w:firstLine="480" w:firstLineChars="200"/>
        <w:rPr>
          <w:rFonts w:hint="eastAsia" w:ascii="宋体" w:hAnsi="宋体"/>
          <w:sz w:val="24"/>
        </w:rPr>
      </w:pPr>
      <w:r>
        <w:rPr>
          <w:rFonts w:hint="eastAsia" w:ascii="宋体" w:hAnsi="宋体"/>
          <w:sz w:val="24"/>
        </w:rPr>
        <w:t xml:space="preserve">1.7 </w:t>
      </w:r>
      <w:r>
        <w:rPr>
          <w:rFonts w:ascii="宋体" w:hAnsi="宋体"/>
          <w:sz w:val="24"/>
        </w:rPr>
        <w:t xml:space="preserve">GB/T 14294-2008 – </w:t>
      </w:r>
      <w:r>
        <w:rPr>
          <w:rFonts w:hint="eastAsia" w:ascii="宋体" w:hAnsi="宋体"/>
          <w:sz w:val="24"/>
        </w:rPr>
        <w:t>《组合式空调机组》</w:t>
      </w:r>
    </w:p>
    <w:p>
      <w:pPr>
        <w:spacing w:line="360" w:lineRule="auto"/>
        <w:ind w:firstLine="480" w:firstLineChars="200"/>
        <w:rPr>
          <w:rFonts w:hint="eastAsia" w:ascii="宋体" w:hAnsi="宋体"/>
          <w:sz w:val="24"/>
        </w:rPr>
      </w:pPr>
      <w:r>
        <w:rPr>
          <w:rFonts w:hint="eastAsia" w:ascii="宋体" w:hAnsi="宋体"/>
          <w:sz w:val="24"/>
        </w:rPr>
        <w:t xml:space="preserve">1.8 </w:t>
      </w:r>
      <w:r>
        <w:rPr>
          <w:rFonts w:ascii="宋体" w:hAnsi="宋体"/>
          <w:sz w:val="24"/>
        </w:rPr>
        <w:t xml:space="preserve">GB/T 17791-2007 – </w:t>
      </w:r>
      <w:r>
        <w:rPr>
          <w:rFonts w:hint="eastAsia" w:ascii="宋体" w:hAnsi="宋体"/>
          <w:sz w:val="24"/>
        </w:rPr>
        <w:t>《空调与制冷设备用无缝铜管》</w:t>
      </w:r>
    </w:p>
    <w:p>
      <w:pPr>
        <w:spacing w:line="360" w:lineRule="auto"/>
        <w:ind w:firstLine="480" w:firstLineChars="200"/>
        <w:rPr>
          <w:rFonts w:hint="eastAsia" w:ascii="宋体" w:hAnsi="宋体"/>
          <w:sz w:val="24"/>
        </w:rPr>
      </w:pPr>
      <w:r>
        <w:rPr>
          <w:rFonts w:hint="eastAsia" w:ascii="宋体" w:hAnsi="宋体"/>
          <w:sz w:val="24"/>
        </w:rPr>
        <w:t xml:space="preserve">1.9 </w:t>
      </w:r>
      <w:r>
        <w:rPr>
          <w:rFonts w:ascii="宋体" w:hAnsi="宋体"/>
          <w:sz w:val="24"/>
        </w:rPr>
        <w:t>GB 50365-2005</w:t>
      </w:r>
      <w:r>
        <w:rPr>
          <w:rFonts w:hint="eastAsia" w:ascii="宋体" w:hAnsi="宋体"/>
          <w:sz w:val="24"/>
        </w:rPr>
        <w:t xml:space="preserve"> - 《空调通风系统运行管理规范(附条文说明)》</w:t>
      </w:r>
    </w:p>
    <w:p>
      <w:pPr>
        <w:spacing w:line="360" w:lineRule="auto"/>
        <w:ind w:firstLine="480" w:firstLineChars="200"/>
        <w:rPr>
          <w:rFonts w:ascii="宋体" w:hAnsi="宋体"/>
          <w:sz w:val="24"/>
        </w:rPr>
      </w:pPr>
      <w:r>
        <w:rPr>
          <w:rFonts w:hint="eastAsia" w:ascii="宋体" w:hAnsi="宋体"/>
          <w:sz w:val="24"/>
        </w:rPr>
        <w:t xml:space="preserve">2.1 </w:t>
      </w:r>
      <w:r>
        <w:rPr>
          <w:rFonts w:ascii="宋体" w:hAnsi="宋体"/>
          <w:sz w:val="24"/>
        </w:rPr>
        <w:t>若货物原产国的国家标准或目前使用的企业标准高于上述标准，同样适用。</w:t>
      </w:r>
    </w:p>
    <w:p>
      <w:pPr>
        <w:spacing w:line="360" w:lineRule="auto"/>
        <w:ind w:firstLine="480" w:firstLineChars="200"/>
        <w:rPr>
          <w:rFonts w:ascii="宋体" w:hAnsi="宋体"/>
          <w:sz w:val="24"/>
        </w:rPr>
      </w:pPr>
      <w:r>
        <w:rPr>
          <w:rFonts w:hint="eastAsia" w:ascii="宋体" w:hAnsi="宋体"/>
          <w:sz w:val="24"/>
        </w:rPr>
        <w:t xml:space="preserve">3.1 </w:t>
      </w:r>
      <w:r>
        <w:rPr>
          <w:rFonts w:ascii="宋体" w:hAnsi="宋体"/>
          <w:sz w:val="24"/>
        </w:rPr>
        <w:t>设备的设计与制造要求采用国际公制单位，个别部件采用英制单位应列出清单。</w:t>
      </w:r>
    </w:p>
    <w:p>
      <w:pPr>
        <w:spacing w:line="360" w:lineRule="auto"/>
        <w:ind w:firstLine="480" w:firstLineChars="200"/>
        <w:rPr>
          <w:rFonts w:ascii="宋体" w:hAnsi="宋体"/>
          <w:sz w:val="24"/>
        </w:rPr>
      </w:pPr>
      <w:r>
        <w:rPr>
          <w:rFonts w:hint="eastAsia" w:ascii="宋体" w:hAnsi="宋体"/>
          <w:sz w:val="24"/>
        </w:rPr>
        <w:t xml:space="preserve">4.1 </w:t>
      </w:r>
      <w:r>
        <w:rPr>
          <w:rFonts w:ascii="宋体" w:hAnsi="宋体"/>
          <w:sz w:val="24"/>
        </w:rPr>
        <w:t>防爆电气设备应按中国国家防爆标准或其它中国防爆检验部门认可的标准制造。</w:t>
      </w:r>
    </w:p>
    <w:p>
      <w:pPr>
        <w:spacing w:line="360" w:lineRule="auto"/>
        <w:ind w:firstLine="480" w:firstLineChars="200"/>
      </w:pPr>
      <w:r>
        <w:rPr>
          <w:rFonts w:hint="eastAsia" w:ascii="宋体" w:hAnsi="宋体"/>
          <w:sz w:val="24"/>
        </w:rPr>
        <w:t xml:space="preserve">5 </w:t>
      </w:r>
      <w:r>
        <w:rPr>
          <w:rFonts w:ascii="宋体" w:hAnsi="宋体"/>
          <w:sz w:val="24"/>
        </w:rPr>
        <w:t>上述标准均应为</w:t>
      </w:r>
      <w:r>
        <w:rPr>
          <w:rFonts w:hint="eastAsia" w:ascii="宋体" w:hAnsi="宋体"/>
          <w:sz w:val="24"/>
        </w:rPr>
        <w:t>投</w:t>
      </w:r>
      <w:r>
        <w:rPr>
          <w:rFonts w:ascii="宋体" w:hAnsi="宋体"/>
          <w:sz w:val="24"/>
        </w:rPr>
        <w:t>标截止日时的最新有效版</w:t>
      </w:r>
      <w:r>
        <w:rPr>
          <w:rFonts w:hint="eastAsia" w:ascii="宋体" w:hAnsi="宋体"/>
          <w:sz w:val="24"/>
        </w:rPr>
        <w:t>。</w:t>
      </w:r>
    </w:p>
    <w:sectPr>
      <w:pgSz w:w="11907" w:h="16840"/>
      <w:pgMar w:top="1701" w:right="1418" w:bottom="1418" w:left="1418" w:header="1304" w:footer="107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方正小标宋简体">
    <w:altName w:val="Arial Unicode MS"/>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PMingLiU">
    <w:panose1 w:val="02020300000000000000"/>
    <w:charset w:val="88"/>
    <w:family w:val="roman"/>
    <w:pitch w:val="default"/>
    <w:sig w:usb0="00000003" w:usb1="082E0000" w:usb2="00000016" w:usb3="00000000" w:csb0="00100001" w:csb1="00000000"/>
  </w:font>
  <w:font w:name="Wingdings 2">
    <w:panose1 w:val="05020102010507070707"/>
    <w:charset w:val="02"/>
    <w:family w:val="roman"/>
    <w:pitch w:val="default"/>
    <w:sig w:usb0="00000000" w:usb1="00000000" w:usb2="00000000" w:usb3="00000000" w:csb0="80000000" w:csb1="00000000"/>
  </w:font>
  <w:font w:name="Tahoma">
    <w:panose1 w:val="020B0604030504040204"/>
    <w:charset w:val="00"/>
    <w:family w:val="swiss"/>
    <w:pitch w:val="default"/>
    <w:sig w:usb0="61007A87" w:usb1="80000000" w:usb2="00000008" w:usb3="00000000" w:csb0="200101FF" w:csb1="20280000"/>
  </w:font>
  <w:font w:name="宋体-18030">
    <w:altName w:val="宋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Calibri Light">
    <w:altName w:val="Calibri"/>
    <w:panose1 w:val="020F0302020204030204"/>
    <w:charset w:val="00"/>
    <w:family w:val="roman"/>
    <w:pitch w:val="default"/>
    <w:sig w:usb0="00000000" w:usb1="00000000" w:usb2="00000000" w:usb3="00000000" w:csb0="2000019F" w:csb1="00000000"/>
  </w:font>
  <w:font w:name="微软雅黑">
    <w:panose1 w:val="020B0503020204020204"/>
    <w:charset w:val="86"/>
    <w:family w:val="auto"/>
    <w:pitch w:val="default"/>
    <w:sig w:usb0="80000287" w:usb1="080F3C52"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华文细黑">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FZHei-B01S">
    <w:altName w:val="Arial"/>
    <w:panose1 w:val="00000000000000000000"/>
    <w:charset w:val="00"/>
    <w:family w:val="swiss"/>
    <w:pitch w:val="default"/>
    <w:sig w:usb0="00000000" w:usb1="00000000" w:usb2="00000000" w:usb3="00000000" w:csb0="00040001" w:csb1="00000000"/>
  </w:font>
  <w:font w:name="MicrosoftYaHei">
    <w:altName w:val="Arial"/>
    <w:panose1 w:val="00000000000000000000"/>
    <w:charset w:val="00"/>
    <w:family w:val="swiss"/>
    <w:pitch w:val="default"/>
    <w:sig w:usb0="00000000" w:usb1="00000000" w:usb2="00000000" w:usb3="00000000" w:csb0="00040001" w:csb1="00000000"/>
  </w:font>
  <w:font w:name="仿宋">
    <w:altName w:val="仿宋_GB2312"/>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B5EE1"/>
    <w:multiLevelType w:val="singleLevel"/>
    <w:tmpl w:val="595B5EE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91038C"/>
    <w:rsid w:val="3F7D6369"/>
    <w:rsid w:val="47174C9C"/>
    <w:rsid w:val="4E731304"/>
    <w:rsid w:val="512E5DF5"/>
    <w:rsid w:val="57BC1B67"/>
    <w:rsid w:val="67847D75"/>
    <w:rsid w:val="75597587"/>
    <w:rsid w:val="76B37F1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2017-07-04T09:26:32Z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