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color w:val="000000"/>
          <w:sz w:val="48"/>
          <w:szCs w:val="48"/>
        </w:rPr>
      </w:pPr>
      <w:bookmarkStart w:id="4" w:name="_GoBack"/>
      <w:bookmarkEnd w:id="4"/>
      <w:bookmarkStart w:id="0" w:name="_Toc152045772"/>
      <w:bookmarkStart w:id="1" w:name="_Toc144974834"/>
      <w:bookmarkStart w:id="2" w:name="_Toc152042554"/>
      <w:bookmarkStart w:id="3" w:name="_Toc357086141"/>
      <w:r>
        <w:rPr>
          <w:rFonts w:hint="eastAsia" w:ascii="宋体" w:hAnsi="宋体"/>
          <w:b/>
          <w:color w:val="000000"/>
          <w:sz w:val="48"/>
          <w:szCs w:val="48"/>
        </w:rPr>
        <w:t>设备购置审批表</w:t>
      </w:r>
    </w:p>
    <w:p>
      <w:pPr>
        <w:wordWrap w:val="0"/>
        <w:ind w:right="150"/>
        <w:jc w:val="right"/>
        <w:rPr>
          <w:rFonts w:ascii="宋体" w:hAnsi="宋体"/>
          <w:color w:val="000000"/>
          <w:sz w:val="32"/>
          <w:szCs w:val="32"/>
        </w:rPr>
      </w:pPr>
      <w:r>
        <w:rPr>
          <w:rFonts w:hint="eastAsia" w:ascii="宋体" w:hAnsi="宋体"/>
          <w:color w:val="000000"/>
          <w:sz w:val="32"/>
          <w:szCs w:val="32"/>
        </w:rPr>
        <w:t xml:space="preserve">  2016年5月25日</w:t>
      </w:r>
    </w:p>
    <w:tbl>
      <w:tblPr>
        <w:tblStyle w:val="17"/>
        <w:tblW w:w="95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1069"/>
        <w:gridCol w:w="3008"/>
        <w:gridCol w:w="1990"/>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56" w:hRule="atLeast"/>
          <w:jc w:val="center"/>
        </w:trPr>
        <w:tc>
          <w:tcPr>
            <w:tcW w:w="2243" w:type="dxa"/>
            <w:gridSpan w:val="2"/>
            <w:vAlign w:val="center"/>
          </w:tcPr>
          <w:p>
            <w:pPr>
              <w:jc w:val="center"/>
              <w:rPr>
                <w:rFonts w:ascii="宋体" w:hAnsi="宋体"/>
                <w:color w:val="000000"/>
                <w:sz w:val="32"/>
                <w:szCs w:val="32"/>
              </w:rPr>
            </w:pPr>
            <w:r>
              <w:rPr>
                <w:rFonts w:hint="eastAsia" w:ascii="宋体" w:hAnsi="宋体"/>
                <w:color w:val="000000"/>
                <w:sz w:val="32"/>
                <w:szCs w:val="32"/>
              </w:rPr>
              <w:t>设备名称</w:t>
            </w:r>
          </w:p>
        </w:tc>
        <w:tc>
          <w:tcPr>
            <w:tcW w:w="3008" w:type="dxa"/>
            <w:vAlign w:val="center"/>
          </w:tcPr>
          <w:p>
            <w:pPr>
              <w:jc w:val="center"/>
              <w:rPr>
                <w:rFonts w:ascii="宋体" w:hAnsi="宋体"/>
                <w:color w:val="000000"/>
                <w:sz w:val="32"/>
                <w:szCs w:val="32"/>
              </w:rPr>
            </w:pPr>
            <w:r>
              <w:rPr>
                <w:rFonts w:hint="eastAsia" w:ascii="宋体" w:hAnsi="宋体"/>
                <w:color w:val="000000"/>
                <w:sz w:val="32"/>
                <w:szCs w:val="32"/>
              </w:rPr>
              <w:t>锦界煤矿井下WiFi网络全覆盖</w:t>
            </w:r>
          </w:p>
        </w:tc>
        <w:tc>
          <w:tcPr>
            <w:tcW w:w="1990" w:type="dxa"/>
            <w:vAlign w:val="center"/>
          </w:tcPr>
          <w:p>
            <w:pPr>
              <w:ind w:right="480"/>
              <w:jc w:val="center"/>
              <w:rPr>
                <w:rFonts w:ascii="宋体" w:hAnsi="宋体"/>
                <w:color w:val="000000"/>
                <w:sz w:val="32"/>
                <w:szCs w:val="32"/>
              </w:rPr>
            </w:pPr>
            <w:r>
              <w:rPr>
                <w:rFonts w:hint="eastAsia" w:ascii="宋体" w:hAnsi="宋体"/>
                <w:color w:val="000000"/>
                <w:sz w:val="32"/>
                <w:szCs w:val="32"/>
              </w:rPr>
              <w:t>购置数量</w:t>
            </w:r>
          </w:p>
        </w:tc>
        <w:tc>
          <w:tcPr>
            <w:tcW w:w="2322" w:type="dxa"/>
            <w:vAlign w:val="center"/>
          </w:tcPr>
          <w:p>
            <w:pPr>
              <w:ind w:firstLine="480" w:firstLineChars="150"/>
              <w:rPr>
                <w:rFonts w:ascii="宋体" w:hAnsi="宋体"/>
                <w:color w:val="000000"/>
                <w:sz w:val="32"/>
                <w:szCs w:val="32"/>
              </w:rPr>
            </w:pPr>
            <w:r>
              <w:rPr>
                <w:rFonts w:hint="eastAsia" w:ascii="宋体" w:hAnsi="宋体"/>
                <w:color w:val="000000"/>
                <w:sz w:val="32"/>
                <w:szCs w:val="32"/>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2" w:hRule="atLeast"/>
          <w:jc w:val="center"/>
        </w:trPr>
        <w:tc>
          <w:tcPr>
            <w:tcW w:w="2243" w:type="dxa"/>
            <w:gridSpan w:val="2"/>
            <w:vAlign w:val="center"/>
          </w:tcPr>
          <w:p>
            <w:pPr>
              <w:jc w:val="center"/>
              <w:rPr>
                <w:rFonts w:ascii="宋体" w:hAnsi="宋体"/>
                <w:color w:val="000000"/>
                <w:sz w:val="32"/>
                <w:szCs w:val="32"/>
              </w:rPr>
            </w:pPr>
            <w:r>
              <w:rPr>
                <w:rFonts w:hint="eastAsia" w:ascii="宋体" w:hAnsi="宋体"/>
                <w:color w:val="000000"/>
                <w:sz w:val="32"/>
                <w:szCs w:val="32"/>
              </w:rPr>
              <w:t>计划来源</w:t>
            </w:r>
          </w:p>
        </w:tc>
        <w:tc>
          <w:tcPr>
            <w:tcW w:w="7320" w:type="dxa"/>
            <w:gridSpan w:val="3"/>
            <w:vAlign w:val="center"/>
          </w:tcPr>
          <w:p>
            <w:pPr>
              <w:jc w:val="left"/>
              <w:rPr>
                <w:rFonts w:ascii="宋体" w:hAnsi="宋体"/>
                <w:color w:val="000000"/>
                <w:sz w:val="32"/>
                <w:szCs w:val="32"/>
              </w:rPr>
            </w:pPr>
            <w:r>
              <w:rPr>
                <w:rFonts w:hint="eastAsia" w:ascii="宋体" w:hAnsi="宋体"/>
                <w:color w:val="000000"/>
                <w:sz w:val="32"/>
                <w:szCs w:val="32"/>
              </w:rPr>
              <w:t>2017年专项锦界煤矿井下WiFi网络全覆盖（</w:t>
            </w:r>
            <w:r>
              <w:rPr>
                <w:rFonts w:hint="eastAsia" w:ascii="宋体" w:hAnsi="宋体"/>
                <w:color w:val="000000"/>
                <w:sz w:val="32"/>
                <w:lang w:val="zh-CN"/>
              </w:rPr>
              <w:t>201631055045</w:t>
            </w:r>
            <w:r>
              <w:rPr>
                <w:rFonts w:hint="eastAsia" w:ascii="宋体" w:hAnsi="宋体"/>
                <w:color w:val="000000"/>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5" w:hRule="atLeast"/>
          <w:jc w:val="center"/>
        </w:trPr>
        <w:tc>
          <w:tcPr>
            <w:tcW w:w="2243" w:type="dxa"/>
            <w:gridSpan w:val="2"/>
            <w:vAlign w:val="center"/>
          </w:tcPr>
          <w:p>
            <w:pPr>
              <w:jc w:val="center"/>
              <w:rPr>
                <w:rFonts w:ascii="宋体" w:hAnsi="宋体"/>
                <w:color w:val="000000"/>
                <w:sz w:val="28"/>
                <w:szCs w:val="28"/>
              </w:rPr>
            </w:pPr>
            <w:r>
              <w:rPr>
                <w:rFonts w:hint="eastAsia" w:ascii="宋体" w:hAnsi="宋体"/>
                <w:color w:val="000000"/>
                <w:sz w:val="28"/>
                <w:szCs w:val="28"/>
              </w:rPr>
              <w:t>主要技术参数</w:t>
            </w:r>
          </w:p>
        </w:tc>
        <w:tc>
          <w:tcPr>
            <w:tcW w:w="7320" w:type="dxa"/>
            <w:gridSpan w:val="3"/>
            <w:vAlign w:val="center"/>
          </w:tcPr>
          <w:p>
            <w:pPr>
              <w:rPr>
                <w:rFonts w:ascii="宋体" w:hAnsi="宋体"/>
                <w:color w:val="000000"/>
                <w:sz w:val="24"/>
              </w:rPr>
            </w:pPr>
            <w:r>
              <w:rPr>
                <w:rFonts w:hint="eastAsia" w:ascii="宋体" w:hAnsi="宋体"/>
                <w:color w:val="000000"/>
                <w:sz w:val="24"/>
              </w:rPr>
              <w:t>1、汇聚交换机</w:t>
            </w:r>
          </w:p>
          <w:p>
            <w:pPr>
              <w:rPr>
                <w:rFonts w:ascii="宋体" w:hAnsi="宋体"/>
                <w:color w:val="000000"/>
                <w:sz w:val="24"/>
              </w:rPr>
            </w:pPr>
            <w:r>
              <w:rPr>
                <w:rFonts w:hint="eastAsia" w:ascii="宋体" w:hAnsi="宋体"/>
                <w:color w:val="000000"/>
                <w:sz w:val="24"/>
              </w:rPr>
              <w:t>交换容量≥76Tbps</w:t>
            </w:r>
          </w:p>
          <w:p>
            <w:pPr>
              <w:rPr>
                <w:rFonts w:ascii="宋体" w:hAnsi="宋体"/>
                <w:color w:val="000000"/>
                <w:sz w:val="24"/>
              </w:rPr>
            </w:pPr>
            <w:r>
              <w:rPr>
                <w:rFonts w:hint="eastAsia" w:ascii="宋体" w:hAnsi="宋体"/>
                <w:color w:val="000000"/>
                <w:sz w:val="24"/>
              </w:rPr>
              <w:t>转发性能≥20000Mpps</w:t>
            </w:r>
          </w:p>
          <w:p>
            <w:pPr>
              <w:rPr>
                <w:rFonts w:ascii="宋体" w:hAnsi="宋体"/>
                <w:color w:val="000000"/>
                <w:sz w:val="24"/>
              </w:rPr>
            </w:pPr>
            <w:r>
              <w:rPr>
                <w:rFonts w:hint="eastAsia" w:ascii="宋体" w:hAnsi="宋体"/>
                <w:color w:val="000000"/>
                <w:sz w:val="24"/>
              </w:rPr>
              <w:t>主控、电源、监控板、风扇框冗余设计；主控引擎≥2，整机业务板槽位数≥6，电源≥2</w:t>
            </w:r>
          </w:p>
          <w:p>
            <w:pPr>
              <w:rPr>
                <w:rFonts w:ascii="宋体" w:hAnsi="宋体"/>
                <w:color w:val="000000"/>
                <w:sz w:val="24"/>
              </w:rPr>
            </w:pPr>
            <w:r>
              <w:rPr>
                <w:rFonts w:hint="eastAsia" w:ascii="宋体" w:hAnsi="宋体"/>
                <w:color w:val="000000"/>
                <w:sz w:val="24"/>
              </w:rPr>
              <w:t>支持CPU保护技术，提供第三方证明材料原厂官网公开链接及截图证明。</w:t>
            </w:r>
          </w:p>
          <w:p>
            <w:pPr>
              <w:rPr>
                <w:rFonts w:ascii="宋体" w:hAnsi="宋体"/>
                <w:color w:val="000000"/>
                <w:sz w:val="24"/>
              </w:rPr>
            </w:pPr>
            <w:r>
              <w:rPr>
                <w:rFonts w:hint="eastAsia" w:ascii="宋体" w:hAnsi="宋体"/>
                <w:color w:val="000000"/>
                <w:sz w:val="24"/>
              </w:rPr>
              <w:t>为保障后期方便运维管理，要求与安全网关设备、AP、网管软件为同一品牌。</w:t>
            </w:r>
          </w:p>
          <w:p>
            <w:pPr>
              <w:rPr>
                <w:rFonts w:ascii="宋体" w:hAnsi="宋体"/>
                <w:color w:val="000000"/>
                <w:sz w:val="24"/>
              </w:rPr>
            </w:pPr>
            <w:r>
              <w:rPr>
                <w:rFonts w:hint="eastAsia" w:ascii="宋体" w:hAnsi="宋体"/>
                <w:color w:val="000000"/>
                <w:sz w:val="24"/>
              </w:rPr>
              <w:t>2、无线控制器</w:t>
            </w:r>
          </w:p>
          <w:p>
            <w:pPr>
              <w:rPr>
                <w:rFonts w:ascii="宋体" w:hAnsi="宋体"/>
                <w:color w:val="000000"/>
                <w:sz w:val="24"/>
              </w:rPr>
            </w:pPr>
            <w:r>
              <w:rPr>
                <w:rFonts w:hint="eastAsia" w:ascii="宋体" w:hAnsi="宋体"/>
                <w:color w:val="000000"/>
                <w:sz w:val="24"/>
              </w:rPr>
              <w:t>配置至少8个千兆电口，2个千兆SFP Combo口。</w:t>
            </w:r>
          </w:p>
          <w:p>
            <w:pPr>
              <w:rPr>
                <w:rFonts w:ascii="宋体" w:hAnsi="宋体"/>
                <w:color w:val="000000"/>
                <w:sz w:val="24"/>
              </w:rPr>
            </w:pPr>
            <w:r>
              <w:rPr>
                <w:rFonts w:hint="eastAsia" w:ascii="宋体" w:hAnsi="宋体"/>
                <w:color w:val="000000"/>
                <w:sz w:val="24"/>
              </w:rPr>
              <w:t>最大管理的AP数量不小于256个；本次配置管理AP授权数≥160个。</w:t>
            </w:r>
          </w:p>
          <w:p>
            <w:pPr>
              <w:rPr>
                <w:rFonts w:ascii="宋体" w:hAnsi="宋体"/>
                <w:color w:val="000000"/>
                <w:sz w:val="24"/>
              </w:rPr>
            </w:pPr>
            <w:r>
              <w:rPr>
                <w:rFonts w:hint="eastAsia" w:ascii="宋体" w:hAnsi="宋体"/>
                <w:color w:val="000000"/>
                <w:sz w:val="24"/>
              </w:rPr>
              <w:t>设备转发能力≥4Gbit/s；支持802.11 a/b/g/n/ac。</w:t>
            </w:r>
          </w:p>
          <w:p>
            <w:pPr>
              <w:rPr>
                <w:rFonts w:ascii="宋体" w:hAnsi="宋体"/>
                <w:color w:val="000000"/>
                <w:sz w:val="24"/>
              </w:rPr>
            </w:pPr>
            <w:r>
              <w:rPr>
                <w:rFonts w:hint="eastAsia" w:ascii="宋体" w:hAnsi="宋体"/>
                <w:color w:val="000000"/>
                <w:sz w:val="24"/>
              </w:rPr>
              <w:t>提供工信部入网证书</w:t>
            </w:r>
          </w:p>
          <w:p>
            <w:pPr>
              <w:rPr>
                <w:rFonts w:ascii="宋体" w:hAnsi="宋体"/>
                <w:color w:val="000000"/>
                <w:sz w:val="24"/>
              </w:rPr>
            </w:pPr>
            <w:r>
              <w:rPr>
                <w:rFonts w:hint="eastAsia" w:ascii="宋体" w:hAnsi="宋体"/>
                <w:color w:val="000000"/>
                <w:sz w:val="24"/>
              </w:rPr>
              <w:t>为保障后期方便运维管理，要求与安全网关设备、汇聚交换机、网管软件为同一品牌。</w:t>
            </w:r>
          </w:p>
          <w:p>
            <w:pPr>
              <w:rPr>
                <w:rFonts w:ascii="宋体" w:hAnsi="宋体"/>
                <w:color w:val="000000"/>
                <w:sz w:val="24"/>
              </w:rPr>
            </w:pPr>
            <w:r>
              <w:rPr>
                <w:rFonts w:hint="eastAsia" w:ascii="宋体" w:hAnsi="宋体"/>
                <w:color w:val="000000"/>
                <w:sz w:val="24"/>
              </w:rPr>
              <w:t>3、井下无线接入基站</w:t>
            </w:r>
          </w:p>
          <w:p>
            <w:pPr>
              <w:rPr>
                <w:rFonts w:ascii="宋体" w:hAnsi="宋体"/>
                <w:color w:val="000000"/>
                <w:sz w:val="24"/>
              </w:rPr>
            </w:pPr>
            <w:r>
              <w:rPr>
                <w:rFonts w:hint="eastAsia" w:ascii="宋体" w:hAnsi="宋体"/>
                <w:color w:val="000000"/>
                <w:sz w:val="24"/>
              </w:rPr>
              <w:t>工作模式：支持AP零配置上线，由无线控制器下发配置，金属外壳。</w:t>
            </w:r>
          </w:p>
          <w:p>
            <w:pPr>
              <w:rPr>
                <w:rFonts w:ascii="宋体" w:hAnsi="宋体"/>
                <w:color w:val="000000"/>
                <w:sz w:val="24"/>
              </w:rPr>
            </w:pPr>
            <w:r>
              <w:rPr>
                <w:rFonts w:hint="eastAsia" w:ascii="宋体" w:hAnsi="宋体"/>
                <w:color w:val="000000"/>
                <w:sz w:val="24"/>
              </w:rPr>
              <w:t>满足IEEE802.11 b/g/n标准，整机速率≥150Mbps，支持POE供电或本地电源适配器。</w:t>
            </w:r>
          </w:p>
          <w:p>
            <w:pPr>
              <w:rPr>
                <w:rFonts w:ascii="宋体" w:hAnsi="宋体"/>
                <w:color w:val="000000"/>
                <w:sz w:val="24"/>
              </w:rPr>
            </w:pPr>
            <w:r>
              <w:rPr>
                <w:rFonts w:hint="eastAsia" w:ascii="宋体" w:hAnsi="宋体"/>
                <w:color w:val="000000"/>
                <w:sz w:val="24"/>
              </w:rPr>
              <w:t>用户管理能力：支持最大接入用户数≥128个，支持基于SSID、用户组的接入控制和带宽管理， ACL条目数≥4K。</w:t>
            </w:r>
          </w:p>
          <w:p>
            <w:pPr>
              <w:rPr>
                <w:rFonts w:ascii="宋体" w:hAnsi="宋体"/>
                <w:color w:val="000000"/>
                <w:sz w:val="24"/>
              </w:rPr>
            </w:pPr>
            <w:r>
              <w:rPr>
                <w:rFonts w:hint="eastAsia" w:ascii="宋体" w:hAnsi="宋体"/>
                <w:color w:val="000000"/>
                <w:sz w:val="24"/>
              </w:rPr>
              <w:t>支持SSID个数≥16，支持SSID隐藏。</w:t>
            </w:r>
          </w:p>
          <w:p>
            <w:pPr>
              <w:rPr>
                <w:rFonts w:ascii="宋体" w:hAnsi="宋体"/>
                <w:color w:val="000000"/>
                <w:sz w:val="24"/>
              </w:rPr>
            </w:pPr>
            <w:r>
              <w:rPr>
                <w:rFonts w:hint="eastAsia" w:ascii="宋体" w:hAnsi="宋体"/>
                <w:color w:val="000000"/>
                <w:sz w:val="24"/>
              </w:rPr>
              <w:t>信号稳定技术：支持空时分组码(STBC)、低密度奇偶校验编码(LDPC)、最大似然检测（MLD）信号增强技术。</w:t>
            </w:r>
          </w:p>
          <w:p>
            <w:pPr>
              <w:rPr>
                <w:rFonts w:ascii="宋体" w:hAnsi="宋体"/>
                <w:color w:val="000000"/>
                <w:sz w:val="24"/>
              </w:rPr>
            </w:pPr>
            <w:r>
              <w:rPr>
                <w:rFonts w:hint="eastAsia" w:ascii="宋体" w:hAnsi="宋体"/>
                <w:color w:val="000000"/>
                <w:sz w:val="24"/>
              </w:rPr>
              <w:t>4、上网行为管理</w:t>
            </w:r>
          </w:p>
          <w:p>
            <w:pPr>
              <w:rPr>
                <w:rFonts w:ascii="宋体" w:hAnsi="宋体"/>
                <w:color w:val="000000"/>
                <w:sz w:val="24"/>
              </w:rPr>
            </w:pPr>
            <w:r>
              <w:rPr>
                <w:rFonts w:hint="eastAsia" w:ascii="宋体" w:hAnsi="宋体"/>
                <w:color w:val="000000"/>
                <w:sz w:val="24"/>
              </w:rPr>
              <w:t>支持P2P下载软件（BitTorrent，eMule等）、常见P2P视频软件（PPStream、PPLive等）、常见P2SP软件（迅雷、网际快车等）控制130余种P2P应用；提供常见IM控制，包括QQ、MSN、Gtalk（含加密）、雅虎通、飞信等，同时提供根据IM的不同行为属性（DPI小类，如聊天、语音、视频、文件上传下载、远程控制、网络硬盘等）进行控制；提供1200+应用识别，覆盖国内外主流应用，含300+移动智能终端应用，提供自定义应用。</w:t>
            </w:r>
          </w:p>
          <w:p>
            <w:pPr>
              <w:rPr>
                <w:rFonts w:ascii="宋体" w:hAnsi="宋体"/>
                <w:color w:val="000000"/>
                <w:sz w:val="24"/>
              </w:rPr>
            </w:pPr>
            <w:r>
              <w:rPr>
                <w:rFonts w:hint="eastAsia" w:ascii="宋体" w:hAnsi="宋体"/>
                <w:color w:val="000000"/>
                <w:sz w:val="24"/>
              </w:rPr>
              <w:t>具有中国信息安全认证中心颁发的《中国国家信息安全产品认证证书》。</w:t>
            </w:r>
          </w:p>
          <w:p>
            <w:pPr>
              <w:rPr>
                <w:rFonts w:ascii="宋体" w:hAnsi="宋体"/>
                <w:color w:val="000000"/>
                <w:sz w:val="24"/>
              </w:rPr>
            </w:pPr>
            <w:r>
              <w:rPr>
                <w:rFonts w:hint="eastAsia" w:ascii="宋体" w:hAnsi="宋体"/>
                <w:color w:val="000000"/>
                <w:sz w:val="24"/>
              </w:rPr>
              <w:t>具有《涉密信息系统产品检测证书》。</w:t>
            </w:r>
          </w:p>
          <w:p>
            <w:pPr>
              <w:rPr>
                <w:rFonts w:ascii="宋体" w:hAnsi="宋体"/>
                <w:color w:val="000000"/>
                <w:sz w:val="24"/>
              </w:rPr>
            </w:pPr>
            <w:r>
              <w:rPr>
                <w:rFonts w:hint="eastAsia" w:ascii="宋体" w:hAnsi="宋体"/>
                <w:color w:val="000000"/>
                <w:sz w:val="24"/>
              </w:rPr>
              <w:t>具有中国信息安全测评中心《信息技术产品安全测评证书》（EAL3+）。</w:t>
            </w:r>
          </w:p>
          <w:p>
            <w:pPr>
              <w:rPr>
                <w:rFonts w:ascii="宋体" w:hAnsi="宋体"/>
                <w:color w:val="000000"/>
                <w:sz w:val="24"/>
              </w:rPr>
            </w:pPr>
            <w:r>
              <w:rPr>
                <w:rFonts w:hint="eastAsia" w:ascii="宋体" w:hAnsi="宋体"/>
                <w:color w:val="000000"/>
                <w:sz w:val="24"/>
              </w:rPr>
              <w:t>为保障后期方便运维管理，要求与汇聚交换机、网管软件为同一品牌。</w:t>
            </w:r>
          </w:p>
          <w:p>
            <w:pPr>
              <w:rPr>
                <w:rFonts w:ascii="宋体" w:hAnsi="宋体"/>
                <w:color w:val="000000"/>
                <w:sz w:val="24"/>
              </w:rPr>
            </w:pPr>
            <w:r>
              <w:rPr>
                <w:rFonts w:hint="eastAsia" w:ascii="宋体" w:hAnsi="宋体"/>
                <w:color w:val="000000"/>
                <w:sz w:val="24"/>
              </w:rPr>
              <w:t>5、网络管理系统</w:t>
            </w:r>
          </w:p>
          <w:p>
            <w:pPr>
              <w:rPr>
                <w:rFonts w:ascii="宋体" w:hAnsi="宋体"/>
                <w:color w:val="000000"/>
                <w:sz w:val="24"/>
              </w:rPr>
            </w:pPr>
            <w:r>
              <w:rPr>
                <w:rFonts w:hint="eastAsia" w:ascii="宋体" w:hAnsi="宋体"/>
                <w:color w:val="000000"/>
                <w:sz w:val="24"/>
              </w:rPr>
              <w:t>基于B/S架构，至少支持Cisco、Huawei、H3C、锐捷等主流厂商的设备管理。要求具备自定义设备的管理能力（至少包括告警参数、性能指标），从而达到对新设备快速管理。</w:t>
            </w:r>
          </w:p>
          <w:p>
            <w:pPr>
              <w:rPr>
                <w:rFonts w:ascii="宋体" w:hAnsi="宋体"/>
                <w:color w:val="000000"/>
                <w:sz w:val="24"/>
              </w:rPr>
            </w:pPr>
            <w:r>
              <w:rPr>
                <w:rFonts w:hint="eastAsia" w:ascii="宋体" w:hAnsi="宋体"/>
                <w:color w:val="000000"/>
                <w:sz w:val="24"/>
              </w:rPr>
              <w:t>具有《计算机软件著作权证书》。</w:t>
            </w:r>
          </w:p>
          <w:p>
            <w:pPr>
              <w:rPr>
                <w:rFonts w:ascii="宋体" w:hAnsi="宋体"/>
                <w:color w:val="000000"/>
                <w:sz w:val="24"/>
              </w:rPr>
            </w:pPr>
            <w:r>
              <w:rPr>
                <w:rFonts w:hint="eastAsia" w:ascii="宋体" w:hAnsi="宋体"/>
                <w:color w:val="000000"/>
                <w:sz w:val="24"/>
              </w:rPr>
              <w:t>为保障后期管理维护，要求与汇聚交换机产品同一品牌。</w:t>
            </w:r>
          </w:p>
          <w:p>
            <w:pPr>
              <w:rPr>
                <w:rFonts w:ascii="宋体" w:hAnsi="宋体"/>
                <w:color w:val="000000"/>
                <w:sz w:val="24"/>
              </w:rPr>
            </w:pPr>
            <w:r>
              <w:rPr>
                <w:rFonts w:hint="eastAsia" w:ascii="宋体" w:hAnsi="宋体"/>
                <w:color w:val="000000"/>
                <w:sz w:val="24"/>
              </w:rPr>
              <w:t>6、接入认证系统</w:t>
            </w:r>
          </w:p>
          <w:p>
            <w:pPr>
              <w:rPr>
                <w:rFonts w:ascii="宋体" w:hAnsi="宋体"/>
                <w:color w:val="000000"/>
                <w:sz w:val="24"/>
              </w:rPr>
            </w:pPr>
            <w:r>
              <w:rPr>
                <w:rFonts w:hint="eastAsia" w:ascii="宋体" w:hAnsi="宋体"/>
                <w:color w:val="000000"/>
                <w:sz w:val="24"/>
              </w:rPr>
              <w:t>提供企业统一的网络接入策略，支持802.1x、Portal 认证、MAC 认证、SACG 等多种认证方式，实现企业网络有线、无线和VPN 接入的统一接入管理，基于角色身份、接入时间、接入地点、终端类型、终端归属、接入方式（5W1H）的精细化授权，满足企业多种网络接入、多种终端接入的统一运维管理需求。</w:t>
            </w:r>
          </w:p>
          <w:p>
            <w:pPr>
              <w:rPr>
                <w:rFonts w:ascii="宋体" w:hAnsi="宋体"/>
                <w:color w:val="000000"/>
                <w:sz w:val="24"/>
              </w:rPr>
            </w:pPr>
            <w:r>
              <w:rPr>
                <w:rFonts w:hint="eastAsia" w:ascii="宋体" w:hAnsi="宋体"/>
                <w:color w:val="000000"/>
                <w:sz w:val="24"/>
              </w:rPr>
              <w:t>提供软件著作权证书。</w:t>
            </w:r>
          </w:p>
          <w:p>
            <w:r>
              <w:rPr>
                <w:rFonts w:hint="eastAsia" w:ascii="宋体" w:hAnsi="宋体"/>
                <w:color w:val="000000"/>
                <w:sz w:val="24"/>
              </w:rPr>
              <w:t>为保障后期管理维护，要求与汇聚交换机产品同一品牌。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1" w:hRule="atLeast"/>
          <w:jc w:val="center"/>
        </w:trPr>
        <w:tc>
          <w:tcPr>
            <w:tcW w:w="2243" w:type="dxa"/>
            <w:gridSpan w:val="2"/>
            <w:vAlign w:val="center"/>
          </w:tcPr>
          <w:p>
            <w:pPr>
              <w:jc w:val="center"/>
              <w:rPr>
                <w:rFonts w:ascii="宋体" w:hAnsi="宋体"/>
                <w:color w:val="000000"/>
                <w:sz w:val="32"/>
                <w:szCs w:val="32"/>
              </w:rPr>
            </w:pPr>
            <w:r>
              <w:rPr>
                <w:rFonts w:hint="eastAsia" w:ascii="宋体" w:hAnsi="宋体"/>
                <w:color w:val="000000"/>
                <w:sz w:val="32"/>
                <w:szCs w:val="32"/>
              </w:rPr>
              <w:t>项目提报单位</w:t>
            </w:r>
          </w:p>
        </w:tc>
        <w:tc>
          <w:tcPr>
            <w:tcW w:w="7320" w:type="dxa"/>
            <w:gridSpan w:val="3"/>
            <w:vAlign w:val="center"/>
          </w:tcPr>
          <w:p>
            <w:pPr>
              <w:ind w:firstLine="640" w:firstLineChars="200"/>
              <w:rPr>
                <w:rFonts w:ascii="宋体" w:hAnsi="宋体"/>
                <w:color w:val="000000"/>
                <w:sz w:val="32"/>
                <w:szCs w:val="32"/>
              </w:rPr>
            </w:pPr>
            <w:r>
              <w:rPr>
                <w:rFonts w:hint="eastAsia" w:ascii="宋体" w:hAnsi="宋体"/>
                <w:color w:val="000000"/>
                <w:sz w:val="32"/>
                <w:szCs w:val="32"/>
              </w:rPr>
              <w:t>锦界煤矿机电组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1" w:hRule="atLeast"/>
          <w:jc w:val="center"/>
        </w:trPr>
        <w:tc>
          <w:tcPr>
            <w:tcW w:w="2243" w:type="dxa"/>
            <w:gridSpan w:val="2"/>
            <w:vAlign w:val="center"/>
          </w:tcPr>
          <w:p>
            <w:pPr>
              <w:jc w:val="center"/>
              <w:rPr>
                <w:rFonts w:ascii="宋体" w:hAnsi="宋体"/>
                <w:color w:val="000000"/>
                <w:sz w:val="32"/>
                <w:szCs w:val="32"/>
              </w:rPr>
            </w:pPr>
            <w:r>
              <w:rPr>
                <w:rFonts w:hint="eastAsia" w:ascii="宋体" w:hAnsi="宋体"/>
                <w:color w:val="000000"/>
                <w:sz w:val="32"/>
                <w:szCs w:val="32"/>
              </w:rPr>
              <w:t>机电管理部</w:t>
            </w:r>
          </w:p>
        </w:tc>
        <w:tc>
          <w:tcPr>
            <w:tcW w:w="7320" w:type="dxa"/>
            <w:gridSpan w:val="3"/>
            <w:vAlign w:val="center"/>
          </w:tcPr>
          <w:p>
            <w:pPr>
              <w:rPr>
                <w:rFonts w:ascii="宋体" w:hAnsi="宋体"/>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3" w:hRule="atLeast"/>
          <w:jc w:val="center"/>
        </w:trPr>
        <w:tc>
          <w:tcPr>
            <w:tcW w:w="1174" w:type="dxa"/>
            <w:vMerge w:val="restart"/>
            <w:vAlign w:val="center"/>
          </w:tcPr>
          <w:p>
            <w:pPr>
              <w:rPr>
                <w:rFonts w:ascii="宋体" w:hAnsi="宋体"/>
                <w:color w:val="000000"/>
                <w:sz w:val="32"/>
                <w:szCs w:val="32"/>
              </w:rPr>
            </w:pPr>
            <w:r>
              <w:rPr>
                <w:rFonts w:hint="eastAsia" w:ascii="宋体" w:hAnsi="宋体"/>
                <w:color w:val="000000"/>
                <w:sz w:val="32"/>
                <w:szCs w:val="32"/>
              </w:rPr>
              <w:t>设备管理中 心</w:t>
            </w:r>
          </w:p>
        </w:tc>
        <w:tc>
          <w:tcPr>
            <w:tcW w:w="1069" w:type="dxa"/>
            <w:vAlign w:val="center"/>
          </w:tcPr>
          <w:p>
            <w:pPr>
              <w:jc w:val="center"/>
              <w:rPr>
                <w:rFonts w:ascii="宋体" w:hAnsi="宋体"/>
                <w:color w:val="000000"/>
                <w:sz w:val="32"/>
                <w:szCs w:val="32"/>
              </w:rPr>
            </w:pPr>
            <w:r>
              <w:rPr>
                <w:rFonts w:hint="eastAsia" w:ascii="宋体" w:hAnsi="宋体"/>
                <w:color w:val="000000"/>
                <w:sz w:val="32"/>
                <w:szCs w:val="32"/>
              </w:rPr>
              <w:t>技术部</w:t>
            </w:r>
          </w:p>
        </w:tc>
        <w:tc>
          <w:tcPr>
            <w:tcW w:w="7320" w:type="dxa"/>
            <w:gridSpan w:val="3"/>
            <w:vAlign w:val="center"/>
          </w:tcPr>
          <w:p>
            <w:pPr>
              <w:jc w:val="center"/>
              <w:rPr>
                <w:rFonts w:ascii="宋体" w:hAnsi="宋体"/>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0" w:hRule="atLeast"/>
          <w:jc w:val="center"/>
        </w:trPr>
        <w:tc>
          <w:tcPr>
            <w:tcW w:w="1174" w:type="dxa"/>
            <w:vMerge w:val="continue"/>
            <w:vAlign w:val="center"/>
          </w:tcPr>
          <w:p>
            <w:pPr>
              <w:rPr>
                <w:rFonts w:ascii="宋体" w:hAnsi="宋体"/>
                <w:color w:val="000000"/>
                <w:sz w:val="32"/>
                <w:szCs w:val="32"/>
              </w:rPr>
            </w:pPr>
          </w:p>
        </w:tc>
        <w:tc>
          <w:tcPr>
            <w:tcW w:w="1069" w:type="dxa"/>
            <w:vAlign w:val="center"/>
          </w:tcPr>
          <w:p>
            <w:pPr>
              <w:jc w:val="center"/>
              <w:rPr>
                <w:rFonts w:ascii="宋体" w:hAnsi="宋体"/>
                <w:color w:val="000000"/>
                <w:sz w:val="32"/>
                <w:szCs w:val="32"/>
              </w:rPr>
            </w:pPr>
            <w:r>
              <w:rPr>
                <w:rFonts w:hint="eastAsia" w:ascii="宋体" w:hAnsi="宋体"/>
                <w:color w:val="000000"/>
                <w:sz w:val="32"/>
                <w:szCs w:val="32"/>
              </w:rPr>
              <w:t>分管领导</w:t>
            </w:r>
          </w:p>
        </w:tc>
        <w:tc>
          <w:tcPr>
            <w:tcW w:w="7320" w:type="dxa"/>
            <w:gridSpan w:val="3"/>
            <w:vAlign w:val="center"/>
          </w:tcPr>
          <w:p>
            <w:pPr>
              <w:jc w:val="center"/>
              <w:rPr>
                <w:rFonts w:ascii="宋体" w:hAnsi="宋体"/>
                <w:color w:val="000000"/>
                <w:sz w:val="32"/>
                <w:szCs w:val="32"/>
              </w:rPr>
            </w:pPr>
          </w:p>
        </w:tc>
      </w:tr>
      <w:bookmarkEnd w:id="0"/>
      <w:bookmarkEnd w:id="1"/>
      <w:bookmarkEnd w:id="2"/>
    </w:tbl>
    <w:p>
      <w:pPr>
        <w:pStyle w:val="2"/>
        <w:spacing w:before="120" w:after="120" w:line="400" w:lineRule="exact"/>
        <w:jc w:val="center"/>
        <w:rPr>
          <w:rFonts w:ascii="黑体" w:hAnsi="黑体" w:eastAsia="黑体"/>
          <w:b w:val="0"/>
          <w:bCs w:val="0"/>
          <w:sz w:val="32"/>
        </w:rPr>
      </w:pPr>
    </w:p>
    <w:p/>
    <w:p/>
    <w:p>
      <w:pPr>
        <w:pStyle w:val="2"/>
        <w:spacing w:before="120" w:after="120" w:line="400" w:lineRule="exact"/>
        <w:jc w:val="center"/>
        <w:rPr>
          <w:rFonts w:ascii="黑体" w:hAnsi="黑体" w:eastAsia="黑体"/>
          <w:b w:val="0"/>
          <w:bCs w:val="0"/>
          <w:sz w:val="32"/>
        </w:rPr>
      </w:pPr>
      <w:r>
        <w:rPr>
          <w:rFonts w:hint="eastAsia" w:ascii="黑体" w:hAnsi="黑体" w:eastAsia="黑体"/>
          <w:b w:val="0"/>
          <w:bCs w:val="0"/>
          <w:sz w:val="32"/>
        </w:rPr>
        <w:t>设备技术要求</w:t>
      </w:r>
      <w:bookmarkEnd w:id="3"/>
    </w:p>
    <w:p>
      <w:pPr>
        <w:spacing w:line="400" w:lineRule="exact"/>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第七节  技术资料和图纸</w:t>
      </w:r>
    </w:p>
    <w:p>
      <w:pPr>
        <w:tabs>
          <w:tab w:val="left" w:pos="2340"/>
        </w:tabs>
        <w:spacing w:line="480" w:lineRule="auto"/>
        <w:ind w:left="630" w:leftChars="300" w:firstLine="240" w:firstLineChars="100"/>
        <w:jc w:val="left"/>
        <w:rPr>
          <w:rFonts w:ascii="宋体"/>
          <w:sz w:val="24"/>
        </w:rPr>
      </w:pPr>
      <w:r>
        <w:rPr>
          <w:rFonts w:hint="eastAsia" w:ascii="宋体"/>
          <w:sz w:val="24"/>
        </w:rPr>
        <w:t>第八节  标准</w:t>
      </w:r>
    </w:p>
    <w:p>
      <w:pPr>
        <w:adjustRightInd w:val="0"/>
        <w:snapToGrid w:val="0"/>
        <w:spacing w:line="360" w:lineRule="auto"/>
        <w:rPr>
          <w:rFonts w:ascii="宋体" w:hAnsi="宋体"/>
          <w:szCs w:val="21"/>
        </w:rPr>
      </w:pPr>
    </w:p>
    <w:p>
      <w:pPr>
        <w:adjustRightInd w:val="0"/>
        <w:snapToGrid w:val="0"/>
        <w:spacing w:line="360" w:lineRule="auto"/>
        <w:jc w:val="center"/>
        <w:rPr>
          <w:rFonts w:ascii="宋体" w:hAnsi="宋体"/>
          <w:szCs w:val="21"/>
        </w:rPr>
      </w:pPr>
    </w:p>
    <w:p>
      <w:pPr>
        <w:spacing w:line="360" w:lineRule="auto"/>
        <w:jc w:val="center"/>
        <w:rPr>
          <w:rFonts w:ascii="宋体" w:hAnsi="宋体"/>
          <w:b/>
          <w:sz w:val="24"/>
        </w:rPr>
      </w:pPr>
      <w:r>
        <w:rPr>
          <w:rFonts w:hint="eastAsia" w:ascii="宋体" w:hAnsi="宋体"/>
          <w:szCs w:val="21"/>
        </w:rPr>
        <w:br w:type="page"/>
      </w:r>
      <w:r>
        <w:rPr>
          <w:rFonts w:hint="eastAsia" w:ascii="宋体" w:hAnsi="宋体"/>
          <w:b/>
          <w:sz w:val="24"/>
        </w:rPr>
        <w:t>第一节 供货范围、技术规格、参数与要求</w:t>
      </w:r>
    </w:p>
    <w:p>
      <w:pPr>
        <w:spacing w:before="240" w:after="240" w:line="360" w:lineRule="auto"/>
        <w:rPr>
          <w:rFonts w:ascii="宋体" w:hAnsi="宋体"/>
          <w:b/>
          <w:sz w:val="24"/>
        </w:rPr>
      </w:pPr>
      <w:r>
        <w:rPr>
          <w:rFonts w:hint="eastAsia" w:ascii="宋体" w:hAnsi="宋体"/>
          <w:b/>
          <w:sz w:val="24"/>
        </w:rPr>
        <w:t>一、货物需求一览表</w:t>
      </w:r>
    </w:p>
    <w:tbl>
      <w:tblPr>
        <w:tblStyle w:val="17"/>
        <w:tblW w:w="83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1"/>
        <w:gridCol w:w="1745"/>
        <w:gridCol w:w="1101"/>
        <w:gridCol w:w="612"/>
        <w:gridCol w:w="612"/>
        <w:gridCol w:w="978"/>
        <w:gridCol w:w="1222"/>
        <w:gridCol w:w="1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序号</w:t>
            </w:r>
          </w:p>
        </w:tc>
        <w:tc>
          <w:tcPr>
            <w:tcW w:w="17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名称</w:t>
            </w:r>
          </w:p>
        </w:tc>
        <w:tc>
          <w:tcPr>
            <w:tcW w:w="11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规格型号</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单位</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数量</w:t>
            </w:r>
          </w:p>
        </w:tc>
        <w:tc>
          <w:tcPr>
            <w:tcW w:w="97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交货时间</w:t>
            </w:r>
          </w:p>
        </w:tc>
        <w:tc>
          <w:tcPr>
            <w:tcW w:w="12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交货地点</w:t>
            </w:r>
          </w:p>
        </w:tc>
        <w:tc>
          <w:tcPr>
            <w:tcW w:w="14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7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井下无线接入基站</w:t>
            </w:r>
          </w:p>
        </w:tc>
        <w:tc>
          <w:tcPr>
            <w:tcW w:w="11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AP6310SN</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台</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r>
              <w:rPr>
                <w:rFonts w:ascii="宋体" w:hAnsi="宋体"/>
                <w:szCs w:val="21"/>
              </w:rPr>
              <w:t>40</w:t>
            </w:r>
          </w:p>
        </w:tc>
        <w:tc>
          <w:tcPr>
            <w:tcW w:w="978" w:type="dxa"/>
            <w:vMerge w:val="restart"/>
            <w:tcBorders>
              <w:top w:val="single" w:color="auto" w:sz="4" w:space="0"/>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w:t>
            </w:r>
            <w:r>
              <w:rPr>
                <w:rFonts w:ascii="宋体" w:hAnsi="宋体"/>
                <w:szCs w:val="21"/>
              </w:rPr>
              <w:t>5</w:t>
            </w:r>
            <w:r>
              <w:rPr>
                <w:rFonts w:hint="eastAsia" w:ascii="宋体" w:hAnsi="宋体"/>
                <w:szCs w:val="21"/>
              </w:rPr>
              <w:t>0天内</w:t>
            </w:r>
          </w:p>
        </w:tc>
        <w:tc>
          <w:tcPr>
            <w:tcW w:w="12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p>
        </w:tc>
        <w:tc>
          <w:tcPr>
            <w:tcW w:w="14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w:t>
            </w:r>
          </w:p>
        </w:tc>
        <w:tc>
          <w:tcPr>
            <w:tcW w:w="17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汇聚交换机</w:t>
            </w:r>
          </w:p>
        </w:tc>
        <w:tc>
          <w:tcPr>
            <w:tcW w:w="11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S</w:t>
            </w:r>
            <w:r>
              <w:rPr>
                <w:rFonts w:hint="eastAsia" w:ascii="宋体" w:hAnsi="宋体"/>
                <w:szCs w:val="21"/>
              </w:rPr>
              <w:t>7706</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台</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w:t>
            </w:r>
          </w:p>
        </w:tc>
        <w:tc>
          <w:tcPr>
            <w:tcW w:w="978"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p>
        </w:tc>
        <w:tc>
          <w:tcPr>
            <w:tcW w:w="14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3</w:t>
            </w:r>
          </w:p>
        </w:tc>
        <w:tc>
          <w:tcPr>
            <w:tcW w:w="17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cs="宋体"/>
                <w:kern w:val="0"/>
                <w:szCs w:val="21"/>
              </w:rPr>
              <w:t>无线控制器</w:t>
            </w:r>
          </w:p>
        </w:tc>
        <w:tc>
          <w:tcPr>
            <w:tcW w:w="11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AC6005-8-8AP</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78"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p>
        </w:tc>
        <w:tc>
          <w:tcPr>
            <w:tcW w:w="14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4</w:t>
            </w:r>
          </w:p>
        </w:tc>
        <w:tc>
          <w:tcPr>
            <w:tcW w:w="17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接入认证系统(含服务器)</w:t>
            </w:r>
          </w:p>
        </w:tc>
        <w:tc>
          <w:tcPr>
            <w:tcW w:w="11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Agile Controller-Campus</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78"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p>
        </w:tc>
        <w:tc>
          <w:tcPr>
            <w:tcW w:w="14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5</w:t>
            </w:r>
          </w:p>
        </w:tc>
        <w:tc>
          <w:tcPr>
            <w:tcW w:w="17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上网行为管理（含服务器）</w:t>
            </w:r>
          </w:p>
        </w:tc>
        <w:tc>
          <w:tcPr>
            <w:tcW w:w="11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ASG2200</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78"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p>
        </w:tc>
        <w:tc>
          <w:tcPr>
            <w:tcW w:w="14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6</w:t>
            </w:r>
          </w:p>
        </w:tc>
        <w:tc>
          <w:tcPr>
            <w:tcW w:w="17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网络管理系统(含服务器)</w:t>
            </w:r>
          </w:p>
        </w:tc>
        <w:tc>
          <w:tcPr>
            <w:tcW w:w="11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e</w:t>
            </w:r>
            <w:r>
              <w:rPr>
                <w:rFonts w:ascii="宋体" w:hAnsi="宋体"/>
                <w:szCs w:val="21"/>
              </w:rPr>
              <w:t>sight</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78" w:type="dxa"/>
            <w:vMerge w:val="continue"/>
            <w:tcBorders>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7</w:t>
            </w:r>
          </w:p>
        </w:tc>
        <w:tc>
          <w:tcPr>
            <w:tcW w:w="17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矿用本安型无线基站</w:t>
            </w:r>
          </w:p>
        </w:tc>
        <w:tc>
          <w:tcPr>
            <w:tcW w:w="11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KT590-F</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台</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80</w:t>
            </w:r>
          </w:p>
        </w:tc>
        <w:tc>
          <w:tcPr>
            <w:tcW w:w="978" w:type="dxa"/>
            <w:vMerge w:val="continue"/>
            <w:tcBorders>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8</w:t>
            </w:r>
          </w:p>
        </w:tc>
        <w:tc>
          <w:tcPr>
            <w:tcW w:w="17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矿用隔爆兼本安型直流稳压电源</w:t>
            </w:r>
          </w:p>
        </w:tc>
        <w:tc>
          <w:tcPr>
            <w:tcW w:w="11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KDW660/21B(A)</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台</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80</w:t>
            </w:r>
          </w:p>
        </w:tc>
        <w:tc>
          <w:tcPr>
            <w:tcW w:w="978" w:type="dxa"/>
            <w:vMerge w:val="continue"/>
            <w:tcBorders>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9</w:t>
            </w:r>
          </w:p>
        </w:tc>
        <w:tc>
          <w:tcPr>
            <w:tcW w:w="17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技术资料</w:t>
            </w:r>
          </w:p>
        </w:tc>
        <w:tc>
          <w:tcPr>
            <w:tcW w:w="11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78" w:type="dxa"/>
            <w:vMerge w:val="continue"/>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随机资料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10</w:t>
            </w:r>
          </w:p>
        </w:tc>
        <w:tc>
          <w:tcPr>
            <w:tcW w:w="174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施工及辅材</w:t>
            </w:r>
          </w:p>
        </w:tc>
        <w:tc>
          <w:tcPr>
            <w:tcW w:w="11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套</w:t>
            </w:r>
          </w:p>
        </w:tc>
        <w:tc>
          <w:tcPr>
            <w:tcW w:w="6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p>
        </w:tc>
        <w:tc>
          <w:tcPr>
            <w:tcW w:w="978" w:type="dxa"/>
            <w:tcBorders>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p>
        </w:tc>
      </w:tr>
    </w:tbl>
    <w:p>
      <w:pPr>
        <w:spacing w:before="240" w:line="360" w:lineRule="auto"/>
        <w:jc w:val="center"/>
        <w:rPr>
          <w:rFonts w:ascii="宋体" w:hAnsi="宋体"/>
          <w:b/>
          <w:sz w:val="24"/>
        </w:rPr>
      </w:pPr>
      <w:r>
        <w:rPr>
          <w:rFonts w:hint="eastAsia" w:ascii="宋体" w:hAnsi="宋体"/>
          <w:b/>
          <w:sz w:val="24"/>
        </w:rPr>
        <w:t>分项报价表</w:t>
      </w:r>
    </w:p>
    <w:tbl>
      <w:tblPr>
        <w:tblStyle w:val="17"/>
        <w:tblW w:w="8522" w:type="dxa"/>
        <w:tblInd w:w="0" w:type="dxa"/>
        <w:tblLayout w:type="fixed"/>
        <w:tblCellMar>
          <w:top w:w="0" w:type="dxa"/>
          <w:left w:w="108" w:type="dxa"/>
          <w:bottom w:w="0" w:type="dxa"/>
          <w:right w:w="108" w:type="dxa"/>
        </w:tblCellMar>
      </w:tblPr>
      <w:tblGrid>
        <w:gridCol w:w="445"/>
        <w:gridCol w:w="3576"/>
        <w:gridCol w:w="750"/>
        <w:gridCol w:w="761"/>
        <w:gridCol w:w="1600"/>
        <w:gridCol w:w="1390"/>
      </w:tblGrid>
      <w:tr>
        <w:tblPrEx>
          <w:tblLayout w:type="fixed"/>
          <w:tblCellMar>
            <w:top w:w="0" w:type="dxa"/>
            <w:left w:w="108" w:type="dxa"/>
            <w:bottom w:w="0" w:type="dxa"/>
            <w:right w:w="108" w:type="dxa"/>
          </w:tblCellMar>
        </w:tblPrEx>
        <w:trPr>
          <w:trHeight w:val="270" w:hRule="atLeast"/>
        </w:trPr>
        <w:tc>
          <w:tcPr>
            <w:tcW w:w="44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kern w:val="0"/>
                <w:szCs w:val="21"/>
              </w:rPr>
            </w:pPr>
            <w:r>
              <w:rPr>
                <w:rFonts w:hint="eastAsia" w:ascii="宋体" w:cs="宋体"/>
                <w:b/>
                <w:kern w:val="0"/>
                <w:szCs w:val="21"/>
              </w:rPr>
              <w:t>序号</w:t>
            </w:r>
          </w:p>
        </w:tc>
        <w:tc>
          <w:tcPr>
            <w:tcW w:w="357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
                <w:bCs/>
                <w:kern w:val="0"/>
                <w:szCs w:val="21"/>
              </w:rPr>
            </w:pPr>
            <w:r>
              <w:rPr>
                <w:rFonts w:hint="eastAsia" w:ascii="宋体" w:cs="宋体"/>
                <w:b/>
                <w:bCs/>
                <w:kern w:val="0"/>
                <w:szCs w:val="21"/>
              </w:rPr>
              <w:t>名称</w:t>
            </w:r>
          </w:p>
        </w:tc>
        <w:tc>
          <w:tcPr>
            <w:tcW w:w="75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
                <w:bCs/>
                <w:kern w:val="0"/>
                <w:szCs w:val="21"/>
              </w:rPr>
            </w:pPr>
            <w:r>
              <w:rPr>
                <w:rFonts w:hint="eastAsia" w:ascii="宋体" w:cs="宋体"/>
                <w:b/>
                <w:bCs/>
                <w:kern w:val="0"/>
                <w:szCs w:val="21"/>
              </w:rPr>
              <w:t>单位</w:t>
            </w:r>
          </w:p>
        </w:tc>
        <w:tc>
          <w:tcPr>
            <w:tcW w:w="761"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
                <w:bCs/>
                <w:kern w:val="0"/>
                <w:szCs w:val="21"/>
              </w:rPr>
            </w:pPr>
            <w:r>
              <w:rPr>
                <w:rFonts w:hint="eastAsia" w:ascii="宋体" w:cs="宋体"/>
                <w:b/>
                <w:bCs/>
                <w:kern w:val="0"/>
                <w:szCs w:val="21"/>
              </w:rPr>
              <w:t>数量</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cs="宋体"/>
                <w:b/>
                <w:kern w:val="0"/>
                <w:szCs w:val="21"/>
              </w:rPr>
            </w:pPr>
            <w:r>
              <w:rPr>
                <w:rFonts w:hint="eastAsia" w:ascii="宋体" w:cs="宋体"/>
                <w:b/>
                <w:kern w:val="0"/>
                <w:szCs w:val="21"/>
              </w:rPr>
              <w:t>单价（元）</w:t>
            </w:r>
          </w:p>
        </w:tc>
        <w:tc>
          <w:tcPr>
            <w:tcW w:w="13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cs="宋体"/>
                <w:b/>
                <w:kern w:val="0"/>
                <w:szCs w:val="21"/>
              </w:rPr>
            </w:pPr>
            <w:r>
              <w:rPr>
                <w:rFonts w:hint="eastAsia" w:ascii="宋体" w:cs="宋体"/>
                <w:b/>
                <w:kern w:val="0"/>
                <w:szCs w:val="21"/>
              </w:rPr>
              <w:t>总价（元）</w:t>
            </w:r>
          </w:p>
        </w:tc>
      </w:tr>
      <w:tr>
        <w:tblPrEx>
          <w:tblLayout w:type="fixed"/>
          <w:tblCellMar>
            <w:top w:w="0" w:type="dxa"/>
            <w:left w:w="108" w:type="dxa"/>
            <w:bottom w:w="0" w:type="dxa"/>
            <w:right w:w="108" w:type="dxa"/>
          </w:tblCellMar>
        </w:tblPrEx>
        <w:trPr>
          <w:trHeight w:val="126" w:hRule="atLeast"/>
        </w:trPr>
        <w:tc>
          <w:tcPr>
            <w:tcW w:w="44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Cs w:val="21"/>
              </w:rPr>
            </w:pPr>
            <w:r>
              <w:rPr>
                <w:rFonts w:hint="eastAsia" w:ascii="宋体" w:cs="宋体"/>
                <w:kern w:val="0"/>
                <w:szCs w:val="21"/>
              </w:rPr>
              <w:t>1</w:t>
            </w:r>
          </w:p>
        </w:tc>
        <w:tc>
          <w:tcPr>
            <w:tcW w:w="35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井下无线接入基站</w:t>
            </w:r>
          </w:p>
        </w:tc>
        <w:tc>
          <w:tcPr>
            <w:tcW w:w="750"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Cs w:val="21"/>
              </w:rPr>
            </w:pPr>
            <w:r>
              <w:rPr>
                <w:rFonts w:hint="eastAsia" w:ascii="宋体" w:cs="宋体"/>
                <w:kern w:val="0"/>
                <w:szCs w:val="21"/>
              </w:rPr>
              <w:t>台</w:t>
            </w:r>
          </w:p>
        </w:tc>
        <w:tc>
          <w:tcPr>
            <w:tcW w:w="761"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Cs w:val="21"/>
              </w:rPr>
            </w:pPr>
            <w:r>
              <w:rPr>
                <w:rFonts w:ascii="宋体" w:hAnsi="宋体"/>
                <w:szCs w:val="21"/>
              </w:rPr>
              <w:t>140</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392" w:hRule="atLeast"/>
        </w:trPr>
        <w:tc>
          <w:tcPr>
            <w:tcW w:w="44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Cs w:val="21"/>
              </w:rPr>
            </w:pPr>
            <w:r>
              <w:rPr>
                <w:rFonts w:hint="eastAsia" w:ascii="宋体" w:cs="宋体"/>
                <w:kern w:val="0"/>
                <w:szCs w:val="21"/>
              </w:rPr>
              <w:t>2</w:t>
            </w:r>
          </w:p>
        </w:tc>
        <w:tc>
          <w:tcPr>
            <w:tcW w:w="35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汇聚交换机</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r>
              <w:rPr>
                <w:rFonts w:hint="eastAsia" w:ascii="宋体" w:cs="宋体"/>
                <w:kern w:val="0"/>
                <w:szCs w:val="21"/>
              </w:rPr>
              <w:t>台</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Cs w:val="21"/>
              </w:rPr>
            </w:pPr>
            <w:r>
              <w:rPr>
                <w:rFonts w:hint="eastAsia" w:ascii="宋体" w:hAnsi="宋体"/>
                <w:szCs w:val="21"/>
              </w:rPr>
              <w:t>2</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168" w:hRule="atLeast"/>
        </w:trPr>
        <w:tc>
          <w:tcPr>
            <w:tcW w:w="44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Cs w:val="21"/>
              </w:rPr>
            </w:pPr>
            <w:r>
              <w:rPr>
                <w:rFonts w:hint="eastAsia" w:ascii="宋体" w:cs="宋体"/>
                <w:kern w:val="0"/>
                <w:szCs w:val="21"/>
              </w:rPr>
              <w:t>3</w:t>
            </w:r>
          </w:p>
        </w:tc>
        <w:tc>
          <w:tcPr>
            <w:tcW w:w="35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cs="宋体"/>
                <w:kern w:val="0"/>
                <w:szCs w:val="21"/>
              </w:rPr>
              <w:t>无线控制器</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r>
              <w:rPr>
                <w:rFonts w:hint="eastAsia" w:ascii="宋体" w:cs="宋体"/>
                <w:kern w:val="0"/>
                <w:szCs w:val="21"/>
              </w:rPr>
              <w:t>套</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Cs w:val="21"/>
              </w:rPr>
            </w:pPr>
            <w:r>
              <w:rPr>
                <w:rFonts w:hint="eastAsia" w:ascii="宋体" w:hAnsi="宋体"/>
                <w:szCs w:val="21"/>
              </w:rPr>
              <w:t>1</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130" w:hRule="atLeast"/>
        </w:trPr>
        <w:tc>
          <w:tcPr>
            <w:tcW w:w="44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Cs w:val="21"/>
              </w:rPr>
            </w:pPr>
            <w:r>
              <w:rPr>
                <w:rFonts w:hint="eastAsia" w:ascii="宋体" w:cs="宋体"/>
                <w:kern w:val="0"/>
                <w:szCs w:val="21"/>
              </w:rPr>
              <w:t>4</w:t>
            </w:r>
          </w:p>
        </w:tc>
        <w:tc>
          <w:tcPr>
            <w:tcW w:w="35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接入认证系统(含服务器)</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r>
              <w:rPr>
                <w:rFonts w:hint="eastAsia" w:ascii="宋体" w:cs="宋体"/>
                <w:kern w:val="0"/>
                <w:szCs w:val="21"/>
              </w:rPr>
              <w:t>套</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kern w:val="0"/>
                <w:szCs w:val="21"/>
              </w:rPr>
            </w:pPr>
            <w:r>
              <w:rPr>
                <w:rFonts w:hint="eastAsia" w:ascii="宋体" w:hAnsi="宋体"/>
                <w:szCs w:val="21"/>
              </w:rPr>
              <w:t>1</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233" w:hRule="atLeast"/>
        </w:trPr>
        <w:tc>
          <w:tcPr>
            <w:tcW w:w="44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Cs w:val="21"/>
              </w:rPr>
            </w:pPr>
            <w:r>
              <w:rPr>
                <w:rFonts w:hint="eastAsia" w:ascii="宋体" w:cs="宋体"/>
                <w:kern w:val="0"/>
                <w:szCs w:val="21"/>
              </w:rPr>
              <w:t>5</w:t>
            </w:r>
          </w:p>
        </w:tc>
        <w:tc>
          <w:tcPr>
            <w:tcW w:w="35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上网行为管理（含服务器）</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r>
              <w:rPr>
                <w:rFonts w:hint="eastAsia" w:ascii="宋体" w:cs="宋体"/>
                <w:kern w:val="0"/>
                <w:szCs w:val="21"/>
              </w:rPr>
              <w:t>套</w:t>
            </w:r>
          </w:p>
        </w:tc>
        <w:tc>
          <w:tcPr>
            <w:tcW w:w="761"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182" w:hRule="atLeast"/>
        </w:trPr>
        <w:tc>
          <w:tcPr>
            <w:tcW w:w="44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Cs w:val="21"/>
              </w:rPr>
            </w:pPr>
            <w:r>
              <w:rPr>
                <w:rFonts w:hint="eastAsia" w:ascii="宋体" w:cs="宋体"/>
                <w:kern w:val="0"/>
                <w:szCs w:val="21"/>
              </w:rPr>
              <w:t>6</w:t>
            </w:r>
          </w:p>
        </w:tc>
        <w:tc>
          <w:tcPr>
            <w:tcW w:w="35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网络管理系统（含服务器）</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r>
              <w:rPr>
                <w:rFonts w:hint="eastAsia" w:ascii="宋体" w:cs="宋体"/>
                <w:kern w:val="0"/>
                <w:szCs w:val="21"/>
              </w:rPr>
              <w:t>套</w:t>
            </w:r>
          </w:p>
        </w:tc>
        <w:tc>
          <w:tcPr>
            <w:tcW w:w="761"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182" w:hRule="atLeast"/>
        </w:trPr>
        <w:tc>
          <w:tcPr>
            <w:tcW w:w="44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cs="宋体"/>
                <w:kern w:val="0"/>
                <w:szCs w:val="21"/>
              </w:rPr>
            </w:pPr>
            <w:r>
              <w:rPr>
                <w:rFonts w:hint="eastAsia" w:ascii="宋体" w:cs="宋体"/>
                <w:kern w:val="0"/>
                <w:szCs w:val="21"/>
              </w:rPr>
              <w:t>7</w:t>
            </w:r>
          </w:p>
        </w:tc>
        <w:tc>
          <w:tcPr>
            <w:tcW w:w="35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矿用本安型无线基站</w:t>
            </w:r>
          </w:p>
        </w:tc>
        <w:tc>
          <w:tcPr>
            <w:tcW w:w="7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台</w:t>
            </w:r>
          </w:p>
        </w:tc>
        <w:tc>
          <w:tcPr>
            <w:tcW w:w="76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8</w:t>
            </w:r>
            <w:r>
              <w:rPr>
                <w:rFonts w:ascii="宋体" w:hAnsi="宋体"/>
                <w:szCs w:val="21"/>
              </w:rPr>
              <w:t>0</w:t>
            </w:r>
          </w:p>
        </w:tc>
        <w:tc>
          <w:tcPr>
            <w:tcW w:w="16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182" w:hRule="atLeast"/>
        </w:trPr>
        <w:tc>
          <w:tcPr>
            <w:tcW w:w="44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cs="宋体"/>
                <w:kern w:val="0"/>
                <w:szCs w:val="21"/>
              </w:rPr>
            </w:pPr>
            <w:r>
              <w:rPr>
                <w:rFonts w:hint="eastAsia" w:ascii="宋体" w:cs="宋体"/>
                <w:kern w:val="0"/>
                <w:szCs w:val="21"/>
              </w:rPr>
              <w:t>8</w:t>
            </w:r>
          </w:p>
        </w:tc>
        <w:tc>
          <w:tcPr>
            <w:tcW w:w="35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矿用隔爆兼本安型直流稳压电源</w:t>
            </w:r>
          </w:p>
        </w:tc>
        <w:tc>
          <w:tcPr>
            <w:tcW w:w="7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台</w:t>
            </w:r>
          </w:p>
        </w:tc>
        <w:tc>
          <w:tcPr>
            <w:tcW w:w="76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8</w:t>
            </w:r>
            <w:r>
              <w:rPr>
                <w:rFonts w:ascii="宋体" w:hAnsi="宋体"/>
                <w:szCs w:val="21"/>
              </w:rPr>
              <w:t>0</w:t>
            </w:r>
          </w:p>
        </w:tc>
        <w:tc>
          <w:tcPr>
            <w:tcW w:w="16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299" w:hRule="atLeast"/>
        </w:trPr>
        <w:tc>
          <w:tcPr>
            <w:tcW w:w="44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Cs w:val="21"/>
              </w:rPr>
            </w:pPr>
            <w:r>
              <w:rPr>
                <w:rFonts w:ascii="宋体" w:cs="宋体"/>
                <w:kern w:val="0"/>
                <w:szCs w:val="21"/>
              </w:rPr>
              <w:t>9</w:t>
            </w:r>
          </w:p>
        </w:tc>
        <w:tc>
          <w:tcPr>
            <w:tcW w:w="35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技术资料</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r>
              <w:rPr>
                <w:rFonts w:hint="eastAsia" w:ascii="宋体" w:cs="宋体"/>
                <w:kern w:val="0"/>
                <w:szCs w:val="21"/>
              </w:rPr>
              <w:t>套</w:t>
            </w:r>
          </w:p>
        </w:tc>
        <w:tc>
          <w:tcPr>
            <w:tcW w:w="761"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248" w:hRule="atLeast"/>
        </w:trPr>
        <w:tc>
          <w:tcPr>
            <w:tcW w:w="44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Cs w:val="21"/>
              </w:rPr>
            </w:pPr>
            <w:r>
              <w:rPr>
                <w:rFonts w:ascii="宋体" w:cs="宋体"/>
                <w:kern w:val="0"/>
                <w:szCs w:val="21"/>
              </w:rPr>
              <w:t>10</w:t>
            </w:r>
          </w:p>
        </w:tc>
        <w:tc>
          <w:tcPr>
            <w:tcW w:w="3576"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r>
              <w:rPr>
                <w:rFonts w:hint="eastAsia" w:ascii="宋体" w:cs="宋体"/>
                <w:kern w:val="0"/>
                <w:szCs w:val="21"/>
              </w:rPr>
              <w:t>施工及辅材（包含天线、尾纤、水晶头等）</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r>
              <w:rPr>
                <w:rFonts w:hint="eastAsia" w:ascii="宋体" w:cs="宋体"/>
                <w:kern w:val="0"/>
                <w:szCs w:val="21"/>
              </w:rPr>
              <w:t>批</w:t>
            </w:r>
          </w:p>
        </w:tc>
        <w:tc>
          <w:tcPr>
            <w:tcW w:w="761"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ascii="宋体" w:cs="宋体"/>
                <w:kern w:val="0"/>
                <w:szCs w:val="21"/>
              </w:rPr>
            </w:pPr>
          </w:p>
        </w:tc>
      </w:tr>
    </w:tbl>
    <w:p>
      <w:pPr>
        <w:spacing w:before="240" w:after="240" w:line="360" w:lineRule="auto"/>
        <w:ind w:firstLine="472" w:firstLineChars="196"/>
        <w:rPr>
          <w:rFonts w:ascii="宋体" w:hAnsi="宋体"/>
          <w:b/>
          <w:sz w:val="24"/>
        </w:rPr>
      </w:pPr>
      <w:r>
        <w:rPr>
          <w:rFonts w:hint="eastAsia" w:ascii="宋体" w:hAnsi="宋体"/>
          <w:b/>
          <w:sz w:val="24"/>
        </w:rPr>
        <w:t>二、工作环境</w:t>
      </w:r>
    </w:p>
    <w:p>
      <w:pPr>
        <w:spacing w:line="360" w:lineRule="auto"/>
        <w:ind w:firstLine="480" w:firstLineChars="200"/>
        <w:rPr>
          <w:rFonts w:ascii="宋体" w:hAnsi="宋体"/>
          <w:sz w:val="24"/>
        </w:rPr>
      </w:pPr>
      <w:r>
        <w:rPr>
          <w:rFonts w:hint="eastAsia" w:ascii="宋体" w:hAnsi="宋体"/>
          <w:sz w:val="24"/>
        </w:rPr>
        <w:t>使用环境：</w:t>
      </w:r>
      <w:r>
        <w:rPr>
          <w:rFonts w:hint="eastAsia" w:ascii="宋体" w:hAnsi="宋体"/>
          <w:sz w:val="24"/>
          <w:u w:val="single"/>
        </w:rPr>
        <w:t xml:space="preserve">    井下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最低温度：</w:t>
      </w:r>
      <w:r>
        <w:rPr>
          <w:rFonts w:hint="eastAsia" w:ascii="宋体" w:hAnsi="宋体"/>
          <w:sz w:val="24"/>
          <w:u w:val="single"/>
        </w:rPr>
        <w:t xml:space="preserve">   0℃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最高温度：</w:t>
      </w:r>
      <w:r>
        <w:rPr>
          <w:rFonts w:hint="eastAsia" w:ascii="宋体" w:hAnsi="宋体"/>
          <w:sz w:val="24"/>
          <w:u w:val="single"/>
        </w:rPr>
        <w:t xml:space="preserve">  +40℃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环境相对湿度：</w:t>
      </w:r>
      <w:r>
        <w:rPr>
          <w:rFonts w:hint="eastAsia" w:ascii="宋体" w:hAnsi="宋体"/>
          <w:sz w:val="24"/>
          <w:u w:val="single"/>
        </w:rPr>
        <w:t xml:space="preserve">   95%（在25℃时）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安装地点及用途：</w:t>
      </w:r>
      <w:r>
        <w:rPr>
          <w:rFonts w:hint="eastAsia" w:ascii="宋体" w:hAnsi="宋体"/>
          <w:sz w:val="24"/>
          <w:u w:val="single"/>
        </w:rPr>
        <w:t xml:space="preserve">   井下巷道及地面机房   </w:t>
      </w:r>
      <w:r>
        <w:rPr>
          <w:rFonts w:hint="eastAsia" w:ascii="宋体" w:hAnsi="宋体"/>
          <w:sz w:val="24"/>
        </w:rPr>
        <w:t>。</w:t>
      </w:r>
    </w:p>
    <w:p>
      <w:pPr>
        <w:spacing w:before="240" w:after="240" w:line="360" w:lineRule="auto"/>
        <w:ind w:firstLine="482" w:firstLineChars="200"/>
        <w:rPr>
          <w:rFonts w:ascii="宋体" w:hAnsi="宋体"/>
          <w:b/>
          <w:sz w:val="24"/>
        </w:rPr>
      </w:pPr>
      <w:r>
        <w:rPr>
          <w:rFonts w:hint="eastAsia" w:ascii="宋体" w:hAnsi="宋体"/>
          <w:b/>
          <w:sz w:val="24"/>
        </w:rPr>
        <w:t>三、技术参数及要求</w:t>
      </w:r>
    </w:p>
    <w:p>
      <w:pPr>
        <w:spacing w:line="360" w:lineRule="auto"/>
        <w:ind w:firstLine="482" w:firstLineChars="200"/>
        <w:rPr>
          <w:rFonts w:ascii="宋体" w:hAnsi="宋体"/>
          <w:b/>
          <w:sz w:val="24"/>
        </w:rPr>
      </w:pPr>
      <w:r>
        <w:rPr>
          <w:rFonts w:ascii="宋体" w:hAnsi="宋体"/>
          <w:b/>
          <w:sz w:val="24"/>
        </w:rPr>
        <w:t>1</w:t>
      </w:r>
      <w:r>
        <w:rPr>
          <w:rFonts w:hint="eastAsia" w:ascii="宋体" w:hAnsi="宋体"/>
          <w:b/>
          <w:sz w:val="24"/>
        </w:rPr>
        <w:t>、总体要求</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*1.1 交换机、无线接入点、网络管理系统必须同一品牌，且设备为国内品牌，要求提供设备生产厂商的原厂授权。</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*1.2 使用AP接入基站需与锦界煤矿现有井下WIFI网络兼容且能平台管理。</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*1.</w:t>
      </w:r>
      <w:r>
        <w:rPr>
          <w:rFonts w:ascii="宋体" w:hAnsi="宋体"/>
          <w:spacing w:val="-5"/>
          <w:kern w:val="0"/>
          <w:sz w:val="24"/>
        </w:rPr>
        <w:t>3</w:t>
      </w:r>
      <w:r>
        <w:rPr>
          <w:rFonts w:hint="eastAsia" w:ascii="宋体" w:hAnsi="宋体"/>
          <w:spacing w:val="-5"/>
          <w:kern w:val="0"/>
          <w:sz w:val="24"/>
        </w:rPr>
        <w:t xml:space="preserve"> 使用AP接入基站需与锦界煤矿现有井下WIFI网络兼容且能平台管理。</w:t>
      </w:r>
    </w:p>
    <w:p>
      <w:pPr>
        <w:spacing w:line="360" w:lineRule="auto"/>
        <w:jc w:val="left"/>
        <w:rPr>
          <w:rFonts w:hint="eastAsia" w:ascii="宋体" w:hAnsi="宋体"/>
          <w:spacing w:val="-5"/>
          <w:kern w:val="0"/>
          <w:sz w:val="24"/>
        </w:rPr>
      </w:pPr>
    </w:p>
    <w:p>
      <w:pPr>
        <w:spacing w:line="360" w:lineRule="auto"/>
        <w:ind w:firstLine="482" w:firstLineChars="200"/>
        <w:rPr>
          <w:rFonts w:ascii="宋体" w:hAnsi="宋体"/>
          <w:b/>
          <w:sz w:val="24"/>
        </w:rPr>
      </w:pPr>
      <w:r>
        <w:rPr>
          <w:rFonts w:hint="eastAsia" w:ascii="宋体" w:hAnsi="宋体"/>
          <w:b/>
          <w:sz w:val="24"/>
        </w:rPr>
        <w:t>2、汇聚交换机</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*2.1 交换容量≥76Tbps</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*2.2 转发性能≥20000Mpps</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 xml:space="preserve">*2.3 </w:t>
      </w:r>
      <w:r>
        <w:rPr>
          <w:rFonts w:ascii="宋体" w:hAnsi="宋体"/>
          <w:spacing w:val="-5"/>
          <w:kern w:val="0"/>
          <w:sz w:val="24"/>
        </w:rPr>
        <w:t>主控、电源、监控板、风扇框冗余设计</w:t>
      </w:r>
      <w:r>
        <w:rPr>
          <w:rFonts w:hint="eastAsia" w:ascii="宋体" w:hAnsi="宋体"/>
          <w:spacing w:val="-5"/>
          <w:kern w:val="0"/>
          <w:sz w:val="24"/>
        </w:rPr>
        <w:t>；</w:t>
      </w:r>
      <w:r>
        <w:rPr>
          <w:rFonts w:ascii="宋体" w:hAnsi="宋体"/>
          <w:spacing w:val="-5"/>
          <w:kern w:val="0"/>
          <w:sz w:val="24"/>
        </w:rPr>
        <w:t>主控引擎≥2，整机业务板槽位数≥6，电源≥2</w:t>
      </w:r>
      <w:r>
        <w:rPr>
          <w:rFonts w:hint="eastAsia" w:ascii="宋体" w:hAnsi="宋体"/>
          <w:spacing w:val="-5"/>
          <w:kern w:val="0"/>
          <w:sz w:val="24"/>
        </w:rPr>
        <w:t>。</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*2.3 支持千兆电口，千兆光口，10GE端口、40G端口。</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 xml:space="preserve">*2.4 </w:t>
      </w:r>
      <w:r>
        <w:rPr>
          <w:rFonts w:ascii="宋体" w:hAnsi="宋体"/>
          <w:spacing w:val="-5"/>
          <w:kern w:val="0"/>
          <w:sz w:val="24"/>
        </w:rPr>
        <w:t>支持</w:t>
      </w:r>
      <w:r>
        <w:rPr>
          <w:rFonts w:hint="eastAsia" w:ascii="宋体" w:hAnsi="宋体"/>
          <w:spacing w:val="-5"/>
          <w:kern w:val="0"/>
          <w:sz w:val="24"/>
        </w:rPr>
        <w:t>交换网集群功能，实现将多台设备虚拟化为一台逻辑设备；支持纵向虚拟化技术，实现将"核心/汇聚+接入交换机"的网络架构，虚拟化为一台设备进行管理；提供原厂官网公开链接及截图证明。</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 xml:space="preserve">2.5 </w:t>
      </w:r>
      <w:r>
        <w:rPr>
          <w:rFonts w:ascii="宋体" w:hAnsi="宋体"/>
          <w:spacing w:val="-5"/>
          <w:kern w:val="0"/>
          <w:sz w:val="24"/>
        </w:rPr>
        <w:t>支持基于VLAN和端口的MAC学习，基于源地址的MAC过滤</w:t>
      </w:r>
      <w:r>
        <w:rPr>
          <w:rFonts w:hint="eastAsia" w:ascii="宋体" w:hAnsi="宋体"/>
          <w:spacing w:val="-5"/>
          <w:kern w:val="0"/>
          <w:sz w:val="24"/>
        </w:rPr>
        <w:t>。</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 xml:space="preserve">2.6 </w:t>
      </w:r>
      <w:r>
        <w:rPr>
          <w:rFonts w:ascii="宋体" w:hAnsi="宋体"/>
          <w:spacing w:val="-5"/>
          <w:kern w:val="0"/>
          <w:sz w:val="24"/>
        </w:rPr>
        <w:t>支持静态路由、RIP、RIPng、OSPF、OSPFv3、BGP、BGP4+、ISIS、ISISv6</w:t>
      </w:r>
      <w:r>
        <w:rPr>
          <w:rFonts w:hint="eastAsia" w:ascii="宋体" w:hAnsi="宋体"/>
          <w:spacing w:val="-5"/>
          <w:kern w:val="0"/>
          <w:sz w:val="24"/>
        </w:rPr>
        <w:t>；</w:t>
      </w:r>
      <w:r>
        <w:rPr>
          <w:rFonts w:ascii="宋体" w:hAnsi="宋体"/>
          <w:spacing w:val="-5"/>
          <w:kern w:val="0"/>
          <w:sz w:val="24"/>
        </w:rPr>
        <w:t>支持MPLS L3VPN、MPLS L2VPN(VPLS，VLL)、MPLS-TE、MPLS QoS</w:t>
      </w:r>
      <w:r>
        <w:rPr>
          <w:rFonts w:hint="eastAsia" w:ascii="宋体" w:hAnsi="宋体"/>
          <w:spacing w:val="-5"/>
          <w:kern w:val="0"/>
          <w:sz w:val="24"/>
        </w:rPr>
        <w:t>。</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 xml:space="preserve">*2.7 </w:t>
      </w:r>
      <w:r>
        <w:rPr>
          <w:rFonts w:ascii="宋体" w:hAnsi="宋体"/>
          <w:spacing w:val="-5"/>
          <w:kern w:val="0"/>
          <w:sz w:val="24"/>
        </w:rPr>
        <w:t>支持安全业务板卡扩展，包括但不限于防火墙、入侵防御等，</w:t>
      </w:r>
      <w:r>
        <w:rPr>
          <w:rFonts w:hint="eastAsia" w:ascii="宋体" w:hAnsi="宋体"/>
          <w:spacing w:val="-5"/>
          <w:kern w:val="0"/>
          <w:sz w:val="24"/>
        </w:rPr>
        <w:t>设备厂家具有《商用密码产品销售许可证》，提供证书复印件。</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 xml:space="preserve">2.8 </w:t>
      </w:r>
      <w:r>
        <w:rPr>
          <w:rFonts w:ascii="宋体" w:hAnsi="宋体"/>
          <w:spacing w:val="-5"/>
          <w:kern w:val="0"/>
          <w:sz w:val="24"/>
        </w:rPr>
        <w:t>支持G.8032以太环网保护协议</w:t>
      </w:r>
      <w:r>
        <w:rPr>
          <w:rFonts w:hint="eastAsia" w:ascii="宋体" w:hAnsi="宋体"/>
          <w:spacing w:val="-5"/>
          <w:kern w:val="0"/>
          <w:sz w:val="24"/>
        </w:rPr>
        <w:t>。</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 xml:space="preserve">2.9 </w:t>
      </w:r>
      <w:r>
        <w:rPr>
          <w:rFonts w:ascii="宋体" w:hAnsi="宋体"/>
          <w:spacing w:val="-5"/>
          <w:kern w:val="0"/>
          <w:sz w:val="24"/>
        </w:rPr>
        <w:t>支持SNMPv1/v2/v3，支持热补丁和远程在线升级</w:t>
      </w:r>
      <w:r>
        <w:rPr>
          <w:rFonts w:hint="eastAsia" w:ascii="宋体" w:hAnsi="宋体"/>
          <w:spacing w:val="-5"/>
          <w:kern w:val="0"/>
          <w:sz w:val="24"/>
        </w:rPr>
        <w:t>。</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*2.10 本次单台设备</w:t>
      </w:r>
      <w:r>
        <w:rPr>
          <w:rFonts w:ascii="宋体" w:hAnsi="宋体"/>
          <w:spacing w:val="-5"/>
          <w:kern w:val="0"/>
          <w:sz w:val="24"/>
        </w:rPr>
        <w:t>配置双主控引擎，电源≥2；千兆光口≥</w:t>
      </w:r>
      <w:r>
        <w:rPr>
          <w:rFonts w:hint="eastAsia" w:ascii="宋体" w:hAnsi="宋体"/>
          <w:spacing w:val="-5"/>
          <w:kern w:val="0"/>
          <w:sz w:val="24"/>
        </w:rPr>
        <w:t>24</w:t>
      </w:r>
      <w:r>
        <w:rPr>
          <w:rFonts w:ascii="宋体" w:hAnsi="宋体"/>
          <w:spacing w:val="-5"/>
          <w:kern w:val="0"/>
          <w:sz w:val="24"/>
        </w:rPr>
        <w:t>个，千兆电口≥</w:t>
      </w:r>
      <w:r>
        <w:rPr>
          <w:rFonts w:hint="eastAsia" w:ascii="宋体" w:hAnsi="宋体"/>
          <w:spacing w:val="-5"/>
          <w:kern w:val="0"/>
          <w:sz w:val="24"/>
        </w:rPr>
        <w:t>24</w:t>
      </w:r>
      <w:r>
        <w:rPr>
          <w:rFonts w:ascii="宋体" w:hAnsi="宋体"/>
          <w:spacing w:val="-5"/>
          <w:kern w:val="0"/>
          <w:sz w:val="24"/>
        </w:rPr>
        <w:t>个</w:t>
      </w:r>
      <w:r>
        <w:rPr>
          <w:rFonts w:hint="eastAsia" w:ascii="宋体" w:hAnsi="宋体"/>
          <w:spacing w:val="-5"/>
          <w:kern w:val="0"/>
          <w:sz w:val="24"/>
        </w:rPr>
        <w:t>；配置虚拟化线缆及模块。</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*2.11 要求提供信产部入网证和检验报告。</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 xml:space="preserve">*2.12 </w:t>
      </w:r>
      <w:r>
        <w:rPr>
          <w:rFonts w:ascii="宋体" w:hAnsi="宋体"/>
          <w:spacing w:val="-5"/>
          <w:kern w:val="0"/>
          <w:sz w:val="24"/>
        </w:rPr>
        <w:t>设备厂家交换机品牌在201</w:t>
      </w:r>
      <w:r>
        <w:rPr>
          <w:rFonts w:hint="eastAsia" w:ascii="宋体" w:hAnsi="宋体"/>
          <w:spacing w:val="-5"/>
          <w:kern w:val="0"/>
          <w:sz w:val="24"/>
        </w:rPr>
        <w:t>6</w:t>
      </w:r>
      <w:r>
        <w:rPr>
          <w:rFonts w:ascii="宋体" w:hAnsi="宋体"/>
          <w:spacing w:val="-5"/>
          <w:kern w:val="0"/>
          <w:sz w:val="24"/>
        </w:rPr>
        <w:t>年全国交换机市场排名前三位，提供IDC报告</w:t>
      </w:r>
      <w:r>
        <w:rPr>
          <w:rFonts w:hint="eastAsia" w:ascii="宋体" w:hAnsi="宋体"/>
          <w:spacing w:val="-5"/>
          <w:kern w:val="0"/>
          <w:sz w:val="24"/>
        </w:rPr>
        <w:t>。</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*2.13 支持CPU保护技术，提供第三方证明材料原厂官网公开链接及截图证明。</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*2.14 设备厂家具有CMMI5级软件成熟度认证，提供证书复印件。</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 xml:space="preserve">*2.15 </w:t>
      </w:r>
      <w:r>
        <w:rPr>
          <w:rFonts w:ascii="宋体" w:hAnsi="宋体"/>
          <w:spacing w:val="-5"/>
          <w:kern w:val="0"/>
          <w:sz w:val="24"/>
        </w:rPr>
        <w:t>为保障后期方便运维管理，要求与安全网关设备</w:t>
      </w:r>
      <w:r>
        <w:rPr>
          <w:rFonts w:hint="eastAsia" w:ascii="宋体" w:hAnsi="宋体"/>
          <w:spacing w:val="-5"/>
          <w:kern w:val="0"/>
          <w:sz w:val="24"/>
        </w:rPr>
        <w:t>、AP</w:t>
      </w:r>
      <w:r>
        <w:rPr>
          <w:rFonts w:ascii="宋体" w:hAnsi="宋体"/>
          <w:spacing w:val="-5"/>
          <w:kern w:val="0"/>
          <w:sz w:val="24"/>
        </w:rPr>
        <w:t>、网管软件为同一品牌。</w:t>
      </w:r>
    </w:p>
    <w:p>
      <w:pPr>
        <w:spacing w:line="360" w:lineRule="auto"/>
        <w:ind w:firstLine="482" w:firstLineChars="200"/>
        <w:rPr>
          <w:rFonts w:ascii="宋体" w:hAnsi="宋体"/>
          <w:b/>
          <w:sz w:val="24"/>
        </w:rPr>
      </w:pPr>
      <w:r>
        <w:rPr>
          <w:rFonts w:hint="eastAsia" w:ascii="宋体" w:hAnsi="宋体"/>
          <w:b/>
          <w:sz w:val="24"/>
        </w:rPr>
        <w:t>3、无线控制器</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*3.1 </w:t>
      </w:r>
      <w:r>
        <w:rPr>
          <w:rFonts w:ascii="宋体" w:hAnsi="宋体"/>
          <w:spacing w:val="-5"/>
          <w:kern w:val="0"/>
          <w:sz w:val="24"/>
        </w:rPr>
        <w:t>配置至少8个千兆电口，2个千兆SFP Combo口</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*3.2 最大管理的AP数量不小于256个；本次配置管理AP授权数≥160个。</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*3.3 设备</w:t>
      </w:r>
      <w:r>
        <w:rPr>
          <w:rFonts w:ascii="宋体" w:hAnsi="宋体"/>
          <w:spacing w:val="-5"/>
          <w:kern w:val="0"/>
          <w:sz w:val="24"/>
        </w:rPr>
        <w:t>转发能力≥4Gbit/s</w:t>
      </w:r>
      <w:r>
        <w:rPr>
          <w:rFonts w:hint="eastAsia" w:ascii="宋体" w:hAnsi="宋体"/>
          <w:spacing w:val="-5"/>
          <w:kern w:val="0"/>
          <w:sz w:val="24"/>
        </w:rPr>
        <w:t>；支持</w:t>
      </w:r>
      <w:r>
        <w:rPr>
          <w:rFonts w:ascii="宋体" w:hAnsi="宋体"/>
          <w:spacing w:val="-5"/>
          <w:kern w:val="0"/>
          <w:sz w:val="24"/>
        </w:rPr>
        <w:t>802.11 a/b/g/n/ac</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3.4 </w:t>
      </w:r>
      <w:r>
        <w:rPr>
          <w:rFonts w:ascii="宋体" w:hAnsi="宋体"/>
          <w:spacing w:val="-5"/>
          <w:kern w:val="0"/>
          <w:sz w:val="24"/>
        </w:rPr>
        <w:t>支持静态、动态、黑洞MAC表项；支持策略VLAN</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3.5 </w:t>
      </w:r>
      <w:r>
        <w:rPr>
          <w:rFonts w:ascii="宋体" w:hAnsi="宋体"/>
          <w:spacing w:val="-5"/>
          <w:kern w:val="0"/>
          <w:sz w:val="24"/>
        </w:rPr>
        <w:t>支持静态路由、RIPv1/2、RIPng、OSPF、OSPFv3、IS-IS、IS-ISv6、BGP、BGP4+、ECMP等</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*3.6 </w:t>
      </w:r>
      <w:r>
        <w:rPr>
          <w:rFonts w:ascii="宋体" w:hAnsi="宋体"/>
          <w:spacing w:val="-5"/>
          <w:kern w:val="0"/>
          <w:sz w:val="24"/>
        </w:rPr>
        <w:t>支持MAC 地址认证、802.1x认证（EAP-PAP、EAP-MD5、EAP-PEAP、EAP-TLS、EAP-TTLS）、Portal认证、MAC+Portal混合认证，支持内置portal服务器，支持WPA标准、WEP(WEP64/WEP128)、TKIP、CCMP</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3.7</w:t>
      </w:r>
      <w:r>
        <w:rPr>
          <w:rFonts w:ascii="宋体" w:hAnsi="宋体"/>
          <w:spacing w:val="-5"/>
          <w:kern w:val="0"/>
          <w:sz w:val="24"/>
        </w:rPr>
        <w:t xml:space="preserve"> AP工作在本地转发模式时需支持DHCP Snooping, DAI, IP source Guard.防止ARP、仿冒源IP及私设DHCP server的攻击；支持非法AP入侵检测，白名单功能，黑名单功能和无线协议攻击防御</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*3.8 </w:t>
      </w:r>
      <w:r>
        <w:rPr>
          <w:rFonts w:ascii="宋体" w:hAnsi="宋体"/>
          <w:spacing w:val="-5"/>
          <w:kern w:val="0"/>
          <w:sz w:val="24"/>
        </w:rPr>
        <w:t>集成DHCP服务器，为无线用户分配地址；支持用户黑白名单，用户接入数量限制，AP限制用户接入数量，按SSID限制用户接入数量等用户管理；支持802.11k、802.11v协议的智能漫游；支持AC内的二层漫游等多种漫游方式</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3.9 </w:t>
      </w:r>
      <w:r>
        <w:rPr>
          <w:rFonts w:ascii="宋体" w:hAnsi="宋体"/>
          <w:spacing w:val="-5"/>
          <w:kern w:val="0"/>
          <w:sz w:val="24"/>
        </w:rPr>
        <w:t>支持SNMP V1/V2/V3、Telnet、RMON、SSHV2</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3.10 </w:t>
      </w:r>
      <w:r>
        <w:rPr>
          <w:rFonts w:ascii="宋体" w:hAnsi="宋体"/>
          <w:spacing w:val="-5"/>
          <w:kern w:val="0"/>
          <w:sz w:val="24"/>
        </w:rPr>
        <w:t>提供工信部入网证书</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3.11 </w:t>
      </w:r>
      <w:r>
        <w:rPr>
          <w:rFonts w:ascii="宋体" w:hAnsi="宋体"/>
          <w:spacing w:val="-5"/>
          <w:kern w:val="0"/>
          <w:sz w:val="24"/>
        </w:rPr>
        <w:t>为保障后期方便运维管理，要求与安全网关设备、汇聚交换机、网管软件为同一品牌</w:t>
      </w:r>
      <w:r>
        <w:rPr>
          <w:rFonts w:hint="eastAsia" w:ascii="宋体" w:hAnsi="宋体"/>
          <w:spacing w:val="-5"/>
          <w:kern w:val="0"/>
          <w:sz w:val="24"/>
        </w:rPr>
        <w:t>。</w:t>
      </w:r>
    </w:p>
    <w:p>
      <w:pPr>
        <w:spacing w:line="360" w:lineRule="auto"/>
        <w:ind w:firstLine="462" w:firstLineChars="200"/>
        <w:jc w:val="left"/>
        <w:rPr>
          <w:rFonts w:ascii="宋体" w:hAnsi="宋体"/>
          <w:b/>
          <w:spacing w:val="-5"/>
          <w:kern w:val="0"/>
          <w:sz w:val="24"/>
        </w:rPr>
      </w:pPr>
      <w:r>
        <w:rPr>
          <w:rFonts w:hint="eastAsia" w:ascii="宋体" w:hAnsi="宋体"/>
          <w:b/>
          <w:spacing w:val="-5"/>
          <w:kern w:val="0"/>
          <w:sz w:val="24"/>
        </w:rPr>
        <w:t>4、井下无线接入基站</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*4.1 工作模式：支持AP零配置上线，由无线控制器下发配置，金属外壳。</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*4.2 满足IEEE802.11 b/g/n标准，整机速率</w:t>
      </w:r>
      <w:r>
        <w:rPr>
          <w:rFonts w:ascii="宋体" w:hAnsi="宋体"/>
          <w:spacing w:val="-5"/>
          <w:kern w:val="0"/>
          <w:sz w:val="24"/>
        </w:rPr>
        <w:t>≥</w:t>
      </w:r>
      <w:r>
        <w:rPr>
          <w:rFonts w:hint="eastAsia" w:ascii="宋体" w:hAnsi="宋体"/>
          <w:spacing w:val="-5"/>
          <w:kern w:val="0"/>
          <w:sz w:val="24"/>
        </w:rPr>
        <w:t>150Mbps，</w:t>
      </w:r>
      <w:r>
        <w:rPr>
          <w:rFonts w:ascii="宋体" w:hAnsi="宋体"/>
          <w:spacing w:val="-5"/>
          <w:kern w:val="0"/>
          <w:sz w:val="24"/>
        </w:rPr>
        <w:t>支持P</w:t>
      </w:r>
      <w:r>
        <w:rPr>
          <w:rFonts w:hint="eastAsia" w:ascii="宋体" w:hAnsi="宋体"/>
          <w:spacing w:val="-5"/>
          <w:kern w:val="0"/>
          <w:sz w:val="24"/>
        </w:rPr>
        <w:t>O</w:t>
      </w:r>
      <w:r>
        <w:rPr>
          <w:rFonts w:ascii="宋体" w:hAnsi="宋体"/>
          <w:spacing w:val="-5"/>
          <w:kern w:val="0"/>
          <w:sz w:val="24"/>
        </w:rPr>
        <w:t>E供电或本地电源适配器</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*4.3 用户管理能力：支持最大接入用户数≥128个，支持基于SSID、用户组的接入控制和带宽管理， ACL条目数≥4K。</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*4.4 原生N型射频接口，无需进行转接，支持天线发射功率≥27dBm，支持按1dB步长调整发射功率，本次单台配置4个2.4GHz定向天线。</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*4.5 支持SSID个数≥16，支持SSID隐藏。</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4.6 信号稳定技术：支持空时分组码(STBC)、低密度奇偶校验编码(LDPC)、最大似然检测（MLD）信号增强技术。</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4.7 抗干扰技术：支持802.11h 动态频率选择(DFS)，可自动避开雷达信道以避免干扰，支持逐包功率控制支持，即在确保报文能成功传输的前提下动态调节AP设备对各个用户的发射功率，以达到减少能耗和干扰的作用，支持频谱分析功能，可对干扰源进行识别；并可与网管系统配合，对干扰源进行定位和频谱显示。</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4.8 可靠性：支持温度告警，断电告警，业务续航功能。</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4.9 认证与加密：支持MAC认证、Portal认证、802.1X认证、PSK认证模式 ，并可支持MAC + Portal混合认证，支持WEP(WEP64/WEP128)、WPA/WPA2、TKIP、CCMP和WAPI。</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4.10 安全：支持本地转发安全模式，支持无线入侵检测/防御系统技术（WIDS/WIPS）。</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4.11 负载均衡：支持基于用户数与数据流量的负载均衡策略。</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*4.12 提供WIFI联盟认证证书、国家无线电委员会入网核准证。</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*4.13 </w:t>
      </w:r>
      <w:r>
        <w:rPr>
          <w:rFonts w:ascii="宋体" w:hAnsi="宋体"/>
          <w:spacing w:val="-5"/>
          <w:kern w:val="0"/>
          <w:sz w:val="24"/>
        </w:rPr>
        <w:t>为保障后期方便运维管理，要求与</w:t>
      </w:r>
      <w:r>
        <w:rPr>
          <w:rFonts w:hint="eastAsia" w:ascii="宋体" w:hAnsi="宋体"/>
          <w:spacing w:val="-5"/>
          <w:kern w:val="0"/>
          <w:sz w:val="24"/>
        </w:rPr>
        <w:t>无线</w:t>
      </w:r>
      <w:r>
        <w:rPr>
          <w:rFonts w:ascii="宋体" w:hAnsi="宋体"/>
          <w:spacing w:val="-5"/>
          <w:kern w:val="0"/>
          <w:sz w:val="24"/>
        </w:rPr>
        <w:t>控制器、汇聚交换机、网管软件为同一品牌</w:t>
      </w:r>
      <w:r>
        <w:rPr>
          <w:rFonts w:hint="eastAsia" w:ascii="宋体" w:hAnsi="宋体"/>
          <w:spacing w:val="-5"/>
          <w:kern w:val="0"/>
          <w:sz w:val="24"/>
        </w:rPr>
        <w:t>。</w:t>
      </w:r>
    </w:p>
    <w:p>
      <w:pPr>
        <w:spacing w:line="360" w:lineRule="auto"/>
        <w:ind w:firstLine="462" w:firstLineChars="200"/>
        <w:jc w:val="left"/>
        <w:rPr>
          <w:rFonts w:ascii="宋体" w:hAnsi="宋体"/>
          <w:b/>
          <w:spacing w:val="-5"/>
          <w:kern w:val="0"/>
          <w:sz w:val="24"/>
        </w:rPr>
      </w:pPr>
      <w:r>
        <w:rPr>
          <w:rFonts w:hint="eastAsia" w:ascii="宋体" w:hAnsi="宋体"/>
          <w:b/>
          <w:spacing w:val="-5"/>
          <w:kern w:val="0"/>
          <w:sz w:val="24"/>
        </w:rPr>
        <w:t>5、上网行为管理</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*5.1 1U标准机架式架构，采用非X86多核架构,处理器最低配置为8核；固定配置4GE电口+2GE光电复用口，扩展插槽数量≥5个，支持扩展到20FE+8GE电+2GE光；至少具备一个串口，支持软、硬件bypass功能，支持WLAN板卡扩展。</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*5.2 吞吐量≥1Gbps，最大并发连接数≥26万，每秒新建连接数≥8000；IPSEC VPN吞吐≥1Gbps；IPSEC VPN隧道数≥1000。</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5.3 </w:t>
      </w:r>
      <w:r>
        <w:rPr>
          <w:rFonts w:ascii="宋体" w:hAnsi="宋体"/>
          <w:spacing w:val="-5"/>
          <w:kern w:val="0"/>
          <w:sz w:val="24"/>
        </w:rPr>
        <w:t>部署方式提供网关模式，提供静态路由（基于优先级和目标的路由）、策略路由(基于ACL、用户的选路）、OSPF；支持NAT/NAT-SERVER、安全域及域间规则、包过滤、IP-MAC绑定、DHCP SERVER、DNS/DDNS、组播、IPv6透传等功能，支持旁路模式，无需更改网络配置，实现上网行为审计。</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5.4 </w:t>
      </w:r>
      <w:r>
        <w:rPr>
          <w:rFonts w:ascii="宋体" w:hAnsi="宋体"/>
          <w:spacing w:val="-5"/>
          <w:kern w:val="0"/>
          <w:sz w:val="24"/>
        </w:rPr>
        <w:t>支持P2P下载软件（BitTorrent，eMule等）、常见P2P视频软件（PPStream、PPLive等）、常见P2SP软件（迅雷、网际快车等）控制130余种P2P应用；提供常见IM控制，包括QQ、MSN、Gtalk（含加密）、雅虎通、飞信等，同时提供根据IM的不同行为属性（DPI小类，如聊天、语音、视频、文件上传下载、远程控制、网络硬盘等）进行控制；提供1200+应用识别，覆盖国内外主流应用，含300+移动智能终端应用，提供自定义应用。</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5.5 </w:t>
      </w:r>
      <w:r>
        <w:rPr>
          <w:rFonts w:ascii="宋体" w:hAnsi="宋体"/>
          <w:spacing w:val="-5"/>
          <w:kern w:val="0"/>
          <w:sz w:val="24"/>
        </w:rPr>
        <w:t>威胁过滤支持漏洞利用检测，如基于浏览器、常用办公软件（Ms Office/pdf等）、插件脚本（ActiveX/JavaScript/VBScript等）、流媒体（Quick Time/Flash Player/Real Play/Windows Media/VLC等）等漏洞利用；基于漏洞的入侵攻击特征库数量≥1800+种，攻击检测率≥90％；支持恶意URL过滤和反垃圾邮件过滤。</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5.6 </w:t>
      </w:r>
      <w:r>
        <w:rPr>
          <w:rFonts w:ascii="宋体" w:hAnsi="宋体"/>
          <w:spacing w:val="-5"/>
          <w:kern w:val="0"/>
          <w:sz w:val="24"/>
        </w:rPr>
        <w:t>URL分类库大于8500万，11种语言，130+内容分类，支持用户自定义分类，支持云端自动更新，提供官网截图。</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5.7 支持</w:t>
      </w:r>
      <w:r>
        <w:rPr>
          <w:rFonts w:ascii="宋体" w:hAnsi="宋体"/>
          <w:spacing w:val="-5"/>
          <w:kern w:val="0"/>
          <w:sz w:val="24"/>
        </w:rPr>
        <w:t>防范多种DoS和DDoS、扫描窥探、畸形报文等攻击</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5.8 </w:t>
      </w:r>
      <w:r>
        <w:rPr>
          <w:rFonts w:ascii="宋体" w:hAnsi="宋体"/>
          <w:spacing w:val="-5"/>
          <w:kern w:val="0"/>
          <w:sz w:val="24"/>
        </w:rPr>
        <w:t>设备内置账号、外部AD/LDAP、外部Radius、TSM等</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*5.9 配置客户端服务器</w:t>
      </w:r>
      <w:r>
        <w:rPr>
          <w:rFonts w:ascii="宋体" w:hAnsi="宋体"/>
          <w:spacing w:val="-5"/>
          <w:kern w:val="0"/>
          <w:sz w:val="24"/>
        </w:rPr>
        <w:t>CPU≥</w:t>
      </w:r>
      <w:r>
        <w:rPr>
          <w:rFonts w:hint="eastAsia" w:ascii="宋体" w:hAnsi="宋体"/>
          <w:spacing w:val="-5"/>
          <w:kern w:val="0"/>
          <w:sz w:val="24"/>
        </w:rPr>
        <w:t>2颗</w:t>
      </w:r>
      <w:r>
        <w:rPr>
          <w:rFonts w:ascii="宋体" w:hAnsi="宋体"/>
          <w:spacing w:val="-5"/>
          <w:kern w:val="0"/>
          <w:sz w:val="24"/>
        </w:rPr>
        <w:t>E5-2620 V3，内存≥</w:t>
      </w:r>
      <w:r>
        <w:rPr>
          <w:rFonts w:hint="eastAsia" w:ascii="宋体" w:hAnsi="宋体"/>
          <w:spacing w:val="-5"/>
          <w:kern w:val="0"/>
          <w:sz w:val="24"/>
        </w:rPr>
        <w:t>16</w:t>
      </w:r>
      <w:r>
        <w:rPr>
          <w:rFonts w:ascii="宋体" w:hAnsi="宋体"/>
          <w:spacing w:val="-5"/>
          <w:kern w:val="0"/>
          <w:sz w:val="24"/>
        </w:rPr>
        <w:t>G，硬盘≥600G 2.5寸，电源≥2，千兆电口≥4；操作系统Windows Server 20</w:t>
      </w:r>
      <w:r>
        <w:rPr>
          <w:rFonts w:hint="eastAsia" w:ascii="宋体" w:hAnsi="宋体"/>
          <w:spacing w:val="-5"/>
          <w:kern w:val="0"/>
          <w:sz w:val="24"/>
        </w:rPr>
        <w:t>08</w:t>
      </w:r>
      <w:r>
        <w:rPr>
          <w:rFonts w:ascii="宋体" w:hAnsi="宋体"/>
          <w:spacing w:val="-5"/>
          <w:kern w:val="0"/>
          <w:sz w:val="24"/>
        </w:rPr>
        <w:t>一套</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 xml:space="preserve">*5.9 </w:t>
      </w:r>
      <w:r>
        <w:rPr>
          <w:rFonts w:ascii="宋体" w:hAnsi="宋体"/>
          <w:spacing w:val="-5"/>
          <w:kern w:val="0"/>
          <w:sz w:val="24"/>
        </w:rPr>
        <w:t>提供中华人民共和国公安部颁发的《计算机信息系统安全专用产品销售许可证》，提供证书复印件</w:t>
      </w:r>
      <w:r>
        <w:rPr>
          <w:rFonts w:hint="eastAsia" w:ascii="宋体" w:hAnsi="宋体"/>
          <w:spacing w:val="-5"/>
          <w:kern w:val="0"/>
          <w:sz w:val="24"/>
        </w:rPr>
        <w:t>。</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*5.10 具有中国信息安全认证中心颁发的《中国国家信息安全产品认证证书》。</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*5.11 具有《涉密信息系统产品检测证书》。</w:t>
      </w:r>
    </w:p>
    <w:p>
      <w:pPr>
        <w:spacing w:line="360" w:lineRule="auto"/>
        <w:ind w:firstLine="575" w:firstLineChars="250"/>
        <w:jc w:val="left"/>
        <w:rPr>
          <w:rFonts w:ascii="宋体" w:hAnsi="宋体"/>
          <w:spacing w:val="-5"/>
          <w:kern w:val="0"/>
          <w:sz w:val="24"/>
        </w:rPr>
      </w:pPr>
      <w:r>
        <w:rPr>
          <w:rFonts w:hint="eastAsia" w:ascii="宋体" w:hAnsi="宋体"/>
          <w:spacing w:val="-5"/>
          <w:kern w:val="0"/>
          <w:sz w:val="24"/>
        </w:rPr>
        <w:t>*5.12 具有中国信息安全测评中心《信息技术产品安全测评证书》（EAL3+）。</w:t>
      </w:r>
    </w:p>
    <w:p>
      <w:pPr>
        <w:spacing w:line="360" w:lineRule="auto"/>
        <w:ind w:firstLine="575" w:firstLineChars="250"/>
        <w:jc w:val="left"/>
        <w:rPr>
          <w:rFonts w:ascii="宋体" w:hAnsi="宋体"/>
          <w:b/>
          <w:color w:val="FF0000"/>
          <w:spacing w:val="-5"/>
          <w:kern w:val="0"/>
          <w:sz w:val="24"/>
        </w:rPr>
      </w:pPr>
      <w:r>
        <w:rPr>
          <w:rFonts w:hint="eastAsia" w:ascii="宋体" w:hAnsi="宋体"/>
          <w:spacing w:val="-5"/>
          <w:kern w:val="0"/>
          <w:sz w:val="24"/>
        </w:rPr>
        <w:t xml:space="preserve">*5.13 </w:t>
      </w:r>
      <w:r>
        <w:rPr>
          <w:rFonts w:ascii="宋体" w:hAnsi="宋体"/>
          <w:spacing w:val="-5"/>
          <w:kern w:val="0"/>
          <w:sz w:val="24"/>
        </w:rPr>
        <w:t>为保障后期方便运维管理，要求与汇聚交换机、网管软件为同一品牌</w:t>
      </w:r>
      <w:r>
        <w:rPr>
          <w:rFonts w:hint="eastAsia" w:ascii="宋体" w:hAnsi="宋体"/>
          <w:spacing w:val="-5"/>
          <w:kern w:val="0"/>
          <w:sz w:val="24"/>
        </w:rPr>
        <w:t>。</w:t>
      </w:r>
    </w:p>
    <w:p>
      <w:pPr>
        <w:spacing w:line="360" w:lineRule="auto"/>
        <w:ind w:firstLine="462" w:firstLineChars="200"/>
        <w:jc w:val="left"/>
        <w:rPr>
          <w:rFonts w:ascii="宋体" w:hAnsi="宋体"/>
          <w:b/>
          <w:spacing w:val="-5"/>
          <w:kern w:val="0"/>
          <w:sz w:val="24"/>
        </w:rPr>
      </w:pPr>
      <w:r>
        <w:rPr>
          <w:rFonts w:hint="eastAsia" w:ascii="宋体" w:hAnsi="宋体"/>
          <w:b/>
          <w:spacing w:val="-5"/>
          <w:kern w:val="0"/>
          <w:sz w:val="24"/>
        </w:rPr>
        <w:t>6、网络管理系统</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*6.1 基于B/S架构，至少支持Cisco、Huawei、H3C、锐捷等主流厂商的设备管理。要求具备自定义设备的管理能力（至少包括告警参数、性能指标），从而达到对新设备快速管理。</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6.2 提供故障、拓扑、性能、报表以及智能配置工具和配置文件管理的功能。</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6.3</w:t>
      </w:r>
      <w:r>
        <w:rPr>
          <w:rFonts w:hint="eastAsia" w:ascii="宋体" w:hAnsi="宋体"/>
          <w:spacing w:val="-5"/>
          <w:kern w:val="0"/>
          <w:sz w:val="24"/>
        </w:rPr>
        <w:tab/>
      </w:r>
      <w:r>
        <w:rPr>
          <w:rFonts w:hint="eastAsia" w:ascii="宋体" w:hAnsi="宋体"/>
          <w:spacing w:val="-5"/>
          <w:kern w:val="0"/>
          <w:sz w:val="24"/>
        </w:rPr>
        <w:t xml:space="preserve"> 支持Windows、SuSE Linux操作系统。支持Oracle 、MySQL、SQL Server数据库。系统可支持在虚拟机上运行。管理软件前后台采用https协议，数据传输加密；涉及密码等敏感信息采用加密存储方式，防止泄露。</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*6.4 支持网络设备自动发现，设备类型主要包括路由器、交换机、WLAN设备等，并能够正确识别设备间的拓扑连接关系，提供物理拓扑图。</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*6.5 支持拓扑图方式显示被管网元及其之间连接的状态，支持可通过浏览拓扑视图来实时了解整个网络的运行情况；网管系统需要能够实时监测两台设备之间直连链路的丢包数和丢包率，并支持对端口的优先级队列进行丢包数和丢包率的统计。</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6.6 为了保障网络的正常运行和快速排障，管理软件需要提供故障诊断功能，包括终端侧和网络侧的故障诊断，终端侧可以对终端侧配置、网络环境和网络连通性的检测。</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 xml:space="preserve">*6.7 </w:t>
      </w:r>
      <w:r>
        <w:rPr>
          <w:rFonts w:ascii="宋体" w:hAnsi="宋体"/>
          <w:spacing w:val="-5"/>
          <w:kern w:val="0"/>
          <w:sz w:val="24"/>
        </w:rPr>
        <w:t>配置网管服务器，CPU≥E5-2620 V3，内存≥8G，硬盘≥600G 2.5寸，电源≥2，千兆电口≥4；数据库软件Microsoft SQL Server 2012一套，操作系统Windows Server 2012一套，配置至少60个网络设备管理授权，</w:t>
      </w:r>
      <w:r>
        <w:rPr>
          <w:rFonts w:hint="eastAsia" w:ascii="宋体" w:hAnsi="宋体"/>
          <w:spacing w:val="-5"/>
          <w:kern w:val="0"/>
          <w:sz w:val="24"/>
        </w:rPr>
        <w:t>205</w:t>
      </w:r>
      <w:r>
        <w:rPr>
          <w:rFonts w:ascii="宋体" w:hAnsi="宋体"/>
          <w:spacing w:val="-5"/>
          <w:kern w:val="0"/>
          <w:sz w:val="24"/>
        </w:rPr>
        <w:t>个WLAN设备管理授权。</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*6.8 具有《计算机软件著作权证书》。</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*6.9 为保障后期管理维护，要求与汇聚交换机产品同一品牌。</w:t>
      </w:r>
    </w:p>
    <w:p>
      <w:pPr>
        <w:spacing w:line="360" w:lineRule="auto"/>
        <w:ind w:firstLine="462" w:firstLineChars="200"/>
        <w:jc w:val="left"/>
        <w:rPr>
          <w:rFonts w:ascii="宋体" w:hAnsi="宋体"/>
          <w:b/>
          <w:spacing w:val="-5"/>
          <w:kern w:val="0"/>
          <w:sz w:val="24"/>
        </w:rPr>
      </w:pPr>
      <w:r>
        <w:rPr>
          <w:rFonts w:hint="eastAsia" w:ascii="宋体" w:hAnsi="宋体"/>
          <w:b/>
          <w:spacing w:val="-5"/>
          <w:kern w:val="0"/>
          <w:sz w:val="24"/>
        </w:rPr>
        <w:t>7、</w:t>
      </w:r>
      <w:r>
        <w:rPr>
          <w:rFonts w:hint="eastAsia" w:ascii="宋体" w:hAnsi="宋体"/>
          <w:b/>
          <w:szCs w:val="21"/>
        </w:rPr>
        <w:t>接入认证系统</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*7.1 提供企业统一的网络接入策略，支持</w:t>
      </w:r>
      <w:r>
        <w:rPr>
          <w:rFonts w:ascii="宋体" w:hAnsi="宋体"/>
          <w:spacing w:val="-5"/>
          <w:kern w:val="0"/>
          <w:sz w:val="24"/>
        </w:rPr>
        <w:t>802.1x</w:t>
      </w:r>
      <w:r>
        <w:rPr>
          <w:rFonts w:hint="eastAsia" w:ascii="宋体" w:hAnsi="宋体"/>
          <w:spacing w:val="-5"/>
          <w:kern w:val="0"/>
          <w:sz w:val="24"/>
        </w:rPr>
        <w:t>、</w:t>
      </w:r>
      <w:r>
        <w:rPr>
          <w:rFonts w:ascii="宋体" w:hAnsi="宋体"/>
          <w:spacing w:val="-5"/>
          <w:kern w:val="0"/>
          <w:sz w:val="24"/>
        </w:rPr>
        <w:t xml:space="preserve">Portal </w:t>
      </w:r>
      <w:r>
        <w:rPr>
          <w:rFonts w:hint="eastAsia" w:ascii="宋体" w:hAnsi="宋体"/>
          <w:spacing w:val="-5"/>
          <w:kern w:val="0"/>
          <w:sz w:val="24"/>
        </w:rPr>
        <w:t>认证、</w:t>
      </w:r>
      <w:r>
        <w:rPr>
          <w:rFonts w:ascii="宋体" w:hAnsi="宋体"/>
          <w:spacing w:val="-5"/>
          <w:kern w:val="0"/>
          <w:sz w:val="24"/>
        </w:rPr>
        <w:t xml:space="preserve">MAC </w:t>
      </w:r>
      <w:r>
        <w:rPr>
          <w:rFonts w:hint="eastAsia" w:ascii="宋体" w:hAnsi="宋体"/>
          <w:spacing w:val="-5"/>
          <w:kern w:val="0"/>
          <w:sz w:val="24"/>
        </w:rPr>
        <w:t>认证、</w:t>
      </w:r>
      <w:r>
        <w:rPr>
          <w:rFonts w:ascii="宋体" w:hAnsi="宋体"/>
          <w:spacing w:val="-5"/>
          <w:kern w:val="0"/>
          <w:sz w:val="24"/>
        </w:rPr>
        <w:t xml:space="preserve">SACG </w:t>
      </w:r>
      <w:r>
        <w:rPr>
          <w:rFonts w:hint="eastAsia" w:ascii="宋体" w:hAnsi="宋体"/>
          <w:spacing w:val="-5"/>
          <w:kern w:val="0"/>
          <w:sz w:val="24"/>
        </w:rPr>
        <w:t>等多种认证方式，实现企业网络有线、无线和</w:t>
      </w:r>
      <w:r>
        <w:rPr>
          <w:rFonts w:ascii="宋体" w:hAnsi="宋体"/>
          <w:spacing w:val="-5"/>
          <w:kern w:val="0"/>
          <w:sz w:val="24"/>
        </w:rPr>
        <w:t xml:space="preserve">VPN </w:t>
      </w:r>
      <w:r>
        <w:rPr>
          <w:rFonts w:hint="eastAsia" w:ascii="宋体" w:hAnsi="宋体"/>
          <w:spacing w:val="-5"/>
          <w:kern w:val="0"/>
          <w:sz w:val="24"/>
        </w:rPr>
        <w:t>接入的统一接入管理，基于角色身份、接入时间、接入地点、终端类型、终端归属、接入方式（</w:t>
      </w:r>
      <w:r>
        <w:rPr>
          <w:rFonts w:ascii="宋体" w:hAnsi="宋体"/>
          <w:spacing w:val="-5"/>
          <w:kern w:val="0"/>
          <w:sz w:val="24"/>
        </w:rPr>
        <w:t>5W1H</w:t>
      </w:r>
      <w:r>
        <w:rPr>
          <w:rFonts w:hint="eastAsia" w:ascii="宋体" w:hAnsi="宋体"/>
          <w:spacing w:val="-5"/>
          <w:kern w:val="0"/>
          <w:sz w:val="24"/>
        </w:rPr>
        <w:t>）的精细化授权，满足企业多种网络接入、多种终端接入的统一运维管理需求。</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7.2 提供全生命流程的访客管理，实现访客账号申请、审批、分发、认证、审计、注销等统一管理，账号申请支持访客自注册、员工代申请、微信申请、二维码申请等多种方式，访客账号申请与认证页面支持“所见即所得”的自定义功能，可灵活推送广告。</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 xml:space="preserve">*7.3 </w:t>
      </w:r>
      <w:r>
        <w:rPr>
          <w:rFonts w:ascii="宋体" w:hAnsi="宋体"/>
          <w:spacing w:val="-5"/>
          <w:kern w:val="0"/>
          <w:sz w:val="24"/>
        </w:rPr>
        <w:t>支持多种访客账号通知方式：</w:t>
      </w:r>
      <w:r>
        <w:rPr>
          <w:rFonts w:hint="eastAsia" w:ascii="宋体" w:hAnsi="宋体"/>
          <w:spacing w:val="-5"/>
          <w:kern w:val="0"/>
          <w:sz w:val="24"/>
        </w:rPr>
        <w:t>WEB、EMAIL、SMS。</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7.4 支持</w:t>
      </w:r>
      <w:r>
        <w:rPr>
          <w:rFonts w:ascii="宋体" w:hAnsi="宋体"/>
          <w:spacing w:val="-5"/>
          <w:kern w:val="0"/>
          <w:sz w:val="24"/>
        </w:rPr>
        <w:t>MAC OUI</w:t>
      </w:r>
      <w:r>
        <w:rPr>
          <w:rFonts w:hint="eastAsia" w:ascii="宋体" w:hAnsi="宋体"/>
          <w:spacing w:val="-5"/>
          <w:kern w:val="0"/>
          <w:sz w:val="24"/>
        </w:rPr>
        <w:t>、</w:t>
      </w:r>
      <w:r>
        <w:rPr>
          <w:rFonts w:ascii="宋体" w:hAnsi="宋体"/>
          <w:spacing w:val="-5"/>
          <w:kern w:val="0"/>
          <w:sz w:val="24"/>
        </w:rPr>
        <w:t>DHCP Option</w:t>
      </w:r>
      <w:r>
        <w:rPr>
          <w:rFonts w:hint="eastAsia" w:ascii="宋体" w:hAnsi="宋体"/>
          <w:spacing w:val="-5"/>
          <w:kern w:val="0"/>
          <w:sz w:val="24"/>
        </w:rPr>
        <w:t>、</w:t>
      </w:r>
      <w:r>
        <w:rPr>
          <w:rFonts w:ascii="宋体" w:hAnsi="宋体"/>
          <w:spacing w:val="-5"/>
          <w:kern w:val="0"/>
          <w:sz w:val="24"/>
        </w:rPr>
        <w:t>HTTP User-Agent</w:t>
      </w:r>
      <w:r>
        <w:rPr>
          <w:rFonts w:hint="eastAsia" w:ascii="宋体" w:hAnsi="宋体"/>
          <w:spacing w:val="-5"/>
          <w:kern w:val="0"/>
          <w:sz w:val="24"/>
        </w:rPr>
        <w:t>、</w:t>
      </w:r>
      <w:r>
        <w:rPr>
          <w:rFonts w:ascii="宋体" w:hAnsi="宋体"/>
          <w:spacing w:val="-5"/>
          <w:kern w:val="0"/>
          <w:sz w:val="24"/>
        </w:rPr>
        <w:t xml:space="preserve">SNMP </w:t>
      </w:r>
      <w:r>
        <w:rPr>
          <w:rFonts w:hint="eastAsia" w:ascii="宋体" w:hAnsi="宋体"/>
          <w:spacing w:val="-5"/>
          <w:kern w:val="0"/>
          <w:sz w:val="24"/>
        </w:rPr>
        <w:t>等多种方式识别设。</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7.5 支持相同用户账号根据终端类型分配不同的业务策略，细化用户权限控制粒度。</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7.6 支持按需同步、按过滤条件同步等特性，满足各类用户的个性需。</w:t>
      </w:r>
    </w:p>
    <w:p>
      <w:pPr>
        <w:spacing w:line="360" w:lineRule="auto"/>
        <w:ind w:firstLine="460" w:firstLineChars="200"/>
        <w:jc w:val="left"/>
        <w:rPr>
          <w:rFonts w:ascii="宋体" w:hAnsi="宋体"/>
          <w:spacing w:val="-5"/>
          <w:kern w:val="0"/>
          <w:sz w:val="24"/>
        </w:rPr>
      </w:pPr>
      <w:r>
        <w:rPr>
          <w:rFonts w:hint="eastAsia" w:ascii="宋体" w:hAnsi="宋体"/>
          <w:spacing w:val="-5"/>
          <w:kern w:val="0"/>
          <w:sz w:val="24"/>
        </w:rPr>
        <w:t xml:space="preserve">*7.7 </w:t>
      </w:r>
      <w:r>
        <w:rPr>
          <w:rFonts w:ascii="宋体" w:hAnsi="宋体"/>
          <w:spacing w:val="-5"/>
          <w:kern w:val="0"/>
          <w:sz w:val="24"/>
        </w:rPr>
        <w:t>配置认证服务器，CPU≥</w:t>
      </w:r>
      <w:r>
        <w:rPr>
          <w:rFonts w:hint="eastAsia" w:ascii="宋体" w:hAnsi="宋体"/>
          <w:spacing w:val="-5"/>
          <w:kern w:val="0"/>
          <w:sz w:val="24"/>
        </w:rPr>
        <w:t>2颗</w:t>
      </w:r>
      <w:r>
        <w:rPr>
          <w:rFonts w:ascii="宋体" w:hAnsi="宋体"/>
          <w:spacing w:val="-5"/>
          <w:kern w:val="0"/>
          <w:sz w:val="24"/>
        </w:rPr>
        <w:t>E5-2620 V3，内存≥</w:t>
      </w:r>
      <w:r>
        <w:rPr>
          <w:rFonts w:hint="eastAsia" w:ascii="宋体" w:hAnsi="宋体"/>
          <w:spacing w:val="-5"/>
          <w:kern w:val="0"/>
          <w:sz w:val="24"/>
        </w:rPr>
        <w:t>16</w:t>
      </w:r>
      <w:r>
        <w:rPr>
          <w:rFonts w:ascii="宋体" w:hAnsi="宋体"/>
          <w:spacing w:val="-5"/>
          <w:kern w:val="0"/>
          <w:sz w:val="24"/>
        </w:rPr>
        <w:t>G，硬盘≥600G 2.5寸，电源≥2，千兆电口≥4；数据库软件Microsoft SQL Server 20</w:t>
      </w:r>
      <w:r>
        <w:rPr>
          <w:rFonts w:hint="eastAsia" w:ascii="宋体" w:hAnsi="宋体"/>
          <w:spacing w:val="-5"/>
          <w:kern w:val="0"/>
          <w:sz w:val="24"/>
        </w:rPr>
        <w:t>08</w:t>
      </w:r>
      <w:r>
        <w:rPr>
          <w:rFonts w:ascii="宋体" w:hAnsi="宋体"/>
          <w:spacing w:val="-5"/>
          <w:kern w:val="0"/>
          <w:sz w:val="24"/>
        </w:rPr>
        <w:t>一套，操作系统Windows Server 20</w:t>
      </w:r>
      <w:r>
        <w:rPr>
          <w:rFonts w:hint="eastAsia" w:ascii="宋体" w:hAnsi="宋体"/>
          <w:spacing w:val="-5"/>
          <w:kern w:val="0"/>
          <w:sz w:val="24"/>
        </w:rPr>
        <w:t>08</w:t>
      </w:r>
      <w:r>
        <w:rPr>
          <w:rFonts w:ascii="宋体" w:hAnsi="宋体"/>
          <w:spacing w:val="-5"/>
          <w:kern w:val="0"/>
          <w:sz w:val="24"/>
        </w:rPr>
        <w:t>一套。</w:t>
      </w:r>
      <w:r>
        <w:rPr>
          <w:rFonts w:hint="eastAsia" w:ascii="宋体" w:hAnsi="宋体"/>
          <w:spacing w:val="-5"/>
          <w:kern w:val="0"/>
          <w:sz w:val="24"/>
        </w:rPr>
        <w:t>配置不少于2000个接入控制终端数授权，不少于200个访客管理授权。</w:t>
      </w:r>
    </w:p>
    <w:p>
      <w:pPr>
        <w:spacing w:line="360" w:lineRule="auto"/>
        <w:ind w:firstLine="460" w:firstLineChars="200"/>
        <w:jc w:val="left"/>
        <w:rPr>
          <w:rFonts w:hint="eastAsia" w:ascii="宋体" w:hAnsi="宋体"/>
          <w:spacing w:val="-5"/>
          <w:kern w:val="0"/>
          <w:sz w:val="24"/>
        </w:rPr>
      </w:pPr>
      <w:r>
        <w:rPr>
          <w:rFonts w:ascii="宋体" w:hAnsi="宋体"/>
          <w:spacing w:val="-5"/>
          <w:kern w:val="0"/>
          <w:sz w:val="24"/>
        </w:rPr>
        <w:t>8</w:t>
      </w:r>
      <w:r>
        <w:rPr>
          <w:rFonts w:hint="eastAsia" w:ascii="宋体" w:hAnsi="宋体"/>
          <w:spacing w:val="-5"/>
          <w:kern w:val="0"/>
          <w:sz w:val="24"/>
        </w:rPr>
        <w:t>. 矿用本安型无线基站参数及要求</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w:t>
      </w:r>
      <w:r>
        <w:rPr>
          <w:rFonts w:ascii="宋体" w:hAnsi="宋体"/>
          <w:spacing w:val="-5"/>
          <w:kern w:val="0"/>
          <w:sz w:val="24"/>
        </w:rPr>
        <w:t>8</w:t>
      </w:r>
      <w:r>
        <w:rPr>
          <w:rFonts w:hint="eastAsia" w:ascii="宋体" w:hAnsi="宋体"/>
          <w:spacing w:val="-5"/>
          <w:kern w:val="0"/>
          <w:sz w:val="24"/>
        </w:rPr>
        <w:t>.1 WiFi基站至少提供2个光接口并有电接口，能实现串接方式；</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w:t>
      </w:r>
      <w:r>
        <w:rPr>
          <w:rFonts w:ascii="宋体" w:hAnsi="宋体"/>
          <w:spacing w:val="-5"/>
          <w:kern w:val="0"/>
          <w:sz w:val="24"/>
        </w:rPr>
        <w:t>8</w:t>
      </w:r>
      <w:r>
        <w:rPr>
          <w:rFonts w:hint="eastAsia" w:ascii="宋体" w:hAnsi="宋体"/>
          <w:spacing w:val="-5"/>
          <w:kern w:val="0"/>
          <w:sz w:val="24"/>
        </w:rPr>
        <w:t>.2 WiFi基站光接口光纤类型为单模光纤，波长为1310nm；</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w:t>
      </w:r>
      <w:r>
        <w:rPr>
          <w:rFonts w:ascii="宋体" w:hAnsi="宋体"/>
          <w:spacing w:val="-5"/>
          <w:kern w:val="0"/>
          <w:sz w:val="24"/>
        </w:rPr>
        <w:t>8</w:t>
      </w:r>
      <w:r>
        <w:rPr>
          <w:rFonts w:hint="eastAsia" w:ascii="宋体" w:hAnsi="宋体"/>
          <w:spacing w:val="-5"/>
          <w:kern w:val="0"/>
          <w:sz w:val="24"/>
        </w:rPr>
        <w:t>.3 WiFi基站无线信号覆盖有效距离不少于400米，信号强度大于-45dBm；</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w:t>
      </w:r>
      <w:r>
        <w:rPr>
          <w:rFonts w:ascii="宋体" w:hAnsi="宋体"/>
          <w:spacing w:val="-5"/>
          <w:kern w:val="0"/>
          <w:sz w:val="24"/>
        </w:rPr>
        <w:t>8</w:t>
      </w:r>
      <w:r>
        <w:rPr>
          <w:rFonts w:hint="eastAsia" w:ascii="宋体" w:hAnsi="宋体"/>
          <w:spacing w:val="-5"/>
          <w:kern w:val="0"/>
          <w:sz w:val="24"/>
        </w:rPr>
        <w:t>.4支持无线网络标准：IEEE 802.11b/g/n；</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w:t>
      </w:r>
      <w:r>
        <w:rPr>
          <w:rFonts w:ascii="宋体" w:hAnsi="宋体"/>
          <w:spacing w:val="-5"/>
          <w:kern w:val="0"/>
          <w:sz w:val="24"/>
        </w:rPr>
        <w:t>8</w:t>
      </w:r>
      <w:r>
        <w:rPr>
          <w:rFonts w:hint="eastAsia" w:ascii="宋体" w:hAnsi="宋体"/>
          <w:spacing w:val="-5"/>
          <w:kern w:val="0"/>
          <w:sz w:val="24"/>
        </w:rPr>
        <w:t>.5 支持以太网标准：IEEE802.3/3u/3z；</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3.6 WiFi基站提供无线接入速率不小于200Mpbs，支持最多并发用户不少于30个；</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w:t>
      </w:r>
      <w:r>
        <w:rPr>
          <w:rFonts w:ascii="宋体" w:hAnsi="宋体"/>
          <w:spacing w:val="-5"/>
          <w:kern w:val="0"/>
          <w:sz w:val="24"/>
        </w:rPr>
        <w:t>8</w:t>
      </w:r>
      <w:r>
        <w:rPr>
          <w:rFonts w:hint="eastAsia" w:ascii="宋体" w:hAnsi="宋体"/>
          <w:spacing w:val="-5"/>
          <w:kern w:val="0"/>
          <w:sz w:val="24"/>
        </w:rPr>
        <w:t>.7 WiFi基站支持MIMO、OFDM等技术，具有丰富的射频控制、移动访问、网络安全、多业务支持等功能，可同时提供多种接入模式（b/g/n）；</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*3.8 WiFi基站支持虚拟AP,实现在一个AP实体上派生出多个虚拟AP；</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w:t>
      </w:r>
      <w:r>
        <w:rPr>
          <w:rFonts w:ascii="宋体" w:hAnsi="宋体"/>
          <w:spacing w:val="-5"/>
          <w:kern w:val="0"/>
          <w:sz w:val="24"/>
        </w:rPr>
        <w:t>8</w:t>
      </w:r>
      <w:r>
        <w:rPr>
          <w:rFonts w:hint="eastAsia" w:ascii="宋体" w:hAnsi="宋体"/>
          <w:spacing w:val="-5"/>
          <w:kern w:val="0"/>
          <w:sz w:val="24"/>
        </w:rPr>
        <w:t>.9 WiFi基站提供了丰富的网络安全特性，支持WEP、WPA、WPA2、WPA-PSK、WPA2-PSK等无线链路认证、加密方式。具有SSID隐藏、接入用户隔离、MAC地址过滤、防ARP攻击、用户带宽限制等多种安全策略。</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w:t>
      </w:r>
      <w:r>
        <w:rPr>
          <w:rFonts w:ascii="宋体" w:hAnsi="宋体"/>
          <w:spacing w:val="-5"/>
          <w:kern w:val="0"/>
          <w:sz w:val="24"/>
        </w:rPr>
        <w:t>8</w:t>
      </w:r>
      <w:r>
        <w:rPr>
          <w:rFonts w:hint="eastAsia" w:ascii="宋体" w:hAnsi="宋体"/>
          <w:spacing w:val="-5"/>
          <w:kern w:val="0"/>
          <w:sz w:val="24"/>
        </w:rPr>
        <w:t>.10使用WIFI主板设备需具备无线电发射设备型号核准证。</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9.UPS不间断电源参数及技术要求</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*9.1 输入电压：AC 127V或AC 660V；</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*9.2 输出电压：与WIFi基站输入电压相匹配；</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*9.3 带一台WiFi基站时，放电时间需大于2小时；</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*9.4 单体电池最高允许工作温度大于60℃；</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*9.5 电源转换效率：在额定输出状态下，效率不低于85%；</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*9.6 电源转换时间：不大于100ms；</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*9.7电源应具有定期自动放电的功能，电源的工作时间（放电）应符合相关国家或行业标准的规定；</w:t>
      </w:r>
    </w:p>
    <w:p>
      <w:pPr>
        <w:spacing w:line="360" w:lineRule="auto"/>
        <w:ind w:firstLine="460" w:firstLineChars="200"/>
        <w:jc w:val="left"/>
        <w:rPr>
          <w:rFonts w:hint="eastAsia" w:ascii="宋体" w:hAnsi="宋体"/>
          <w:spacing w:val="-5"/>
          <w:kern w:val="0"/>
          <w:sz w:val="24"/>
        </w:rPr>
      </w:pPr>
      <w:r>
        <w:rPr>
          <w:rFonts w:hint="eastAsia" w:ascii="宋体" w:hAnsi="宋体"/>
          <w:spacing w:val="-5"/>
          <w:kern w:val="0"/>
          <w:sz w:val="24"/>
        </w:rPr>
        <w:t>*9.8电源应支持与分站通信功能（需提供完整检验报告）。</w:t>
      </w:r>
    </w:p>
    <w:p>
      <w:pPr>
        <w:spacing w:line="360" w:lineRule="auto"/>
        <w:ind w:firstLine="462" w:firstLineChars="200"/>
        <w:jc w:val="left"/>
        <w:rPr>
          <w:rFonts w:ascii="宋体" w:hAnsi="宋体"/>
          <w:b/>
          <w:spacing w:val="-5"/>
          <w:kern w:val="0"/>
          <w:sz w:val="24"/>
        </w:rPr>
      </w:pPr>
      <w:r>
        <w:rPr>
          <w:rFonts w:hint="eastAsia" w:ascii="宋体" w:hAnsi="宋体"/>
          <w:b/>
          <w:spacing w:val="-5"/>
          <w:kern w:val="0"/>
          <w:sz w:val="24"/>
        </w:rPr>
        <w:t>10 、投标要求：</w:t>
      </w:r>
    </w:p>
    <w:p>
      <w:pPr>
        <w:spacing w:line="360" w:lineRule="auto"/>
        <w:ind w:firstLine="480" w:firstLineChars="200"/>
        <w:jc w:val="left"/>
        <w:rPr>
          <w:rFonts w:ascii="宋体" w:hAnsi="宋体"/>
          <w:spacing w:val="-5"/>
          <w:kern w:val="0"/>
          <w:sz w:val="24"/>
        </w:rPr>
      </w:pPr>
      <w:r>
        <w:rPr>
          <w:rFonts w:hint="eastAsia" w:ascii="宋体" w:hAnsi="宋体" w:cs="Arial"/>
          <w:sz w:val="24"/>
        </w:rPr>
        <w:t>*10</w:t>
      </w:r>
      <w:r>
        <w:rPr>
          <w:rFonts w:ascii="宋体" w:hAnsi="宋体" w:cs="Arial"/>
          <w:sz w:val="24"/>
        </w:rPr>
        <w:t>.</w:t>
      </w:r>
      <w:r>
        <w:rPr>
          <w:rFonts w:hint="eastAsia" w:ascii="宋体" w:hAnsi="宋体"/>
          <w:spacing w:val="-5"/>
          <w:kern w:val="0"/>
          <w:sz w:val="24"/>
        </w:rPr>
        <w:t>1 投标文件必须包括标书要求下的技术方案和设备配置清单、技术白皮书及产品说明书彩页。</w:t>
      </w:r>
    </w:p>
    <w:p>
      <w:pPr>
        <w:spacing w:line="360" w:lineRule="auto"/>
        <w:ind w:firstLine="480" w:firstLineChars="200"/>
        <w:jc w:val="left"/>
        <w:rPr>
          <w:rFonts w:ascii="宋体" w:hAnsi="宋体"/>
          <w:b/>
          <w:spacing w:val="-5"/>
          <w:kern w:val="0"/>
          <w:sz w:val="24"/>
        </w:rPr>
      </w:pPr>
      <w:r>
        <w:rPr>
          <w:rFonts w:hint="eastAsia" w:ascii="宋体" w:hAnsi="宋体" w:cs="Arial"/>
          <w:sz w:val="24"/>
        </w:rPr>
        <w:t>*10</w:t>
      </w:r>
      <w:r>
        <w:rPr>
          <w:rFonts w:ascii="宋体" w:hAnsi="宋体" w:cs="Arial"/>
          <w:sz w:val="24"/>
        </w:rPr>
        <w:t>.</w:t>
      </w:r>
      <w:r>
        <w:rPr>
          <w:rFonts w:hint="eastAsia" w:ascii="宋体" w:hAnsi="宋体"/>
          <w:spacing w:val="-5"/>
          <w:kern w:val="0"/>
          <w:sz w:val="24"/>
        </w:rPr>
        <w:t>2 投标商注册资金不少于</w:t>
      </w:r>
      <w:r>
        <w:rPr>
          <w:rFonts w:ascii="宋体" w:hAnsi="宋体"/>
          <w:spacing w:val="-5"/>
          <w:kern w:val="0"/>
          <w:sz w:val="24"/>
        </w:rPr>
        <w:t>5</w:t>
      </w:r>
      <w:r>
        <w:rPr>
          <w:rFonts w:hint="eastAsia" w:ascii="宋体" w:hAnsi="宋体"/>
          <w:spacing w:val="-5"/>
          <w:kern w:val="0"/>
          <w:sz w:val="24"/>
        </w:rPr>
        <w:t>000万人民币以上，具有计算机信息系统集成二级以上资质，财务和经营状况良好，具备履行合同的能力，无不良行为；投标商应提供近三年内大型企事业单位至少3个类似项目的成功案例，并附合同原件或加盖公章的复印件、甲方项目负责人姓名及联系方式。</w:t>
      </w:r>
    </w:p>
    <w:p>
      <w:pPr>
        <w:spacing w:line="360" w:lineRule="auto"/>
        <w:ind w:firstLine="480" w:firstLineChars="200"/>
        <w:jc w:val="left"/>
        <w:rPr>
          <w:rFonts w:ascii="宋体" w:hAnsi="宋体"/>
          <w:spacing w:val="-5"/>
          <w:kern w:val="0"/>
          <w:sz w:val="24"/>
          <w:highlight w:val="yellow"/>
        </w:rPr>
      </w:pPr>
      <w:r>
        <w:rPr>
          <w:rFonts w:hint="eastAsia" w:ascii="宋体" w:hAnsi="宋体" w:cs="Arial"/>
          <w:sz w:val="24"/>
        </w:rPr>
        <w:t>*10</w:t>
      </w:r>
      <w:r>
        <w:rPr>
          <w:rFonts w:ascii="宋体" w:hAnsi="宋体" w:cs="Arial"/>
          <w:sz w:val="24"/>
        </w:rPr>
        <w:t>.</w:t>
      </w:r>
      <w:r>
        <w:rPr>
          <w:rFonts w:hint="eastAsia" w:ascii="宋体" w:hAnsi="宋体"/>
          <w:spacing w:val="-5"/>
          <w:kern w:val="0"/>
          <w:sz w:val="24"/>
        </w:rPr>
        <w:t>3 投标商提供的技术偏离表中的技术参数必须与技术白皮书、产品说明书一致，此条款同时作为验收条款。</w:t>
      </w:r>
    </w:p>
    <w:p>
      <w:pPr>
        <w:spacing w:line="360" w:lineRule="auto"/>
        <w:ind w:firstLine="480" w:firstLineChars="200"/>
        <w:jc w:val="left"/>
        <w:rPr>
          <w:rFonts w:ascii="宋体" w:hAnsi="宋体"/>
          <w:spacing w:val="-5"/>
          <w:kern w:val="0"/>
          <w:sz w:val="24"/>
        </w:rPr>
      </w:pPr>
      <w:r>
        <w:rPr>
          <w:rFonts w:hint="eastAsia" w:ascii="宋体" w:hAnsi="宋体" w:cs="Arial"/>
          <w:sz w:val="24"/>
        </w:rPr>
        <w:t>*10</w:t>
      </w:r>
      <w:r>
        <w:rPr>
          <w:rFonts w:ascii="宋体" w:hAnsi="宋体" w:cs="Arial"/>
          <w:sz w:val="24"/>
        </w:rPr>
        <w:t>.</w:t>
      </w:r>
      <w:r>
        <w:rPr>
          <w:rFonts w:ascii="宋体" w:hAnsi="宋体"/>
          <w:spacing w:val="-5"/>
          <w:kern w:val="0"/>
          <w:sz w:val="24"/>
        </w:rPr>
        <w:t>4 本项目安装范围包含神东煤炭集团</w:t>
      </w:r>
      <w:r>
        <w:rPr>
          <w:rFonts w:hint="eastAsia" w:ascii="宋体" w:hAnsi="宋体"/>
          <w:spacing w:val="-5"/>
          <w:kern w:val="0"/>
          <w:sz w:val="24"/>
        </w:rPr>
        <w:t>锦界煤矿井下设备安装及调试</w:t>
      </w:r>
    </w:p>
    <w:p>
      <w:pPr>
        <w:spacing w:line="360" w:lineRule="auto"/>
        <w:ind w:firstLine="480" w:firstLineChars="200"/>
        <w:jc w:val="left"/>
        <w:rPr>
          <w:rFonts w:ascii="宋体" w:hAnsi="宋体"/>
          <w:spacing w:val="-5"/>
          <w:kern w:val="0"/>
          <w:sz w:val="24"/>
        </w:rPr>
      </w:pPr>
      <w:r>
        <w:rPr>
          <w:rFonts w:hint="eastAsia" w:ascii="宋体" w:hAnsi="宋体" w:cs="Arial"/>
          <w:sz w:val="24"/>
        </w:rPr>
        <w:t>*</w:t>
      </w:r>
      <w:r>
        <w:rPr>
          <w:rFonts w:hint="eastAsia" w:ascii="宋体" w:hAnsi="宋体"/>
          <w:spacing w:val="-5"/>
          <w:kern w:val="0"/>
          <w:sz w:val="24"/>
        </w:rPr>
        <w:t>10</w:t>
      </w:r>
      <w:r>
        <w:rPr>
          <w:rFonts w:ascii="宋体" w:hAnsi="宋体"/>
          <w:spacing w:val="-5"/>
          <w:kern w:val="0"/>
          <w:sz w:val="24"/>
        </w:rPr>
        <w:t xml:space="preserve">.5 </w:t>
      </w:r>
      <w:r>
        <w:rPr>
          <w:rFonts w:hint="eastAsia" w:ascii="宋体" w:hAnsi="宋体"/>
          <w:spacing w:val="-5"/>
          <w:kern w:val="0"/>
          <w:sz w:val="24"/>
        </w:rPr>
        <w:t>负责对招标方运行人员的技术培训。</w:t>
      </w:r>
    </w:p>
    <w:p>
      <w:pPr>
        <w:pStyle w:val="12"/>
        <w:spacing w:before="0" w:beforeAutospacing="0" w:after="0" w:afterAutospacing="0" w:line="360" w:lineRule="auto"/>
        <w:ind w:firstLine="482" w:firstLineChars="200"/>
        <w:jc w:val="center"/>
        <w:rPr>
          <w:b/>
        </w:rPr>
      </w:pPr>
    </w:p>
    <w:p>
      <w:pPr>
        <w:pStyle w:val="12"/>
        <w:spacing w:before="0" w:beforeAutospacing="0" w:after="0" w:afterAutospacing="0" w:line="360" w:lineRule="auto"/>
        <w:ind w:firstLine="482" w:firstLineChars="200"/>
        <w:jc w:val="center"/>
      </w:pPr>
      <w:r>
        <w:rPr>
          <w:rFonts w:hint="eastAsia"/>
          <w:b/>
        </w:rPr>
        <w:t>第二节备件和工具</w:t>
      </w:r>
    </w:p>
    <w:p>
      <w:pPr>
        <w:spacing w:before="120" w:line="360" w:lineRule="auto"/>
        <w:ind w:firstLine="480" w:firstLineChars="200"/>
        <w:rPr>
          <w:rFonts w:ascii="宋体" w:hAnsi="宋体"/>
          <w:sz w:val="24"/>
        </w:rPr>
      </w:pPr>
      <w:r>
        <w:rPr>
          <w:rFonts w:hint="eastAsia" w:ascii="宋体" w:hAnsi="宋体"/>
          <w:sz w:val="24"/>
        </w:rPr>
        <w:t>1. 所有设备的安装、试运行、质保期内和质保期后1年必备的备件、消耗品，包括专用工具、仪器、仪表等，在设备交货时提供。推迟的交货期将按照设备推迟交货计算。</w:t>
      </w:r>
    </w:p>
    <w:p>
      <w:pPr>
        <w:spacing w:before="120" w:line="360" w:lineRule="auto"/>
        <w:ind w:firstLine="480" w:firstLineChars="200"/>
        <w:rPr>
          <w:rFonts w:ascii="宋体" w:hAnsi="宋体"/>
          <w:sz w:val="24"/>
        </w:rPr>
      </w:pPr>
      <w:r>
        <w:rPr>
          <w:rFonts w:hint="eastAsia" w:ascii="宋体" w:hAnsi="宋体"/>
          <w:sz w:val="24"/>
        </w:rPr>
        <w:t>2. 中标方应提供完整备件手册、备件件号、数量、规格型号、价格表的CD盘，随同设备发货。</w:t>
      </w:r>
    </w:p>
    <w:p>
      <w:pPr>
        <w:spacing w:before="120" w:line="360" w:lineRule="auto"/>
        <w:ind w:firstLine="480" w:firstLineChars="200"/>
        <w:rPr>
          <w:rFonts w:ascii="宋体" w:hAnsi="宋体"/>
          <w:sz w:val="24"/>
        </w:rPr>
      </w:pPr>
      <w:r>
        <w:rPr>
          <w:rFonts w:hint="eastAsia" w:ascii="宋体" w:hAnsi="宋体"/>
          <w:sz w:val="24"/>
        </w:rPr>
        <w:t>3. 中标方应保证所有零部件均有唯一编码，如属外购标准件，要求必须按照原厂家编码执行。</w:t>
      </w:r>
    </w:p>
    <w:p>
      <w:pPr>
        <w:spacing w:before="120" w:line="360" w:lineRule="auto"/>
        <w:ind w:firstLine="480" w:firstLineChars="200"/>
        <w:rPr>
          <w:rFonts w:ascii="宋体" w:hAnsi="宋体"/>
          <w:sz w:val="24"/>
        </w:rPr>
      </w:pPr>
      <w:r>
        <w:rPr>
          <w:rFonts w:hint="eastAsia" w:ascii="宋体" w:hAnsi="宋体"/>
          <w:sz w:val="24"/>
        </w:rPr>
        <w:t>4. 中标方还应进一步提供设备上的所需的备件、易耗品及标准件的货源地。</w:t>
      </w:r>
    </w:p>
    <w:p>
      <w:pPr>
        <w:spacing w:before="120" w:line="360" w:lineRule="auto"/>
        <w:ind w:firstLine="480" w:firstLineChars="200"/>
        <w:rPr>
          <w:rFonts w:ascii="宋体" w:hAnsi="宋体"/>
          <w:sz w:val="24"/>
        </w:rPr>
      </w:pPr>
      <w:r>
        <w:rPr>
          <w:rFonts w:hint="eastAsia" w:ascii="宋体" w:hAnsi="宋体"/>
          <w:sz w:val="24"/>
        </w:rPr>
        <w:t>5. 设备采用的外购、外协件应提供原产地证明及检验合格证书。</w:t>
      </w:r>
    </w:p>
    <w:p>
      <w:pPr>
        <w:spacing w:before="120" w:line="360" w:lineRule="auto"/>
        <w:ind w:firstLine="480" w:firstLineChars="200"/>
        <w:rPr>
          <w:rFonts w:ascii="宋体" w:hAnsi="宋体"/>
          <w:sz w:val="24"/>
        </w:rPr>
      </w:pPr>
      <w:r>
        <w:rPr>
          <w:rFonts w:hint="eastAsia" w:ascii="宋体" w:hAnsi="宋体"/>
          <w:sz w:val="24"/>
        </w:rPr>
        <w:t>6. 如因为中标人提供1年期备件明细不准确，导致招标人方误采购或按明细提供数量不足以满足生产需求，中标人应免费提供相应的备件。</w:t>
      </w:r>
    </w:p>
    <w:p>
      <w:pPr>
        <w:spacing w:before="120" w:line="360" w:lineRule="auto"/>
        <w:ind w:firstLine="480" w:firstLineChars="200"/>
        <w:rPr>
          <w:rFonts w:ascii="宋体" w:hAnsi="宋体"/>
          <w:sz w:val="24"/>
        </w:rPr>
      </w:pPr>
      <w:r>
        <w:rPr>
          <w:rFonts w:hint="eastAsia" w:ascii="宋体" w:hAnsi="宋体"/>
          <w:sz w:val="24"/>
        </w:rPr>
        <w:t>7. 中标人应保证长期以最优惠的价格供给易损件和备件。如果备件发生设计变更，应将变更信息及时通知招标人。</w:t>
      </w:r>
    </w:p>
    <w:p>
      <w:pPr>
        <w:spacing w:before="120" w:line="360" w:lineRule="auto"/>
        <w:ind w:firstLine="480" w:firstLineChars="200"/>
        <w:rPr>
          <w:rFonts w:ascii="宋体" w:hAnsi="宋体"/>
          <w:sz w:val="24"/>
        </w:rPr>
      </w:pPr>
      <w:r>
        <w:rPr>
          <w:rFonts w:hint="eastAsia" w:ascii="宋体" w:hAnsi="宋体"/>
          <w:sz w:val="24"/>
        </w:rPr>
        <w:t>8. 中标人备件价格在设备开始使用的3年内必须维持稳定。</w:t>
      </w:r>
    </w:p>
    <w:p>
      <w:pPr>
        <w:spacing w:before="120" w:line="360" w:lineRule="auto"/>
        <w:ind w:firstLine="480" w:firstLineChars="200"/>
        <w:rPr>
          <w:rFonts w:ascii="宋体" w:hAnsi="宋体"/>
          <w:sz w:val="24"/>
        </w:rPr>
      </w:pPr>
      <w:r>
        <w:rPr>
          <w:rFonts w:hint="eastAsia" w:ascii="宋体" w:hAnsi="宋体"/>
          <w:sz w:val="24"/>
        </w:rPr>
        <w:t>9. 在5年内，因中标人技术升级导致部分备件不能提供时，中标人要免费为用户升级设备。</w:t>
      </w:r>
    </w:p>
    <w:p>
      <w:pPr>
        <w:spacing w:before="120" w:line="360" w:lineRule="auto"/>
        <w:ind w:firstLine="480" w:firstLineChars="200"/>
        <w:rPr>
          <w:rFonts w:ascii="宋体" w:hAnsi="宋体"/>
          <w:sz w:val="24"/>
        </w:rPr>
      </w:pPr>
      <w:r>
        <w:rPr>
          <w:rFonts w:hint="eastAsia" w:ascii="宋体" w:hAnsi="宋体"/>
          <w:sz w:val="24"/>
        </w:rPr>
        <w:t>10. 5年后在备件停止生产的情况下，中标人应事先将要停止生产的计划通知招标人，使招标人有足够的时间采购所需的备件。</w:t>
      </w:r>
    </w:p>
    <w:p>
      <w:pPr>
        <w:spacing w:before="120" w:line="360" w:lineRule="auto"/>
        <w:ind w:firstLine="480" w:firstLineChars="200"/>
        <w:rPr>
          <w:rFonts w:ascii="宋体" w:hAnsi="宋体"/>
          <w:sz w:val="24"/>
        </w:rPr>
      </w:pPr>
      <w:r>
        <w:rPr>
          <w:rFonts w:hint="eastAsia" w:ascii="宋体" w:hAnsi="宋体"/>
          <w:sz w:val="24"/>
        </w:rPr>
        <w:t>11. 5年后在备件停止生产后，如果招标人要求，中标人应免费向买方提供备件的蓝图、图纸和规格。</w:t>
      </w:r>
    </w:p>
    <w:p>
      <w:pPr>
        <w:spacing w:line="360" w:lineRule="auto"/>
        <w:jc w:val="center"/>
        <w:rPr>
          <w:rFonts w:ascii="宋体" w:hAnsi="宋体"/>
          <w:b/>
          <w:sz w:val="24"/>
        </w:rPr>
      </w:pPr>
      <w:r>
        <w:rPr>
          <w:rFonts w:hint="eastAsia" w:ascii="宋体" w:hAnsi="宋体"/>
          <w:b/>
          <w:sz w:val="24"/>
        </w:rPr>
        <w:t>第三节 设备出厂前检验</w:t>
      </w:r>
    </w:p>
    <w:p>
      <w:pPr>
        <w:spacing w:before="120" w:line="360" w:lineRule="auto"/>
        <w:ind w:firstLine="480" w:firstLineChars="200"/>
        <w:rPr>
          <w:rFonts w:ascii="宋体" w:hAnsi="宋体"/>
          <w:sz w:val="24"/>
        </w:rPr>
      </w:pPr>
      <w:r>
        <w:rPr>
          <w:rFonts w:hint="eastAsia" w:ascii="宋体" w:hAnsi="宋体"/>
          <w:sz w:val="24"/>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spacing w:before="120" w:line="360" w:lineRule="auto"/>
        <w:ind w:firstLine="480" w:firstLineChars="200"/>
        <w:rPr>
          <w:rFonts w:ascii="宋体" w:hAnsi="宋体"/>
          <w:sz w:val="24"/>
        </w:rPr>
      </w:pPr>
      <w:r>
        <w:rPr>
          <w:rFonts w:hint="eastAsia" w:ascii="宋体" w:hAnsi="宋体"/>
          <w:sz w:val="24"/>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spacing w:before="120" w:line="360" w:lineRule="auto"/>
        <w:ind w:firstLine="480" w:firstLineChars="200"/>
        <w:rPr>
          <w:rFonts w:ascii="宋体" w:hAnsi="宋体"/>
          <w:sz w:val="24"/>
        </w:rPr>
      </w:pPr>
      <w:r>
        <w:rPr>
          <w:rFonts w:hint="eastAsia" w:ascii="宋体" w:hAnsi="宋体"/>
          <w:sz w:val="24"/>
        </w:rPr>
        <w:t>3．在中检中质检团成员发现或提出的问题，双方应积极通过友好协商解决。</w:t>
      </w:r>
    </w:p>
    <w:p>
      <w:pPr>
        <w:spacing w:before="120" w:line="360" w:lineRule="auto"/>
        <w:ind w:firstLine="480" w:firstLineChars="200"/>
        <w:rPr>
          <w:rFonts w:ascii="宋体" w:hAnsi="宋体"/>
          <w:sz w:val="24"/>
        </w:rPr>
      </w:pPr>
      <w:r>
        <w:rPr>
          <w:rFonts w:hint="eastAsia" w:ascii="宋体" w:hAnsi="宋体"/>
          <w:sz w:val="24"/>
        </w:rPr>
        <w:t>4. 设备在出厂前必须进行整体联合试运转，根据试运转时间确定招标人中检时间，联合试运转应在招标人中检人员监督下进行。</w:t>
      </w:r>
    </w:p>
    <w:p>
      <w:pPr>
        <w:spacing w:line="360" w:lineRule="auto"/>
        <w:ind w:firstLine="480" w:firstLineChars="200"/>
      </w:pPr>
      <w:r>
        <w:rPr>
          <w:rFonts w:hint="eastAsia" w:ascii="宋体" w:hAnsi="宋体"/>
          <w:sz w:val="24"/>
        </w:rPr>
        <w:t>5. 在设备到达招标人现场后组装试运转中如出现问题，原因是中标人没有在出厂前进行设备整体联合试运转，因此推迟的时间将按照推迟交货期来计算。</w:t>
      </w:r>
    </w:p>
    <w:p>
      <w:pPr>
        <w:spacing w:line="360" w:lineRule="auto"/>
        <w:jc w:val="center"/>
        <w:rPr>
          <w:rFonts w:ascii="宋体" w:hAnsi="宋体"/>
          <w:sz w:val="24"/>
        </w:rPr>
      </w:pPr>
      <w:r>
        <w:rPr>
          <w:rFonts w:hint="eastAsia" w:ascii="宋体" w:hAnsi="宋体"/>
          <w:b/>
          <w:sz w:val="24"/>
        </w:rPr>
        <w:t>第四节 技术服务</w:t>
      </w:r>
    </w:p>
    <w:p>
      <w:pPr>
        <w:spacing w:before="120" w:line="360" w:lineRule="auto"/>
        <w:ind w:firstLine="480" w:firstLineChars="200"/>
        <w:rPr>
          <w:rFonts w:ascii="宋体" w:hAnsi="宋体"/>
          <w:sz w:val="24"/>
        </w:rPr>
      </w:pPr>
      <w:r>
        <w:rPr>
          <w:rFonts w:hint="eastAsia" w:ascii="宋体" w:hAnsi="宋体"/>
          <w:sz w:val="24"/>
        </w:rPr>
        <w:t>1. 中标人将派出有技术、有能力胜任的服务工程师(设备制造工厂工程师不少于2名）到现场，提供有关安装管理、调试、空载测试、性能测试、试运转、维修及现场培训维修人员的服务。中标人服务工程师的主要责任与任务如下：</w:t>
      </w:r>
    </w:p>
    <w:p>
      <w:pPr>
        <w:spacing w:before="120" w:line="360" w:lineRule="auto"/>
        <w:ind w:firstLine="480" w:firstLineChars="200"/>
        <w:rPr>
          <w:rFonts w:ascii="宋体" w:hAnsi="宋体"/>
          <w:sz w:val="24"/>
        </w:rPr>
      </w:pPr>
      <w:r>
        <w:rPr>
          <w:rFonts w:hint="eastAsia" w:ascii="宋体" w:hAnsi="宋体"/>
          <w:sz w:val="24"/>
        </w:rPr>
        <w:t>——给招标人安装人员提供完整的技术指导。</w:t>
      </w:r>
    </w:p>
    <w:p>
      <w:pPr>
        <w:spacing w:before="120" w:line="360" w:lineRule="auto"/>
        <w:ind w:firstLine="480" w:firstLineChars="200"/>
        <w:rPr>
          <w:rFonts w:ascii="宋体" w:hAnsi="宋体"/>
          <w:sz w:val="24"/>
        </w:rPr>
      </w:pPr>
      <w:r>
        <w:rPr>
          <w:rFonts w:hint="eastAsia" w:ascii="宋体" w:hAnsi="宋体"/>
          <w:sz w:val="24"/>
        </w:rPr>
        <w:t>——指导招标人人员进行合同设备的试运转，运行测试和性能测试。</w:t>
      </w:r>
    </w:p>
    <w:p>
      <w:pPr>
        <w:spacing w:before="120" w:line="360" w:lineRule="auto"/>
        <w:ind w:firstLine="480" w:firstLineChars="200"/>
        <w:rPr>
          <w:rFonts w:ascii="宋体" w:hAnsi="宋体"/>
          <w:sz w:val="24"/>
        </w:rPr>
      </w:pPr>
      <w:r>
        <w:rPr>
          <w:rFonts w:hint="eastAsia" w:ascii="宋体" w:hAnsi="宋体"/>
          <w:sz w:val="24"/>
        </w:rPr>
        <w:t>——培训招标人人员。</w:t>
      </w:r>
    </w:p>
    <w:p>
      <w:pPr>
        <w:spacing w:before="120" w:line="360" w:lineRule="auto"/>
        <w:ind w:firstLine="480" w:firstLineChars="200"/>
        <w:rPr>
          <w:rFonts w:ascii="宋体" w:hAnsi="宋体"/>
          <w:sz w:val="24"/>
        </w:rPr>
      </w:pPr>
      <w:r>
        <w:rPr>
          <w:rFonts w:hint="eastAsia" w:ascii="宋体" w:hAnsi="宋体"/>
          <w:sz w:val="24"/>
        </w:rPr>
        <w:t>——设备投入使用后提供现场运行技术支持。</w:t>
      </w:r>
    </w:p>
    <w:p>
      <w:pPr>
        <w:spacing w:before="120" w:line="360" w:lineRule="auto"/>
        <w:ind w:firstLine="480" w:firstLineChars="200"/>
        <w:rPr>
          <w:rFonts w:ascii="宋体" w:hAnsi="宋体"/>
          <w:sz w:val="24"/>
        </w:rPr>
      </w:pPr>
      <w:r>
        <w:rPr>
          <w:rFonts w:hint="eastAsia" w:ascii="宋体" w:hAnsi="宋体"/>
          <w:sz w:val="24"/>
        </w:rPr>
        <w:t>——质保期内技术服务。</w:t>
      </w:r>
    </w:p>
    <w:p>
      <w:pPr>
        <w:spacing w:before="120" w:line="360" w:lineRule="auto"/>
        <w:ind w:firstLine="480" w:firstLineChars="200"/>
        <w:rPr>
          <w:rFonts w:ascii="宋体" w:hAnsi="宋体"/>
          <w:sz w:val="24"/>
        </w:rPr>
      </w:pPr>
      <w:r>
        <w:rPr>
          <w:rFonts w:hint="eastAsia" w:ascii="宋体" w:hAnsi="宋体"/>
          <w:sz w:val="24"/>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spacing w:before="120" w:line="360" w:lineRule="auto"/>
        <w:ind w:firstLine="480" w:firstLineChars="200"/>
        <w:rPr>
          <w:rFonts w:ascii="宋体" w:hAnsi="宋体"/>
          <w:sz w:val="24"/>
        </w:rPr>
      </w:pPr>
      <w:r>
        <w:rPr>
          <w:rFonts w:hint="eastAsia" w:ascii="宋体" w:hAnsi="宋体"/>
          <w:sz w:val="24"/>
        </w:rPr>
        <w:t>3. 中标人将提供所有的关于装配与组装所用的专用工具,例如:专用测试仪、测量仪和机械工具。</w:t>
      </w:r>
    </w:p>
    <w:p>
      <w:pPr>
        <w:spacing w:before="120" w:line="360" w:lineRule="auto"/>
        <w:ind w:firstLine="480" w:firstLineChars="200"/>
        <w:rPr>
          <w:rFonts w:ascii="宋体" w:hAnsi="宋体"/>
          <w:sz w:val="24"/>
        </w:rPr>
      </w:pPr>
      <w:r>
        <w:rPr>
          <w:rFonts w:hint="eastAsia" w:ascii="宋体" w:hAnsi="宋体"/>
          <w:sz w:val="24"/>
        </w:rPr>
        <w:t>4. 在现场举行由双方参加的会议，对所提供设备进行安装的准备工作进行讨论。</w:t>
      </w:r>
    </w:p>
    <w:p>
      <w:pPr>
        <w:spacing w:before="120" w:line="360" w:lineRule="auto"/>
        <w:ind w:firstLine="480" w:firstLineChars="200"/>
        <w:rPr>
          <w:rFonts w:ascii="宋体" w:hAnsi="宋体"/>
          <w:sz w:val="24"/>
        </w:rPr>
      </w:pPr>
      <w:r>
        <w:rPr>
          <w:rFonts w:hint="eastAsia" w:ascii="宋体" w:hAnsi="宋体"/>
          <w:sz w:val="24"/>
        </w:rPr>
        <w:t>5. 对于安装指导、测试运转、性能测试、试运转和验收，包括招标人操作和维修人员的现场培训,中标人需免费提供。</w:t>
      </w:r>
    </w:p>
    <w:p>
      <w:pPr>
        <w:spacing w:before="120" w:line="360" w:lineRule="auto"/>
        <w:ind w:firstLine="480" w:firstLineChars="200"/>
        <w:rPr>
          <w:rFonts w:ascii="宋体" w:hAnsi="宋体"/>
          <w:sz w:val="24"/>
        </w:rPr>
      </w:pPr>
      <w:r>
        <w:rPr>
          <w:rFonts w:hint="eastAsia" w:ascii="宋体" w:hAnsi="宋体"/>
          <w:sz w:val="24"/>
        </w:rPr>
        <w:t>6. 中标人应提供用于招标人自行培训人员需要使用的相关培训资料。</w:t>
      </w:r>
    </w:p>
    <w:p>
      <w:pPr>
        <w:spacing w:before="120" w:line="360" w:lineRule="auto"/>
        <w:ind w:firstLine="480" w:firstLineChars="200"/>
        <w:rPr>
          <w:rFonts w:ascii="宋体" w:hAnsi="宋体"/>
          <w:sz w:val="24"/>
        </w:rPr>
      </w:pPr>
      <w:r>
        <w:rPr>
          <w:rFonts w:hint="eastAsia" w:ascii="宋体" w:hAnsi="宋体"/>
          <w:sz w:val="24"/>
        </w:rPr>
        <w:t>7. 设备过质保期后，在设备使用寿命内，如招标人需要，中标人应确保服务工程师到现场进行技术服务。</w:t>
      </w:r>
    </w:p>
    <w:p>
      <w:pPr>
        <w:spacing w:before="120" w:line="360" w:lineRule="auto"/>
        <w:ind w:firstLine="480" w:firstLineChars="200"/>
        <w:rPr>
          <w:rFonts w:ascii="宋体" w:hAnsi="宋体"/>
          <w:sz w:val="24"/>
        </w:rPr>
      </w:pPr>
      <w:r>
        <w:rPr>
          <w:rFonts w:hint="eastAsia" w:ascii="宋体" w:hAnsi="宋体"/>
          <w:sz w:val="24"/>
        </w:rPr>
        <w:t>8. 在系统正常运行后，中标人应确保对用户系统的跟踪档案。有关技术人员至少一月一次前往，进行必要的系统检修及保养工作。</w:t>
      </w:r>
    </w:p>
    <w:p>
      <w:pPr>
        <w:spacing w:before="120" w:line="360" w:lineRule="auto"/>
        <w:ind w:firstLine="480" w:firstLineChars="200"/>
        <w:rPr>
          <w:rFonts w:ascii="宋体" w:hAnsi="宋体"/>
          <w:sz w:val="24"/>
        </w:rPr>
      </w:pPr>
      <w:r>
        <w:rPr>
          <w:rFonts w:hint="eastAsia" w:ascii="宋体" w:hAnsi="宋体"/>
          <w:sz w:val="24"/>
        </w:rPr>
        <w:t>9.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spacing w:before="120" w:line="360" w:lineRule="auto"/>
        <w:ind w:firstLine="482" w:firstLineChars="200"/>
        <w:jc w:val="center"/>
        <w:rPr>
          <w:rFonts w:ascii="宋体" w:hAnsi="宋体"/>
          <w:sz w:val="24"/>
        </w:rPr>
      </w:pPr>
      <w:r>
        <w:rPr>
          <w:rFonts w:hint="eastAsia" w:ascii="宋体" w:hAnsi="宋体"/>
          <w:b/>
          <w:sz w:val="24"/>
        </w:rPr>
        <w:t>第五节 安装、检验、调试、试运行及验收</w:t>
      </w:r>
    </w:p>
    <w:p>
      <w:pPr>
        <w:spacing w:before="120" w:line="360" w:lineRule="auto"/>
        <w:ind w:firstLine="480" w:firstLineChars="200"/>
        <w:rPr>
          <w:rFonts w:ascii="宋体" w:hAnsi="宋体"/>
          <w:sz w:val="24"/>
        </w:rPr>
      </w:pPr>
      <w:r>
        <w:rPr>
          <w:rFonts w:hint="eastAsia" w:ascii="宋体" w:hAnsi="宋体"/>
          <w:sz w:val="24"/>
        </w:rPr>
        <w:t>1. 在该附录中：</w:t>
      </w:r>
    </w:p>
    <w:p>
      <w:pPr>
        <w:spacing w:before="120" w:line="360" w:lineRule="auto"/>
        <w:ind w:firstLine="480" w:firstLineChars="200"/>
        <w:rPr>
          <w:rFonts w:ascii="宋体" w:hAnsi="宋体"/>
          <w:sz w:val="24"/>
        </w:rPr>
      </w:pPr>
      <w:r>
        <w:rPr>
          <w:rFonts w:hint="eastAsia" w:ascii="宋体" w:hAnsi="宋体"/>
          <w:sz w:val="24"/>
        </w:rPr>
        <w:t>安装：意为招标人安装人员在中标人的服务工程人员的监督与指导下，将整套设备或一个系统安装起来。</w:t>
      </w:r>
    </w:p>
    <w:p>
      <w:pPr>
        <w:spacing w:before="120" w:line="360" w:lineRule="auto"/>
        <w:ind w:firstLine="480" w:firstLineChars="200"/>
        <w:rPr>
          <w:rFonts w:ascii="宋体" w:hAnsi="宋体"/>
          <w:sz w:val="24"/>
        </w:rPr>
      </w:pPr>
      <w:r>
        <w:rPr>
          <w:rFonts w:hint="eastAsia" w:ascii="宋体" w:hAnsi="宋体"/>
          <w:sz w:val="24"/>
        </w:rPr>
        <w:t>试运转：即为在空载条件下测试该设备。</w:t>
      </w:r>
    </w:p>
    <w:p>
      <w:pPr>
        <w:spacing w:before="120" w:line="360" w:lineRule="auto"/>
        <w:ind w:firstLine="480" w:firstLineChars="200"/>
        <w:rPr>
          <w:rFonts w:ascii="宋体" w:hAnsi="宋体"/>
          <w:sz w:val="24"/>
        </w:rPr>
      </w:pPr>
      <w:r>
        <w:rPr>
          <w:rFonts w:hint="eastAsia" w:ascii="宋体" w:hAnsi="宋体"/>
          <w:sz w:val="24"/>
        </w:rPr>
        <w:t xml:space="preserve">性能调试：即在它们的额定负载下测试设备，检查其是否能达到合同规定的所有技术性能。 </w:t>
      </w:r>
    </w:p>
    <w:p>
      <w:pPr>
        <w:spacing w:before="120" w:line="360" w:lineRule="auto"/>
        <w:ind w:firstLine="480" w:firstLineChars="200"/>
        <w:rPr>
          <w:rFonts w:ascii="宋体" w:hAnsi="宋体"/>
          <w:sz w:val="24"/>
        </w:rPr>
      </w:pPr>
      <w:r>
        <w:rPr>
          <w:rFonts w:hint="eastAsia" w:ascii="宋体" w:hAnsi="宋体"/>
          <w:sz w:val="24"/>
        </w:rPr>
        <w:t>试运行：即为设备按照合同要求性能投入运转。</w:t>
      </w:r>
    </w:p>
    <w:p>
      <w:pPr>
        <w:spacing w:before="120" w:line="360" w:lineRule="auto"/>
        <w:ind w:firstLine="480" w:firstLineChars="200"/>
        <w:rPr>
          <w:rFonts w:ascii="宋体" w:hAnsi="宋体"/>
          <w:sz w:val="24"/>
        </w:rPr>
      </w:pPr>
      <w:r>
        <w:rPr>
          <w:rFonts w:hint="eastAsia" w:ascii="宋体" w:hAnsi="宋体"/>
          <w:sz w:val="24"/>
        </w:rPr>
        <w:t>验收：即为该设备达到合同规定的试运转、性能调试和试运行技术要求后招标人正式接收。</w:t>
      </w:r>
    </w:p>
    <w:p>
      <w:pPr>
        <w:spacing w:before="120" w:line="360" w:lineRule="auto"/>
        <w:ind w:firstLine="480" w:firstLineChars="200"/>
        <w:rPr>
          <w:rFonts w:ascii="宋体" w:hAnsi="宋体"/>
          <w:sz w:val="24"/>
        </w:rPr>
      </w:pPr>
      <w:r>
        <w:rPr>
          <w:rFonts w:hint="eastAsia" w:ascii="宋体" w:hAnsi="宋体"/>
          <w:sz w:val="24"/>
        </w:rPr>
        <w:t>2. 设备到货应随机提供出厂验收报告。</w:t>
      </w:r>
    </w:p>
    <w:p>
      <w:pPr>
        <w:spacing w:line="360" w:lineRule="auto"/>
        <w:ind w:firstLine="480" w:firstLineChars="200"/>
        <w:rPr>
          <w:rFonts w:ascii="宋体" w:hAnsi="宋体"/>
          <w:sz w:val="24"/>
        </w:rPr>
      </w:pPr>
      <w:r>
        <w:rPr>
          <w:rFonts w:hint="eastAsia" w:ascii="宋体" w:hAnsi="宋体"/>
          <w:sz w:val="24"/>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spacing w:line="360" w:lineRule="auto"/>
        <w:jc w:val="center"/>
        <w:rPr>
          <w:rFonts w:ascii="宋体" w:hAnsi="宋体"/>
          <w:sz w:val="24"/>
        </w:rPr>
      </w:pPr>
      <w:r>
        <w:rPr>
          <w:rFonts w:hint="eastAsia" w:ascii="宋体" w:hAnsi="宋体"/>
          <w:b/>
          <w:sz w:val="24"/>
        </w:rPr>
        <w:t>第六节 质量保证</w:t>
      </w:r>
    </w:p>
    <w:p>
      <w:pPr>
        <w:spacing w:before="120" w:line="360" w:lineRule="auto"/>
        <w:ind w:firstLine="480" w:firstLineChars="200"/>
        <w:rPr>
          <w:rFonts w:ascii="宋体" w:hAnsi="宋体"/>
          <w:sz w:val="24"/>
        </w:rPr>
      </w:pPr>
      <w:r>
        <w:rPr>
          <w:rFonts w:hint="eastAsia" w:ascii="宋体" w:hAnsi="宋体"/>
          <w:sz w:val="24"/>
        </w:rPr>
        <w:t>1. 质保期应为最终验收合格后36个月。对由于设计或质量问题而引起的设备故障，中标方应进一步对此负责。专用合同条款对质保有特殊规定的从其规定。</w:t>
      </w:r>
    </w:p>
    <w:p>
      <w:pPr>
        <w:spacing w:before="120" w:line="360" w:lineRule="auto"/>
        <w:ind w:firstLine="480" w:firstLineChars="200"/>
        <w:rPr>
          <w:rFonts w:ascii="宋体" w:hAnsi="宋体"/>
          <w:sz w:val="24"/>
        </w:rPr>
      </w:pPr>
      <w:r>
        <w:rPr>
          <w:rFonts w:hint="eastAsia" w:ascii="宋体" w:hAnsi="宋体"/>
          <w:sz w:val="24"/>
        </w:rPr>
        <w:t>2. 中标方应有质保期内的维修服务承诺，无偿更换零配件、部件承诺。</w:t>
      </w:r>
    </w:p>
    <w:p>
      <w:pPr>
        <w:spacing w:before="120" w:line="360" w:lineRule="auto"/>
        <w:ind w:firstLine="480" w:firstLineChars="200"/>
        <w:rPr>
          <w:rFonts w:ascii="宋体" w:hAnsi="宋体"/>
          <w:sz w:val="24"/>
        </w:rPr>
      </w:pPr>
      <w:r>
        <w:rPr>
          <w:rFonts w:hint="eastAsia" w:ascii="宋体" w:hAnsi="宋体"/>
          <w:sz w:val="24"/>
        </w:rPr>
        <w:t>3. 中标方应有对设备大修周期、使用寿命及各主要部件的寿命承诺。</w:t>
      </w:r>
    </w:p>
    <w:p>
      <w:pPr>
        <w:spacing w:before="120" w:line="360" w:lineRule="auto"/>
        <w:ind w:left="325" w:hanging="325"/>
        <w:jc w:val="center"/>
        <w:rPr>
          <w:rFonts w:ascii="宋体" w:hAnsi="宋体"/>
          <w:sz w:val="24"/>
        </w:rPr>
      </w:pPr>
      <w:r>
        <w:rPr>
          <w:rFonts w:hint="eastAsia" w:ascii="宋体" w:hAnsi="宋体"/>
          <w:b/>
          <w:sz w:val="24"/>
        </w:rPr>
        <w:t>第七节 技术资料和图纸</w:t>
      </w:r>
    </w:p>
    <w:p>
      <w:pPr>
        <w:spacing w:before="120" w:line="360" w:lineRule="auto"/>
        <w:ind w:firstLine="480" w:firstLineChars="200"/>
        <w:rPr>
          <w:rFonts w:ascii="宋体" w:hAnsi="宋体"/>
          <w:sz w:val="24"/>
        </w:rPr>
      </w:pPr>
      <w:r>
        <w:rPr>
          <w:rFonts w:hint="eastAsia" w:ascii="宋体" w:hAnsi="宋体"/>
          <w:sz w:val="24"/>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spacing w:before="120" w:line="360" w:lineRule="auto"/>
        <w:ind w:firstLine="480" w:firstLineChars="200"/>
        <w:rPr>
          <w:rFonts w:ascii="宋体" w:hAnsi="宋体"/>
          <w:sz w:val="24"/>
        </w:rPr>
      </w:pPr>
      <w:r>
        <w:rPr>
          <w:rFonts w:hint="eastAsia" w:ascii="宋体" w:hAnsi="宋体"/>
          <w:sz w:val="24"/>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spacing w:before="120" w:line="360" w:lineRule="auto"/>
        <w:ind w:firstLine="480" w:firstLineChars="200"/>
        <w:rPr>
          <w:rFonts w:ascii="宋体" w:hAnsi="宋体"/>
          <w:sz w:val="24"/>
        </w:rPr>
      </w:pPr>
      <w:r>
        <w:rPr>
          <w:rFonts w:hint="eastAsia" w:ascii="宋体" w:hAnsi="宋体"/>
          <w:sz w:val="24"/>
        </w:rPr>
        <w:t>3. 如果中标人交付的技术文件和图纸不完整、丢失或损坏，中标人在接到招标人索要不完整、丢失或损坏部分的技术文件和图纸的通知后的30天内,应免费向招标人增补丢失或损坏部分的技术文件与图纸。</w:t>
      </w:r>
    </w:p>
    <w:p>
      <w:pPr>
        <w:spacing w:before="120" w:line="360" w:lineRule="auto"/>
        <w:ind w:firstLine="480" w:firstLineChars="200"/>
        <w:rPr>
          <w:rFonts w:ascii="宋体" w:hAnsi="宋体"/>
          <w:sz w:val="24"/>
        </w:rPr>
      </w:pPr>
      <w:r>
        <w:rPr>
          <w:rFonts w:hint="eastAsia" w:ascii="宋体" w:hAnsi="宋体"/>
          <w:sz w:val="24"/>
        </w:rPr>
        <w:t>4. 中标人有义务对该设备的控制软件、管理软件进行免费升级换代。</w:t>
      </w:r>
    </w:p>
    <w:p>
      <w:pPr>
        <w:spacing w:before="120" w:line="360" w:lineRule="auto"/>
        <w:ind w:firstLine="480" w:firstLineChars="200"/>
        <w:rPr>
          <w:rFonts w:ascii="宋体" w:hAnsi="宋体"/>
          <w:sz w:val="24"/>
        </w:rPr>
      </w:pPr>
      <w:r>
        <w:rPr>
          <w:rFonts w:hint="eastAsia" w:ascii="宋体" w:hAnsi="宋体"/>
          <w:sz w:val="24"/>
        </w:rPr>
        <w:t>5. 中标人定期对设备进行回访，并对用户提出的问题进行解决。</w:t>
      </w:r>
    </w:p>
    <w:p>
      <w:pPr>
        <w:spacing w:before="120" w:line="360" w:lineRule="auto"/>
        <w:ind w:firstLine="480" w:firstLineChars="200"/>
        <w:rPr>
          <w:rFonts w:ascii="宋体" w:hAnsi="宋体"/>
          <w:sz w:val="24"/>
        </w:rPr>
      </w:pPr>
      <w:r>
        <w:rPr>
          <w:rFonts w:hint="eastAsia" w:ascii="宋体" w:hAnsi="宋体"/>
          <w:sz w:val="24"/>
        </w:rPr>
        <w:t>6. 中标人要提供下列相关的技术资料及图纸：</w:t>
      </w:r>
    </w:p>
    <w:p>
      <w:pPr>
        <w:spacing w:before="120" w:line="360" w:lineRule="auto"/>
        <w:ind w:firstLine="480" w:firstLineChars="200"/>
        <w:rPr>
          <w:rFonts w:ascii="宋体" w:hAnsi="宋体"/>
          <w:sz w:val="24"/>
        </w:rPr>
      </w:pPr>
      <w:r>
        <w:rPr>
          <w:rFonts w:hint="eastAsia" w:ascii="宋体" w:hAnsi="宋体"/>
          <w:sz w:val="24"/>
        </w:rPr>
        <w:t>总图及安装基础图</w:t>
      </w:r>
    </w:p>
    <w:p>
      <w:pPr>
        <w:spacing w:before="120" w:line="360" w:lineRule="auto"/>
        <w:ind w:firstLine="480" w:firstLineChars="200"/>
        <w:rPr>
          <w:rFonts w:ascii="宋体" w:hAnsi="宋体"/>
          <w:sz w:val="24"/>
        </w:rPr>
      </w:pPr>
      <w:r>
        <w:rPr>
          <w:rFonts w:hint="eastAsia" w:ascii="宋体" w:hAnsi="宋体"/>
          <w:sz w:val="24"/>
        </w:rPr>
        <w:t>制造标准、国家标准</w:t>
      </w:r>
    </w:p>
    <w:p>
      <w:pPr>
        <w:spacing w:before="120" w:line="360" w:lineRule="auto"/>
        <w:ind w:firstLine="480" w:firstLineChars="200"/>
        <w:rPr>
          <w:rFonts w:ascii="宋体" w:hAnsi="宋体"/>
          <w:sz w:val="24"/>
        </w:rPr>
      </w:pPr>
      <w:r>
        <w:rPr>
          <w:rFonts w:hint="eastAsia" w:ascii="宋体" w:hAnsi="宋体"/>
          <w:sz w:val="24"/>
        </w:rPr>
        <w:t>完整的技术特征及说明书</w:t>
      </w:r>
    </w:p>
    <w:p>
      <w:pPr>
        <w:spacing w:before="120" w:line="360" w:lineRule="auto"/>
        <w:ind w:firstLine="480" w:firstLineChars="200"/>
        <w:rPr>
          <w:rFonts w:ascii="宋体" w:hAnsi="宋体"/>
          <w:sz w:val="24"/>
        </w:rPr>
      </w:pPr>
      <w:r>
        <w:rPr>
          <w:rFonts w:hint="eastAsia" w:ascii="宋体" w:hAnsi="宋体"/>
          <w:sz w:val="24"/>
        </w:rPr>
        <w:t>全部设备图纸、材料清册、所有设备、元件、部件型号、规格、特性曲线、产品检验合格证及出厂日期。</w:t>
      </w:r>
    </w:p>
    <w:p>
      <w:pPr>
        <w:spacing w:before="120" w:line="360" w:lineRule="auto"/>
        <w:ind w:firstLine="480" w:firstLineChars="200"/>
        <w:rPr>
          <w:rFonts w:ascii="宋体" w:hAnsi="宋体"/>
          <w:sz w:val="24"/>
        </w:rPr>
      </w:pPr>
      <w:r>
        <w:rPr>
          <w:rFonts w:hint="eastAsia" w:ascii="宋体" w:hAnsi="宋体"/>
          <w:sz w:val="24"/>
        </w:rPr>
        <w:t>7. 技术资料与设备同属合同供货范围，如不能按照上述条款交货，将按照推迟合同交货期执行。</w:t>
      </w:r>
    </w:p>
    <w:p>
      <w:pPr>
        <w:spacing w:line="360" w:lineRule="auto"/>
        <w:jc w:val="center"/>
      </w:pPr>
      <w:r>
        <w:rPr>
          <w:rFonts w:hint="eastAsia" w:ascii="宋体" w:hAnsi="宋体"/>
          <w:b/>
          <w:sz w:val="24"/>
        </w:rPr>
        <w:t>第八节 标准</w:t>
      </w:r>
    </w:p>
    <w:p>
      <w:pPr>
        <w:pStyle w:val="18"/>
        <w:tabs>
          <w:tab w:val="left" w:pos="1290"/>
          <w:tab w:val="left" w:pos="1680"/>
        </w:tabs>
        <w:spacing w:line="360" w:lineRule="auto"/>
        <w:ind w:firstLine="480" w:firstLineChars="200"/>
        <w:rPr>
          <w:rFonts w:hAnsi="宋体"/>
          <w:szCs w:val="24"/>
        </w:rPr>
      </w:pPr>
      <w:r>
        <w:rPr>
          <w:rFonts w:hint="eastAsia" w:hAnsi="宋体"/>
          <w:szCs w:val="24"/>
        </w:rPr>
        <w:t>1. 所供应的货物将按下列标准（推荐）进行设计和制造</w:t>
      </w:r>
    </w:p>
    <w:p>
      <w:pPr>
        <w:pStyle w:val="18"/>
        <w:tabs>
          <w:tab w:val="left" w:pos="550"/>
        </w:tabs>
        <w:spacing w:line="360" w:lineRule="auto"/>
        <w:ind w:firstLine="480" w:firstLineChars="200"/>
        <w:rPr>
          <w:rFonts w:hAnsi="宋体"/>
          <w:szCs w:val="24"/>
        </w:rPr>
      </w:pPr>
      <w:r>
        <w:rPr>
          <w:rFonts w:hint="eastAsia" w:hAnsi="宋体"/>
          <w:szCs w:val="24"/>
        </w:rPr>
        <w:t>电子设备:                电子行业标准索引（SJ）</w:t>
      </w:r>
    </w:p>
    <w:p>
      <w:pPr>
        <w:pStyle w:val="18"/>
        <w:tabs>
          <w:tab w:val="left" w:pos="550"/>
        </w:tabs>
        <w:spacing w:line="360" w:lineRule="auto"/>
        <w:ind w:firstLine="480" w:firstLineChars="200"/>
        <w:rPr>
          <w:rFonts w:hAnsi="宋体"/>
          <w:szCs w:val="24"/>
        </w:rPr>
      </w:pPr>
      <w:r>
        <w:rPr>
          <w:rFonts w:hint="eastAsia" w:hAnsi="宋体"/>
          <w:szCs w:val="24"/>
        </w:rPr>
        <w:t>SJ/T 10694-2006</w:t>
      </w:r>
      <w:r>
        <w:rPr>
          <w:rFonts w:hint="eastAsia" w:hAnsi="宋体"/>
          <w:szCs w:val="24"/>
        </w:rPr>
        <w:tab/>
      </w:r>
      <w:r>
        <w:rPr>
          <w:rFonts w:hint="eastAsia" w:hAnsi="宋体"/>
          <w:szCs w:val="24"/>
        </w:rPr>
        <w:t xml:space="preserve">        电子产品制造与应用系统防静电检测通用规范</w:t>
      </w:r>
    </w:p>
    <w:p>
      <w:pPr>
        <w:pStyle w:val="18"/>
        <w:tabs>
          <w:tab w:val="left" w:pos="550"/>
        </w:tabs>
        <w:spacing w:line="360" w:lineRule="auto"/>
        <w:ind w:firstLine="480" w:firstLineChars="200"/>
        <w:rPr>
          <w:rFonts w:hAnsi="宋体"/>
          <w:szCs w:val="24"/>
        </w:rPr>
      </w:pPr>
      <w:r>
        <w:rPr>
          <w:rFonts w:hint="eastAsia" w:hAnsi="宋体"/>
          <w:szCs w:val="24"/>
        </w:rPr>
        <w:t>SJ 20951-2005</w:t>
      </w:r>
      <w:r>
        <w:rPr>
          <w:rFonts w:hint="eastAsia" w:hAnsi="宋体"/>
          <w:szCs w:val="24"/>
        </w:rPr>
        <w:tab/>
      </w:r>
      <w:r>
        <w:rPr>
          <w:rFonts w:hint="eastAsia" w:hAnsi="宋体"/>
          <w:szCs w:val="24"/>
        </w:rPr>
        <w:t xml:space="preserve">  通用数据加密模块接口要求</w:t>
      </w:r>
    </w:p>
    <w:p>
      <w:pPr>
        <w:pStyle w:val="18"/>
        <w:tabs>
          <w:tab w:val="left" w:pos="550"/>
        </w:tabs>
        <w:spacing w:line="360" w:lineRule="auto"/>
        <w:ind w:firstLine="480" w:firstLineChars="200"/>
        <w:rPr>
          <w:rFonts w:hAnsi="宋体"/>
          <w:szCs w:val="24"/>
        </w:rPr>
      </w:pPr>
      <w:r>
        <w:rPr>
          <w:rFonts w:hint="eastAsia" w:hAnsi="宋体"/>
          <w:szCs w:val="24"/>
        </w:rPr>
        <w:t>SJ 20778-2000</w:t>
      </w:r>
      <w:r>
        <w:rPr>
          <w:rFonts w:hint="eastAsia" w:hAnsi="宋体"/>
          <w:szCs w:val="24"/>
        </w:rPr>
        <w:tab/>
      </w:r>
      <w:r>
        <w:rPr>
          <w:rFonts w:hint="eastAsia" w:hAnsi="宋体"/>
          <w:szCs w:val="24"/>
        </w:rPr>
        <w:tab/>
      </w:r>
      <w:r>
        <w:rPr>
          <w:rFonts w:hint="eastAsia" w:hAnsi="宋体"/>
          <w:szCs w:val="24"/>
        </w:rPr>
        <w:t xml:space="preserve">         发与文档编制若货物原产国的国家标准或目前使用的企业标准高于上述标准，同样适用。</w:t>
      </w:r>
    </w:p>
    <w:p>
      <w:pPr>
        <w:pStyle w:val="18"/>
        <w:tabs>
          <w:tab w:val="left" w:pos="550"/>
        </w:tabs>
        <w:spacing w:line="360" w:lineRule="auto"/>
        <w:ind w:firstLine="480" w:firstLineChars="200"/>
        <w:rPr>
          <w:rFonts w:hAnsi="宋体"/>
          <w:szCs w:val="24"/>
        </w:rPr>
      </w:pPr>
      <w:r>
        <w:rPr>
          <w:rFonts w:hint="eastAsia" w:hAnsi="宋体"/>
        </w:rPr>
        <w:t>本方案建设范围内的活动均遵守国家现行的规范与标准，对我国未制定的规</w:t>
      </w:r>
      <w:r>
        <w:rPr>
          <w:rFonts w:hint="eastAsia" w:hAnsi="宋体"/>
          <w:szCs w:val="24"/>
        </w:rPr>
        <w:t>范，则参照相应的国际标准执行。</w:t>
      </w:r>
    </w:p>
    <w:p>
      <w:pPr>
        <w:pStyle w:val="18"/>
        <w:tabs>
          <w:tab w:val="left" w:pos="550"/>
        </w:tabs>
        <w:spacing w:line="360" w:lineRule="auto"/>
        <w:ind w:firstLine="480" w:firstLineChars="200"/>
        <w:rPr>
          <w:rFonts w:hAnsi="宋体"/>
          <w:szCs w:val="24"/>
        </w:rPr>
      </w:pPr>
      <w:r>
        <w:rPr>
          <w:rFonts w:hint="eastAsia" w:hAnsi="宋体"/>
          <w:szCs w:val="24"/>
        </w:rPr>
        <w:t>国家颁布的相关法律、法规、规范；</w:t>
      </w:r>
    </w:p>
    <w:p>
      <w:pPr>
        <w:pStyle w:val="18"/>
        <w:tabs>
          <w:tab w:val="left" w:pos="550"/>
        </w:tabs>
        <w:spacing w:line="360" w:lineRule="auto"/>
        <w:ind w:firstLine="480" w:firstLineChars="200"/>
        <w:rPr>
          <w:rFonts w:hAnsi="宋体"/>
          <w:szCs w:val="24"/>
        </w:rPr>
      </w:pPr>
      <w:r>
        <w:rPr>
          <w:rFonts w:hint="eastAsia" w:hAnsi="宋体"/>
          <w:szCs w:val="24"/>
        </w:rPr>
        <w:t>YD 5032-2004《会议电视系统工程设计规范》；</w:t>
      </w:r>
    </w:p>
    <w:p>
      <w:pPr>
        <w:pStyle w:val="18"/>
        <w:tabs>
          <w:tab w:val="left" w:pos="550"/>
        </w:tabs>
        <w:spacing w:line="360" w:lineRule="auto"/>
        <w:ind w:firstLine="480" w:firstLineChars="200"/>
        <w:rPr>
          <w:rFonts w:hAnsi="宋体"/>
          <w:szCs w:val="24"/>
        </w:rPr>
      </w:pPr>
      <w:r>
        <w:rPr>
          <w:rFonts w:hint="eastAsia" w:hAnsi="宋体"/>
          <w:szCs w:val="24"/>
        </w:rPr>
        <w:t>YD5033-2004《会议电视系统工程验收规范》；</w:t>
      </w:r>
    </w:p>
    <w:p>
      <w:pPr>
        <w:pStyle w:val="18"/>
        <w:tabs>
          <w:tab w:val="left" w:pos="550"/>
        </w:tabs>
        <w:spacing w:line="360" w:lineRule="auto"/>
        <w:ind w:firstLine="480" w:firstLineChars="200"/>
        <w:rPr>
          <w:rFonts w:hAnsi="宋体"/>
          <w:szCs w:val="24"/>
        </w:rPr>
      </w:pPr>
      <w:r>
        <w:rPr>
          <w:rFonts w:hint="eastAsia" w:hAnsi="宋体"/>
          <w:szCs w:val="24"/>
        </w:rPr>
        <w:t>GB/T16858-1997《采用数据链路协议的会议电视远端摄像机控制规程》；</w:t>
      </w:r>
    </w:p>
    <w:p>
      <w:pPr>
        <w:pStyle w:val="18"/>
        <w:tabs>
          <w:tab w:val="left" w:pos="550"/>
        </w:tabs>
        <w:spacing w:line="360" w:lineRule="auto"/>
        <w:ind w:firstLine="480" w:firstLineChars="200"/>
        <w:rPr>
          <w:rFonts w:hAnsi="宋体"/>
          <w:szCs w:val="24"/>
        </w:rPr>
      </w:pPr>
      <w:r>
        <w:rPr>
          <w:rFonts w:hint="eastAsia" w:hAnsi="宋体"/>
          <w:szCs w:val="24"/>
        </w:rPr>
        <w:t>YDN075-1998《中国公众多媒体通信网网络管理规范》；</w:t>
      </w:r>
    </w:p>
    <w:p>
      <w:pPr>
        <w:pStyle w:val="18"/>
        <w:tabs>
          <w:tab w:val="left" w:pos="550"/>
        </w:tabs>
        <w:spacing w:line="360" w:lineRule="auto"/>
        <w:ind w:firstLine="480" w:firstLineChars="200"/>
        <w:rPr>
          <w:rFonts w:hAnsi="宋体"/>
          <w:szCs w:val="24"/>
        </w:rPr>
      </w:pPr>
      <w:r>
        <w:rPr>
          <w:rFonts w:hint="eastAsia" w:hAnsi="宋体"/>
          <w:szCs w:val="24"/>
        </w:rPr>
        <w:t>YDN077-1997《中国公众多媒体通信网技术体制》（暂行规定）。</w:t>
      </w:r>
    </w:p>
    <w:p>
      <w:pPr>
        <w:pStyle w:val="18"/>
        <w:tabs>
          <w:tab w:val="left" w:pos="550"/>
        </w:tabs>
        <w:spacing w:line="360" w:lineRule="auto"/>
        <w:ind w:firstLine="480" w:firstLineChars="200"/>
        <w:rPr>
          <w:rFonts w:hAnsi="宋体"/>
          <w:szCs w:val="24"/>
        </w:rPr>
      </w:pPr>
      <w:r>
        <w:rPr>
          <w:rFonts w:hint="eastAsia" w:hAnsi="宋体"/>
          <w:szCs w:val="24"/>
        </w:rPr>
        <w:t>ITU-T H.221：视听电信业务中的63～1920kbit/s信道的帧结构</w:t>
      </w:r>
    </w:p>
    <w:p>
      <w:pPr>
        <w:pStyle w:val="18"/>
        <w:tabs>
          <w:tab w:val="left" w:pos="550"/>
        </w:tabs>
        <w:spacing w:line="360" w:lineRule="auto"/>
        <w:ind w:firstLine="480" w:firstLineChars="200"/>
        <w:rPr>
          <w:rFonts w:hAnsi="宋体"/>
          <w:szCs w:val="24"/>
        </w:rPr>
      </w:pPr>
      <w:r>
        <w:rPr>
          <w:rFonts w:hint="eastAsia" w:hAnsi="宋体"/>
          <w:szCs w:val="24"/>
        </w:rPr>
        <w:t>ITU-T H.225：基于分组网络的多媒体通信系统呼叫信令与媒体流传输协议</w:t>
      </w:r>
    </w:p>
    <w:p>
      <w:pPr>
        <w:pStyle w:val="18"/>
        <w:tabs>
          <w:tab w:val="left" w:pos="550"/>
        </w:tabs>
        <w:spacing w:line="360" w:lineRule="auto"/>
        <w:ind w:firstLine="480" w:firstLineChars="200"/>
        <w:rPr>
          <w:rFonts w:hAnsi="宋体"/>
          <w:szCs w:val="24"/>
        </w:rPr>
      </w:pPr>
      <w:r>
        <w:rPr>
          <w:rFonts w:hint="eastAsia" w:hAnsi="宋体"/>
          <w:szCs w:val="24"/>
        </w:rPr>
        <w:t>ITU-T H.231：用于2Mbit/s以下数字信道的视听系统多点控制单元</w:t>
      </w:r>
    </w:p>
    <w:p>
      <w:pPr>
        <w:pStyle w:val="18"/>
        <w:tabs>
          <w:tab w:val="left" w:pos="550"/>
        </w:tabs>
        <w:spacing w:line="360" w:lineRule="auto"/>
        <w:ind w:firstLine="480" w:firstLineChars="200"/>
        <w:rPr>
          <w:rFonts w:hAnsi="宋体"/>
          <w:szCs w:val="24"/>
        </w:rPr>
      </w:pPr>
      <w:r>
        <w:rPr>
          <w:rFonts w:hint="eastAsia" w:hAnsi="宋体"/>
          <w:szCs w:val="24"/>
        </w:rPr>
        <w:t>ITU-T H.235：</w:t>
      </w:r>
      <w:r>
        <w:rPr>
          <w:rFonts w:hint="eastAsia" w:hAnsi="宋体"/>
          <w:szCs w:val="24"/>
        </w:rPr>
        <w:tab/>
      </w:r>
      <w:r>
        <w:rPr>
          <w:rFonts w:hint="eastAsia" w:hAnsi="宋体"/>
          <w:szCs w:val="24"/>
        </w:rPr>
        <w:t>用于定义媒体流的加密规程</w:t>
      </w:r>
    </w:p>
    <w:p>
      <w:pPr>
        <w:pStyle w:val="18"/>
        <w:tabs>
          <w:tab w:val="left" w:pos="550"/>
        </w:tabs>
        <w:spacing w:line="360" w:lineRule="auto"/>
        <w:ind w:firstLine="480" w:firstLineChars="200"/>
        <w:rPr>
          <w:rFonts w:hAnsi="宋体"/>
          <w:szCs w:val="24"/>
        </w:rPr>
      </w:pPr>
      <w:r>
        <w:rPr>
          <w:rFonts w:hint="eastAsia" w:hAnsi="宋体"/>
          <w:szCs w:val="24"/>
        </w:rPr>
        <w:t>ITU-T H.239：</w:t>
      </w:r>
      <w:r>
        <w:rPr>
          <w:rFonts w:hint="eastAsia" w:hAnsi="宋体"/>
          <w:szCs w:val="24"/>
        </w:rPr>
        <w:tab/>
      </w:r>
      <w:r>
        <w:rPr>
          <w:rFonts w:hint="eastAsia" w:hAnsi="宋体"/>
          <w:szCs w:val="24"/>
        </w:rPr>
        <w:t>用于数据应用双流协议的技术标准</w:t>
      </w:r>
    </w:p>
    <w:p>
      <w:pPr>
        <w:pStyle w:val="18"/>
        <w:tabs>
          <w:tab w:val="left" w:pos="550"/>
        </w:tabs>
        <w:spacing w:line="360" w:lineRule="auto"/>
        <w:ind w:firstLine="480" w:firstLineChars="200"/>
        <w:rPr>
          <w:rFonts w:hAnsi="宋体"/>
          <w:szCs w:val="24"/>
        </w:rPr>
      </w:pPr>
      <w:r>
        <w:rPr>
          <w:rFonts w:hint="eastAsia" w:hAnsi="宋体"/>
          <w:szCs w:val="24"/>
        </w:rPr>
        <w:t>ITU-T H.245：</w:t>
      </w:r>
      <w:r>
        <w:rPr>
          <w:rFonts w:hint="eastAsia" w:hAnsi="宋体"/>
          <w:szCs w:val="24"/>
        </w:rPr>
        <w:tab/>
      </w:r>
      <w:r>
        <w:rPr>
          <w:rFonts w:hint="eastAsia" w:hAnsi="宋体"/>
          <w:szCs w:val="24"/>
        </w:rPr>
        <w:t>多媒体通信控制协议</w:t>
      </w:r>
    </w:p>
    <w:p>
      <w:pPr>
        <w:pStyle w:val="18"/>
        <w:tabs>
          <w:tab w:val="left" w:pos="550"/>
        </w:tabs>
        <w:spacing w:line="360" w:lineRule="auto"/>
        <w:ind w:firstLine="480" w:firstLineChars="200"/>
        <w:rPr>
          <w:rFonts w:hAnsi="宋体"/>
          <w:szCs w:val="24"/>
        </w:rPr>
      </w:pPr>
      <w:r>
        <w:rPr>
          <w:rFonts w:hint="eastAsia" w:hAnsi="宋体"/>
          <w:szCs w:val="24"/>
        </w:rPr>
        <w:t>ITU-T H.261：关于P X 64kbit/s视听业务的视频编解码器</w:t>
      </w:r>
    </w:p>
    <w:p>
      <w:pPr>
        <w:pStyle w:val="18"/>
        <w:tabs>
          <w:tab w:val="left" w:pos="550"/>
        </w:tabs>
        <w:spacing w:line="360" w:lineRule="auto"/>
        <w:ind w:firstLine="480" w:firstLineChars="200"/>
        <w:rPr>
          <w:rFonts w:hAnsi="宋体"/>
          <w:szCs w:val="24"/>
        </w:rPr>
      </w:pPr>
      <w:r>
        <w:rPr>
          <w:rFonts w:hint="eastAsia" w:hAnsi="宋体"/>
          <w:szCs w:val="24"/>
        </w:rPr>
        <w:t>ITU-T H.263：关于低码率通信的视频编解码协议</w:t>
      </w:r>
    </w:p>
    <w:p>
      <w:pPr>
        <w:pStyle w:val="18"/>
        <w:tabs>
          <w:tab w:val="left" w:pos="550"/>
        </w:tabs>
        <w:spacing w:line="360" w:lineRule="auto"/>
        <w:ind w:firstLine="480" w:firstLineChars="200"/>
        <w:rPr>
          <w:rFonts w:hAnsi="宋体"/>
          <w:szCs w:val="24"/>
        </w:rPr>
      </w:pPr>
      <w:r>
        <w:rPr>
          <w:rFonts w:hint="eastAsia" w:hAnsi="宋体"/>
          <w:szCs w:val="24"/>
        </w:rPr>
        <w:t>ITU-T H.264：关于高压缩比低码率通信的视频编解码协议</w:t>
      </w:r>
    </w:p>
    <w:p>
      <w:pPr>
        <w:pStyle w:val="18"/>
        <w:tabs>
          <w:tab w:val="left" w:pos="550"/>
        </w:tabs>
        <w:spacing w:line="360" w:lineRule="auto"/>
        <w:ind w:firstLine="480" w:firstLineChars="200"/>
        <w:rPr>
          <w:rFonts w:hAnsi="宋体"/>
          <w:szCs w:val="24"/>
        </w:rPr>
      </w:pPr>
      <w:r>
        <w:rPr>
          <w:rFonts w:hint="eastAsia" w:hAnsi="宋体"/>
          <w:szCs w:val="24"/>
        </w:rPr>
        <w:t>ITU-T H.281：会议电视的远端摄像机控制规程</w:t>
      </w:r>
    </w:p>
    <w:p>
      <w:pPr>
        <w:pStyle w:val="18"/>
        <w:tabs>
          <w:tab w:val="left" w:pos="550"/>
        </w:tabs>
        <w:spacing w:line="360" w:lineRule="auto"/>
        <w:ind w:firstLine="480" w:firstLineChars="200"/>
        <w:rPr>
          <w:rFonts w:hAnsi="宋体"/>
          <w:szCs w:val="24"/>
        </w:rPr>
      </w:pPr>
      <w:r>
        <w:rPr>
          <w:rFonts w:hint="eastAsia" w:hAnsi="宋体"/>
          <w:szCs w:val="24"/>
        </w:rPr>
        <w:t>ITU-T H.320：窄带电视电话系统和终端设备</w:t>
      </w:r>
    </w:p>
    <w:p>
      <w:pPr>
        <w:pStyle w:val="18"/>
        <w:tabs>
          <w:tab w:val="left" w:pos="550"/>
        </w:tabs>
        <w:spacing w:line="360" w:lineRule="auto"/>
        <w:ind w:firstLine="480" w:firstLineChars="200"/>
        <w:rPr>
          <w:rFonts w:hAnsi="宋体"/>
          <w:szCs w:val="24"/>
        </w:rPr>
      </w:pPr>
      <w:r>
        <w:rPr>
          <w:rFonts w:hint="eastAsia" w:hAnsi="宋体"/>
          <w:szCs w:val="24"/>
        </w:rPr>
        <w:t>ITU-T H.323：</w:t>
      </w:r>
      <w:r>
        <w:rPr>
          <w:rFonts w:hint="eastAsia" w:hAnsi="宋体"/>
          <w:szCs w:val="24"/>
        </w:rPr>
        <w:tab/>
      </w:r>
      <w:r>
        <w:rPr>
          <w:rFonts w:hint="eastAsia" w:hAnsi="宋体"/>
          <w:szCs w:val="24"/>
        </w:rPr>
        <w:t>基于IP包交换网络中多媒体业务的框架协议</w:t>
      </w:r>
    </w:p>
    <w:p>
      <w:pPr>
        <w:pStyle w:val="18"/>
        <w:tabs>
          <w:tab w:val="left" w:pos="550"/>
        </w:tabs>
        <w:spacing w:line="360" w:lineRule="auto"/>
        <w:ind w:firstLine="480" w:firstLineChars="200"/>
        <w:rPr>
          <w:rFonts w:hAnsi="宋体"/>
          <w:szCs w:val="24"/>
        </w:rPr>
      </w:pPr>
      <w:r>
        <w:rPr>
          <w:rFonts w:hint="eastAsia" w:hAnsi="宋体"/>
          <w:szCs w:val="24"/>
        </w:rPr>
        <w:t>2. 设备的设计与制造要求采用国际公制单位，个别部件采用英制单位应列出清单。</w:t>
      </w:r>
    </w:p>
    <w:p>
      <w:pPr>
        <w:pStyle w:val="18"/>
        <w:tabs>
          <w:tab w:val="left" w:pos="1290"/>
          <w:tab w:val="left" w:pos="1680"/>
        </w:tabs>
        <w:spacing w:line="360" w:lineRule="auto"/>
        <w:ind w:firstLine="480" w:firstLineChars="200"/>
        <w:rPr>
          <w:rFonts w:hAnsi="宋体"/>
          <w:szCs w:val="24"/>
        </w:rPr>
      </w:pPr>
      <w:r>
        <w:rPr>
          <w:rFonts w:hint="eastAsia" w:hAnsi="宋体"/>
          <w:szCs w:val="24"/>
        </w:rPr>
        <w:t>3. 防爆电气设备应按中国国家防爆标准或其它中国防爆检验部门认可的标准制造。</w:t>
      </w:r>
    </w:p>
    <w:p>
      <w:pPr>
        <w:pStyle w:val="18"/>
        <w:tabs>
          <w:tab w:val="left" w:pos="1290"/>
          <w:tab w:val="left" w:pos="1680"/>
        </w:tabs>
        <w:spacing w:line="360" w:lineRule="auto"/>
        <w:ind w:firstLine="480" w:firstLineChars="200"/>
        <w:rPr>
          <w:rFonts w:hAnsi="宋体"/>
          <w:szCs w:val="24"/>
        </w:rPr>
      </w:pPr>
      <w:r>
        <w:rPr>
          <w:rFonts w:hint="eastAsia" w:hAnsi="宋体"/>
          <w:szCs w:val="24"/>
        </w:rPr>
        <w:t>4. 上述标准均应为投标截止日时的最新有效版。</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Futura Bk">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noPunctuationKerning w:val="1"/>
  <w:characterSpacingControl w:val="compressPunctuation"/>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4AB"/>
    <w:rsid w:val="00022538"/>
    <w:rsid w:val="00025728"/>
    <w:rsid w:val="00032CFA"/>
    <w:rsid w:val="0003438A"/>
    <w:rsid w:val="00043D47"/>
    <w:rsid w:val="00050055"/>
    <w:rsid w:val="00050A72"/>
    <w:rsid w:val="000558B6"/>
    <w:rsid w:val="00071436"/>
    <w:rsid w:val="00071741"/>
    <w:rsid w:val="000732FD"/>
    <w:rsid w:val="0007393F"/>
    <w:rsid w:val="00081F63"/>
    <w:rsid w:val="000875F8"/>
    <w:rsid w:val="0009073F"/>
    <w:rsid w:val="00096EF3"/>
    <w:rsid w:val="00097389"/>
    <w:rsid w:val="000A4BD8"/>
    <w:rsid w:val="000A64E2"/>
    <w:rsid w:val="000A7CB5"/>
    <w:rsid w:val="000B48F2"/>
    <w:rsid w:val="000B6604"/>
    <w:rsid w:val="000C39F8"/>
    <w:rsid w:val="000C5CDA"/>
    <w:rsid w:val="000C7ED8"/>
    <w:rsid w:val="000D7339"/>
    <w:rsid w:val="000E2355"/>
    <w:rsid w:val="000F02EE"/>
    <w:rsid w:val="000F1A46"/>
    <w:rsid w:val="000F1B6C"/>
    <w:rsid w:val="00100D59"/>
    <w:rsid w:val="0010136A"/>
    <w:rsid w:val="00103B35"/>
    <w:rsid w:val="00111677"/>
    <w:rsid w:val="0012031E"/>
    <w:rsid w:val="00121604"/>
    <w:rsid w:val="001231E2"/>
    <w:rsid w:val="00123F38"/>
    <w:rsid w:val="00137A96"/>
    <w:rsid w:val="00161ED6"/>
    <w:rsid w:val="00162E59"/>
    <w:rsid w:val="001671E1"/>
    <w:rsid w:val="00172A27"/>
    <w:rsid w:val="001820D2"/>
    <w:rsid w:val="00182ED2"/>
    <w:rsid w:val="00185733"/>
    <w:rsid w:val="001858FA"/>
    <w:rsid w:val="001866E8"/>
    <w:rsid w:val="00187A82"/>
    <w:rsid w:val="00190BA2"/>
    <w:rsid w:val="00191072"/>
    <w:rsid w:val="00192B80"/>
    <w:rsid w:val="001A04A4"/>
    <w:rsid w:val="001A25F7"/>
    <w:rsid w:val="001A75C5"/>
    <w:rsid w:val="001B3352"/>
    <w:rsid w:val="001C1D07"/>
    <w:rsid w:val="001D5A1B"/>
    <w:rsid w:val="001D785E"/>
    <w:rsid w:val="001E291A"/>
    <w:rsid w:val="001F282E"/>
    <w:rsid w:val="001F2EE0"/>
    <w:rsid w:val="002206B1"/>
    <w:rsid w:val="00231618"/>
    <w:rsid w:val="00231A0B"/>
    <w:rsid w:val="002339B6"/>
    <w:rsid w:val="00235250"/>
    <w:rsid w:val="002437B2"/>
    <w:rsid w:val="002562B6"/>
    <w:rsid w:val="00264BC8"/>
    <w:rsid w:val="00265F22"/>
    <w:rsid w:val="002673C2"/>
    <w:rsid w:val="00267B8B"/>
    <w:rsid w:val="00282FC5"/>
    <w:rsid w:val="00286A3D"/>
    <w:rsid w:val="00287AF6"/>
    <w:rsid w:val="002A69C8"/>
    <w:rsid w:val="002B0200"/>
    <w:rsid w:val="002C46A7"/>
    <w:rsid w:val="002C5AB4"/>
    <w:rsid w:val="002C6734"/>
    <w:rsid w:val="002C78DD"/>
    <w:rsid w:val="002D12B4"/>
    <w:rsid w:val="002D1F04"/>
    <w:rsid w:val="002D4133"/>
    <w:rsid w:val="002D601E"/>
    <w:rsid w:val="002D79B2"/>
    <w:rsid w:val="002E1C38"/>
    <w:rsid w:val="002E5A9B"/>
    <w:rsid w:val="002F3991"/>
    <w:rsid w:val="002F3C1A"/>
    <w:rsid w:val="002F574D"/>
    <w:rsid w:val="002F5B06"/>
    <w:rsid w:val="003003E3"/>
    <w:rsid w:val="00301917"/>
    <w:rsid w:val="00313202"/>
    <w:rsid w:val="0031546C"/>
    <w:rsid w:val="00317394"/>
    <w:rsid w:val="00322719"/>
    <w:rsid w:val="0033064C"/>
    <w:rsid w:val="00353504"/>
    <w:rsid w:val="0035583B"/>
    <w:rsid w:val="00357311"/>
    <w:rsid w:val="003616E6"/>
    <w:rsid w:val="003747C8"/>
    <w:rsid w:val="00376FCD"/>
    <w:rsid w:val="003814F7"/>
    <w:rsid w:val="00383842"/>
    <w:rsid w:val="003A1FCF"/>
    <w:rsid w:val="003B26D0"/>
    <w:rsid w:val="003C2570"/>
    <w:rsid w:val="003C3CC0"/>
    <w:rsid w:val="003D09E7"/>
    <w:rsid w:val="003D0AC6"/>
    <w:rsid w:val="003D2D19"/>
    <w:rsid w:val="003D5392"/>
    <w:rsid w:val="003D743F"/>
    <w:rsid w:val="003E2C5D"/>
    <w:rsid w:val="003E7E27"/>
    <w:rsid w:val="00406158"/>
    <w:rsid w:val="004352A0"/>
    <w:rsid w:val="004421F1"/>
    <w:rsid w:val="004471CC"/>
    <w:rsid w:val="00453A2C"/>
    <w:rsid w:val="00463093"/>
    <w:rsid w:val="004652A5"/>
    <w:rsid w:val="00466AF3"/>
    <w:rsid w:val="00475154"/>
    <w:rsid w:val="0048440D"/>
    <w:rsid w:val="004903BB"/>
    <w:rsid w:val="004930C9"/>
    <w:rsid w:val="004A48E5"/>
    <w:rsid w:val="004A4961"/>
    <w:rsid w:val="004A78C7"/>
    <w:rsid w:val="004A7A53"/>
    <w:rsid w:val="004B3B33"/>
    <w:rsid w:val="004B53A5"/>
    <w:rsid w:val="004C1256"/>
    <w:rsid w:val="004C7ABB"/>
    <w:rsid w:val="004D2F1B"/>
    <w:rsid w:val="004D3144"/>
    <w:rsid w:val="004D419D"/>
    <w:rsid w:val="004F3D5D"/>
    <w:rsid w:val="004F5532"/>
    <w:rsid w:val="00506564"/>
    <w:rsid w:val="005117D5"/>
    <w:rsid w:val="00520D80"/>
    <w:rsid w:val="00522475"/>
    <w:rsid w:val="00527F1D"/>
    <w:rsid w:val="00530AC3"/>
    <w:rsid w:val="0053346F"/>
    <w:rsid w:val="0053459C"/>
    <w:rsid w:val="00540B9D"/>
    <w:rsid w:val="00541E9A"/>
    <w:rsid w:val="0055475B"/>
    <w:rsid w:val="005600C9"/>
    <w:rsid w:val="00563DB7"/>
    <w:rsid w:val="005656D8"/>
    <w:rsid w:val="00576245"/>
    <w:rsid w:val="005823B1"/>
    <w:rsid w:val="005854D1"/>
    <w:rsid w:val="00590842"/>
    <w:rsid w:val="00592A16"/>
    <w:rsid w:val="0059572E"/>
    <w:rsid w:val="00595FCF"/>
    <w:rsid w:val="00597596"/>
    <w:rsid w:val="005A2F53"/>
    <w:rsid w:val="005B0707"/>
    <w:rsid w:val="005C0A41"/>
    <w:rsid w:val="005C2235"/>
    <w:rsid w:val="005C7AB9"/>
    <w:rsid w:val="005D4ED0"/>
    <w:rsid w:val="005D62D7"/>
    <w:rsid w:val="005E0719"/>
    <w:rsid w:val="005E4FED"/>
    <w:rsid w:val="005F5CBA"/>
    <w:rsid w:val="00600AE6"/>
    <w:rsid w:val="00602E80"/>
    <w:rsid w:val="00605A7A"/>
    <w:rsid w:val="00610A40"/>
    <w:rsid w:val="0061233A"/>
    <w:rsid w:val="00612D74"/>
    <w:rsid w:val="006156FD"/>
    <w:rsid w:val="006159E0"/>
    <w:rsid w:val="00615FF3"/>
    <w:rsid w:val="00620D6D"/>
    <w:rsid w:val="00623DDF"/>
    <w:rsid w:val="00625C31"/>
    <w:rsid w:val="00626290"/>
    <w:rsid w:val="0062738D"/>
    <w:rsid w:val="00631737"/>
    <w:rsid w:val="00640CA3"/>
    <w:rsid w:val="00641D0B"/>
    <w:rsid w:val="00643DE3"/>
    <w:rsid w:val="006441D4"/>
    <w:rsid w:val="006464A5"/>
    <w:rsid w:val="00646B79"/>
    <w:rsid w:val="00647B08"/>
    <w:rsid w:val="006707E5"/>
    <w:rsid w:val="00673A1C"/>
    <w:rsid w:val="006822F9"/>
    <w:rsid w:val="00683F16"/>
    <w:rsid w:val="00685459"/>
    <w:rsid w:val="00685FA2"/>
    <w:rsid w:val="00687931"/>
    <w:rsid w:val="00692A3A"/>
    <w:rsid w:val="00696D95"/>
    <w:rsid w:val="006A0E6D"/>
    <w:rsid w:val="006A2487"/>
    <w:rsid w:val="006B1F4D"/>
    <w:rsid w:val="006B36B8"/>
    <w:rsid w:val="006B46E3"/>
    <w:rsid w:val="006B482A"/>
    <w:rsid w:val="006D00B9"/>
    <w:rsid w:val="006D0BAA"/>
    <w:rsid w:val="006D5854"/>
    <w:rsid w:val="006F0604"/>
    <w:rsid w:val="006F070A"/>
    <w:rsid w:val="006F1A26"/>
    <w:rsid w:val="006F4AC3"/>
    <w:rsid w:val="006F4E86"/>
    <w:rsid w:val="006F6C0E"/>
    <w:rsid w:val="00705AAB"/>
    <w:rsid w:val="007120B0"/>
    <w:rsid w:val="00713634"/>
    <w:rsid w:val="00715416"/>
    <w:rsid w:val="00716D17"/>
    <w:rsid w:val="007345D5"/>
    <w:rsid w:val="0073781E"/>
    <w:rsid w:val="0074497C"/>
    <w:rsid w:val="007511D4"/>
    <w:rsid w:val="00762296"/>
    <w:rsid w:val="00766838"/>
    <w:rsid w:val="00767B10"/>
    <w:rsid w:val="00774807"/>
    <w:rsid w:val="00776F11"/>
    <w:rsid w:val="00781FA7"/>
    <w:rsid w:val="00787188"/>
    <w:rsid w:val="007941AA"/>
    <w:rsid w:val="007B176E"/>
    <w:rsid w:val="007B1944"/>
    <w:rsid w:val="007B239B"/>
    <w:rsid w:val="007B326B"/>
    <w:rsid w:val="007B447B"/>
    <w:rsid w:val="007B4D8A"/>
    <w:rsid w:val="007B6D98"/>
    <w:rsid w:val="007B7178"/>
    <w:rsid w:val="007C2BB6"/>
    <w:rsid w:val="007C4761"/>
    <w:rsid w:val="007C49AB"/>
    <w:rsid w:val="007E4A5D"/>
    <w:rsid w:val="007E4E26"/>
    <w:rsid w:val="007F186C"/>
    <w:rsid w:val="007F2BB9"/>
    <w:rsid w:val="007F531D"/>
    <w:rsid w:val="0080034D"/>
    <w:rsid w:val="00802811"/>
    <w:rsid w:val="0080326C"/>
    <w:rsid w:val="00804789"/>
    <w:rsid w:val="008051E0"/>
    <w:rsid w:val="00813962"/>
    <w:rsid w:val="00817111"/>
    <w:rsid w:val="00820475"/>
    <w:rsid w:val="00825524"/>
    <w:rsid w:val="00835406"/>
    <w:rsid w:val="00841302"/>
    <w:rsid w:val="00841712"/>
    <w:rsid w:val="00843D55"/>
    <w:rsid w:val="0084699F"/>
    <w:rsid w:val="00855A99"/>
    <w:rsid w:val="0086662A"/>
    <w:rsid w:val="00866CF1"/>
    <w:rsid w:val="00892D34"/>
    <w:rsid w:val="0089394C"/>
    <w:rsid w:val="008944A4"/>
    <w:rsid w:val="00896254"/>
    <w:rsid w:val="00897AD3"/>
    <w:rsid w:val="008A347D"/>
    <w:rsid w:val="008A520E"/>
    <w:rsid w:val="008A7BF8"/>
    <w:rsid w:val="008B05F1"/>
    <w:rsid w:val="008B653C"/>
    <w:rsid w:val="008C6C01"/>
    <w:rsid w:val="008E0946"/>
    <w:rsid w:val="008E0AA1"/>
    <w:rsid w:val="008E4603"/>
    <w:rsid w:val="008F61D5"/>
    <w:rsid w:val="008F6829"/>
    <w:rsid w:val="008F6B6E"/>
    <w:rsid w:val="008F76BF"/>
    <w:rsid w:val="008F776E"/>
    <w:rsid w:val="00901B9F"/>
    <w:rsid w:val="00905C6B"/>
    <w:rsid w:val="0090711A"/>
    <w:rsid w:val="00907AAF"/>
    <w:rsid w:val="00920F4B"/>
    <w:rsid w:val="0092491A"/>
    <w:rsid w:val="0093515C"/>
    <w:rsid w:val="00945998"/>
    <w:rsid w:val="00950884"/>
    <w:rsid w:val="00951A1A"/>
    <w:rsid w:val="00951C2D"/>
    <w:rsid w:val="00954BAF"/>
    <w:rsid w:val="00971052"/>
    <w:rsid w:val="0097420D"/>
    <w:rsid w:val="00984826"/>
    <w:rsid w:val="009910CF"/>
    <w:rsid w:val="009952F5"/>
    <w:rsid w:val="00996217"/>
    <w:rsid w:val="009A14C9"/>
    <w:rsid w:val="009A2101"/>
    <w:rsid w:val="009B056B"/>
    <w:rsid w:val="009C4C68"/>
    <w:rsid w:val="009D2C23"/>
    <w:rsid w:val="009D5803"/>
    <w:rsid w:val="009E5E8E"/>
    <w:rsid w:val="009F1E19"/>
    <w:rsid w:val="009F3479"/>
    <w:rsid w:val="00A00448"/>
    <w:rsid w:val="00A02968"/>
    <w:rsid w:val="00A036CC"/>
    <w:rsid w:val="00A11297"/>
    <w:rsid w:val="00A14FCB"/>
    <w:rsid w:val="00A20A88"/>
    <w:rsid w:val="00A2424D"/>
    <w:rsid w:val="00A35CBA"/>
    <w:rsid w:val="00A40377"/>
    <w:rsid w:val="00A425EF"/>
    <w:rsid w:val="00A42ACC"/>
    <w:rsid w:val="00A556D0"/>
    <w:rsid w:val="00A573F2"/>
    <w:rsid w:val="00A63653"/>
    <w:rsid w:val="00A650D1"/>
    <w:rsid w:val="00A65539"/>
    <w:rsid w:val="00A700F9"/>
    <w:rsid w:val="00A71E52"/>
    <w:rsid w:val="00A808EB"/>
    <w:rsid w:val="00AA0D8A"/>
    <w:rsid w:val="00AB583B"/>
    <w:rsid w:val="00AC43F2"/>
    <w:rsid w:val="00AC47F3"/>
    <w:rsid w:val="00AD24EF"/>
    <w:rsid w:val="00AD26ED"/>
    <w:rsid w:val="00AD3929"/>
    <w:rsid w:val="00AD3DA8"/>
    <w:rsid w:val="00AE5947"/>
    <w:rsid w:val="00B125E7"/>
    <w:rsid w:val="00B17BF8"/>
    <w:rsid w:val="00B20E59"/>
    <w:rsid w:val="00B220F4"/>
    <w:rsid w:val="00B22703"/>
    <w:rsid w:val="00B23A35"/>
    <w:rsid w:val="00B24B57"/>
    <w:rsid w:val="00B34ADC"/>
    <w:rsid w:val="00B44D9A"/>
    <w:rsid w:val="00B4635C"/>
    <w:rsid w:val="00B50591"/>
    <w:rsid w:val="00B53228"/>
    <w:rsid w:val="00B656E2"/>
    <w:rsid w:val="00B6633B"/>
    <w:rsid w:val="00B76D8D"/>
    <w:rsid w:val="00B771BF"/>
    <w:rsid w:val="00B8262B"/>
    <w:rsid w:val="00B85464"/>
    <w:rsid w:val="00B91254"/>
    <w:rsid w:val="00BA1B8A"/>
    <w:rsid w:val="00BB3099"/>
    <w:rsid w:val="00BB373A"/>
    <w:rsid w:val="00BB3E5A"/>
    <w:rsid w:val="00BB6D32"/>
    <w:rsid w:val="00BF08E5"/>
    <w:rsid w:val="00BF2464"/>
    <w:rsid w:val="00C0090A"/>
    <w:rsid w:val="00C01965"/>
    <w:rsid w:val="00C068E3"/>
    <w:rsid w:val="00C078ED"/>
    <w:rsid w:val="00C10A84"/>
    <w:rsid w:val="00C239D0"/>
    <w:rsid w:val="00C24C98"/>
    <w:rsid w:val="00C301D5"/>
    <w:rsid w:val="00C31EDB"/>
    <w:rsid w:val="00C34650"/>
    <w:rsid w:val="00C34F7B"/>
    <w:rsid w:val="00C4522D"/>
    <w:rsid w:val="00C47E5E"/>
    <w:rsid w:val="00C53444"/>
    <w:rsid w:val="00C56A43"/>
    <w:rsid w:val="00C5770D"/>
    <w:rsid w:val="00C57E61"/>
    <w:rsid w:val="00C61AD2"/>
    <w:rsid w:val="00C653F3"/>
    <w:rsid w:val="00C73A22"/>
    <w:rsid w:val="00C73ABE"/>
    <w:rsid w:val="00C8139B"/>
    <w:rsid w:val="00C817FC"/>
    <w:rsid w:val="00C81C6B"/>
    <w:rsid w:val="00C81D59"/>
    <w:rsid w:val="00C94079"/>
    <w:rsid w:val="00C95729"/>
    <w:rsid w:val="00CA2CC1"/>
    <w:rsid w:val="00CB0EC1"/>
    <w:rsid w:val="00CC7E77"/>
    <w:rsid w:val="00CD2DBC"/>
    <w:rsid w:val="00CD475C"/>
    <w:rsid w:val="00CE19B2"/>
    <w:rsid w:val="00CF31F9"/>
    <w:rsid w:val="00CF339C"/>
    <w:rsid w:val="00CF3D4A"/>
    <w:rsid w:val="00CF5804"/>
    <w:rsid w:val="00CF6CB3"/>
    <w:rsid w:val="00D02984"/>
    <w:rsid w:val="00D02E2F"/>
    <w:rsid w:val="00D05021"/>
    <w:rsid w:val="00D079AC"/>
    <w:rsid w:val="00D304C1"/>
    <w:rsid w:val="00D32B07"/>
    <w:rsid w:val="00D33DB0"/>
    <w:rsid w:val="00D460FF"/>
    <w:rsid w:val="00D469FB"/>
    <w:rsid w:val="00D5236E"/>
    <w:rsid w:val="00D53358"/>
    <w:rsid w:val="00D53A87"/>
    <w:rsid w:val="00D54CA0"/>
    <w:rsid w:val="00D615EE"/>
    <w:rsid w:val="00D7020A"/>
    <w:rsid w:val="00D75967"/>
    <w:rsid w:val="00D84670"/>
    <w:rsid w:val="00D84A53"/>
    <w:rsid w:val="00D85657"/>
    <w:rsid w:val="00D85A92"/>
    <w:rsid w:val="00D87F67"/>
    <w:rsid w:val="00D93DFE"/>
    <w:rsid w:val="00D950A8"/>
    <w:rsid w:val="00DA08A5"/>
    <w:rsid w:val="00DA0AA0"/>
    <w:rsid w:val="00DA36EC"/>
    <w:rsid w:val="00DB0BFD"/>
    <w:rsid w:val="00DB40C6"/>
    <w:rsid w:val="00DB485C"/>
    <w:rsid w:val="00DB5453"/>
    <w:rsid w:val="00DB6BF4"/>
    <w:rsid w:val="00DB6ED8"/>
    <w:rsid w:val="00DB730E"/>
    <w:rsid w:val="00DB7FD5"/>
    <w:rsid w:val="00DD45A4"/>
    <w:rsid w:val="00DD48CA"/>
    <w:rsid w:val="00DD505A"/>
    <w:rsid w:val="00DD6F63"/>
    <w:rsid w:val="00DE1FB3"/>
    <w:rsid w:val="00DE5EB4"/>
    <w:rsid w:val="00DF0487"/>
    <w:rsid w:val="00DF29D9"/>
    <w:rsid w:val="00DF7ECC"/>
    <w:rsid w:val="00E02A68"/>
    <w:rsid w:val="00E04EED"/>
    <w:rsid w:val="00E05AD7"/>
    <w:rsid w:val="00E14F3D"/>
    <w:rsid w:val="00E15B90"/>
    <w:rsid w:val="00E2329E"/>
    <w:rsid w:val="00E24516"/>
    <w:rsid w:val="00E3021C"/>
    <w:rsid w:val="00E3067E"/>
    <w:rsid w:val="00E336BA"/>
    <w:rsid w:val="00E3482C"/>
    <w:rsid w:val="00E5437C"/>
    <w:rsid w:val="00E661BA"/>
    <w:rsid w:val="00E72030"/>
    <w:rsid w:val="00E72677"/>
    <w:rsid w:val="00E80158"/>
    <w:rsid w:val="00E91203"/>
    <w:rsid w:val="00EA0CCF"/>
    <w:rsid w:val="00EA372E"/>
    <w:rsid w:val="00EC2638"/>
    <w:rsid w:val="00ED4E58"/>
    <w:rsid w:val="00EE158C"/>
    <w:rsid w:val="00EF7B91"/>
    <w:rsid w:val="00F06448"/>
    <w:rsid w:val="00F06489"/>
    <w:rsid w:val="00F22E62"/>
    <w:rsid w:val="00F30B4D"/>
    <w:rsid w:val="00F40036"/>
    <w:rsid w:val="00F45AE2"/>
    <w:rsid w:val="00F47C3B"/>
    <w:rsid w:val="00F50DDF"/>
    <w:rsid w:val="00F67AD9"/>
    <w:rsid w:val="00F8130B"/>
    <w:rsid w:val="00F824D2"/>
    <w:rsid w:val="00F8467B"/>
    <w:rsid w:val="00F916E5"/>
    <w:rsid w:val="00F963E9"/>
    <w:rsid w:val="00FA32F7"/>
    <w:rsid w:val="00FA7C2D"/>
    <w:rsid w:val="00FB3559"/>
    <w:rsid w:val="00FB56E6"/>
    <w:rsid w:val="00FC38FF"/>
    <w:rsid w:val="00FC3F5E"/>
    <w:rsid w:val="00FC3F87"/>
    <w:rsid w:val="00FD0311"/>
    <w:rsid w:val="00FD2F8F"/>
    <w:rsid w:val="00FD448D"/>
    <w:rsid w:val="00FD4ED1"/>
    <w:rsid w:val="00FD63A9"/>
    <w:rsid w:val="00FE46CE"/>
    <w:rsid w:val="00FF5D0E"/>
    <w:rsid w:val="00FF783F"/>
    <w:rsid w:val="22B32485"/>
    <w:rsid w:val="25D13D0D"/>
    <w:rsid w:val="34D532C0"/>
    <w:rsid w:val="38DB577A"/>
    <w:rsid w:val="416D1F6A"/>
    <w:rsid w:val="42C43994"/>
    <w:rsid w:val="5F3F664F"/>
    <w:rsid w:val="67403B0A"/>
    <w:rsid w:val="697855AF"/>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0" w:semiHidden="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semiHidden="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25"/>
    <w:unhideWhenUsed/>
    <w:qFormat/>
    <w:uiPriority w:val="9"/>
    <w:pPr>
      <w:keepNext/>
      <w:keepLines/>
      <w:spacing w:before="260" w:after="260" w:line="416" w:lineRule="auto"/>
      <w:outlineLvl w:val="2"/>
    </w:pPr>
    <w:rPr>
      <w:b/>
      <w:bCs/>
      <w:sz w:val="32"/>
      <w:szCs w:val="32"/>
    </w:rPr>
  </w:style>
  <w:style w:type="character" w:default="1" w:styleId="13">
    <w:name w:val="Default Paragraph Font"/>
    <w:unhideWhenUsed/>
    <w:uiPriority w:val="1"/>
  </w:style>
  <w:style w:type="table" w:default="1" w:styleId="17">
    <w:name w:val="Normal Table"/>
    <w:unhideWhenUsed/>
    <w:uiPriority w:val="99"/>
    <w:tblPr>
      <w:tblLayout w:type="fixed"/>
      <w:tblCellMar>
        <w:top w:w="0" w:type="dxa"/>
        <w:left w:w="108" w:type="dxa"/>
        <w:bottom w:w="0" w:type="dxa"/>
        <w:right w:w="108" w:type="dxa"/>
      </w:tblCellMar>
    </w:tblPr>
  </w:style>
  <w:style w:type="paragraph" w:styleId="4">
    <w:name w:val="annotation subject"/>
    <w:basedOn w:val="5"/>
    <w:next w:val="5"/>
    <w:link w:val="27"/>
    <w:unhideWhenUsed/>
    <w:qFormat/>
    <w:uiPriority w:val="0"/>
    <w:rPr>
      <w:b/>
      <w:bCs/>
    </w:rPr>
  </w:style>
  <w:style w:type="paragraph" w:styleId="5">
    <w:name w:val="annotation text"/>
    <w:basedOn w:val="1"/>
    <w:link w:val="26"/>
    <w:unhideWhenUsed/>
    <w:qFormat/>
    <w:uiPriority w:val="0"/>
    <w:pPr>
      <w:jc w:val="left"/>
    </w:pPr>
  </w:style>
  <w:style w:type="paragraph" w:styleId="6">
    <w:name w:val="Document Map"/>
    <w:basedOn w:val="1"/>
    <w:link w:val="29"/>
    <w:unhideWhenUsed/>
    <w:qFormat/>
    <w:uiPriority w:val="0"/>
    <w:rPr>
      <w:rFonts w:ascii="宋体"/>
      <w:sz w:val="18"/>
      <w:szCs w:val="18"/>
    </w:rPr>
  </w:style>
  <w:style w:type="paragraph" w:styleId="7">
    <w:name w:val="Plain Text"/>
    <w:basedOn w:val="1"/>
    <w:link w:val="22"/>
    <w:unhideWhenUsed/>
    <w:qFormat/>
    <w:uiPriority w:val="0"/>
    <w:rPr>
      <w:rFonts w:ascii="宋体" w:hAnsi="Courier New" w:cs="Courier New"/>
      <w:szCs w:val="21"/>
    </w:rPr>
  </w:style>
  <w:style w:type="paragraph" w:styleId="8">
    <w:name w:val="Balloon Text"/>
    <w:basedOn w:val="1"/>
    <w:link w:val="28"/>
    <w:unhideWhenUsed/>
    <w:qFormat/>
    <w:uiPriority w:val="0"/>
    <w:rPr>
      <w:sz w:val="18"/>
      <w:szCs w:val="18"/>
    </w:rPr>
  </w:style>
  <w:style w:type="paragraph" w:styleId="9">
    <w:name w:val="footer"/>
    <w:basedOn w:val="1"/>
    <w:link w:val="20"/>
    <w:unhideWhenUsed/>
    <w:qFormat/>
    <w:uiPriority w:val="99"/>
    <w:pPr>
      <w:tabs>
        <w:tab w:val="center" w:pos="4153"/>
        <w:tab w:val="right" w:pos="8306"/>
      </w:tabs>
      <w:snapToGrid w:val="0"/>
      <w:jc w:val="left"/>
    </w:pPr>
    <w:rPr>
      <w:rFonts w:ascii="Calibri" w:hAnsi="Calibri" w:cs="黑体"/>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rFonts w:ascii="Calibri" w:hAnsi="Calibri" w:cs="黑体"/>
      <w:sz w:val="18"/>
      <w:szCs w:val="18"/>
    </w:rPr>
  </w:style>
  <w:style w:type="paragraph" w:styleId="11">
    <w:name w:val="footnote text"/>
    <w:basedOn w:val="1"/>
    <w:link w:val="21"/>
    <w:unhideWhenUsed/>
    <w:qFormat/>
    <w:uiPriority w:val="0"/>
    <w:pPr>
      <w:snapToGrid w:val="0"/>
      <w:jc w:val="left"/>
    </w:pPr>
    <w:rPr>
      <w:sz w:val="18"/>
      <w:szCs w:val="18"/>
    </w:rPr>
  </w:style>
  <w:style w:type="paragraph" w:styleId="12">
    <w:name w:val="Normal (Web)"/>
    <w:basedOn w:val="1"/>
    <w:qFormat/>
    <w:uiPriority w:val="0"/>
    <w:pPr>
      <w:widowControl/>
      <w:spacing w:before="100" w:beforeAutospacing="1" w:after="100" w:afterAutospacing="1"/>
      <w:jc w:val="left"/>
    </w:pPr>
    <w:rPr>
      <w:rFonts w:ascii="宋体" w:hAnsi="宋体"/>
      <w:kern w:val="0"/>
      <w:sz w:val="24"/>
    </w:rPr>
  </w:style>
  <w:style w:type="character" w:styleId="14">
    <w:name w:val="Strong"/>
    <w:qFormat/>
    <w:uiPriority w:val="22"/>
    <w:rPr>
      <w:b/>
    </w:rPr>
  </w:style>
  <w:style w:type="character" w:styleId="15">
    <w:name w:val="annotation reference"/>
    <w:basedOn w:val="13"/>
    <w:unhideWhenUsed/>
    <w:qFormat/>
    <w:uiPriority w:val="0"/>
    <w:rPr>
      <w:sz w:val="21"/>
      <w:szCs w:val="21"/>
    </w:rPr>
  </w:style>
  <w:style w:type="character" w:styleId="16">
    <w:name w:val="footnote reference"/>
    <w:unhideWhenUsed/>
    <w:qFormat/>
    <w:uiPriority w:val="0"/>
    <w:rPr>
      <w:vertAlign w:val="superscript"/>
    </w:rPr>
  </w:style>
  <w:style w:type="paragraph" w:customStyle="1" w:styleId="18">
    <w:name w:val="普通 (Web)"/>
    <w:qFormat/>
    <w:uiPriority w:val="0"/>
    <w:pPr>
      <w:spacing w:before="100" w:after="100"/>
    </w:pPr>
    <w:rPr>
      <w:rFonts w:ascii="宋体" w:hAnsi="Times New Roman" w:eastAsia="宋体" w:cs="Times New Roman"/>
      <w:sz w:val="24"/>
      <w:lang w:val="en-US" w:eastAsia="zh-CN" w:bidi="ar-SA"/>
    </w:rPr>
  </w:style>
  <w:style w:type="character" w:customStyle="1" w:styleId="19">
    <w:name w:val="页眉 Char"/>
    <w:link w:val="10"/>
    <w:qFormat/>
    <w:uiPriority w:val="99"/>
    <w:rPr>
      <w:sz w:val="18"/>
      <w:szCs w:val="18"/>
    </w:rPr>
  </w:style>
  <w:style w:type="character" w:customStyle="1" w:styleId="20">
    <w:name w:val="页脚 Char"/>
    <w:link w:val="9"/>
    <w:qFormat/>
    <w:uiPriority w:val="99"/>
    <w:rPr>
      <w:sz w:val="18"/>
      <w:szCs w:val="18"/>
    </w:rPr>
  </w:style>
  <w:style w:type="character" w:customStyle="1" w:styleId="21">
    <w:name w:val="脚注文本 Char"/>
    <w:link w:val="11"/>
    <w:qFormat/>
    <w:uiPriority w:val="0"/>
    <w:rPr>
      <w:rFonts w:ascii="Times New Roman" w:hAnsi="Times New Roman" w:eastAsia="宋体" w:cs="Times New Roman"/>
      <w:sz w:val="18"/>
      <w:szCs w:val="18"/>
    </w:rPr>
  </w:style>
  <w:style w:type="character" w:customStyle="1" w:styleId="22">
    <w:name w:val="纯文本 Char"/>
    <w:link w:val="7"/>
    <w:qFormat/>
    <w:locked/>
    <w:uiPriority w:val="0"/>
    <w:rPr>
      <w:rFonts w:ascii="宋体" w:hAnsi="Courier New" w:eastAsia="宋体" w:cs="Courier New"/>
      <w:szCs w:val="21"/>
    </w:rPr>
  </w:style>
  <w:style w:type="character" w:customStyle="1" w:styleId="23">
    <w:name w:val="纯文本 Char1"/>
    <w:semiHidden/>
    <w:qFormat/>
    <w:uiPriority w:val="99"/>
    <w:rPr>
      <w:rFonts w:ascii="宋体" w:hAnsi="Courier New" w:eastAsia="宋体" w:cs="Courier New"/>
      <w:szCs w:val="21"/>
    </w:rPr>
  </w:style>
  <w:style w:type="character" w:customStyle="1" w:styleId="24">
    <w:name w:val="标题 1 Char"/>
    <w:link w:val="2"/>
    <w:qFormat/>
    <w:uiPriority w:val="0"/>
    <w:rPr>
      <w:rFonts w:ascii="Times New Roman" w:hAnsi="Times New Roman" w:eastAsia="宋体" w:cs="Times New Roman"/>
      <w:b/>
      <w:bCs/>
      <w:kern w:val="44"/>
      <w:sz w:val="44"/>
      <w:szCs w:val="44"/>
    </w:rPr>
  </w:style>
  <w:style w:type="character" w:customStyle="1" w:styleId="25">
    <w:name w:val="标题 3 Char"/>
    <w:link w:val="3"/>
    <w:semiHidden/>
    <w:qFormat/>
    <w:uiPriority w:val="9"/>
    <w:rPr>
      <w:rFonts w:ascii="Times New Roman" w:hAnsi="Times New Roman" w:eastAsia="宋体" w:cs="Times New Roman"/>
      <w:b/>
      <w:bCs/>
      <w:sz w:val="32"/>
      <w:szCs w:val="32"/>
    </w:rPr>
  </w:style>
  <w:style w:type="character" w:customStyle="1" w:styleId="26">
    <w:name w:val="批注文字 Char"/>
    <w:basedOn w:val="13"/>
    <w:link w:val="5"/>
    <w:semiHidden/>
    <w:qFormat/>
    <w:uiPriority w:val="0"/>
    <w:rPr>
      <w:kern w:val="2"/>
      <w:sz w:val="21"/>
      <w:szCs w:val="24"/>
    </w:rPr>
  </w:style>
  <w:style w:type="character" w:customStyle="1" w:styleId="27">
    <w:name w:val="批注主题 Char"/>
    <w:basedOn w:val="26"/>
    <w:link w:val="4"/>
    <w:semiHidden/>
    <w:qFormat/>
    <w:uiPriority w:val="0"/>
    <w:rPr>
      <w:b/>
      <w:bCs/>
      <w:kern w:val="2"/>
      <w:sz w:val="21"/>
      <w:szCs w:val="24"/>
    </w:rPr>
  </w:style>
  <w:style w:type="character" w:customStyle="1" w:styleId="28">
    <w:name w:val="批注框文本 Char"/>
    <w:basedOn w:val="13"/>
    <w:link w:val="8"/>
    <w:semiHidden/>
    <w:qFormat/>
    <w:uiPriority w:val="0"/>
    <w:rPr>
      <w:kern w:val="2"/>
      <w:sz w:val="18"/>
      <w:szCs w:val="18"/>
    </w:rPr>
  </w:style>
  <w:style w:type="character" w:customStyle="1" w:styleId="29">
    <w:name w:val="文档结构图 Char"/>
    <w:basedOn w:val="13"/>
    <w:link w:val="6"/>
    <w:semiHidden/>
    <w:qFormat/>
    <w:uiPriority w:val="0"/>
    <w:rPr>
      <w:rFonts w:ascii="宋体"/>
      <w:kern w:val="2"/>
      <w:sz w:val="18"/>
      <w:szCs w:val="18"/>
    </w:rPr>
  </w:style>
  <w:style w:type="paragraph" w:customStyle="1" w:styleId="30">
    <w:name w:val="列出段落1"/>
    <w:basedOn w:val="1"/>
    <w:link w:val="31"/>
    <w:qFormat/>
    <w:uiPriority w:val="0"/>
    <w:pPr>
      <w:spacing w:before="80" w:after="40"/>
      <w:ind w:firstLine="420" w:firstLineChars="200"/>
    </w:pPr>
    <w:rPr>
      <w:rFonts w:ascii="Futura Bk" w:hAnsi="Futura Bk"/>
      <w:sz w:val="18"/>
      <w:szCs w:val="21"/>
    </w:rPr>
  </w:style>
  <w:style w:type="character" w:customStyle="1" w:styleId="31">
    <w:name w:val="列出段落 Char"/>
    <w:link w:val="30"/>
    <w:qFormat/>
    <w:uiPriority w:val="0"/>
    <w:rPr>
      <w:rFonts w:ascii="Futura Bk" w:hAnsi="Futura Bk"/>
      <w:kern w:val="2"/>
      <w:sz w:val="1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16</Pages>
  <Words>1766</Words>
  <Characters>10072</Characters>
  <Lines>83</Lines>
  <Paragraphs>23</Paragraphs>
  <ScaleCrop>false</ScaleCrop>
  <LinksUpToDate>false</LinksUpToDate>
  <CharactersWithSpaces>11815</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2017-07-01T09:34:00Z</dcterms:created>
  <dc:creator>张唯</dc:creator>
  <cp:lastModifiedBy>张晋</cp:lastModifiedBy>
  <cp:lastPrinted>2016-04-21T15:04:00Z</cp:lastPrinted>
  <dcterms:modified xsi:type="dcterms:W3CDTF">2017-07-01T09:37:54Z</dcterms:modified>
  <dc:title>_x0001_</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y fmtid="{D5CDD505-2E9C-101B-9397-08002B2CF9AE}" pid="3" name="_new_ms_pID_72543">
    <vt:lpwstr>(4)p5hqcQZTLFqOIAOfb/R/QsY2hEW3KtXozf9gh9xxTIrvY26Ti5P9WHOyZYneFCrZ+MES1UDc
aRFbxbai5rYdDlTU7tCRo8L1y77LmGzbfhSE5RKxMdybTKATqGwp11Fei2lKkUth9788v3AG
R/t+NjYUKfrQdqa2DwDrX8YgM37Lpzps2DcI+XrZf3GGQhY/ZvWnU1GWFpfhp+7Br9uVPp0z
6nAhVKcy6vM7SHPyQU</vt:lpwstr>
  </property>
  <property fmtid="{D5CDD505-2E9C-101B-9397-08002B2CF9AE}" pid="4" name="_new_ms_pID_725431">
    <vt:lpwstr>6iWgsPulLHiX+0EWT+/kQX+RfjsiCIPoDdojFwi1k/wE9phtXR43Ow
a6wNN8D2mLDGcWPRg3ijGEcAZ/gLAQkdlneAd4XKf0YMz+FlpDOAqXb1kl+F1eUvvIiD8NSO
7ly8T5sjzB9CCQ2fbWVzdCy8pIg6QrfosR7UHAXAmuA9IvoudQR+ZkA/Rh4pOj3NwOrlOY7X
S3SCQvqXk5apMdvhVIvJmJ99tqqddtHowfiw</vt:lpwstr>
  </property>
  <property fmtid="{D5CDD505-2E9C-101B-9397-08002B2CF9AE}" pid="5" name="_new_ms_pID_725432">
    <vt:lpwstr>yqYdjmD/6L1I7RBl4scOYLHvkY11Byg2nMoP
Rh/Y93t7Yz0HOVwWNNWfDQ/v+X2dJoxCNnbyPrQ9JzqxoKthULpjOyUHI9nVTdauiRwW05Tq
z3zLxcHtNr24sEKNkmmlONiwHBwVXL2bg47GCIIASat67JcVH/xFAAKa6EfvEp8XTxRcgQvr
JAPEHlL+kpp0cFls6K/FZ8oo3lMe1ZxC6LtaQFWHag1+yIYRbP7XUg</vt:lpwstr>
  </property>
  <property fmtid="{D5CDD505-2E9C-101B-9397-08002B2CF9AE}" pid="6" name="_new_ms_pID_725433">
    <vt:lpwstr>cVPIU52USjeNHW19L9
8Ciw3g==</vt:lpwstr>
  </property>
  <property fmtid="{D5CDD505-2E9C-101B-9397-08002B2CF9AE}" pid="7" name="sflag">
    <vt:lpwstr>1429862963</vt:lpwstr>
  </property>
</Properties>
</file>