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b/>
          <w:color w:val="000000"/>
          <w:sz w:val="48"/>
          <w:szCs w:val="48"/>
        </w:rPr>
      </w:pPr>
      <w:bookmarkStart w:id="0" w:name="_Toc144974834"/>
      <w:bookmarkStart w:id="1" w:name="_Toc152045772"/>
      <w:bookmarkStart w:id="2" w:name="_Toc152042554"/>
      <w:bookmarkStart w:id="3" w:name="_Toc357086141"/>
      <w:r>
        <w:rPr>
          <w:rFonts w:hint="eastAsia" w:ascii="宋体"/>
          <w:b/>
          <w:color w:val="000000"/>
          <w:sz w:val="48"/>
          <w:szCs w:val="48"/>
        </w:rPr>
        <w:t>设备购置技术标书审批表</w:t>
      </w:r>
    </w:p>
    <w:p>
      <w:pPr>
        <w:wordWrap w:val="0"/>
        <w:ind w:right="150"/>
        <w:jc w:val="right"/>
        <w:rPr>
          <w:rFonts w:ascii="宋体"/>
          <w:color w:val="000000"/>
          <w:sz w:val="32"/>
          <w:szCs w:val="32"/>
        </w:rPr>
      </w:pPr>
      <w:r>
        <w:rPr>
          <w:rFonts w:hint="eastAsia" w:ascii="宋体"/>
          <w:color w:val="000000"/>
          <w:sz w:val="32"/>
          <w:szCs w:val="32"/>
        </w:rPr>
        <w:t xml:space="preserve">  201</w:t>
      </w:r>
      <w:r>
        <w:rPr>
          <w:rFonts w:ascii="宋体"/>
          <w:color w:val="000000"/>
          <w:sz w:val="32"/>
          <w:szCs w:val="32"/>
        </w:rPr>
        <w:t>7</w:t>
      </w:r>
      <w:r>
        <w:rPr>
          <w:rFonts w:hint="eastAsia" w:ascii="宋体"/>
          <w:color w:val="000000"/>
          <w:sz w:val="32"/>
          <w:szCs w:val="32"/>
        </w:rPr>
        <w:t>年</w:t>
      </w:r>
      <w:r>
        <w:rPr>
          <w:rFonts w:hint="eastAsia" w:ascii="宋体"/>
          <w:color w:val="000000"/>
          <w:sz w:val="32"/>
          <w:szCs w:val="32"/>
          <w:lang w:val="en-US" w:eastAsia="zh-CN"/>
        </w:rPr>
        <w:t>7</w:t>
      </w:r>
      <w:r>
        <w:rPr>
          <w:rFonts w:hint="eastAsia" w:ascii="宋体"/>
          <w:color w:val="000000"/>
          <w:sz w:val="32"/>
          <w:szCs w:val="32"/>
        </w:rPr>
        <w:t>月</w:t>
      </w:r>
      <w:r>
        <w:rPr>
          <w:rFonts w:hint="eastAsia" w:ascii="宋体"/>
          <w:color w:val="000000"/>
          <w:sz w:val="32"/>
          <w:szCs w:val="32"/>
          <w:lang w:val="en-US" w:eastAsia="zh-CN"/>
        </w:rPr>
        <w:t>10</w:t>
      </w:r>
      <w:bookmarkStart w:id="4" w:name="_GoBack"/>
      <w:bookmarkEnd w:id="4"/>
      <w:r>
        <w:rPr>
          <w:rFonts w:hint="eastAsia" w:ascii="宋体"/>
          <w:color w:val="000000"/>
          <w:sz w:val="32"/>
          <w:szCs w:val="32"/>
        </w:rPr>
        <w:t>日</w:t>
      </w:r>
    </w:p>
    <w:tbl>
      <w:tblPr>
        <w:tblStyle w:val="12"/>
        <w:tblW w:w="9593"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58"/>
        <w:gridCol w:w="1422"/>
        <w:gridCol w:w="2788"/>
        <w:gridCol w:w="1996"/>
        <w:gridCol w:w="23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335" w:hRule="atLeast"/>
          <w:jc w:val="center"/>
        </w:trPr>
        <w:tc>
          <w:tcPr>
            <w:tcW w:w="2480" w:type="dxa"/>
            <w:gridSpan w:val="2"/>
            <w:vAlign w:val="center"/>
          </w:tcPr>
          <w:p>
            <w:pPr>
              <w:adjustRightInd w:val="0"/>
              <w:jc w:val="center"/>
              <w:rPr>
                <w:rFonts w:ascii="宋体"/>
                <w:color w:val="000000"/>
                <w:sz w:val="24"/>
              </w:rPr>
            </w:pPr>
            <w:r>
              <w:rPr>
                <w:rFonts w:hint="eastAsia" w:ascii="宋体"/>
                <w:color w:val="000000"/>
                <w:sz w:val="24"/>
              </w:rPr>
              <w:t>设备名称</w:t>
            </w:r>
          </w:p>
        </w:tc>
        <w:tc>
          <w:tcPr>
            <w:tcW w:w="2788" w:type="dxa"/>
            <w:vAlign w:val="center"/>
          </w:tcPr>
          <w:p>
            <w:pPr>
              <w:adjustRightInd w:val="0"/>
              <w:jc w:val="center"/>
              <w:rPr>
                <w:rFonts w:ascii="宋体"/>
                <w:color w:val="000000"/>
                <w:sz w:val="24"/>
              </w:rPr>
            </w:pPr>
            <w:r>
              <w:rPr>
                <w:rFonts w:hint="eastAsia" w:ascii="宋体"/>
                <w:color w:val="000000"/>
                <w:sz w:val="24"/>
              </w:rPr>
              <w:t>矿用本安型音箱</w:t>
            </w:r>
          </w:p>
        </w:tc>
        <w:tc>
          <w:tcPr>
            <w:tcW w:w="1996" w:type="dxa"/>
            <w:vAlign w:val="center"/>
          </w:tcPr>
          <w:p>
            <w:pPr>
              <w:adjustRightInd w:val="0"/>
              <w:jc w:val="center"/>
              <w:rPr>
                <w:rFonts w:ascii="宋体"/>
                <w:color w:val="000000"/>
                <w:sz w:val="24"/>
              </w:rPr>
            </w:pPr>
            <w:r>
              <w:rPr>
                <w:rFonts w:hint="eastAsia" w:ascii="宋体"/>
                <w:color w:val="000000"/>
                <w:sz w:val="24"/>
              </w:rPr>
              <w:t>购置数量</w:t>
            </w:r>
          </w:p>
        </w:tc>
        <w:tc>
          <w:tcPr>
            <w:tcW w:w="2329" w:type="dxa"/>
            <w:vAlign w:val="center"/>
          </w:tcPr>
          <w:p>
            <w:pPr>
              <w:adjustRightInd w:val="0"/>
              <w:jc w:val="center"/>
              <w:rPr>
                <w:rFonts w:ascii="宋体"/>
                <w:color w:val="000000"/>
                <w:sz w:val="24"/>
              </w:rPr>
            </w:pPr>
            <w:r>
              <w:rPr>
                <w:rFonts w:hint="eastAsia" w:ascii="宋体"/>
                <w:color w:val="000000"/>
                <w:sz w:val="24"/>
                <w:lang w:val="en-US" w:eastAsia="zh-CN"/>
              </w:rPr>
              <w:t>64</w:t>
            </w:r>
            <w:r>
              <w:rPr>
                <w:rFonts w:ascii="宋体"/>
                <w:color w:val="000000"/>
                <w:sz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92" w:hRule="atLeast"/>
          <w:jc w:val="center"/>
        </w:trPr>
        <w:tc>
          <w:tcPr>
            <w:tcW w:w="2480" w:type="dxa"/>
            <w:gridSpan w:val="2"/>
            <w:vAlign w:val="center"/>
          </w:tcPr>
          <w:p>
            <w:pPr>
              <w:adjustRightInd w:val="0"/>
              <w:jc w:val="center"/>
              <w:rPr>
                <w:rFonts w:ascii="宋体"/>
                <w:color w:val="000000"/>
                <w:sz w:val="24"/>
              </w:rPr>
            </w:pPr>
            <w:r>
              <w:rPr>
                <w:rFonts w:hint="eastAsia" w:ascii="宋体"/>
                <w:color w:val="000000"/>
                <w:sz w:val="24"/>
              </w:rPr>
              <w:t>计划来源</w:t>
            </w:r>
          </w:p>
        </w:tc>
        <w:tc>
          <w:tcPr>
            <w:tcW w:w="7113" w:type="dxa"/>
            <w:gridSpan w:val="3"/>
            <w:vAlign w:val="center"/>
          </w:tcPr>
          <w:p>
            <w:pPr>
              <w:adjustRightInd w:val="0"/>
              <w:jc w:val="center"/>
              <w:rPr>
                <w:rFonts w:asci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56" w:hRule="atLeast"/>
          <w:jc w:val="center"/>
        </w:trPr>
        <w:tc>
          <w:tcPr>
            <w:tcW w:w="2480" w:type="dxa"/>
            <w:gridSpan w:val="2"/>
            <w:vAlign w:val="center"/>
          </w:tcPr>
          <w:p>
            <w:pPr>
              <w:jc w:val="center"/>
              <w:rPr>
                <w:rFonts w:ascii="宋体"/>
                <w:color w:val="000000"/>
                <w:sz w:val="24"/>
              </w:rPr>
            </w:pPr>
            <w:r>
              <w:rPr>
                <w:rFonts w:hint="eastAsia" w:ascii="宋体"/>
                <w:color w:val="000000"/>
                <w:sz w:val="24"/>
              </w:rPr>
              <w:t>主要技术参数</w:t>
            </w:r>
          </w:p>
        </w:tc>
        <w:tc>
          <w:tcPr>
            <w:tcW w:w="7113" w:type="dxa"/>
            <w:gridSpan w:val="3"/>
            <w:vAlign w:val="center"/>
          </w:tcPr>
          <w:p>
            <w:pPr>
              <w:rPr>
                <w:rFonts w:ascii="宋体"/>
                <w:sz w:val="24"/>
              </w:rPr>
            </w:pPr>
            <w:r>
              <w:rPr>
                <w:rFonts w:ascii="宋体"/>
                <w:sz w:val="24"/>
              </w:rPr>
              <w:t>1.</w:t>
            </w:r>
            <w:r>
              <w:rPr>
                <w:rFonts w:hint="eastAsia" w:ascii="宋体"/>
                <w:sz w:val="24"/>
              </w:rPr>
              <w:t>上湾煤矿升级矿用本安型音箱，覆盖范围主要包括辅运大巷、变电所、水泵房、配电点、排水点、避难硐室、救生舱等。</w:t>
            </w:r>
          </w:p>
          <w:p>
            <w:pPr>
              <w:rPr>
                <w:rFonts w:ascii="宋体"/>
                <w:sz w:val="24"/>
              </w:rPr>
            </w:pPr>
            <w:r>
              <w:rPr>
                <w:rFonts w:ascii="宋体"/>
                <w:sz w:val="24"/>
              </w:rPr>
              <w:t>2.</w:t>
            </w:r>
            <w:r>
              <w:rPr>
                <w:rFonts w:hint="eastAsia"/>
              </w:rPr>
              <w:t xml:space="preserve"> </w:t>
            </w:r>
            <w:r>
              <w:rPr>
                <w:rFonts w:hint="eastAsia" w:ascii="宋体"/>
                <w:sz w:val="24"/>
              </w:rPr>
              <w:t>额定工作电压：直流21V (独立供电)包含与综合分站兼容的配套供电设备；</w:t>
            </w:r>
          </w:p>
          <w:p>
            <w:pPr>
              <w:rPr>
                <w:rFonts w:ascii="宋体"/>
                <w:sz w:val="24"/>
              </w:rPr>
            </w:pPr>
            <w:r>
              <w:rPr>
                <w:rFonts w:ascii="宋体"/>
                <w:sz w:val="24"/>
              </w:rPr>
              <w:t>3.</w:t>
            </w:r>
            <w:r>
              <w:rPr>
                <w:rFonts w:hint="eastAsia"/>
              </w:rPr>
              <w:t xml:space="preserve"> </w:t>
            </w:r>
            <w:r>
              <w:rPr>
                <w:rFonts w:hint="eastAsia" w:ascii="宋体"/>
                <w:sz w:val="24"/>
              </w:rPr>
              <w:t>工作电流：不大于800mA；</w:t>
            </w:r>
          </w:p>
          <w:p>
            <w:pPr>
              <w:rPr>
                <w:rFonts w:ascii="宋体"/>
                <w:sz w:val="24"/>
              </w:rPr>
            </w:pPr>
            <w:r>
              <w:rPr>
                <w:rFonts w:ascii="宋体"/>
                <w:sz w:val="24"/>
              </w:rPr>
              <w:t>4.</w:t>
            </w:r>
            <w:r>
              <w:rPr>
                <w:rFonts w:hint="eastAsia"/>
              </w:rPr>
              <w:t xml:space="preserve"> </w:t>
            </w:r>
            <w:r>
              <w:rPr>
                <w:rFonts w:hint="eastAsia" w:ascii="宋体"/>
                <w:sz w:val="24"/>
              </w:rPr>
              <w:t>物理接口：具备两个以上以太网电口、两个以上以太网光口；</w:t>
            </w:r>
          </w:p>
          <w:p>
            <w:pPr>
              <w:rPr>
                <w:rFonts w:ascii="宋体"/>
                <w:sz w:val="24"/>
              </w:rPr>
            </w:pPr>
            <w:r>
              <w:rPr>
                <w:rFonts w:ascii="宋体"/>
                <w:sz w:val="24"/>
              </w:rPr>
              <w:t>5.</w:t>
            </w:r>
            <w:r>
              <w:rPr>
                <w:rFonts w:hint="eastAsia"/>
              </w:rPr>
              <w:t xml:space="preserve"> </w:t>
            </w:r>
            <w:r>
              <w:rPr>
                <w:rFonts w:hint="eastAsia" w:ascii="宋体"/>
                <w:sz w:val="24"/>
              </w:rPr>
              <w:t>显示屏功能：具备显示屏，可现实终端实时状态及时间（提供实物图）</w:t>
            </w:r>
          </w:p>
          <w:p>
            <w:pPr>
              <w:rPr>
                <w:rFonts w:ascii="宋体"/>
                <w:sz w:val="24"/>
              </w:rPr>
            </w:pPr>
            <w:r>
              <w:rPr>
                <w:rFonts w:ascii="宋体"/>
                <w:sz w:val="24"/>
              </w:rPr>
              <w:t>6.</w:t>
            </w:r>
            <w:r>
              <w:rPr>
                <w:rFonts w:hint="eastAsia"/>
              </w:rPr>
              <w:t xml:space="preserve"> </w:t>
            </w:r>
            <w:r>
              <w:rPr>
                <w:rFonts w:hint="eastAsia" w:ascii="宋体"/>
                <w:sz w:val="24"/>
              </w:rPr>
              <w:t>采用双喇叭，输出功率：10W*2（THD=10%）RMS</w:t>
            </w:r>
          </w:p>
          <w:p>
            <w:pPr>
              <w:rPr>
                <w:rFonts w:ascii="宋体"/>
                <w:sz w:val="24"/>
              </w:rPr>
            </w:pPr>
            <w:r>
              <w:rPr>
                <w:rFonts w:ascii="宋体"/>
                <w:sz w:val="24"/>
              </w:rPr>
              <w:t xml:space="preserve">7. </w:t>
            </w:r>
            <w:r>
              <w:rPr>
                <w:rFonts w:hint="eastAsia" w:ascii="宋体"/>
                <w:sz w:val="24"/>
              </w:rPr>
              <w:t>响度：1米范围内不低于100dB，失真度：≤10％(1kHz)</w:t>
            </w:r>
          </w:p>
          <w:p>
            <w:pPr>
              <w:rPr>
                <w:rFonts w:hint="eastAsia" w:ascii="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41" w:hRule="atLeast"/>
          <w:jc w:val="center"/>
        </w:trPr>
        <w:tc>
          <w:tcPr>
            <w:tcW w:w="2480" w:type="dxa"/>
            <w:gridSpan w:val="2"/>
            <w:vAlign w:val="center"/>
          </w:tcPr>
          <w:p>
            <w:pPr>
              <w:jc w:val="center"/>
              <w:rPr>
                <w:rFonts w:ascii="宋体"/>
                <w:color w:val="000000"/>
                <w:sz w:val="24"/>
              </w:rPr>
            </w:pPr>
            <w:r>
              <w:rPr>
                <w:rFonts w:hint="eastAsia" w:ascii="宋体"/>
                <w:color w:val="000000"/>
                <w:sz w:val="24"/>
              </w:rPr>
              <w:t>项目提报部门</w:t>
            </w:r>
          </w:p>
        </w:tc>
        <w:tc>
          <w:tcPr>
            <w:tcW w:w="7113" w:type="dxa"/>
            <w:gridSpan w:val="3"/>
            <w:vAlign w:val="center"/>
          </w:tcPr>
          <w:p>
            <w:pPr>
              <w:jc w:val="center"/>
              <w:rPr>
                <w:rFonts w:asci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4" w:hRule="atLeast"/>
          <w:jc w:val="center"/>
        </w:trPr>
        <w:tc>
          <w:tcPr>
            <w:tcW w:w="1058" w:type="dxa"/>
            <w:vMerge w:val="restart"/>
            <w:vAlign w:val="center"/>
          </w:tcPr>
          <w:p>
            <w:pPr>
              <w:jc w:val="center"/>
              <w:rPr>
                <w:rFonts w:ascii="宋体"/>
                <w:color w:val="000000"/>
                <w:sz w:val="24"/>
              </w:rPr>
            </w:pPr>
            <w:r>
              <w:rPr>
                <w:rFonts w:hint="eastAsia" w:ascii="宋体"/>
                <w:color w:val="000000"/>
                <w:sz w:val="24"/>
              </w:rPr>
              <w:t>机电管理部</w:t>
            </w:r>
          </w:p>
        </w:tc>
        <w:tc>
          <w:tcPr>
            <w:tcW w:w="1422" w:type="dxa"/>
            <w:vAlign w:val="center"/>
          </w:tcPr>
          <w:p>
            <w:pPr>
              <w:jc w:val="center"/>
              <w:rPr>
                <w:rFonts w:ascii="宋体"/>
                <w:color w:val="000000"/>
                <w:sz w:val="24"/>
              </w:rPr>
            </w:pPr>
            <w:r>
              <w:rPr>
                <w:rFonts w:hint="eastAsia" w:ascii="宋体"/>
                <w:color w:val="000000"/>
                <w:sz w:val="24"/>
              </w:rPr>
              <w:t>技术办</w:t>
            </w:r>
          </w:p>
        </w:tc>
        <w:tc>
          <w:tcPr>
            <w:tcW w:w="7113" w:type="dxa"/>
            <w:gridSpan w:val="3"/>
            <w:vAlign w:val="center"/>
          </w:tcPr>
          <w:p>
            <w:pPr>
              <w:jc w:val="center"/>
              <w:rPr>
                <w:rFonts w:ascii="宋体"/>
                <w:color w:val="00000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790" w:hRule="atLeast"/>
          <w:jc w:val="center"/>
        </w:trPr>
        <w:tc>
          <w:tcPr>
            <w:tcW w:w="1058" w:type="dxa"/>
            <w:vMerge w:val="continue"/>
            <w:vAlign w:val="center"/>
          </w:tcPr>
          <w:p/>
        </w:tc>
        <w:tc>
          <w:tcPr>
            <w:tcW w:w="1422" w:type="dxa"/>
            <w:vAlign w:val="center"/>
          </w:tcPr>
          <w:p>
            <w:pPr>
              <w:jc w:val="center"/>
              <w:rPr>
                <w:rFonts w:ascii="宋体"/>
                <w:color w:val="000000"/>
                <w:sz w:val="24"/>
              </w:rPr>
            </w:pPr>
            <w:r>
              <w:rPr>
                <w:rFonts w:hint="eastAsia" w:ascii="宋体"/>
                <w:color w:val="000000"/>
                <w:sz w:val="24"/>
              </w:rPr>
              <w:t>分管领导</w:t>
            </w:r>
          </w:p>
        </w:tc>
        <w:tc>
          <w:tcPr>
            <w:tcW w:w="7113" w:type="dxa"/>
            <w:gridSpan w:val="3"/>
            <w:vAlign w:val="center"/>
          </w:tcPr>
          <w:p>
            <w:pPr>
              <w:jc w:val="center"/>
              <w:rPr>
                <w:rFonts w:ascii="宋体"/>
                <w:color w:val="000000"/>
                <w:sz w:val="24"/>
              </w:rPr>
            </w:pPr>
          </w:p>
        </w:tc>
      </w:tr>
    </w:tbl>
    <w:p>
      <w:pPr>
        <w:pStyle w:val="2"/>
        <w:spacing w:before="120" w:after="120" w:line="400" w:lineRule="exact"/>
        <w:jc w:val="center"/>
        <w:rPr>
          <w:rFonts w:ascii="黑体" w:eastAsia="黑体"/>
          <w:b w:val="0"/>
          <w:bCs w:val="0"/>
          <w:sz w:val="32"/>
        </w:rPr>
      </w:pPr>
      <w:r>
        <w:rPr>
          <w:rFonts w:hint="eastAsia" w:ascii="黑体" w:eastAsia="黑体"/>
          <w:b w:val="0"/>
          <w:bCs w:val="0"/>
          <w:sz w:val="32"/>
        </w:rPr>
        <w:t xml:space="preserve"> </w:t>
      </w:r>
      <w:bookmarkEnd w:id="0"/>
      <w:bookmarkEnd w:id="1"/>
      <w:bookmarkEnd w:id="2"/>
      <w:r>
        <w:rPr>
          <w:rFonts w:hint="eastAsia" w:ascii="黑体" w:eastAsia="黑体"/>
          <w:b w:val="0"/>
          <w:bCs w:val="0"/>
          <w:sz w:val="32"/>
        </w:rPr>
        <w:t>设备技术要求</w:t>
      </w:r>
      <w:bookmarkEnd w:id="3"/>
    </w:p>
    <w:p>
      <w:pPr>
        <w:spacing w:line="400" w:lineRule="exact"/>
        <w:rPr>
          <w:rFonts w:ascii="宋体"/>
          <w:sz w:val="24"/>
        </w:rPr>
      </w:pPr>
    </w:p>
    <w:p>
      <w:pPr>
        <w:tabs>
          <w:tab w:val="left" w:pos="2340"/>
        </w:tabs>
        <w:spacing w:line="480" w:lineRule="auto"/>
        <w:ind w:left="630" w:leftChars="300" w:firstLine="240" w:firstLineChars="100"/>
        <w:jc w:val="left"/>
        <w:rPr>
          <w:rFonts w:ascii="宋体"/>
          <w:sz w:val="24"/>
        </w:rPr>
      </w:pPr>
      <w:r>
        <w:rPr>
          <w:rFonts w:hint="eastAsia" w:ascii="宋体"/>
          <w:sz w:val="24"/>
        </w:rPr>
        <w:t>第一节  供货范围、技术规格、参数与要求</w:t>
      </w:r>
    </w:p>
    <w:p>
      <w:pPr>
        <w:tabs>
          <w:tab w:val="left" w:pos="2340"/>
        </w:tabs>
        <w:spacing w:line="480" w:lineRule="auto"/>
        <w:ind w:left="630" w:leftChars="300" w:firstLine="240" w:firstLineChars="100"/>
        <w:jc w:val="left"/>
        <w:rPr>
          <w:rFonts w:ascii="宋体"/>
          <w:sz w:val="24"/>
        </w:rPr>
      </w:pPr>
      <w:r>
        <w:rPr>
          <w:rFonts w:hint="eastAsia" w:ascii="宋体"/>
          <w:sz w:val="24"/>
        </w:rPr>
        <w:t>第二节  备件和工具</w:t>
      </w:r>
    </w:p>
    <w:p>
      <w:pPr>
        <w:tabs>
          <w:tab w:val="left" w:pos="2340"/>
        </w:tabs>
        <w:spacing w:line="480" w:lineRule="auto"/>
        <w:ind w:left="630" w:leftChars="300" w:firstLine="240" w:firstLineChars="100"/>
        <w:jc w:val="left"/>
        <w:rPr>
          <w:rFonts w:ascii="宋体"/>
          <w:sz w:val="24"/>
        </w:rPr>
      </w:pPr>
      <w:r>
        <w:rPr>
          <w:rFonts w:hint="eastAsia" w:ascii="宋体"/>
          <w:sz w:val="24"/>
        </w:rPr>
        <w:t>第三节  设备出厂前检验</w:t>
      </w:r>
    </w:p>
    <w:p>
      <w:pPr>
        <w:tabs>
          <w:tab w:val="left" w:pos="2340"/>
        </w:tabs>
        <w:spacing w:line="480" w:lineRule="auto"/>
        <w:ind w:left="630" w:leftChars="300" w:firstLine="240" w:firstLineChars="100"/>
        <w:jc w:val="left"/>
        <w:rPr>
          <w:rFonts w:ascii="宋体"/>
          <w:sz w:val="24"/>
        </w:rPr>
      </w:pPr>
      <w:r>
        <w:rPr>
          <w:rFonts w:hint="eastAsia" w:ascii="宋体"/>
          <w:sz w:val="24"/>
        </w:rPr>
        <w:t>第四节  技术服务</w:t>
      </w:r>
    </w:p>
    <w:p>
      <w:pPr>
        <w:tabs>
          <w:tab w:val="left" w:pos="2340"/>
        </w:tabs>
        <w:spacing w:line="480" w:lineRule="auto"/>
        <w:ind w:left="630" w:leftChars="300" w:firstLine="240" w:firstLineChars="100"/>
        <w:jc w:val="left"/>
        <w:rPr>
          <w:rFonts w:ascii="宋体"/>
          <w:sz w:val="24"/>
        </w:rPr>
      </w:pPr>
      <w:r>
        <w:rPr>
          <w:rFonts w:hint="eastAsia" w:ascii="宋体"/>
          <w:sz w:val="24"/>
        </w:rPr>
        <w:t>第五节  安装、检验、调试、试运行及验收</w:t>
      </w:r>
    </w:p>
    <w:p>
      <w:pPr>
        <w:tabs>
          <w:tab w:val="left" w:pos="2340"/>
        </w:tabs>
        <w:spacing w:line="480" w:lineRule="auto"/>
        <w:ind w:left="630" w:leftChars="300" w:firstLine="240" w:firstLineChars="100"/>
        <w:jc w:val="left"/>
        <w:rPr>
          <w:rFonts w:ascii="宋体"/>
          <w:sz w:val="24"/>
        </w:rPr>
      </w:pPr>
      <w:r>
        <w:rPr>
          <w:rFonts w:hint="eastAsia" w:ascii="宋体"/>
          <w:sz w:val="24"/>
        </w:rPr>
        <w:t>第六节  质量保证</w:t>
      </w:r>
    </w:p>
    <w:p>
      <w:pPr>
        <w:tabs>
          <w:tab w:val="left" w:pos="2340"/>
        </w:tabs>
        <w:spacing w:line="480" w:lineRule="auto"/>
        <w:ind w:left="630" w:leftChars="300" w:firstLine="240" w:firstLineChars="100"/>
        <w:jc w:val="left"/>
        <w:rPr>
          <w:rFonts w:ascii="宋体"/>
          <w:sz w:val="24"/>
        </w:rPr>
      </w:pPr>
      <w:r>
        <w:rPr>
          <w:rFonts w:hint="eastAsia" w:ascii="宋体"/>
          <w:sz w:val="24"/>
        </w:rPr>
        <w:t>第七节  技术资料和图纸</w:t>
      </w:r>
    </w:p>
    <w:p>
      <w:pPr>
        <w:tabs>
          <w:tab w:val="left" w:pos="2340"/>
        </w:tabs>
        <w:spacing w:line="480" w:lineRule="auto"/>
        <w:ind w:left="630" w:leftChars="300" w:firstLine="240" w:firstLineChars="100"/>
        <w:jc w:val="left"/>
        <w:rPr>
          <w:rFonts w:ascii="宋体"/>
          <w:sz w:val="24"/>
        </w:rPr>
      </w:pPr>
      <w:r>
        <w:rPr>
          <w:rFonts w:hint="eastAsia" w:ascii="宋体"/>
          <w:sz w:val="24"/>
        </w:rPr>
        <w:t>第八节  标准</w:t>
      </w:r>
    </w:p>
    <w:p>
      <w:pPr>
        <w:adjustRightInd w:val="0"/>
        <w:snapToGrid w:val="0"/>
        <w:spacing w:line="360" w:lineRule="auto"/>
        <w:rPr>
          <w:rFonts w:ascii="宋体"/>
          <w:sz w:val="24"/>
        </w:rPr>
      </w:pPr>
    </w:p>
    <w:p>
      <w:pPr>
        <w:adjustRightInd w:val="0"/>
        <w:snapToGrid w:val="0"/>
        <w:spacing w:line="360" w:lineRule="auto"/>
        <w:jc w:val="center"/>
        <w:rPr>
          <w:rFonts w:ascii="宋体"/>
          <w:sz w:val="24"/>
        </w:rPr>
      </w:pPr>
    </w:p>
    <w:p>
      <w:pPr>
        <w:spacing w:line="360" w:lineRule="auto"/>
        <w:jc w:val="center"/>
        <w:rPr>
          <w:rFonts w:ascii="宋体"/>
          <w:b/>
          <w:sz w:val="24"/>
        </w:rPr>
      </w:pPr>
      <w:r>
        <w:rPr>
          <w:rFonts w:hint="eastAsia" w:ascii="宋体"/>
          <w:sz w:val="24"/>
        </w:rPr>
        <w:br w:type="page"/>
      </w:r>
      <w:r>
        <w:rPr>
          <w:rFonts w:hint="eastAsia" w:ascii="宋体"/>
          <w:b/>
          <w:sz w:val="24"/>
        </w:rPr>
        <w:t>第一节 供货范围、技术规格、参数与要求</w:t>
      </w:r>
    </w:p>
    <w:p>
      <w:pPr>
        <w:spacing w:before="240" w:after="240" w:line="360" w:lineRule="auto"/>
        <w:rPr>
          <w:rFonts w:ascii="宋体"/>
          <w:b/>
          <w:sz w:val="24"/>
        </w:rPr>
      </w:pPr>
      <w:r>
        <w:rPr>
          <w:rFonts w:hint="eastAsia" w:ascii="宋体"/>
          <w:b/>
          <w:sz w:val="24"/>
        </w:rPr>
        <w:t>一、货物需求一览表</w:t>
      </w:r>
    </w:p>
    <w:tbl>
      <w:tblPr>
        <w:tblStyle w:val="12"/>
        <w:tblW w:w="90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1"/>
        <w:gridCol w:w="1722"/>
        <w:gridCol w:w="1224"/>
        <w:gridCol w:w="905"/>
        <w:gridCol w:w="621"/>
        <w:gridCol w:w="1309"/>
        <w:gridCol w:w="1134"/>
        <w:gridCol w:w="15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序号</w:t>
            </w:r>
          </w:p>
        </w:tc>
        <w:tc>
          <w:tcPr>
            <w:tcW w:w="17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名称</w:t>
            </w:r>
          </w:p>
        </w:tc>
        <w:tc>
          <w:tcPr>
            <w:tcW w:w="122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规格型号</w:t>
            </w:r>
          </w:p>
        </w:tc>
        <w:tc>
          <w:tcPr>
            <w:tcW w:w="9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单位</w:t>
            </w:r>
          </w:p>
        </w:tc>
        <w:tc>
          <w:tcPr>
            <w:tcW w:w="6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数量</w:t>
            </w:r>
          </w:p>
        </w:tc>
        <w:tc>
          <w:tcPr>
            <w:tcW w:w="13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交货时间</w:t>
            </w: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交货地点</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trHeight w:val="283" w:hRule="atLeast"/>
          <w:jc w:val="center"/>
        </w:trPr>
        <w:tc>
          <w:tcPr>
            <w:tcW w:w="54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rPr>
              <w:t>1</w:t>
            </w:r>
          </w:p>
        </w:tc>
        <w:tc>
          <w:tcPr>
            <w:tcW w:w="1722"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矿用本安型音箱（独立供电配件）</w:t>
            </w:r>
          </w:p>
        </w:tc>
        <w:tc>
          <w:tcPr>
            <w:tcW w:w="122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rPr>
              <w:t>KXY21</w:t>
            </w:r>
          </w:p>
        </w:tc>
        <w:tc>
          <w:tcPr>
            <w:tcW w:w="90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ascii="宋体"/>
              </w:rPr>
              <w:t>套</w:t>
            </w:r>
          </w:p>
        </w:tc>
        <w:tc>
          <w:tcPr>
            <w:tcW w:w="621"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hint="eastAsia" w:ascii="宋体" w:eastAsia="宋体"/>
                <w:lang w:eastAsia="zh-CN"/>
              </w:rPr>
            </w:pPr>
            <w:r>
              <w:rPr>
                <w:rFonts w:hint="eastAsia" w:ascii="宋体"/>
                <w:lang w:val="en-US" w:eastAsia="zh-CN"/>
              </w:rPr>
              <w:t>64</w:t>
            </w:r>
          </w:p>
        </w:tc>
        <w:tc>
          <w:tcPr>
            <w:tcW w:w="1309"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p>
        </w:tc>
        <w:tc>
          <w:tcPr>
            <w:tcW w:w="1134"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center"/>
              <w:rPr>
                <w:rFonts w:ascii="宋体"/>
              </w:rPr>
            </w:pPr>
            <w:r>
              <w:rPr>
                <w:rFonts w:hint="eastAsia" w:ascii="宋体"/>
              </w:rPr>
              <w:t>用户指定现场</w:t>
            </w:r>
          </w:p>
        </w:tc>
        <w:tc>
          <w:tcPr>
            <w:tcW w:w="1585" w:type="dxa"/>
            <w:tcBorders>
              <w:top w:val="single" w:color="auto" w:sz="4" w:space="0"/>
              <w:left w:val="single" w:color="auto" w:sz="4" w:space="0"/>
              <w:bottom w:val="single" w:color="auto" w:sz="4" w:space="0"/>
              <w:right w:val="single" w:color="auto" w:sz="4" w:space="0"/>
            </w:tcBorders>
            <w:vAlign w:val="center"/>
          </w:tcPr>
          <w:p>
            <w:pPr>
              <w:tabs>
                <w:tab w:val="left" w:pos="420"/>
                <w:tab w:val="left" w:pos="840"/>
                <w:tab w:val="left" w:pos="1260"/>
                <w:tab w:val="left" w:pos="1680"/>
                <w:tab w:val="left" w:pos="2100"/>
                <w:tab w:val="left" w:pos="2520"/>
                <w:tab w:val="left" w:pos="2940"/>
                <w:tab w:val="left" w:pos="3360"/>
                <w:tab w:val="left" w:pos="3780"/>
                <w:tab w:val="left" w:pos="4200"/>
                <w:tab w:val="left" w:pos="4620"/>
                <w:tab w:val="left" w:pos="5040"/>
                <w:tab w:val="left" w:pos="5460"/>
                <w:tab w:val="left" w:pos="5880"/>
              </w:tabs>
              <w:adjustRightInd w:val="0"/>
              <w:snapToGrid w:val="0"/>
              <w:spacing w:line="360" w:lineRule="auto"/>
              <w:jc w:val="left"/>
              <w:rPr>
                <w:rFonts w:ascii="宋体"/>
              </w:rPr>
            </w:pPr>
          </w:p>
        </w:tc>
      </w:tr>
    </w:tbl>
    <w:p>
      <w:pPr>
        <w:spacing w:before="240" w:after="240" w:line="360" w:lineRule="auto"/>
        <w:rPr>
          <w:rFonts w:ascii="宋体"/>
          <w:b/>
          <w:sz w:val="24"/>
        </w:rPr>
      </w:pPr>
      <w:r>
        <w:rPr>
          <w:rFonts w:hint="eastAsia" w:ascii="宋体"/>
          <w:b/>
          <w:sz w:val="24"/>
        </w:rPr>
        <w:t>二、工作环境</w:t>
      </w:r>
    </w:p>
    <w:p>
      <w:pPr>
        <w:ind w:left="0" w:leftChars="0" w:firstLine="525" w:firstLineChars="219"/>
        <w:rPr>
          <w:rFonts w:hint="eastAsia" w:ascii="宋体" w:hAnsi="宋体"/>
          <w:color w:val="000000"/>
          <w:sz w:val="24"/>
        </w:rPr>
      </w:pPr>
    </w:p>
    <w:p>
      <w:pPr>
        <w:ind w:left="0" w:leftChars="0" w:firstLine="74" w:firstLineChars="31"/>
        <w:rPr>
          <w:rFonts w:ascii="宋体" w:hAnsi="宋体"/>
          <w:sz w:val="24"/>
        </w:rPr>
      </w:pPr>
      <w:r>
        <w:rPr>
          <w:rFonts w:hint="eastAsia" w:ascii="宋体" w:hAnsi="宋体"/>
          <w:sz w:val="24"/>
        </w:rPr>
        <w:t>1.工作环境</w:t>
      </w:r>
    </w:p>
    <w:p>
      <w:pPr>
        <w:widowControl/>
        <w:adjustRightInd w:val="0"/>
        <w:spacing w:line="360" w:lineRule="auto"/>
        <w:ind w:left="0" w:leftChars="0" w:firstLine="74" w:firstLineChars="31"/>
        <w:rPr>
          <w:rFonts w:ascii="宋体" w:hAnsi="宋体"/>
          <w:color w:val="000000"/>
          <w:sz w:val="24"/>
        </w:rPr>
      </w:pPr>
      <w:r>
        <w:rPr>
          <w:rFonts w:hint="eastAsia" w:ascii="宋体" w:hAnsi="宋体"/>
          <w:color w:val="000000"/>
          <w:sz w:val="24"/>
        </w:rPr>
        <w:t>1.1 环境温度：</w:t>
      </w:r>
      <w:r>
        <w:rPr>
          <w:rFonts w:hint="eastAsia" w:ascii="宋体" w:hAnsi="宋体"/>
          <w:sz w:val="24"/>
          <w:szCs w:val="21"/>
        </w:rPr>
        <w:t>-10℃-60℃</w:t>
      </w:r>
      <w:r>
        <w:rPr>
          <w:rFonts w:hint="eastAsia" w:ascii="宋体" w:hAnsi="宋体"/>
          <w:color w:val="000000"/>
          <w:sz w:val="24"/>
        </w:rPr>
        <w:t>；</w:t>
      </w:r>
    </w:p>
    <w:p>
      <w:pPr>
        <w:widowControl/>
        <w:adjustRightInd w:val="0"/>
        <w:spacing w:line="360" w:lineRule="auto"/>
        <w:ind w:left="0" w:leftChars="0" w:firstLine="74" w:firstLineChars="31"/>
        <w:rPr>
          <w:rFonts w:ascii="宋体" w:hAnsi="宋体"/>
          <w:color w:val="000000"/>
          <w:sz w:val="24"/>
        </w:rPr>
      </w:pPr>
      <w:r>
        <w:rPr>
          <w:rFonts w:hint="eastAsia" w:ascii="宋体" w:hAnsi="宋体"/>
          <w:color w:val="000000"/>
          <w:sz w:val="24"/>
        </w:rPr>
        <w:t>1.2 平均相对湿度：不大于95%(25℃)；</w:t>
      </w:r>
    </w:p>
    <w:p>
      <w:pPr>
        <w:widowControl/>
        <w:adjustRightInd w:val="0"/>
        <w:spacing w:line="360" w:lineRule="auto"/>
        <w:ind w:left="0" w:leftChars="0" w:firstLine="74" w:firstLineChars="31"/>
        <w:rPr>
          <w:rFonts w:ascii="宋体" w:hAnsi="宋体"/>
          <w:color w:val="000000"/>
          <w:sz w:val="24"/>
        </w:rPr>
      </w:pPr>
      <w:r>
        <w:rPr>
          <w:rFonts w:hint="eastAsia" w:ascii="宋体" w:hAnsi="宋体"/>
          <w:color w:val="000000"/>
          <w:sz w:val="24"/>
        </w:rPr>
        <w:t>1.3 大气压力：80kPa-106kPa；</w:t>
      </w:r>
    </w:p>
    <w:p>
      <w:pPr>
        <w:widowControl/>
        <w:adjustRightInd w:val="0"/>
        <w:spacing w:line="360" w:lineRule="auto"/>
        <w:ind w:left="0" w:leftChars="0" w:firstLine="74" w:firstLineChars="31"/>
        <w:rPr>
          <w:rFonts w:ascii="宋体" w:hAnsi="宋体"/>
          <w:color w:val="000000"/>
          <w:sz w:val="24"/>
        </w:rPr>
      </w:pPr>
      <w:r>
        <w:rPr>
          <w:rFonts w:hint="eastAsia" w:ascii="宋体" w:hAnsi="宋体"/>
          <w:color w:val="000000"/>
          <w:sz w:val="24"/>
        </w:rPr>
        <w:t>1.4 无显著震动和冲击的地方；</w:t>
      </w:r>
    </w:p>
    <w:p>
      <w:pPr>
        <w:widowControl/>
        <w:adjustRightInd w:val="0"/>
        <w:spacing w:line="360" w:lineRule="auto"/>
        <w:ind w:left="0" w:leftChars="0" w:firstLine="74" w:firstLineChars="31"/>
        <w:rPr>
          <w:rFonts w:ascii="宋体" w:hAnsi="宋体"/>
          <w:color w:val="000000"/>
          <w:sz w:val="24"/>
        </w:rPr>
      </w:pPr>
      <w:r>
        <w:rPr>
          <w:rFonts w:hint="eastAsia" w:ascii="宋体" w:hAnsi="宋体"/>
          <w:color w:val="000000"/>
          <w:sz w:val="24"/>
        </w:rPr>
        <w:t>1.5 有煤尘瓦斯爆炸混合物但无破坏绝缘的腐浊性气体场合。</w:t>
      </w:r>
    </w:p>
    <w:p>
      <w:pPr>
        <w:ind w:left="0" w:leftChars="0" w:firstLine="74" w:firstLineChars="31"/>
        <w:rPr>
          <w:rFonts w:ascii="宋体" w:hAnsi="宋体"/>
          <w:sz w:val="24"/>
        </w:rPr>
      </w:pPr>
      <w:r>
        <w:rPr>
          <w:rFonts w:hint="eastAsia" w:ascii="宋体" w:hAnsi="宋体"/>
          <w:sz w:val="24"/>
        </w:rPr>
        <w:t>2</w:t>
      </w:r>
      <w:r>
        <w:rPr>
          <w:rFonts w:ascii="宋体" w:hAnsi="宋体"/>
          <w:sz w:val="24"/>
        </w:rPr>
        <w:t>.</w:t>
      </w:r>
      <w:r>
        <w:rPr>
          <w:rFonts w:hint="eastAsia" w:ascii="宋体" w:hAnsi="宋体"/>
          <w:sz w:val="24"/>
        </w:rPr>
        <w:t>使用条件</w:t>
      </w:r>
    </w:p>
    <w:p>
      <w:pPr>
        <w:adjustRightInd w:val="0"/>
        <w:snapToGrid w:val="0"/>
        <w:spacing w:line="360" w:lineRule="auto"/>
        <w:ind w:left="0" w:leftChars="0" w:firstLine="120" w:firstLineChars="50"/>
        <w:rPr>
          <w:rFonts w:ascii="宋体" w:hAnsi="宋体" w:cs="Arial"/>
          <w:kern w:val="0"/>
          <w:sz w:val="24"/>
        </w:rPr>
      </w:pPr>
      <w:r>
        <w:rPr>
          <w:rFonts w:hint="eastAsia" w:ascii="宋体" w:hAnsi="宋体"/>
          <w:sz w:val="24"/>
        </w:rPr>
        <w:t>*2.1 井下设备的防护等级应不低于</w:t>
      </w:r>
      <w:r>
        <w:rPr>
          <w:rFonts w:ascii="宋体" w:hAnsi="宋体"/>
          <w:sz w:val="24"/>
        </w:rPr>
        <w:t>IP</w:t>
      </w:r>
      <w:r>
        <w:rPr>
          <w:rFonts w:hint="eastAsia" w:ascii="宋体" w:hAnsi="宋体"/>
          <w:sz w:val="24"/>
          <w:lang w:val="en-US" w:eastAsia="zh-CN"/>
        </w:rPr>
        <w:t>65</w:t>
      </w:r>
      <w:r>
        <w:rPr>
          <w:rFonts w:hint="eastAsia" w:ascii="宋体" w:hAnsi="宋体"/>
          <w:sz w:val="24"/>
        </w:rPr>
        <w:t>。</w:t>
      </w:r>
    </w:p>
    <w:p>
      <w:pPr>
        <w:adjustRightInd w:val="0"/>
        <w:snapToGrid w:val="0"/>
        <w:spacing w:line="360" w:lineRule="auto"/>
        <w:ind w:left="180" w:leftChars="57" w:hanging="60" w:hangingChars="25"/>
        <w:rPr>
          <w:rFonts w:hint="eastAsia" w:ascii="宋体" w:hAnsi="宋体"/>
          <w:color w:val="000000"/>
          <w:sz w:val="24"/>
        </w:rPr>
      </w:pPr>
      <w:r>
        <w:rPr>
          <w:rFonts w:hint="eastAsia" w:ascii="宋体" w:hAnsi="宋体"/>
          <w:sz w:val="24"/>
        </w:rPr>
        <w:t>*2.3 投标方所投</w:t>
      </w:r>
      <w:r>
        <w:rPr>
          <w:rFonts w:ascii="宋体" w:hAnsi="宋体"/>
          <w:sz w:val="24"/>
        </w:rPr>
        <w:t>产品</w:t>
      </w:r>
      <w:r>
        <w:rPr>
          <w:rFonts w:hint="eastAsia" w:ascii="宋体" w:hAnsi="宋体"/>
          <w:sz w:val="24"/>
        </w:rPr>
        <w:t>必须</w:t>
      </w:r>
      <w:r>
        <w:rPr>
          <w:rFonts w:ascii="宋体" w:hAnsi="宋体"/>
          <w:sz w:val="24"/>
        </w:rPr>
        <w:t>能够</w:t>
      </w:r>
      <w:r>
        <w:rPr>
          <w:rFonts w:ascii="宋体" w:hAnsi="宋体" w:cs="Arial"/>
          <w:sz w:val="24"/>
        </w:rPr>
        <w:t>接入现有</w:t>
      </w:r>
      <w:r>
        <w:rPr>
          <w:rFonts w:ascii="宋体" w:hAnsi="宋体"/>
          <w:szCs w:val="21"/>
          <w:highlight w:val="none"/>
        </w:rPr>
        <w:t>上湾煤矿井下一网一站系统</w:t>
      </w:r>
      <w:r>
        <w:rPr>
          <w:rFonts w:hint="eastAsia" w:ascii="宋体" w:hAnsi="宋体" w:cs="Arial"/>
          <w:sz w:val="24"/>
          <w:highlight w:val="none"/>
        </w:rPr>
        <w:t>。</w:t>
      </w:r>
    </w:p>
    <w:p>
      <w:pPr>
        <w:spacing w:before="240" w:after="240" w:line="360" w:lineRule="auto"/>
        <w:rPr>
          <w:rFonts w:ascii="宋体"/>
          <w:b/>
          <w:sz w:val="24"/>
        </w:rPr>
      </w:pPr>
      <w:r>
        <w:rPr>
          <w:rFonts w:hint="eastAsia" w:ascii="宋体"/>
          <w:b/>
          <w:sz w:val="24"/>
        </w:rPr>
        <w:t>三、技术参数及要求</w:t>
      </w:r>
    </w:p>
    <w:p>
      <w:pPr>
        <w:spacing w:line="360" w:lineRule="auto"/>
        <w:rPr>
          <w:rFonts w:ascii="宋体" w:hAnsi="宋体"/>
          <w:b/>
          <w:color w:val="000000"/>
          <w:szCs w:val="21"/>
        </w:rPr>
      </w:pPr>
      <w:r>
        <w:rPr>
          <w:rFonts w:hint="eastAsia" w:ascii="宋体" w:hAnsi="宋体"/>
          <w:b/>
          <w:color w:val="000000"/>
          <w:szCs w:val="21"/>
          <w:lang w:val="en-US" w:eastAsia="zh-CN"/>
        </w:rPr>
        <w:t>1.</w:t>
      </w:r>
      <w:r>
        <w:rPr>
          <w:rFonts w:hint="eastAsia" w:ascii="宋体" w:hAnsi="宋体"/>
          <w:b/>
          <w:color w:val="000000"/>
          <w:szCs w:val="21"/>
          <w:lang w:eastAsia="zh-CN"/>
        </w:rPr>
        <w:t>技术参数</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rPr>
        <w:t>防爆型式：矿用本质安全型。</w:t>
      </w:r>
    </w:p>
    <w:p>
      <w:pPr>
        <w:spacing w:line="360" w:lineRule="auto"/>
        <w:rPr>
          <w:rFonts w:hint="eastAsia" w:ascii="宋体" w:hAnsi="宋体"/>
          <w:szCs w:val="21"/>
          <w:lang w:val="en-US" w:eastAsia="zh-CN"/>
        </w:rPr>
      </w:pPr>
      <w:r>
        <w:rPr>
          <w:rFonts w:hint="eastAsia" w:ascii="宋体" w:hAnsi="宋体"/>
          <w:szCs w:val="21"/>
        </w:rPr>
        <w:t>*</w:t>
      </w:r>
      <w:r>
        <w:rPr>
          <w:rFonts w:hint="eastAsia" w:ascii="宋体" w:hAnsi="宋体"/>
          <w:szCs w:val="21"/>
          <w:lang w:val="en-US" w:eastAsia="zh-CN"/>
        </w:rPr>
        <w:t>1</w:t>
      </w:r>
      <w:r>
        <w:rPr>
          <w:rFonts w:ascii="宋体" w:hAnsi="宋体"/>
          <w:szCs w:val="21"/>
        </w:rPr>
        <w:t>.2</w:t>
      </w:r>
      <w:r>
        <w:rPr>
          <w:rFonts w:hint="eastAsia" w:ascii="宋体" w:hAnsi="宋体"/>
          <w:szCs w:val="21"/>
        </w:rPr>
        <w:t>额定工作电压：直流21V (独立供电)</w:t>
      </w:r>
      <w:r>
        <w:rPr>
          <w:rFonts w:hint="eastAsia" w:ascii="宋体" w:hAnsi="宋体"/>
          <w:szCs w:val="21"/>
          <w:lang w:val="en-US"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.3</w:t>
      </w:r>
      <w:r>
        <w:rPr>
          <w:rFonts w:hint="eastAsia" w:ascii="宋体" w:hAnsi="宋体"/>
          <w:szCs w:val="21"/>
        </w:rPr>
        <w:t>工作电流：不大于800mA</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.4</w:t>
      </w:r>
      <w:r>
        <w:rPr>
          <w:rFonts w:hint="eastAsia" w:ascii="宋体" w:hAnsi="宋体"/>
          <w:szCs w:val="21"/>
        </w:rPr>
        <w:t>物理接口：具备两个以上以太网电口、两个以上以太网光口</w:t>
      </w:r>
      <w:r>
        <w:rPr>
          <w:rFonts w:hint="eastAsia" w:ascii="宋体" w:hAnsi="宋体"/>
          <w:szCs w:val="21"/>
          <w:lang w:eastAsia="zh-CN"/>
        </w:rPr>
        <w:t>。</w:t>
      </w:r>
      <w:r>
        <w:rPr>
          <w:rFonts w:hint="eastAsia" w:ascii="宋体" w:hAnsi="宋体"/>
          <w:szCs w:val="21"/>
        </w:rPr>
        <w:t xml:space="preserve"> </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.5</w:t>
      </w:r>
      <w:r>
        <w:rPr>
          <w:rFonts w:hint="eastAsia" w:ascii="宋体" w:hAnsi="宋体"/>
          <w:szCs w:val="21"/>
        </w:rPr>
        <w:t>具有接口功能，可以通过以太网光、电口、</w:t>
      </w:r>
      <w:r>
        <w:rPr>
          <w:rFonts w:ascii="宋体" w:hAnsi="宋体"/>
          <w:szCs w:val="21"/>
        </w:rPr>
        <w:t>E1</w:t>
      </w:r>
      <w:r>
        <w:rPr>
          <w:rFonts w:hint="eastAsia" w:ascii="宋体" w:hAnsi="宋体"/>
          <w:szCs w:val="21"/>
        </w:rPr>
        <w:t>接口、</w:t>
      </w:r>
      <w:r>
        <w:rPr>
          <w:rFonts w:ascii="宋体" w:hAnsi="宋体"/>
          <w:szCs w:val="21"/>
        </w:rPr>
        <w:t>VDSL2</w:t>
      </w:r>
      <w:r>
        <w:rPr>
          <w:rFonts w:hint="eastAsia" w:ascii="宋体" w:hAnsi="宋体"/>
          <w:szCs w:val="21"/>
        </w:rPr>
        <w:t>总线接口、模拟音频接口</w:t>
      </w:r>
      <w:r>
        <w:rPr>
          <w:rFonts w:hint="eastAsia" w:ascii="宋体" w:hAnsi="宋体"/>
          <w:szCs w:val="21"/>
          <w:lang w:eastAsia="zh-CN"/>
        </w:rPr>
        <w:t>。</w:t>
      </w:r>
      <w:r>
        <w:rPr>
          <w:rFonts w:hint="eastAsia" w:ascii="宋体" w:hAnsi="宋体"/>
          <w:szCs w:val="21"/>
        </w:rPr>
        <w:t>*</w:t>
      </w:r>
      <w:r>
        <w:rPr>
          <w:rFonts w:hint="eastAsia" w:ascii="宋体" w:hAnsi="宋体"/>
          <w:szCs w:val="21"/>
          <w:lang w:val="en-US" w:eastAsia="zh-CN"/>
        </w:rPr>
        <w:t>1</w:t>
      </w:r>
      <w:r>
        <w:rPr>
          <w:rFonts w:ascii="宋体" w:hAnsi="宋体"/>
          <w:szCs w:val="21"/>
        </w:rPr>
        <w:t>.6</w:t>
      </w:r>
      <w:r>
        <w:rPr>
          <w:rFonts w:hint="eastAsia" w:ascii="宋体" w:hAnsi="宋体"/>
          <w:szCs w:val="21"/>
        </w:rPr>
        <w:t>在不方便使用光缆或电缆传输的情况下可采用DSL电缆传输。</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w:t>
      </w:r>
      <w:r>
        <w:rPr>
          <w:rFonts w:hint="eastAsia" w:ascii="宋体" w:hAnsi="宋体"/>
          <w:szCs w:val="21"/>
          <w:lang w:val="en-US" w:eastAsia="zh-CN"/>
        </w:rPr>
        <w:t>7</w:t>
      </w:r>
      <w:r>
        <w:rPr>
          <w:rFonts w:hint="eastAsia" w:ascii="宋体" w:hAnsi="宋体"/>
          <w:szCs w:val="21"/>
        </w:rPr>
        <w:t>独立供电电源配件与现有综合分站设备相匹配，保证兼容一致性。</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w:t>
      </w:r>
      <w:r>
        <w:rPr>
          <w:rFonts w:hint="eastAsia" w:ascii="宋体" w:hAnsi="宋体"/>
          <w:szCs w:val="21"/>
          <w:lang w:val="en-US" w:eastAsia="zh-CN"/>
        </w:rPr>
        <w:t>8</w:t>
      </w:r>
      <w:r>
        <w:rPr>
          <w:rFonts w:hint="eastAsia" w:ascii="宋体" w:hAnsi="宋体"/>
          <w:szCs w:val="21"/>
        </w:rPr>
        <w:t>最大距离：网线方式：不小于50米；光缆方式：不小于20Km；电缆方式：不小于2Km。</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w:t>
      </w:r>
      <w:r>
        <w:rPr>
          <w:rFonts w:hint="eastAsia" w:ascii="宋体" w:hAnsi="宋体"/>
          <w:szCs w:val="21"/>
          <w:lang w:val="en-US" w:eastAsia="zh-CN"/>
        </w:rPr>
        <w:t>9</w:t>
      </w:r>
      <w:r>
        <w:rPr>
          <w:rFonts w:hint="eastAsia" w:ascii="宋体" w:hAnsi="宋体"/>
          <w:szCs w:val="21"/>
        </w:rPr>
        <w:t>语音清晰度：对讲音箱在85dB（A）的噪声环境下语音清晰度≥70%。</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0</w:t>
      </w:r>
      <w:r>
        <w:rPr>
          <w:rFonts w:hint="eastAsia" w:ascii="宋体" w:hAnsi="宋体"/>
          <w:szCs w:val="21"/>
        </w:rPr>
        <w:t>全键盘功能：可通过键盘拨号任意呼叫其他终端及井上调度台（提供实物图）。</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1</w:t>
      </w:r>
      <w:r>
        <w:rPr>
          <w:rFonts w:hint="eastAsia" w:ascii="宋体" w:hAnsi="宋体"/>
          <w:szCs w:val="21"/>
        </w:rPr>
        <w:t>显示屏功能：具备显示屏，可现实终端实时状态及时间（提供实物图）。</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2</w:t>
      </w:r>
      <w:r>
        <w:rPr>
          <w:rFonts w:hint="eastAsia" w:ascii="宋体" w:hAnsi="宋体"/>
          <w:szCs w:val="21"/>
        </w:rPr>
        <w:t>一键呼叫功能：按键可实现一键呼叫调度台</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3</w:t>
      </w:r>
      <w:r>
        <w:rPr>
          <w:rFonts w:hint="eastAsia" w:ascii="宋体" w:hAnsi="宋体"/>
          <w:szCs w:val="21"/>
        </w:rPr>
        <w:t>采用左右双喇叭，输出功率：10W*2（THD=10%）RMS</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4</w:t>
      </w:r>
      <w:r>
        <w:rPr>
          <w:rFonts w:hint="eastAsia" w:ascii="宋体" w:hAnsi="宋体"/>
          <w:szCs w:val="21"/>
        </w:rPr>
        <w:t xml:space="preserve">响度：1米范围内不低于100dB，失真度：≤10％(1kHz) </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5</w:t>
      </w:r>
      <w:r>
        <w:rPr>
          <w:rFonts w:hint="eastAsia" w:ascii="宋体" w:hAnsi="宋体"/>
          <w:szCs w:val="21"/>
        </w:rPr>
        <w:t>频率响应：不超过±</w:t>
      </w:r>
      <w:r>
        <w:rPr>
          <w:rFonts w:ascii="宋体" w:hAnsi="宋体"/>
          <w:szCs w:val="21"/>
        </w:rPr>
        <w:t>6dB</w:t>
      </w:r>
      <w:r>
        <w:rPr>
          <w:rFonts w:hint="eastAsia" w:ascii="宋体" w:hAnsi="宋体"/>
          <w:szCs w:val="21"/>
        </w:rPr>
        <w:t>（</w:t>
      </w:r>
      <w:r>
        <w:rPr>
          <w:rFonts w:ascii="宋体" w:hAnsi="宋体"/>
          <w:szCs w:val="21"/>
        </w:rPr>
        <w:t>350</w:t>
      </w:r>
      <w:r>
        <w:rPr>
          <w:rFonts w:hint="eastAsia" w:ascii="宋体" w:hAnsi="宋体"/>
          <w:szCs w:val="21"/>
        </w:rPr>
        <w:t>～</w:t>
      </w:r>
      <w:r>
        <w:rPr>
          <w:rFonts w:ascii="宋体" w:hAnsi="宋体"/>
          <w:szCs w:val="21"/>
        </w:rPr>
        <w:t>3000Hz</w:t>
      </w:r>
      <w:r>
        <w:rPr>
          <w:rFonts w:hint="eastAsia" w:ascii="宋体" w:hAnsi="宋体"/>
          <w:szCs w:val="21"/>
        </w:rPr>
        <w:t>）。具有消除自激和静噪设计</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6</w:t>
      </w:r>
      <w:r>
        <w:rPr>
          <w:rFonts w:hint="eastAsia" w:ascii="宋体" w:hAnsi="宋体"/>
          <w:szCs w:val="21"/>
        </w:rPr>
        <w:t xml:space="preserve">音频位率：8-320Kbps </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7</w:t>
      </w:r>
      <w:r>
        <w:rPr>
          <w:rFonts w:hint="eastAsia" w:ascii="宋体" w:hAnsi="宋体"/>
          <w:szCs w:val="21"/>
        </w:rPr>
        <w:t xml:space="preserve">断电、断网自动重启恢复时间：小于1秒 </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.1</w:t>
      </w:r>
      <w:r>
        <w:rPr>
          <w:rFonts w:hint="eastAsia" w:ascii="宋体" w:hAnsi="宋体"/>
          <w:szCs w:val="21"/>
          <w:lang w:val="en-US" w:eastAsia="zh-CN"/>
        </w:rPr>
        <w:t>8</w:t>
      </w:r>
      <w:r>
        <w:rPr>
          <w:rFonts w:hint="eastAsia" w:ascii="宋体" w:hAnsi="宋体"/>
          <w:szCs w:val="21"/>
        </w:rPr>
        <w:t>网络延时：文件播放/实时采播&lt;150ms</w:t>
      </w:r>
      <w:r>
        <w:rPr>
          <w:rFonts w:hint="eastAsia" w:ascii="宋体" w:hAnsi="宋体"/>
          <w:szCs w:val="21"/>
          <w:lang w:eastAsia="zh-CN"/>
        </w:rPr>
        <w:t>。</w:t>
      </w:r>
    </w:p>
    <w:p>
      <w:pPr>
        <w:spacing w:line="360" w:lineRule="auto"/>
        <w:rPr>
          <w:rFonts w:ascii="宋体" w:hAnsi="宋体"/>
          <w:szCs w:val="21"/>
        </w:rPr>
      </w:pPr>
      <w:r>
        <w:rPr>
          <w:rFonts w:hint="eastAsia" w:ascii="宋体" w:hAnsi="宋体"/>
          <w:szCs w:val="21"/>
        </w:rPr>
        <w:t>*</w:t>
      </w:r>
      <w:r>
        <w:rPr>
          <w:rFonts w:hint="eastAsia" w:ascii="宋体" w:hAnsi="宋体"/>
          <w:szCs w:val="21"/>
          <w:lang w:val="en-US" w:eastAsia="zh-CN"/>
        </w:rPr>
        <w:t>1</w:t>
      </w:r>
      <w:r>
        <w:rPr>
          <w:rFonts w:ascii="宋体" w:hAnsi="宋体"/>
          <w:szCs w:val="21"/>
        </w:rPr>
        <w:t>.</w:t>
      </w:r>
      <w:r>
        <w:rPr>
          <w:rFonts w:hint="eastAsia" w:ascii="宋体" w:hAnsi="宋体"/>
          <w:szCs w:val="21"/>
          <w:lang w:val="en-US" w:eastAsia="zh-CN"/>
        </w:rPr>
        <w:t>19</w:t>
      </w:r>
      <w:r>
        <w:rPr>
          <w:rFonts w:hint="eastAsia" w:ascii="宋体" w:hAnsi="宋体"/>
          <w:szCs w:val="21"/>
        </w:rPr>
        <w:t>网络协议：ARP、IP、UDP、TCP、ICMP、IGMP，支持组播接收音频数据，支持跨网段跨路由配置</w:t>
      </w:r>
      <w:r>
        <w:rPr>
          <w:rFonts w:hint="eastAsia" w:ascii="宋体" w:hAnsi="宋体"/>
          <w:szCs w:val="21"/>
          <w:lang w:eastAsia="zh-CN"/>
        </w:rPr>
        <w:t>。</w:t>
      </w:r>
    </w:p>
    <w:p>
      <w:pPr>
        <w:spacing w:line="360" w:lineRule="auto"/>
        <w:rPr>
          <w:rFonts w:hint="eastAsia" w:ascii="宋体" w:hAnsi="宋体"/>
          <w:szCs w:val="21"/>
        </w:rPr>
      </w:pPr>
      <w:r>
        <w:rPr>
          <w:rFonts w:hint="eastAsia" w:ascii="宋体" w:hAnsi="宋体"/>
          <w:szCs w:val="21"/>
        </w:rPr>
        <w:t>*</w:t>
      </w:r>
      <w:r>
        <w:rPr>
          <w:rFonts w:hint="eastAsia" w:ascii="宋体" w:hAnsi="宋体"/>
          <w:szCs w:val="21"/>
          <w:lang w:val="en-US" w:eastAsia="zh-CN"/>
        </w:rPr>
        <w:t>1</w:t>
      </w:r>
      <w:r>
        <w:rPr>
          <w:rFonts w:hint="eastAsia" w:ascii="宋体" w:hAnsi="宋体"/>
          <w:szCs w:val="21"/>
        </w:rPr>
        <w:t>.2</w:t>
      </w:r>
      <w:r>
        <w:rPr>
          <w:rFonts w:hint="eastAsia" w:ascii="宋体" w:hAnsi="宋体"/>
          <w:szCs w:val="21"/>
          <w:lang w:val="en-US" w:eastAsia="zh-CN"/>
        </w:rPr>
        <w:t>0</w:t>
      </w:r>
      <w:r>
        <w:rPr>
          <w:rFonts w:hint="eastAsia" w:ascii="宋体" w:hAnsi="宋体"/>
          <w:szCs w:val="21"/>
        </w:rPr>
        <w:t>外接、联动功能:可与安全监控、人员定位系统，调度话机、固定视频、移动视频、手机等实现联动,可以外接</w:t>
      </w:r>
      <w:r>
        <w:rPr>
          <w:rFonts w:ascii="宋体" w:hAnsi="宋体"/>
          <w:szCs w:val="21"/>
        </w:rPr>
        <w:t>LED</w:t>
      </w:r>
      <w:r>
        <w:rPr>
          <w:rFonts w:hint="eastAsia" w:ascii="宋体" w:hAnsi="宋体"/>
          <w:szCs w:val="21"/>
        </w:rPr>
        <w:t>显示屏，显示文字、图片和应急逃生方向等信息，并进行声音提示和报警</w:t>
      </w:r>
      <w:r>
        <w:rPr>
          <w:rFonts w:hint="eastAsia" w:ascii="宋体" w:hAnsi="宋体"/>
          <w:szCs w:val="21"/>
          <w:lang w:eastAsia="zh-CN"/>
        </w:rPr>
        <w:t>。</w:t>
      </w:r>
    </w:p>
    <w:p>
      <w:pPr>
        <w:numPr>
          <w:ilvl w:val="0"/>
          <w:numId w:val="1"/>
        </w:numPr>
        <w:spacing w:line="360" w:lineRule="auto"/>
        <w:rPr>
          <w:rFonts w:hint="eastAsia" w:ascii="宋体" w:hAnsi="宋体"/>
          <w:b/>
          <w:bCs/>
          <w:sz w:val="24"/>
        </w:rPr>
      </w:pPr>
      <w:r>
        <w:rPr>
          <w:rFonts w:hint="eastAsia" w:ascii="宋体" w:hAnsi="宋体"/>
          <w:b/>
          <w:bCs/>
          <w:sz w:val="24"/>
        </w:rPr>
        <w:t>技术性能要求</w:t>
      </w:r>
    </w:p>
    <w:p>
      <w:pPr>
        <w:numPr>
          <w:numId w:val="0"/>
        </w:num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.1</w:t>
      </w:r>
      <w:r>
        <w:rPr>
          <w:rFonts w:hint="eastAsia" w:ascii="宋体" w:hAnsi="宋体"/>
          <w:szCs w:val="21"/>
        </w:rPr>
        <w:t>紧急报警广播功能：紧急情况下，调度人员可以启动紧急报警广播，在井下各广播站点全线播放紧急报警声和告警语音，为井下工作人员疏散撤离提供必要的声讯信息；同时调度人员的指挥命令也可通过麦克风进行全线广播。</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.2</w:t>
      </w:r>
      <w:r>
        <w:rPr>
          <w:rFonts w:hint="eastAsia" w:ascii="宋体" w:hAnsi="宋体"/>
          <w:szCs w:val="21"/>
        </w:rPr>
        <w:t>可将广播室播音员的语音在井下各广播站点全线或分区播放</w:t>
      </w:r>
      <w:r>
        <w:rPr>
          <w:rFonts w:hint="eastAsia" w:ascii="宋体" w:hAnsi="宋体"/>
          <w:szCs w:val="21"/>
          <w:lang w:eastAsia="zh-CN"/>
        </w:rPr>
        <w:t>。</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.3</w:t>
      </w:r>
      <w:r>
        <w:rPr>
          <w:rFonts w:hint="eastAsia" w:ascii="宋体" w:hAnsi="宋体"/>
          <w:szCs w:val="21"/>
        </w:rPr>
        <w:t>可将音源播放计算机播放的背景音乐、宣传语音，在井下各广播站点全线或分区播放</w:t>
      </w:r>
      <w:r>
        <w:rPr>
          <w:rFonts w:hint="eastAsia" w:ascii="宋体" w:hAnsi="宋体"/>
          <w:szCs w:val="21"/>
          <w:lang w:eastAsia="zh-CN"/>
        </w:rPr>
        <w:t>。</w:t>
      </w:r>
      <w:r>
        <w:rPr>
          <w:rFonts w:ascii="宋体" w:hAnsi="宋体"/>
          <w:szCs w:val="21"/>
        </w:rPr>
        <w:t>*</w:t>
      </w:r>
      <w:r>
        <w:rPr>
          <w:rFonts w:hint="eastAsia" w:ascii="宋体" w:hAnsi="宋体"/>
          <w:szCs w:val="21"/>
          <w:lang w:val="en-US" w:eastAsia="zh-CN"/>
        </w:rPr>
        <w:t>2</w:t>
      </w:r>
      <w:r>
        <w:rPr>
          <w:rFonts w:ascii="宋体" w:hAnsi="宋体"/>
          <w:szCs w:val="21"/>
        </w:rPr>
        <w:t>.4</w:t>
      </w:r>
      <w:r>
        <w:rPr>
          <w:rFonts w:hint="eastAsia" w:ascii="宋体" w:hAnsi="宋体"/>
          <w:szCs w:val="21"/>
        </w:rPr>
        <w:t>可实现，单点、区域、整体广播。</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.5</w:t>
      </w:r>
      <w:r>
        <w:rPr>
          <w:rFonts w:hint="eastAsia" w:ascii="宋体" w:hAnsi="宋体"/>
          <w:szCs w:val="21"/>
        </w:rPr>
        <w:t>调度室可通过调度机对井下进行分区或者全区广播。</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.6</w:t>
      </w:r>
      <w:r>
        <w:rPr>
          <w:rFonts w:hint="eastAsia" w:ascii="宋体" w:hAnsi="宋体"/>
          <w:szCs w:val="21"/>
        </w:rPr>
        <w:t>任何一台对讲音箱可和井上调度室进行对讲，可对设置的一个区域内所有音箱对讲。</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.7</w:t>
      </w:r>
      <w:r>
        <w:rPr>
          <w:rFonts w:hint="eastAsia" w:ascii="宋体" w:hAnsi="宋体"/>
          <w:szCs w:val="21"/>
        </w:rPr>
        <w:t>系统可远程控制所有终端，如：IP地址更改、按键呼叫更改、及音量大小调节。</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.8</w:t>
      </w:r>
      <w:r>
        <w:rPr>
          <w:rFonts w:hint="eastAsia" w:ascii="宋体" w:hAnsi="宋体"/>
          <w:szCs w:val="21"/>
        </w:rPr>
        <w:t>具备广播故障自动检测功能，并在广播控制主机上显示广播状态，以便工作人员及时发现处理。</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.9</w:t>
      </w:r>
      <w:r>
        <w:rPr>
          <w:rFonts w:hint="eastAsia" w:ascii="宋体" w:hAnsi="宋体"/>
          <w:szCs w:val="21"/>
        </w:rPr>
        <w:t>井下交流停电后, 矿井语音广播系仍可继续工作，工作时间不小于2小时。</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10</w:t>
      </w:r>
      <w:r>
        <w:rPr>
          <w:rFonts w:hint="eastAsia" w:ascii="宋体" w:hAnsi="宋体"/>
          <w:szCs w:val="21"/>
        </w:rPr>
        <w:t>系统支持光缆及以太网组网。</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11</w:t>
      </w:r>
      <w:r>
        <w:rPr>
          <w:rFonts w:hint="eastAsia" w:ascii="宋体" w:hAnsi="宋体"/>
          <w:szCs w:val="21"/>
        </w:rPr>
        <w:t>每台对讲音箱都有独立的IP，方便接入网络，而且可以通过WEB界面进行设置与管理。</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2</w:t>
      </w:r>
      <w:r>
        <w:rPr>
          <w:rFonts w:hint="eastAsia" w:ascii="宋体" w:hAnsi="宋体"/>
          <w:szCs w:val="21"/>
        </w:rPr>
        <w:t>系统可与现在的调度系统、无线通信系统进行对接。可通过调度系统的电话和手机进行广播。（也就是可与现有调度系统联动）</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3</w:t>
      </w:r>
      <w:r>
        <w:rPr>
          <w:rFonts w:hint="eastAsia" w:ascii="宋体" w:hAnsi="宋体"/>
          <w:szCs w:val="21"/>
        </w:rPr>
        <w:t>广播系统支持对广播内容进行录音，有助于对广播内容的严格把控。</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4</w:t>
      </w:r>
      <w:r>
        <w:rPr>
          <w:rFonts w:hint="eastAsia" w:ascii="宋体" w:hAnsi="宋体"/>
          <w:szCs w:val="21"/>
        </w:rPr>
        <w:t>广播系统可以看到所有广播终端的状态（是否在线，是否处于广播状态等）。</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5</w:t>
      </w:r>
      <w:r>
        <w:rPr>
          <w:rFonts w:hint="eastAsia" w:ascii="宋体" w:hAnsi="宋体"/>
          <w:szCs w:val="21"/>
        </w:rPr>
        <w:t>可定时播放，并且可按照不同时长、文件次数来设置。</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6</w:t>
      </w:r>
      <w:r>
        <w:rPr>
          <w:rFonts w:hint="eastAsia" w:ascii="宋体" w:hAnsi="宋体"/>
          <w:szCs w:val="21"/>
        </w:rPr>
        <w:t>可针对任意终端进行拆讲、强插、监听等管理员相关功能。</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7</w:t>
      </w:r>
      <w:r>
        <w:rPr>
          <w:rFonts w:hint="eastAsia" w:ascii="宋体" w:hAnsi="宋体"/>
          <w:szCs w:val="21"/>
        </w:rPr>
        <w:t>终端显示屏可显示时间，并且配合全键盘拨号呼叫任意终端，实现全双工对讲</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8</w:t>
      </w:r>
      <w:r>
        <w:rPr>
          <w:rFonts w:hint="eastAsia" w:ascii="宋体" w:hAnsi="宋体"/>
          <w:szCs w:val="21"/>
        </w:rPr>
        <w:t>系统具有正常工作状态下的常规信息发布功能。</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1</w:t>
      </w:r>
      <w:r>
        <w:rPr>
          <w:rFonts w:ascii="宋体" w:hAnsi="宋体"/>
          <w:szCs w:val="21"/>
        </w:rPr>
        <w:t>9</w:t>
      </w:r>
      <w:r>
        <w:rPr>
          <w:rFonts w:hint="eastAsia" w:ascii="宋体" w:hAnsi="宋体"/>
          <w:szCs w:val="21"/>
        </w:rPr>
        <w:t>紧急情况下，系统能通过广播装置向井下人员提供避险引导、安全警告等信息。</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w:t>
      </w:r>
      <w:r>
        <w:rPr>
          <w:rFonts w:ascii="宋体" w:hAnsi="宋体"/>
          <w:szCs w:val="21"/>
        </w:rPr>
        <w:t>0</w:t>
      </w:r>
      <w:r>
        <w:rPr>
          <w:rFonts w:hint="eastAsia" w:ascii="宋体" w:hAnsi="宋体"/>
          <w:szCs w:val="21"/>
        </w:rPr>
        <w:t xml:space="preserve">具有广播主机向所有广播设备进行广播和播放功能、且支持两个以上不同区域井下广播设备与地面主机对接、广播主机向特定用户（组）选择播放功能。支持定时广播。 </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w:t>
      </w:r>
      <w:r>
        <w:rPr>
          <w:rFonts w:ascii="宋体" w:hAnsi="宋体"/>
          <w:szCs w:val="21"/>
        </w:rPr>
        <w:t>1</w:t>
      </w:r>
      <w:r>
        <w:rPr>
          <w:rFonts w:hint="eastAsia" w:ascii="宋体" w:hAnsi="宋体"/>
          <w:szCs w:val="21"/>
        </w:rPr>
        <w:t xml:space="preserve">能实时显示广播设备在线状态，当广播设备出现故障时，显示故障信息。 </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w:t>
      </w:r>
      <w:r>
        <w:rPr>
          <w:rFonts w:ascii="宋体" w:hAnsi="宋体"/>
          <w:szCs w:val="21"/>
        </w:rPr>
        <w:t>2</w:t>
      </w:r>
      <w:r>
        <w:rPr>
          <w:rFonts w:hint="eastAsia" w:ascii="宋体" w:hAnsi="宋体"/>
          <w:szCs w:val="21"/>
        </w:rPr>
        <w:t>实时录音，包括系统主机对井下呼叫、井下广播设备呼叫主机；存储日志60 天以上。</w:t>
      </w:r>
    </w:p>
    <w:p>
      <w:pPr>
        <w:spacing w:line="360" w:lineRule="auto"/>
        <w:rPr>
          <w:rFonts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w:t>
      </w:r>
      <w:r>
        <w:rPr>
          <w:rFonts w:ascii="宋体" w:hAnsi="宋体"/>
          <w:szCs w:val="21"/>
        </w:rPr>
        <w:t>3</w:t>
      </w:r>
      <w:r>
        <w:rPr>
          <w:rFonts w:hint="eastAsia" w:ascii="宋体" w:hAnsi="宋体"/>
          <w:szCs w:val="21"/>
        </w:rPr>
        <w:t>接口多样，系统接入灵活；支持工业以太网、总线等多种通信方式，可以利用已有工业以太网组网，支持光口和电口。</w:t>
      </w:r>
    </w:p>
    <w:p>
      <w:pPr>
        <w:spacing w:line="360" w:lineRule="auto"/>
        <w:rPr>
          <w:rFonts w:hint="eastAsia"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w:t>
      </w:r>
      <w:r>
        <w:rPr>
          <w:rFonts w:ascii="宋体" w:hAnsi="宋体"/>
          <w:szCs w:val="21"/>
        </w:rPr>
        <w:t>4</w:t>
      </w:r>
      <w:r>
        <w:rPr>
          <w:rFonts w:hint="eastAsia" w:ascii="宋体" w:hAnsi="宋体"/>
          <w:szCs w:val="21"/>
        </w:rPr>
        <w:t>实现NO1、NO7、ISDN PRI信令与H.323、SIP信令的转换，同时能完成公用电话交换网的承载通道与IP网之间的媒体流转换。中继网关能在电话网侧支持采用ISDN PRI信令的数字中继E1接口，完成用户呼叫的处理、控制与维护功能。E1接口数量不小于2路。</w:t>
      </w:r>
    </w:p>
    <w:p>
      <w:pPr>
        <w:spacing w:line="360" w:lineRule="auto"/>
        <w:rPr>
          <w:rFonts w:hint="eastAsia" w:ascii="宋体" w:hAnsi="宋体"/>
          <w:szCs w:val="21"/>
          <w:lang w:val="en-US" w:eastAsia="zh-CN"/>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25由综合分站内电源模块供电。</w:t>
      </w:r>
    </w:p>
    <w:p>
      <w:pPr>
        <w:spacing w:line="360" w:lineRule="auto"/>
        <w:rPr>
          <w:rFonts w:hint="eastAsia" w:ascii="宋体" w:hAnsi="宋体"/>
          <w:szCs w:val="21"/>
        </w:rPr>
      </w:pPr>
      <w:r>
        <w:rPr>
          <w:rFonts w:ascii="宋体" w:hAnsi="宋体"/>
          <w:szCs w:val="21"/>
        </w:rPr>
        <w:t>*</w:t>
      </w:r>
      <w:r>
        <w:rPr>
          <w:rFonts w:hint="eastAsia" w:ascii="宋体" w:hAnsi="宋体"/>
          <w:szCs w:val="21"/>
          <w:lang w:val="en-US" w:eastAsia="zh-CN"/>
        </w:rPr>
        <w:t>2</w:t>
      </w:r>
      <w:r>
        <w:rPr>
          <w:rFonts w:ascii="宋体" w:hAnsi="宋体"/>
          <w:szCs w:val="21"/>
        </w:rPr>
        <w:t>.</w:t>
      </w:r>
      <w:r>
        <w:rPr>
          <w:rFonts w:hint="eastAsia" w:ascii="宋体" w:hAnsi="宋体"/>
          <w:szCs w:val="21"/>
          <w:lang w:val="en-US" w:eastAsia="zh-CN"/>
        </w:rPr>
        <w:t>26音响内须有与综合分站兼容的配套供电设备。</w:t>
      </w:r>
    </w:p>
    <w:p>
      <w:pPr>
        <w:spacing w:line="360" w:lineRule="auto"/>
        <w:rPr>
          <w:rFonts w:ascii="宋体" w:hAnsi="宋体"/>
          <w:b/>
          <w:szCs w:val="21"/>
        </w:rPr>
      </w:pPr>
      <w:r>
        <w:rPr>
          <w:rFonts w:hint="eastAsia" w:ascii="宋体" w:hAnsi="宋体"/>
          <w:b/>
          <w:szCs w:val="21"/>
        </w:rPr>
        <w:t>3. 投标及其它要求</w:t>
      </w:r>
    </w:p>
    <w:p>
      <w:pPr>
        <w:spacing w:line="360" w:lineRule="auto"/>
        <w:rPr>
          <w:rFonts w:ascii="宋体" w:hAnsi="宋体"/>
          <w:szCs w:val="21"/>
          <w:highlight w:val="none"/>
        </w:rPr>
      </w:pPr>
      <w:r>
        <w:rPr>
          <w:rFonts w:hint="eastAsia" w:ascii="宋体" w:hAnsi="宋体"/>
          <w:szCs w:val="21"/>
          <w:highlight w:val="none"/>
        </w:rPr>
        <w:t>*3.1 投标文件必须包括标书要求下的技术方案和设备配置清单、技术白皮书及产品说明书彩页；</w:t>
      </w:r>
    </w:p>
    <w:p>
      <w:pPr>
        <w:spacing w:line="360" w:lineRule="auto"/>
        <w:rPr>
          <w:rFonts w:hint="eastAsia" w:ascii="宋体" w:hAnsi="宋体"/>
          <w:szCs w:val="21"/>
          <w:highlight w:val="none"/>
          <w:lang w:val="en-US" w:eastAsia="zh-CN"/>
        </w:rPr>
      </w:pPr>
      <w:r>
        <w:rPr>
          <w:rFonts w:hint="eastAsia" w:ascii="宋体" w:hAnsi="宋体"/>
          <w:szCs w:val="21"/>
          <w:highlight w:val="none"/>
        </w:rPr>
        <w:t>*3.</w:t>
      </w:r>
      <w:r>
        <w:rPr>
          <w:rFonts w:hint="eastAsia" w:ascii="宋体" w:hAnsi="宋体"/>
          <w:szCs w:val="21"/>
          <w:highlight w:val="none"/>
          <w:lang w:val="en-US" w:eastAsia="zh-CN"/>
        </w:rPr>
        <w:t>2</w:t>
      </w:r>
      <w:r>
        <w:rPr>
          <w:rFonts w:hint="eastAsia" w:ascii="宋体" w:hAnsi="宋体"/>
          <w:szCs w:val="21"/>
          <w:highlight w:val="none"/>
        </w:rPr>
        <w:t xml:space="preserve"> 投标单位必须是设备的生产厂家及授权代理商</w:t>
      </w:r>
      <w:r>
        <w:rPr>
          <w:rFonts w:hint="eastAsia" w:ascii="宋体" w:hAnsi="宋体"/>
          <w:szCs w:val="21"/>
          <w:highlight w:val="none"/>
          <w:lang w:val="en-US" w:eastAsia="zh-CN"/>
        </w:rPr>
        <w:t>；</w:t>
      </w:r>
    </w:p>
    <w:p>
      <w:pPr>
        <w:spacing w:line="360" w:lineRule="auto"/>
        <w:rPr>
          <w:rFonts w:hint="eastAsia" w:ascii="宋体" w:hAnsi="宋体"/>
          <w:szCs w:val="21"/>
          <w:highlight w:val="none"/>
        </w:rPr>
      </w:pPr>
      <w:r>
        <w:rPr>
          <w:rFonts w:ascii="宋体" w:hAnsi="宋体"/>
          <w:szCs w:val="21"/>
          <w:highlight w:val="none"/>
        </w:rPr>
        <w:t>*3.</w:t>
      </w:r>
      <w:r>
        <w:rPr>
          <w:rFonts w:hint="eastAsia" w:ascii="宋体" w:hAnsi="宋体"/>
          <w:szCs w:val="21"/>
          <w:highlight w:val="none"/>
          <w:lang w:val="en-US" w:eastAsia="zh-CN"/>
        </w:rPr>
        <w:t>3</w:t>
      </w:r>
      <w:r>
        <w:rPr>
          <w:rFonts w:ascii="宋体" w:hAnsi="宋体"/>
          <w:szCs w:val="21"/>
          <w:highlight w:val="none"/>
        </w:rPr>
        <w:t xml:space="preserve"> </w:t>
      </w:r>
      <w:r>
        <w:rPr>
          <w:rFonts w:hint="eastAsia" w:ascii="宋体" w:hAnsi="宋体"/>
          <w:szCs w:val="21"/>
          <w:highlight w:val="none"/>
        </w:rPr>
        <w:t>投标单位需</w:t>
      </w:r>
      <w:r>
        <w:rPr>
          <w:rFonts w:ascii="宋体" w:hAnsi="宋体"/>
          <w:szCs w:val="21"/>
          <w:highlight w:val="none"/>
        </w:rPr>
        <w:t>提供</w:t>
      </w:r>
      <w:r>
        <w:rPr>
          <w:rFonts w:hint="eastAsia" w:ascii="宋体" w:hAnsi="宋体"/>
          <w:szCs w:val="21"/>
          <w:highlight w:val="none"/>
        </w:rPr>
        <w:t>功能</w:t>
      </w:r>
      <w:r>
        <w:rPr>
          <w:rFonts w:ascii="宋体" w:hAnsi="宋体"/>
          <w:szCs w:val="21"/>
          <w:highlight w:val="none"/>
        </w:rPr>
        <w:t>参数的</w:t>
      </w:r>
      <w:r>
        <w:rPr>
          <w:rFonts w:hint="eastAsia" w:ascii="宋体" w:hAnsi="宋体"/>
          <w:szCs w:val="21"/>
          <w:highlight w:val="none"/>
        </w:rPr>
        <w:t>完整</w:t>
      </w:r>
      <w:r>
        <w:rPr>
          <w:rFonts w:ascii="宋体" w:hAnsi="宋体"/>
          <w:szCs w:val="21"/>
          <w:highlight w:val="none"/>
        </w:rPr>
        <w:t>检验报告。</w:t>
      </w:r>
    </w:p>
    <w:p>
      <w:pPr>
        <w:spacing w:line="360" w:lineRule="auto"/>
        <w:rPr>
          <w:rFonts w:ascii="宋体" w:hAnsi="宋体"/>
          <w:szCs w:val="21"/>
        </w:rPr>
      </w:pPr>
    </w:p>
    <w:p>
      <w:pPr>
        <w:spacing w:line="360" w:lineRule="auto"/>
        <w:jc w:val="center"/>
        <w:rPr>
          <w:rFonts w:ascii="宋体"/>
          <w:sz w:val="24"/>
        </w:rPr>
      </w:pPr>
      <w:r>
        <w:rPr>
          <w:rFonts w:hint="eastAsia" w:ascii="宋体"/>
          <w:b/>
          <w:sz w:val="24"/>
        </w:rPr>
        <w:t>第二节备件和工具</w:t>
      </w:r>
    </w:p>
    <w:p>
      <w:pPr>
        <w:spacing w:before="120" w:line="360" w:lineRule="auto"/>
        <w:ind w:firstLine="480" w:firstLineChars="200"/>
        <w:rPr>
          <w:rFonts w:ascii="宋体"/>
          <w:sz w:val="24"/>
        </w:rPr>
      </w:pPr>
      <w:r>
        <w:rPr>
          <w:rFonts w:hint="eastAsia" w:ascii="宋体"/>
          <w:sz w:val="24"/>
        </w:rPr>
        <w:t>1. 所有为设备的安装、试运行、质保期内和质保期后1年必备的备件、消耗品，包括专用工具、仪器、仪表等，在设备交货时提供。推迟的交货期将按照设备推迟交货计算。</w:t>
      </w:r>
    </w:p>
    <w:p>
      <w:pPr>
        <w:spacing w:before="120" w:line="360" w:lineRule="auto"/>
        <w:ind w:firstLine="480" w:firstLineChars="200"/>
        <w:rPr>
          <w:rFonts w:ascii="宋体"/>
          <w:sz w:val="24"/>
        </w:rPr>
      </w:pPr>
      <w:r>
        <w:rPr>
          <w:rFonts w:hint="eastAsia" w:ascii="宋体"/>
          <w:sz w:val="24"/>
        </w:rPr>
        <w:t>2. 中标方应提供完整备件手册、备件件号、数量、规格型号、价格表的CD盘，随同设备发货。</w:t>
      </w:r>
    </w:p>
    <w:p>
      <w:pPr>
        <w:spacing w:before="120" w:line="360" w:lineRule="auto"/>
        <w:ind w:firstLine="480" w:firstLineChars="200"/>
        <w:rPr>
          <w:rFonts w:ascii="宋体"/>
          <w:sz w:val="24"/>
        </w:rPr>
      </w:pPr>
      <w:r>
        <w:rPr>
          <w:rFonts w:hint="eastAsia" w:ascii="宋体"/>
          <w:sz w:val="24"/>
        </w:rPr>
        <w:t>3. 中标方应保证所有零部件均有唯一编码，如属外购标准件，要求必须按照原厂家编码执行。</w:t>
      </w:r>
    </w:p>
    <w:p>
      <w:pPr>
        <w:spacing w:before="120" w:line="360" w:lineRule="auto"/>
        <w:ind w:firstLine="480" w:firstLineChars="200"/>
        <w:rPr>
          <w:rFonts w:ascii="宋体"/>
          <w:sz w:val="24"/>
        </w:rPr>
      </w:pPr>
      <w:r>
        <w:rPr>
          <w:rFonts w:hint="eastAsia" w:ascii="宋体"/>
          <w:sz w:val="24"/>
        </w:rPr>
        <w:t>4. 中标方还应进一步提供设备上的所需的备件、易耗品及标准件的货源地。</w:t>
      </w:r>
    </w:p>
    <w:p>
      <w:pPr>
        <w:spacing w:before="120" w:line="360" w:lineRule="auto"/>
        <w:ind w:firstLine="480" w:firstLineChars="200"/>
        <w:rPr>
          <w:rFonts w:ascii="宋体"/>
          <w:sz w:val="24"/>
        </w:rPr>
      </w:pPr>
      <w:r>
        <w:rPr>
          <w:rFonts w:hint="eastAsia" w:ascii="宋体"/>
          <w:sz w:val="24"/>
        </w:rPr>
        <w:t>5. 设备采用的外购、外协件应提供原产地证明及检验合格证书。</w:t>
      </w:r>
    </w:p>
    <w:p>
      <w:pPr>
        <w:spacing w:before="120" w:line="360" w:lineRule="auto"/>
        <w:ind w:firstLine="480" w:firstLineChars="200"/>
        <w:rPr>
          <w:rFonts w:ascii="宋体"/>
          <w:sz w:val="24"/>
        </w:rPr>
      </w:pPr>
      <w:r>
        <w:rPr>
          <w:rFonts w:hint="eastAsia" w:ascii="宋体"/>
          <w:sz w:val="24"/>
        </w:rPr>
        <w:t>6. 如因为中标人提供1年期备件明细不准确，导致招标人方误采购或按明细提供数量不足以满足生产需求，中标人应免费提供相应的备件。</w:t>
      </w:r>
    </w:p>
    <w:p>
      <w:pPr>
        <w:spacing w:before="120" w:line="360" w:lineRule="auto"/>
        <w:ind w:firstLine="480" w:firstLineChars="200"/>
        <w:rPr>
          <w:rFonts w:ascii="宋体"/>
          <w:sz w:val="24"/>
        </w:rPr>
      </w:pPr>
      <w:r>
        <w:rPr>
          <w:rFonts w:hint="eastAsia" w:ascii="宋体"/>
          <w:sz w:val="24"/>
        </w:rPr>
        <w:t>7. 中标人应保证长期以最优惠的价格供给易损件和备件。如果备件发生设计变更，应将变更信息及时通知招标人。</w:t>
      </w:r>
    </w:p>
    <w:p>
      <w:pPr>
        <w:spacing w:before="120" w:line="360" w:lineRule="auto"/>
        <w:ind w:firstLine="480" w:firstLineChars="200"/>
        <w:rPr>
          <w:rFonts w:ascii="宋体"/>
          <w:sz w:val="24"/>
        </w:rPr>
      </w:pPr>
      <w:r>
        <w:rPr>
          <w:rFonts w:hint="eastAsia" w:ascii="宋体"/>
          <w:sz w:val="24"/>
        </w:rPr>
        <w:t>8. 中标人备件价格在设备开始使用的3年内必须维持稳定。</w:t>
      </w:r>
    </w:p>
    <w:p>
      <w:pPr>
        <w:spacing w:before="120" w:line="360" w:lineRule="auto"/>
        <w:ind w:firstLine="480" w:firstLineChars="200"/>
        <w:rPr>
          <w:rFonts w:ascii="宋体"/>
          <w:sz w:val="24"/>
        </w:rPr>
      </w:pPr>
      <w:r>
        <w:rPr>
          <w:rFonts w:hint="eastAsia" w:ascii="宋体"/>
          <w:sz w:val="24"/>
        </w:rPr>
        <w:t>9. 在5年内，因中标人技术升级导致部分备件不能提供时，中标人要免费为用户升级设备。</w:t>
      </w:r>
    </w:p>
    <w:p>
      <w:pPr>
        <w:spacing w:before="120" w:line="360" w:lineRule="auto"/>
        <w:ind w:firstLine="480" w:firstLineChars="200"/>
        <w:rPr>
          <w:rFonts w:ascii="宋体"/>
          <w:sz w:val="24"/>
        </w:rPr>
      </w:pPr>
      <w:r>
        <w:rPr>
          <w:rFonts w:hint="eastAsia" w:ascii="宋体"/>
          <w:sz w:val="24"/>
        </w:rPr>
        <w:t>10. 5年后在备件停止生产的情况下，中标人应事先将要停止生产的计划通知招标人，使招标人有足够的时间采购所需的备件。</w:t>
      </w:r>
    </w:p>
    <w:p>
      <w:pPr>
        <w:spacing w:before="120" w:line="360" w:lineRule="auto"/>
        <w:ind w:firstLine="480" w:firstLineChars="200"/>
        <w:rPr>
          <w:rFonts w:ascii="宋体"/>
          <w:sz w:val="24"/>
        </w:rPr>
      </w:pPr>
      <w:r>
        <w:rPr>
          <w:rFonts w:hint="eastAsia" w:ascii="宋体"/>
          <w:sz w:val="24"/>
        </w:rPr>
        <w:t>11. 5年后在备件停止生产后，如果招标人要求，中标人应免费向买方提供备件的蓝图、图纸和规格。</w:t>
      </w:r>
    </w:p>
    <w:p>
      <w:pPr>
        <w:spacing w:before="120" w:line="360" w:lineRule="auto"/>
        <w:ind w:firstLine="480" w:firstLineChars="200"/>
        <w:rPr>
          <w:rFonts w:ascii="宋体"/>
          <w:sz w:val="24"/>
        </w:rPr>
      </w:pPr>
    </w:p>
    <w:p>
      <w:pPr>
        <w:spacing w:line="360" w:lineRule="auto"/>
        <w:jc w:val="center"/>
        <w:rPr>
          <w:rFonts w:ascii="宋体"/>
          <w:b/>
          <w:sz w:val="24"/>
        </w:rPr>
      </w:pPr>
      <w:r>
        <w:rPr>
          <w:rFonts w:hint="eastAsia" w:ascii="宋体"/>
          <w:b/>
          <w:sz w:val="24"/>
        </w:rPr>
        <w:t>第三节 设备出厂前检验</w:t>
      </w:r>
    </w:p>
    <w:p>
      <w:pPr>
        <w:spacing w:before="120" w:line="360" w:lineRule="auto"/>
        <w:ind w:firstLine="480" w:firstLineChars="200"/>
        <w:rPr>
          <w:rFonts w:ascii="宋体"/>
          <w:sz w:val="24"/>
        </w:rPr>
      </w:pPr>
      <w:r>
        <w:rPr>
          <w:rFonts w:hint="eastAsia" w:ascii="宋体"/>
          <w:sz w:val="24"/>
        </w:rPr>
        <w:t>1. 为了对合同设备及其相关设备生产期间的质量检验，招标人有权派人到中标人所在工厂进行检验。对于在中标人所在地的交通费用和为便于招标人质检要求，诸如必要的安全用具、办公用品、技术文件和图纸、核算数据、制造和检验标准及其它必备的检验数据应由中标人免费提供。</w:t>
      </w:r>
    </w:p>
    <w:p>
      <w:pPr>
        <w:spacing w:before="120" w:line="360" w:lineRule="auto"/>
        <w:ind w:firstLine="480" w:firstLineChars="200"/>
        <w:rPr>
          <w:rFonts w:ascii="宋体"/>
          <w:sz w:val="24"/>
        </w:rPr>
      </w:pPr>
      <w:r>
        <w:rPr>
          <w:rFonts w:hint="eastAsia" w:ascii="宋体"/>
          <w:sz w:val="24"/>
        </w:rPr>
        <w:t>2. 在制造期间招标人的一切监理和质检活动所形成的书面资料均不作为中标人产品质量证明文件。在交货前招标人的质检，既不能免去合同中属于供货商质量担保期范围内的责任，也不能替代设备抵运招标人现场的质量检验。</w:t>
      </w:r>
    </w:p>
    <w:p>
      <w:pPr>
        <w:spacing w:before="120" w:line="360" w:lineRule="auto"/>
        <w:ind w:firstLine="480" w:firstLineChars="200"/>
        <w:rPr>
          <w:rFonts w:ascii="宋体"/>
          <w:sz w:val="24"/>
        </w:rPr>
      </w:pPr>
      <w:r>
        <w:rPr>
          <w:rFonts w:hint="eastAsia" w:ascii="宋体"/>
          <w:sz w:val="24"/>
        </w:rPr>
        <w:t>3．在中检中质检团成员发现或提出的问题，双方应积极通过友好协商解决。</w:t>
      </w:r>
    </w:p>
    <w:p>
      <w:pPr>
        <w:spacing w:before="120" w:line="360" w:lineRule="auto"/>
        <w:ind w:firstLine="480" w:firstLineChars="200"/>
        <w:rPr>
          <w:rFonts w:ascii="宋体"/>
          <w:sz w:val="24"/>
        </w:rPr>
      </w:pPr>
      <w:r>
        <w:rPr>
          <w:rFonts w:hint="eastAsia" w:ascii="宋体"/>
          <w:sz w:val="24"/>
        </w:rPr>
        <w:t>4. 设备在出厂前必须进行整体联合试运转，根据试运转时间确定招标人中检时间，联合试运转应在招标人中检人员监督下进行。</w:t>
      </w:r>
    </w:p>
    <w:p>
      <w:pPr>
        <w:spacing w:line="360" w:lineRule="auto"/>
        <w:ind w:firstLine="480" w:firstLineChars="200"/>
        <w:rPr>
          <w:rFonts w:ascii="宋体"/>
          <w:sz w:val="24"/>
        </w:rPr>
      </w:pPr>
      <w:r>
        <w:rPr>
          <w:rFonts w:hint="eastAsia" w:ascii="宋体"/>
          <w:sz w:val="24"/>
        </w:rPr>
        <w:t>5. 在设备到达招标人现场后组装试运转中如出现问题，原因是中标人没有在出厂前进行设备整体联合试运转，因此推迟的时间将按照推迟交货期来计算。</w:t>
      </w:r>
    </w:p>
    <w:p>
      <w:pPr>
        <w:spacing w:line="360" w:lineRule="auto"/>
        <w:jc w:val="center"/>
        <w:rPr>
          <w:rFonts w:ascii="宋体"/>
          <w:b/>
          <w:sz w:val="24"/>
        </w:rPr>
      </w:pPr>
    </w:p>
    <w:p>
      <w:pPr>
        <w:spacing w:line="360" w:lineRule="auto"/>
        <w:jc w:val="center"/>
        <w:rPr>
          <w:rFonts w:ascii="宋体"/>
          <w:sz w:val="24"/>
        </w:rPr>
      </w:pPr>
      <w:r>
        <w:rPr>
          <w:rFonts w:hint="eastAsia" w:ascii="宋体"/>
          <w:b/>
          <w:sz w:val="24"/>
        </w:rPr>
        <w:t>第四节 技术服务</w:t>
      </w:r>
    </w:p>
    <w:p>
      <w:pPr>
        <w:spacing w:before="120" w:line="360" w:lineRule="auto"/>
        <w:ind w:firstLine="480" w:firstLineChars="200"/>
        <w:rPr>
          <w:rFonts w:ascii="宋体"/>
          <w:sz w:val="24"/>
        </w:rPr>
      </w:pPr>
      <w:r>
        <w:rPr>
          <w:rFonts w:hint="eastAsia" w:ascii="宋体"/>
          <w:sz w:val="24"/>
        </w:rPr>
        <w:t>1. 中标人将派出有技术、有能力胜任的服务工程师到现场，提供有关安装管理、调试、空载测试、性能测试、试运转、维修及现场培训维修人员的服务。中标人服务工程师的主要责任与任务如下：</w:t>
      </w:r>
    </w:p>
    <w:p>
      <w:pPr>
        <w:spacing w:before="120" w:line="360" w:lineRule="auto"/>
        <w:ind w:firstLine="480" w:firstLineChars="200"/>
        <w:rPr>
          <w:rFonts w:ascii="宋体"/>
          <w:sz w:val="24"/>
        </w:rPr>
      </w:pPr>
      <w:r>
        <w:rPr>
          <w:rFonts w:hint="eastAsia" w:ascii="宋体"/>
          <w:sz w:val="24"/>
        </w:rPr>
        <w:t>——给招标人安装人员提供完整的技术指导。</w:t>
      </w:r>
    </w:p>
    <w:p>
      <w:pPr>
        <w:spacing w:before="120" w:line="360" w:lineRule="auto"/>
        <w:ind w:firstLine="480" w:firstLineChars="200"/>
        <w:rPr>
          <w:rFonts w:ascii="宋体"/>
          <w:sz w:val="24"/>
        </w:rPr>
      </w:pPr>
      <w:r>
        <w:rPr>
          <w:rFonts w:hint="eastAsia" w:ascii="宋体"/>
          <w:sz w:val="24"/>
        </w:rPr>
        <w:t>——指导招标人人员进行合同设备的试运转，运行测试和性能测试。</w:t>
      </w:r>
    </w:p>
    <w:p>
      <w:pPr>
        <w:spacing w:before="120" w:line="360" w:lineRule="auto"/>
        <w:ind w:firstLine="480" w:firstLineChars="200"/>
        <w:rPr>
          <w:rFonts w:ascii="宋体"/>
          <w:sz w:val="24"/>
        </w:rPr>
      </w:pPr>
      <w:r>
        <w:rPr>
          <w:rFonts w:hint="eastAsia" w:ascii="宋体"/>
          <w:sz w:val="24"/>
        </w:rPr>
        <w:t>——培训招标人人员。</w:t>
      </w:r>
    </w:p>
    <w:p>
      <w:pPr>
        <w:spacing w:before="120" w:line="360" w:lineRule="auto"/>
        <w:ind w:firstLine="480" w:firstLineChars="200"/>
        <w:rPr>
          <w:rFonts w:ascii="宋体"/>
          <w:sz w:val="24"/>
        </w:rPr>
      </w:pPr>
      <w:r>
        <w:rPr>
          <w:rFonts w:hint="eastAsia" w:ascii="宋体"/>
          <w:sz w:val="24"/>
        </w:rPr>
        <w:t>——设备投入使用后提供现场运行技术支持。</w:t>
      </w:r>
    </w:p>
    <w:p>
      <w:pPr>
        <w:spacing w:before="120" w:line="360" w:lineRule="auto"/>
        <w:ind w:firstLine="480" w:firstLineChars="200"/>
        <w:rPr>
          <w:rFonts w:ascii="宋体"/>
          <w:sz w:val="24"/>
        </w:rPr>
      </w:pPr>
      <w:r>
        <w:rPr>
          <w:rFonts w:hint="eastAsia" w:ascii="宋体"/>
          <w:sz w:val="24"/>
        </w:rPr>
        <w:t>——质保期内技术服务。</w:t>
      </w:r>
    </w:p>
    <w:p>
      <w:pPr>
        <w:spacing w:before="120" w:line="360" w:lineRule="auto"/>
        <w:ind w:firstLine="480" w:firstLineChars="200"/>
        <w:rPr>
          <w:rFonts w:ascii="宋体"/>
          <w:sz w:val="24"/>
        </w:rPr>
      </w:pPr>
      <w:r>
        <w:rPr>
          <w:rFonts w:hint="eastAsia" w:ascii="宋体"/>
          <w:sz w:val="24"/>
        </w:rPr>
        <w:t>2. 安装前，应由中标人的技术服务人员给予招标人安装人员提供合同设备的装配介绍、讲课与培训；详细解释技术文件、图纸和操作手册以及设备运行和相关的预防措施等；回答和解决招标人员提出的技术问题。中标人技术人员的指导必须是正确的，如果出现由于非正确技术指导而造成的损失，中标人将自出资金维修、更换或补偿损失部分。</w:t>
      </w:r>
    </w:p>
    <w:p>
      <w:pPr>
        <w:spacing w:before="120" w:line="360" w:lineRule="auto"/>
        <w:ind w:firstLine="480" w:firstLineChars="200"/>
        <w:rPr>
          <w:rFonts w:ascii="宋体"/>
          <w:sz w:val="24"/>
        </w:rPr>
      </w:pPr>
      <w:r>
        <w:rPr>
          <w:rFonts w:hint="eastAsia" w:ascii="宋体"/>
          <w:sz w:val="24"/>
        </w:rPr>
        <w:t>3.中标人将提供所有的关于装配与组装所用的专用工具,例如:专用测试仪、测量仪和机械工具。</w:t>
      </w:r>
    </w:p>
    <w:p>
      <w:pPr>
        <w:spacing w:before="120" w:line="360" w:lineRule="auto"/>
        <w:ind w:firstLine="480" w:firstLineChars="200"/>
        <w:rPr>
          <w:rFonts w:ascii="宋体"/>
          <w:sz w:val="24"/>
        </w:rPr>
      </w:pPr>
      <w:r>
        <w:rPr>
          <w:rFonts w:hint="eastAsia" w:ascii="宋体"/>
          <w:sz w:val="24"/>
        </w:rPr>
        <w:t>4.在现场举行由双方参加的会议，对所提供设备进行安装的准备工作进行讨论。</w:t>
      </w:r>
    </w:p>
    <w:p>
      <w:pPr>
        <w:spacing w:before="120" w:line="360" w:lineRule="auto"/>
        <w:ind w:firstLine="480" w:firstLineChars="200"/>
        <w:rPr>
          <w:rFonts w:ascii="宋体"/>
          <w:sz w:val="24"/>
        </w:rPr>
      </w:pPr>
      <w:r>
        <w:rPr>
          <w:rFonts w:hint="eastAsia" w:ascii="宋体"/>
          <w:sz w:val="24"/>
        </w:rPr>
        <w:t>5. 对于安装指导、测试运转、性能测试、试运转和验收，包括招标人操作和维修人员的现场培训,中标人需免费提供。</w:t>
      </w:r>
    </w:p>
    <w:p>
      <w:pPr>
        <w:spacing w:before="120" w:line="360" w:lineRule="auto"/>
        <w:ind w:firstLine="480" w:firstLineChars="200"/>
        <w:rPr>
          <w:rFonts w:ascii="宋体"/>
          <w:sz w:val="24"/>
        </w:rPr>
      </w:pPr>
      <w:r>
        <w:rPr>
          <w:rFonts w:hint="eastAsia" w:ascii="宋体"/>
          <w:sz w:val="24"/>
        </w:rPr>
        <w:t>6. 中标人应提供用于招标人自行培训人员需要使用的相关培训资料。</w:t>
      </w:r>
    </w:p>
    <w:p>
      <w:pPr>
        <w:spacing w:before="120" w:line="360" w:lineRule="auto"/>
        <w:ind w:firstLine="480" w:firstLineChars="200"/>
        <w:rPr>
          <w:rFonts w:ascii="宋体"/>
          <w:sz w:val="24"/>
        </w:rPr>
      </w:pPr>
      <w:r>
        <w:rPr>
          <w:rFonts w:hint="eastAsia" w:ascii="宋体"/>
          <w:sz w:val="24"/>
        </w:rPr>
        <w:t>7. 设备过质保期后，在设备使用寿命内，如招标人需要，中标人应确保服务工程师到现场进行技术服务。</w:t>
      </w:r>
    </w:p>
    <w:p>
      <w:pPr>
        <w:spacing w:before="120" w:line="360" w:lineRule="auto"/>
        <w:ind w:firstLine="480" w:firstLineChars="200"/>
        <w:rPr>
          <w:rFonts w:ascii="宋体"/>
          <w:sz w:val="24"/>
        </w:rPr>
      </w:pPr>
      <w:r>
        <w:rPr>
          <w:rFonts w:hint="eastAsia" w:ascii="宋体"/>
          <w:sz w:val="24"/>
        </w:rPr>
        <w:t>8. 设备第一次在招标人组装、试运转时中标人必须派设备制造工厂技术服务工程师在规定时间内到现场进行技术指导。因技术服务工程师未按时到达组装现场导致设备不能按期投入使用，延误时间按推迟交货期来计算。</w:t>
      </w:r>
    </w:p>
    <w:p>
      <w:pPr>
        <w:spacing w:line="360" w:lineRule="auto"/>
        <w:jc w:val="center"/>
        <w:rPr>
          <w:rFonts w:ascii="宋体"/>
          <w:sz w:val="24"/>
        </w:rPr>
      </w:pPr>
      <w:r>
        <w:rPr>
          <w:rFonts w:hint="eastAsia" w:ascii="宋体"/>
          <w:b/>
          <w:sz w:val="24"/>
        </w:rPr>
        <w:t>第五节 安装、检验、调试、试运行及验收</w:t>
      </w:r>
    </w:p>
    <w:p>
      <w:pPr>
        <w:spacing w:before="120" w:line="360" w:lineRule="auto"/>
        <w:ind w:firstLine="480" w:firstLineChars="200"/>
        <w:rPr>
          <w:rFonts w:ascii="宋体"/>
          <w:sz w:val="24"/>
        </w:rPr>
      </w:pPr>
      <w:r>
        <w:rPr>
          <w:rFonts w:hint="eastAsia" w:ascii="宋体"/>
          <w:sz w:val="24"/>
        </w:rPr>
        <w:t>1. 在该附录中：</w:t>
      </w:r>
    </w:p>
    <w:p>
      <w:pPr>
        <w:spacing w:before="120" w:line="360" w:lineRule="auto"/>
        <w:ind w:firstLine="480" w:firstLineChars="200"/>
        <w:rPr>
          <w:rFonts w:ascii="宋体"/>
          <w:sz w:val="24"/>
        </w:rPr>
      </w:pPr>
      <w:r>
        <w:rPr>
          <w:rFonts w:hint="eastAsia" w:ascii="宋体"/>
          <w:sz w:val="24"/>
        </w:rPr>
        <w:t>安装：意为招标人安装人员在中标人的服务工程人员的监督与指导下，将整套设备或一个系统安装起来。</w:t>
      </w:r>
    </w:p>
    <w:p>
      <w:pPr>
        <w:spacing w:before="120" w:line="360" w:lineRule="auto"/>
        <w:ind w:firstLine="480" w:firstLineChars="200"/>
        <w:rPr>
          <w:rFonts w:ascii="宋体"/>
          <w:sz w:val="24"/>
        </w:rPr>
      </w:pPr>
      <w:r>
        <w:rPr>
          <w:rFonts w:hint="eastAsia" w:ascii="宋体"/>
          <w:sz w:val="24"/>
        </w:rPr>
        <w:t>试运转：即为在空载条件下测试该设备。</w:t>
      </w:r>
    </w:p>
    <w:p>
      <w:pPr>
        <w:spacing w:before="120" w:line="360" w:lineRule="auto"/>
        <w:ind w:firstLine="480" w:firstLineChars="200"/>
        <w:rPr>
          <w:rFonts w:ascii="宋体"/>
          <w:sz w:val="24"/>
        </w:rPr>
      </w:pPr>
      <w:r>
        <w:rPr>
          <w:rFonts w:hint="eastAsia" w:ascii="宋体"/>
          <w:sz w:val="24"/>
        </w:rPr>
        <w:t xml:space="preserve">性能调试：即在它们的额定负载下测试设备，检查其是否能达到合同规定的所有技术性能。 </w:t>
      </w:r>
    </w:p>
    <w:p>
      <w:pPr>
        <w:spacing w:before="120" w:line="360" w:lineRule="auto"/>
        <w:ind w:firstLine="480" w:firstLineChars="200"/>
        <w:rPr>
          <w:rFonts w:ascii="宋体"/>
          <w:sz w:val="24"/>
        </w:rPr>
      </w:pPr>
      <w:r>
        <w:rPr>
          <w:rFonts w:hint="eastAsia" w:ascii="宋体"/>
          <w:sz w:val="24"/>
        </w:rPr>
        <w:t>试运行：即为设备按照合同要求性能投入运转。</w:t>
      </w:r>
    </w:p>
    <w:p>
      <w:pPr>
        <w:spacing w:before="120" w:line="360" w:lineRule="auto"/>
        <w:ind w:firstLine="480" w:firstLineChars="200"/>
        <w:rPr>
          <w:rFonts w:ascii="宋体"/>
          <w:sz w:val="24"/>
        </w:rPr>
      </w:pPr>
      <w:r>
        <w:rPr>
          <w:rFonts w:hint="eastAsia" w:ascii="宋体"/>
          <w:sz w:val="24"/>
        </w:rPr>
        <w:t>验收：即为该设备达到合同规定的试运转、性能调试和试运行技术要求后招标人正式接收。</w:t>
      </w:r>
    </w:p>
    <w:p>
      <w:pPr>
        <w:spacing w:before="120" w:line="360" w:lineRule="auto"/>
        <w:ind w:firstLine="480" w:firstLineChars="200"/>
        <w:rPr>
          <w:rFonts w:ascii="宋体"/>
          <w:sz w:val="24"/>
        </w:rPr>
      </w:pPr>
      <w:r>
        <w:rPr>
          <w:rFonts w:hint="eastAsia" w:ascii="宋体"/>
          <w:sz w:val="24"/>
        </w:rPr>
        <w:t>2. 设备到货应随机提供出厂验收报告。</w:t>
      </w:r>
    </w:p>
    <w:p>
      <w:pPr>
        <w:spacing w:line="360" w:lineRule="auto"/>
        <w:ind w:firstLine="480" w:firstLineChars="200"/>
        <w:rPr>
          <w:rFonts w:ascii="宋体"/>
          <w:sz w:val="24"/>
        </w:rPr>
      </w:pPr>
      <w:r>
        <w:rPr>
          <w:rFonts w:hint="eastAsia" w:ascii="宋体"/>
          <w:sz w:val="24"/>
        </w:rPr>
        <w:t>3． 在设备经过试运转、性能调试、试运行之后，双方对设备性能进行鉴定，符合合同要求，招标人出据验收证明并由中标人确认。验收标准为合同规定的要求和相关标准、中国国家标准、规范以及国际标准和双方认可的标准。</w:t>
      </w:r>
    </w:p>
    <w:p>
      <w:pPr>
        <w:spacing w:line="360" w:lineRule="auto"/>
        <w:jc w:val="center"/>
        <w:rPr>
          <w:rFonts w:ascii="宋体"/>
          <w:sz w:val="24"/>
        </w:rPr>
      </w:pPr>
      <w:r>
        <w:rPr>
          <w:rFonts w:hint="eastAsia" w:ascii="宋体"/>
          <w:b/>
          <w:sz w:val="24"/>
        </w:rPr>
        <w:t>第六节 质量保证</w:t>
      </w:r>
    </w:p>
    <w:p>
      <w:pPr>
        <w:spacing w:before="120" w:line="360" w:lineRule="auto"/>
        <w:ind w:firstLine="480" w:firstLineChars="200"/>
        <w:rPr>
          <w:rFonts w:ascii="宋体"/>
          <w:sz w:val="24"/>
        </w:rPr>
      </w:pPr>
      <w:r>
        <w:rPr>
          <w:rFonts w:hint="eastAsia" w:ascii="宋体"/>
          <w:sz w:val="24"/>
        </w:rPr>
        <w:t>1. 质保期应为验收合格后12个月。对由于设计或质量问题而引起的设备故障，中标方应进一步对此负责。专用合同条款对质保有特殊规定的从其规定。</w:t>
      </w:r>
    </w:p>
    <w:p>
      <w:pPr>
        <w:spacing w:before="120" w:line="360" w:lineRule="auto"/>
        <w:ind w:firstLine="480" w:firstLineChars="200"/>
        <w:rPr>
          <w:rFonts w:ascii="宋体"/>
          <w:sz w:val="24"/>
        </w:rPr>
      </w:pPr>
      <w:r>
        <w:rPr>
          <w:rFonts w:hint="eastAsia" w:ascii="宋体"/>
          <w:sz w:val="24"/>
        </w:rPr>
        <w:t>2. 中标方应有质保期内的维修服务承诺，无偿更换零配件、部件承诺。</w:t>
      </w:r>
    </w:p>
    <w:p>
      <w:pPr>
        <w:spacing w:before="120" w:line="360" w:lineRule="auto"/>
        <w:ind w:firstLine="480" w:firstLineChars="200"/>
        <w:rPr>
          <w:rFonts w:ascii="宋体"/>
          <w:sz w:val="24"/>
        </w:rPr>
      </w:pPr>
      <w:r>
        <w:rPr>
          <w:rFonts w:hint="eastAsia" w:ascii="宋体"/>
          <w:sz w:val="24"/>
        </w:rPr>
        <w:t>3. 中标方应有对设备大修周期、使用寿命及各主要部件的寿命承诺。</w:t>
      </w:r>
    </w:p>
    <w:p>
      <w:pPr>
        <w:spacing w:before="120" w:line="360" w:lineRule="auto"/>
        <w:ind w:left="325" w:hanging="325"/>
        <w:jc w:val="center"/>
        <w:rPr>
          <w:rFonts w:ascii="宋体"/>
          <w:sz w:val="24"/>
        </w:rPr>
      </w:pPr>
      <w:r>
        <w:rPr>
          <w:rFonts w:hint="eastAsia" w:ascii="宋体"/>
          <w:b/>
          <w:sz w:val="24"/>
        </w:rPr>
        <w:t>第七节 技术资料和图纸</w:t>
      </w:r>
    </w:p>
    <w:p>
      <w:pPr>
        <w:spacing w:before="120" w:line="360" w:lineRule="auto"/>
        <w:ind w:firstLine="480" w:firstLineChars="200"/>
        <w:rPr>
          <w:rFonts w:ascii="宋体"/>
          <w:sz w:val="24"/>
        </w:rPr>
      </w:pPr>
      <w:r>
        <w:rPr>
          <w:rFonts w:hint="eastAsia" w:ascii="宋体"/>
          <w:sz w:val="24"/>
        </w:rPr>
        <w:t>1. 中标人按规定给招标人提供全面的、详细的技术资料，包括印刷版和电子版的各种图纸、设备使用手册、维修手册、备件手册、配件报价CD光盘，随设备发货或日后提供的目录、图纸、图解说明或电路图必须是清晰易解的。操作手册和维修指南须通俗易懂。备件手册必须将每一部件细化到所有零件，所有零部件必须有统一的采购号或件号等唯一标识号，以便于招标人维护和采购备件。所有外协件的件号必须提供制造商原始件号。所有提供的技术资料手册封面应标明合同号、设备系列号。</w:t>
      </w:r>
    </w:p>
    <w:p>
      <w:pPr>
        <w:spacing w:before="120" w:line="360" w:lineRule="auto"/>
        <w:ind w:firstLine="480" w:firstLineChars="200"/>
        <w:rPr>
          <w:rFonts w:ascii="宋体"/>
          <w:sz w:val="24"/>
        </w:rPr>
      </w:pPr>
      <w:r>
        <w:rPr>
          <w:rFonts w:hint="eastAsia" w:ascii="宋体"/>
          <w:sz w:val="24"/>
        </w:rPr>
        <w:t>2. 中标人按规定给招标人每台（套）设备提供份技术文件和图纸的副本。其中两份副本包括1份光盘文件将在设备发货前的14天，以特快专递方式寄送给招标人，其他所要求的成套技术文件和图纸将随合同中设备一起发货，招标人有权针对培训目的而额外复制所提供的技术文件与图纸。</w:t>
      </w:r>
    </w:p>
    <w:p>
      <w:pPr>
        <w:spacing w:before="120" w:line="360" w:lineRule="auto"/>
        <w:ind w:firstLine="480" w:firstLineChars="200"/>
        <w:rPr>
          <w:rFonts w:ascii="宋体"/>
          <w:sz w:val="24"/>
        </w:rPr>
      </w:pPr>
      <w:r>
        <w:rPr>
          <w:rFonts w:hint="eastAsia" w:ascii="宋体"/>
          <w:sz w:val="24"/>
        </w:rPr>
        <w:t>3. 如果中标人交付的技术文件和图纸不完整、丢失或损坏，中标人在接到招标人索要不完整、丢失或损坏部分的技术文件和图纸的通知后的30天内,应免费向招标人增补丢失或损坏部分的技术文件与图纸。</w:t>
      </w:r>
    </w:p>
    <w:p>
      <w:pPr>
        <w:spacing w:before="120" w:line="360" w:lineRule="auto"/>
        <w:ind w:firstLine="480" w:firstLineChars="200"/>
        <w:rPr>
          <w:rFonts w:ascii="宋体"/>
          <w:sz w:val="24"/>
        </w:rPr>
      </w:pPr>
      <w:r>
        <w:rPr>
          <w:rFonts w:hint="eastAsia" w:ascii="宋体"/>
          <w:sz w:val="24"/>
        </w:rPr>
        <w:t>4. 中标人有义务对该设备的控制软件、管理软件进行免费升级换代。</w:t>
      </w:r>
    </w:p>
    <w:p>
      <w:pPr>
        <w:spacing w:before="120" w:line="360" w:lineRule="auto"/>
        <w:ind w:firstLine="480" w:firstLineChars="200"/>
        <w:rPr>
          <w:rFonts w:ascii="宋体"/>
          <w:sz w:val="24"/>
        </w:rPr>
      </w:pPr>
      <w:r>
        <w:rPr>
          <w:rFonts w:hint="eastAsia" w:ascii="宋体"/>
          <w:sz w:val="24"/>
        </w:rPr>
        <w:t>5. 中标人定期对设备进行回访，并对用户提出的问题进行解决。</w:t>
      </w:r>
    </w:p>
    <w:p>
      <w:pPr>
        <w:spacing w:before="120" w:line="360" w:lineRule="auto"/>
        <w:ind w:firstLine="480" w:firstLineChars="200"/>
        <w:rPr>
          <w:rFonts w:ascii="宋体"/>
          <w:sz w:val="24"/>
        </w:rPr>
      </w:pPr>
      <w:r>
        <w:rPr>
          <w:rFonts w:hint="eastAsia" w:ascii="宋体"/>
          <w:sz w:val="24"/>
        </w:rPr>
        <w:t>6. 中标人要提供下列相关的技术资料及图纸：</w:t>
      </w:r>
    </w:p>
    <w:p>
      <w:pPr>
        <w:spacing w:before="120" w:line="360" w:lineRule="auto"/>
        <w:ind w:firstLine="480" w:firstLineChars="200"/>
        <w:rPr>
          <w:rFonts w:ascii="宋体"/>
          <w:sz w:val="24"/>
        </w:rPr>
      </w:pPr>
      <w:r>
        <w:rPr>
          <w:rFonts w:hint="eastAsia" w:ascii="宋体"/>
          <w:sz w:val="24"/>
        </w:rPr>
        <w:t>总图及安装基础图</w:t>
      </w:r>
    </w:p>
    <w:p>
      <w:pPr>
        <w:spacing w:before="120" w:line="360" w:lineRule="auto"/>
        <w:ind w:firstLine="480" w:firstLineChars="200"/>
        <w:rPr>
          <w:rFonts w:ascii="宋体"/>
          <w:sz w:val="24"/>
        </w:rPr>
      </w:pPr>
      <w:r>
        <w:rPr>
          <w:rFonts w:hint="eastAsia" w:ascii="宋体"/>
          <w:sz w:val="24"/>
        </w:rPr>
        <w:t>制造标准、防爆标准</w:t>
      </w:r>
    </w:p>
    <w:p>
      <w:pPr>
        <w:spacing w:before="120" w:line="360" w:lineRule="auto"/>
        <w:ind w:firstLine="480" w:firstLineChars="200"/>
        <w:rPr>
          <w:rFonts w:ascii="宋体"/>
          <w:sz w:val="24"/>
        </w:rPr>
      </w:pPr>
      <w:r>
        <w:rPr>
          <w:rFonts w:hint="eastAsia" w:ascii="宋体"/>
          <w:sz w:val="24"/>
        </w:rPr>
        <w:t>完整的技术特征及说明书</w:t>
      </w:r>
    </w:p>
    <w:p>
      <w:pPr>
        <w:spacing w:before="120" w:line="360" w:lineRule="auto"/>
        <w:ind w:firstLine="480" w:firstLineChars="200"/>
        <w:rPr>
          <w:rFonts w:ascii="宋体"/>
          <w:sz w:val="24"/>
        </w:rPr>
      </w:pPr>
      <w:r>
        <w:rPr>
          <w:rFonts w:hint="eastAsia" w:ascii="宋体"/>
          <w:sz w:val="24"/>
        </w:rPr>
        <w:t>全部机电图纸、材料清册、所有设备、元件、部件型号、规格、特性曲线、产品检验合格证及出厂日期。</w:t>
      </w:r>
    </w:p>
    <w:p>
      <w:pPr>
        <w:spacing w:before="120" w:line="360" w:lineRule="auto"/>
        <w:ind w:firstLine="480" w:firstLineChars="200"/>
        <w:rPr>
          <w:rFonts w:ascii="宋体"/>
          <w:sz w:val="24"/>
        </w:rPr>
      </w:pPr>
      <w:r>
        <w:rPr>
          <w:rFonts w:hint="eastAsia" w:ascii="宋体"/>
          <w:sz w:val="24"/>
        </w:rPr>
        <w:t>7. 技术资料与设备同属合同供货范围，如不能按照上述条款交货，将按照推迟合同交货期执行。</w:t>
      </w:r>
    </w:p>
    <w:p>
      <w:pPr>
        <w:spacing w:line="360" w:lineRule="auto"/>
        <w:jc w:val="center"/>
        <w:rPr>
          <w:rFonts w:ascii="宋体"/>
          <w:sz w:val="24"/>
        </w:rPr>
      </w:pPr>
      <w:r>
        <w:rPr>
          <w:rFonts w:hint="eastAsia" w:ascii="宋体"/>
          <w:b/>
          <w:sz w:val="24"/>
        </w:rPr>
        <w:t>第八节 标准</w:t>
      </w:r>
    </w:p>
    <w:p>
      <w:pPr>
        <w:pStyle w:val="13"/>
        <w:tabs>
          <w:tab w:val="left" w:pos="1290"/>
          <w:tab w:val="left" w:pos="1680"/>
        </w:tabs>
        <w:spacing w:line="360" w:lineRule="auto"/>
        <w:ind w:firstLine="480" w:firstLineChars="200"/>
        <w:rPr>
          <w:szCs w:val="24"/>
        </w:rPr>
      </w:pPr>
      <w:r>
        <w:rPr>
          <w:rFonts w:hint="eastAsia"/>
          <w:szCs w:val="24"/>
        </w:rPr>
        <w:t>1. 所供应的货物将按下列标准（推荐）进行设计和制造</w:t>
      </w:r>
    </w:p>
    <w:p>
      <w:pPr>
        <w:pStyle w:val="13"/>
        <w:tabs>
          <w:tab w:val="left" w:pos="1290"/>
          <w:tab w:val="left" w:pos="1680"/>
        </w:tabs>
        <w:spacing w:line="360" w:lineRule="auto"/>
        <w:ind w:firstLine="480" w:firstLineChars="200"/>
        <w:rPr>
          <w:szCs w:val="24"/>
        </w:rPr>
      </w:pPr>
      <w:r>
        <w:rPr>
          <w:szCs w:val="24"/>
        </w:rPr>
        <w:t>GB/T 15839-1995《64~1920kbit/s会议电视系统进网技术要求》</w:t>
      </w:r>
    </w:p>
    <w:p>
      <w:pPr>
        <w:pStyle w:val="13"/>
        <w:tabs>
          <w:tab w:val="left" w:pos="1290"/>
          <w:tab w:val="left" w:pos="1680"/>
        </w:tabs>
        <w:spacing w:line="360" w:lineRule="auto"/>
        <w:ind w:firstLine="480" w:firstLineChars="200"/>
        <w:rPr>
          <w:szCs w:val="24"/>
        </w:rPr>
      </w:pPr>
      <w:r>
        <w:rPr>
          <w:szCs w:val="24"/>
        </w:rPr>
        <w:t>YD5032-97《会议电视系统工程设计规范》</w:t>
      </w:r>
    </w:p>
    <w:p>
      <w:pPr>
        <w:pStyle w:val="13"/>
        <w:tabs>
          <w:tab w:val="left" w:pos="1290"/>
          <w:tab w:val="left" w:pos="1680"/>
        </w:tabs>
        <w:spacing w:line="360" w:lineRule="auto"/>
        <w:ind w:firstLine="480" w:firstLineChars="200"/>
        <w:rPr>
          <w:szCs w:val="24"/>
        </w:rPr>
      </w:pPr>
      <w:r>
        <w:rPr>
          <w:szCs w:val="24"/>
        </w:rPr>
        <w:t>ITU-T H.261：关于P X 64kbit/s视听业务的视频编解码器</w:t>
      </w:r>
    </w:p>
    <w:p>
      <w:pPr>
        <w:pStyle w:val="13"/>
        <w:tabs>
          <w:tab w:val="left" w:pos="1290"/>
          <w:tab w:val="left" w:pos="1680"/>
        </w:tabs>
        <w:spacing w:line="360" w:lineRule="auto"/>
        <w:ind w:firstLine="480" w:firstLineChars="200"/>
        <w:rPr>
          <w:szCs w:val="24"/>
        </w:rPr>
      </w:pPr>
      <w:r>
        <w:rPr>
          <w:szCs w:val="24"/>
        </w:rPr>
        <w:t>ITU-T H.263：关于低码率通信的视频编解码</w:t>
      </w:r>
    </w:p>
    <w:p>
      <w:pPr>
        <w:pStyle w:val="13"/>
        <w:tabs>
          <w:tab w:val="left" w:pos="1290"/>
          <w:tab w:val="left" w:pos="1680"/>
        </w:tabs>
        <w:spacing w:line="360" w:lineRule="auto"/>
        <w:ind w:firstLine="480" w:firstLineChars="200"/>
        <w:rPr>
          <w:szCs w:val="24"/>
        </w:rPr>
      </w:pPr>
      <w:r>
        <w:rPr>
          <w:szCs w:val="24"/>
        </w:rPr>
        <w:t>ITU-T H.263+： H.263的增强版</w:t>
      </w:r>
    </w:p>
    <w:p>
      <w:pPr>
        <w:pStyle w:val="13"/>
        <w:tabs>
          <w:tab w:val="left" w:pos="1290"/>
          <w:tab w:val="left" w:pos="1680"/>
        </w:tabs>
        <w:spacing w:line="360" w:lineRule="auto"/>
        <w:ind w:firstLine="480" w:firstLineChars="200"/>
        <w:rPr>
          <w:szCs w:val="24"/>
        </w:rPr>
      </w:pPr>
      <w:r>
        <w:rPr>
          <w:szCs w:val="24"/>
        </w:rPr>
        <w:t>ITU-T H.263++：H.263+的增强版</w:t>
      </w:r>
    </w:p>
    <w:p>
      <w:pPr>
        <w:pStyle w:val="13"/>
        <w:tabs>
          <w:tab w:val="left" w:pos="1290"/>
          <w:tab w:val="left" w:pos="1680"/>
        </w:tabs>
        <w:spacing w:line="360" w:lineRule="auto"/>
        <w:ind w:firstLine="480" w:firstLineChars="200"/>
        <w:rPr>
          <w:szCs w:val="24"/>
        </w:rPr>
      </w:pPr>
      <w:r>
        <w:rPr>
          <w:szCs w:val="24"/>
        </w:rPr>
        <w:t>ITU-T H.264：关于高压缩比通信的视频编解码</w:t>
      </w:r>
    </w:p>
    <w:p>
      <w:pPr>
        <w:pStyle w:val="13"/>
        <w:tabs>
          <w:tab w:val="left" w:pos="1290"/>
          <w:tab w:val="left" w:pos="1680"/>
        </w:tabs>
        <w:spacing w:line="360" w:lineRule="auto"/>
        <w:ind w:firstLine="480" w:firstLineChars="200"/>
        <w:rPr>
          <w:szCs w:val="24"/>
        </w:rPr>
      </w:pPr>
      <w:r>
        <w:rPr>
          <w:szCs w:val="24"/>
        </w:rPr>
        <w:t>ITU-T H.239：关于双视频流传递协议</w:t>
      </w:r>
    </w:p>
    <w:p>
      <w:pPr>
        <w:pStyle w:val="13"/>
        <w:tabs>
          <w:tab w:val="left" w:pos="1290"/>
          <w:tab w:val="left" w:pos="1680"/>
        </w:tabs>
        <w:spacing w:line="360" w:lineRule="auto"/>
        <w:ind w:firstLine="480" w:firstLineChars="200"/>
        <w:rPr>
          <w:szCs w:val="24"/>
        </w:rPr>
      </w:pPr>
      <w:r>
        <w:rPr>
          <w:szCs w:val="24"/>
        </w:rPr>
        <w:t>ITU-T H.221：视听电信业务中的64～1920kbit/s信道的帧结构</w:t>
      </w:r>
    </w:p>
    <w:p>
      <w:pPr>
        <w:pStyle w:val="13"/>
        <w:tabs>
          <w:tab w:val="left" w:pos="1290"/>
          <w:tab w:val="left" w:pos="1680"/>
        </w:tabs>
        <w:spacing w:line="360" w:lineRule="auto"/>
        <w:ind w:firstLine="480" w:firstLineChars="200"/>
        <w:rPr>
          <w:szCs w:val="24"/>
        </w:rPr>
      </w:pPr>
      <w:r>
        <w:rPr>
          <w:szCs w:val="24"/>
        </w:rPr>
        <w:t>ITU-T H.224：利用H.221的LSD/HSD/MLP信道单工应用的实时控制</w:t>
      </w:r>
    </w:p>
    <w:p>
      <w:pPr>
        <w:pStyle w:val="13"/>
        <w:tabs>
          <w:tab w:val="left" w:pos="1290"/>
          <w:tab w:val="left" w:pos="1680"/>
        </w:tabs>
        <w:spacing w:line="360" w:lineRule="auto"/>
        <w:ind w:firstLine="480" w:firstLineChars="200"/>
        <w:rPr>
          <w:szCs w:val="24"/>
        </w:rPr>
      </w:pPr>
      <w:r>
        <w:rPr>
          <w:szCs w:val="24"/>
        </w:rPr>
        <w:t>ITU-T H.225：基于分组网络的多媒体通信系统呼叫信令与媒体流传输协议</w:t>
      </w:r>
    </w:p>
    <w:p>
      <w:pPr>
        <w:pStyle w:val="13"/>
        <w:tabs>
          <w:tab w:val="left" w:pos="1290"/>
          <w:tab w:val="left" w:pos="1680"/>
        </w:tabs>
        <w:spacing w:line="360" w:lineRule="auto"/>
        <w:ind w:firstLine="480" w:firstLineChars="200"/>
        <w:rPr>
          <w:szCs w:val="24"/>
        </w:rPr>
      </w:pPr>
      <w:r>
        <w:rPr>
          <w:szCs w:val="24"/>
        </w:rPr>
        <w:t>ITU-T H.230：视听系统的帧同步控制和指示信号</w:t>
      </w:r>
    </w:p>
    <w:p>
      <w:pPr>
        <w:pStyle w:val="13"/>
        <w:tabs>
          <w:tab w:val="left" w:pos="1290"/>
          <w:tab w:val="left" w:pos="1680"/>
        </w:tabs>
        <w:spacing w:line="360" w:lineRule="auto"/>
        <w:ind w:firstLine="480" w:firstLineChars="200"/>
        <w:rPr>
          <w:szCs w:val="24"/>
        </w:rPr>
      </w:pPr>
      <w:r>
        <w:rPr>
          <w:szCs w:val="24"/>
        </w:rPr>
        <w:t>ITU-T H.231：采用高达 1920 kbit/s 数字通路的视听系统的多点控制单元</w:t>
      </w:r>
    </w:p>
    <w:p>
      <w:pPr>
        <w:pStyle w:val="13"/>
        <w:tabs>
          <w:tab w:val="left" w:pos="1290"/>
          <w:tab w:val="left" w:pos="1680"/>
        </w:tabs>
        <w:spacing w:line="360" w:lineRule="auto"/>
        <w:ind w:firstLine="480" w:firstLineChars="200"/>
        <w:rPr>
          <w:szCs w:val="24"/>
        </w:rPr>
      </w:pPr>
      <w:r>
        <w:rPr>
          <w:szCs w:val="24"/>
        </w:rPr>
        <w:t>ITU-T H.233：视听业务的保密系统</w:t>
      </w:r>
    </w:p>
    <w:p>
      <w:pPr>
        <w:pStyle w:val="13"/>
        <w:tabs>
          <w:tab w:val="left" w:pos="1290"/>
          <w:tab w:val="left" w:pos="1680"/>
        </w:tabs>
        <w:spacing w:line="360" w:lineRule="auto"/>
        <w:ind w:firstLine="480" w:firstLineChars="200"/>
        <w:rPr>
          <w:szCs w:val="24"/>
        </w:rPr>
      </w:pPr>
      <w:r>
        <w:rPr>
          <w:szCs w:val="24"/>
        </w:rPr>
        <w:t>ITU-T H.234：视听业务的密钥管理和鉴别系统</w:t>
      </w:r>
    </w:p>
    <w:p>
      <w:pPr>
        <w:pStyle w:val="13"/>
        <w:tabs>
          <w:tab w:val="left" w:pos="1290"/>
          <w:tab w:val="left" w:pos="1680"/>
        </w:tabs>
        <w:spacing w:line="360" w:lineRule="auto"/>
        <w:ind w:firstLine="480" w:firstLineChars="200"/>
        <w:rPr>
          <w:szCs w:val="24"/>
        </w:rPr>
      </w:pPr>
      <w:r>
        <w:rPr>
          <w:szCs w:val="24"/>
        </w:rPr>
        <w:t>ITU-T H.235：用于任何终端点对点会议和多点会议</w:t>
      </w:r>
    </w:p>
    <w:p>
      <w:pPr>
        <w:pStyle w:val="13"/>
        <w:tabs>
          <w:tab w:val="left" w:pos="1290"/>
          <w:tab w:val="left" w:pos="1680"/>
        </w:tabs>
        <w:spacing w:line="360" w:lineRule="auto"/>
        <w:ind w:firstLine="480" w:firstLineChars="200"/>
        <w:rPr>
          <w:szCs w:val="24"/>
        </w:rPr>
      </w:pPr>
      <w:r>
        <w:rPr>
          <w:szCs w:val="24"/>
        </w:rPr>
        <w:t>ITU-T H.241：终端的扩展视频规程和控制信号</w:t>
      </w:r>
    </w:p>
    <w:p>
      <w:pPr>
        <w:pStyle w:val="13"/>
        <w:tabs>
          <w:tab w:val="left" w:pos="1290"/>
          <w:tab w:val="left" w:pos="1680"/>
        </w:tabs>
        <w:spacing w:line="360" w:lineRule="auto"/>
        <w:ind w:firstLine="480" w:firstLineChars="200"/>
        <w:rPr>
          <w:szCs w:val="24"/>
        </w:rPr>
      </w:pPr>
      <w:r>
        <w:rPr>
          <w:szCs w:val="24"/>
        </w:rPr>
        <w:t>ITU-T H.242：关于建立使用2Mbit/s以下数字信道的视听终端间的通信系统</w:t>
      </w:r>
    </w:p>
    <w:p>
      <w:pPr>
        <w:pStyle w:val="13"/>
        <w:tabs>
          <w:tab w:val="left" w:pos="1290"/>
          <w:tab w:val="left" w:pos="1680"/>
        </w:tabs>
        <w:spacing w:line="360" w:lineRule="auto"/>
        <w:ind w:firstLine="480" w:firstLineChars="200"/>
        <w:rPr>
          <w:szCs w:val="24"/>
        </w:rPr>
      </w:pPr>
      <w:r>
        <w:rPr>
          <w:szCs w:val="24"/>
        </w:rPr>
        <w:t>ITU-T H.243：利用2Mbit/s信道在2～3个以上的视听终端建立通信的方法</w:t>
      </w:r>
    </w:p>
    <w:p>
      <w:pPr>
        <w:pStyle w:val="13"/>
        <w:tabs>
          <w:tab w:val="left" w:pos="1290"/>
          <w:tab w:val="left" w:pos="1680"/>
        </w:tabs>
        <w:spacing w:line="360" w:lineRule="auto"/>
        <w:ind w:firstLine="480" w:firstLineChars="200"/>
        <w:rPr>
          <w:szCs w:val="24"/>
        </w:rPr>
      </w:pPr>
      <w:r>
        <w:rPr>
          <w:szCs w:val="24"/>
        </w:rPr>
        <w:t>ITU-T H.245：多媒体通信控制协议</w:t>
      </w:r>
    </w:p>
    <w:p>
      <w:pPr>
        <w:pStyle w:val="13"/>
        <w:tabs>
          <w:tab w:val="left" w:pos="1290"/>
          <w:tab w:val="left" w:pos="1680"/>
        </w:tabs>
        <w:spacing w:line="360" w:lineRule="auto"/>
        <w:ind w:firstLine="480" w:firstLineChars="200"/>
        <w:rPr>
          <w:szCs w:val="24"/>
        </w:rPr>
      </w:pPr>
      <w:r>
        <w:rPr>
          <w:szCs w:val="24"/>
        </w:rPr>
        <w:t>ITU-T H.246：支持H系列协议的多媒体终端之间的交互</w:t>
      </w:r>
    </w:p>
    <w:p>
      <w:pPr>
        <w:pStyle w:val="13"/>
        <w:tabs>
          <w:tab w:val="left" w:pos="1290"/>
          <w:tab w:val="left" w:pos="1680"/>
        </w:tabs>
        <w:spacing w:line="360" w:lineRule="auto"/>
        <w:ind w:firstLine="480" w:firstLineChars="200"/>
        <w:rPr>
          <w:szCs w:val="24"/>
        </w:rPr>
      </w:pPr>
      <w:r>
        <w:rPr>
          <w:szCs w:val="24"/>
        </w:rPr>
        <w:t>ITU-T H.281：会议电视的远端摄像机控制规程</w:t>
      </w:r>
    </w:p>
    <w:p>
      <w:pPr>
        <w:pStyle w:val="13"/>
        <w:tabs>
          <w:tab w:val="left" w:pos="1290"/>
          <w:tab w:val="left" w:pos="1680"/>
        </w:tabs>
        <w:spacing w:line="360" w:lineRule="auto"/>
        <w:ind w:firstLine="480" w:firstLineChars="200"/>
        <w:rPr>
          <w:szCs w:val="24"/>
        </w:rPr>
      </w:pPr>
      <w:r>
        <w:rPr>
          <w:szCs w:val="24"/>
        </w:rPr>
        <w:t>ITU-T H.283： 远程设备控制逻辑通道传送</w:t>
      </w:r>
    </w:p>
    <w:p>
      <w:pPr>
        <w:pStyle w:val="13"/>
        <w:tabs>
          <w:tab w:val="left" w:pos="1290"/>
          <w:tab w:val="left" w:pos="1680"/>
        </w:tabs>
        <w:spacing w:line="360" w:lineRule="auto"/>
        <w:ind w:firstLine="480" w:firstLineChars="200"/>
        <w:rPr>
          <w:szCs w:val="24"/>
        </w:rPr>
      </w:pPr>
      <w:r>
        <w:rPr>
          <w:szCs w:val="24"/>
        </w:rPr>
        <w:t>ITU-T H.320：窄带电视电话系统和终端设备</w:t>
      </w:r>
    </w:p>
    <w:p>
      <w:pPr>
        <w:pStyle w:val="13"/>
        <w:tabs>
          <w:tab w:val="left" w:pos="1290"/>
          <w:tab w:val="left" w:pos="1680"/>
        </w:tabs>
        <w:spacing w:line="360" w:lineRule="auto"/>
        <w:ind w:firstLine="480" w:firstLineChars="200"/>
        <w:rPr>
          <w:szCs w:val="24"/>
        </w:rPr>
      </w:pPr>
      <w:r>
        <w:rPr>
          <w:szCs w:val="24"/>
        </w:rPr>
        <w:t>ITU-T H.350：专门为使用VoIP视频会议制定的标准</w:t>
      </w:r>
    </w:p>
    <w:p>
      <w:pPr>
        <w:pStyle w:val="13"/>
        <w:tabs>
          <w:tab w:val="left" w:pos="1290"/>
          <w:tab w:val="left" w:pos="1680"/>
        </w:tabs>
        <w:spacing w:line="360" w:lineRule="auto"/>
        <w:ind w:firstLine="480" w:firstLineChars="200"/>
        <w:rPr>
          <w:szCs w:val="24"/>
        </w:rPr>
      </w:pPr>
      <w:r>
        <w:rPr>
          <w:szCs w:val="24"/>
        </w:rPr>
        <w:t>ITU-T H.323：基于不保证Qos的分组网络中多媒体业务的框架协议</w:t>
      </w:r>
    </w:p>
    <w:p>
      <w:pPr>
        <w:pStyle w:val="13"/>
        <w:tabs>
          <w:tab w:val="left" w:pos="1290"/>
          <w:tab w:val="left" w:pos="1680"/>
        </w:tabs>
        <w:spacing w:line="360" w:lineRule="auto"/>
        <w:ind w:firstLine="480" w:firstLineChars="200"/>
        <w:rPr>
          <w:szCs w:val="24"/>
        </w:rPr>
      </w:pPr>
      <w:r>
        <w:rPr>
          <w:szCs w:val="24"/>
        </w:rPr>
        <w:t>ITU-T T.120：视频视听系统用户层数据协议</w:t>
      </w:r>
    </w:p>
    <w:p>
      <w:pPr>
        <w:pStyle w:val="13"/>
        <w:tabs>
          <w:tab w:val="left" w:pos="1290"/>
          <w:tab w:val="left" w:pos="1680"/>
        </w:tabs>
        <w:spacing w:line="360" w:lineRule="auto"/>
        <w:ind w:firstLine="480" w:firstLineChars="200"/>
        <w:rPr>
          <w:szCs w:val="24"/>
        </w:rPr>
      </w:pPr>
      <w:r>
        <w:rPr>
          <w:szCs w:val="24"/>
        </w:rPr>
        <w:t>ITU-T T.140：多媒体应用文本会谈的协议</w:t>
      </w:r>
    </w:p>
    <w:p>
      <w:pPr>
        <w:pStyle w:val="13"/>
        <w:tabs>
          <w:tab w:val="left" w:pos="1290"/>
          <w:tab w:val="left" w:pos="1680"/>
        </w:tabs>
        <w:spacing w:line="360" w:lineRule="auto"/>
        <w:ind w:firstLine="480" w:firstLineChars="200"/>
        <w:rPr>
          <w:szCs w:val="24"/>
        </w:rPr>
      </w:pPr>
      <w:r>
        <w:rPr>
          <w:szCs w:val="24"/>
        </w:rPr>
        <w:t>ITU-T T.460：用于音视频的网络穿越的网络通信协议</w:t>
      </w:r>
    </w:p>
    <w:p>
      <w:pPr>
        <w:pStyle w:val="13"/>
        <w:tabs>
          <w:tab w:val="left" w:pos="1290"/>
          <w:tab w:val="left" w:pos="1680"/>
        </w:tabs>
        <w:spacing w:line="360" w:lineRule="auto"/>
        <w:ind w:firstLine="480" w:firstLineChars="200"/>
        <w:rPr>
          <w:szCs w:val="24"/>
        </w:rPr>
      </w:pPr>
      <w:r>
        <w:rPr>
          <w:szCs w:val="24"/>
        </w:rPr>
        <w:t>IETF  SIP：  IP网络上进行多媒体通信的应用层控制协议</w:t>
      </w:r>
    </w:p>
    <w:p>
      <w:pPr>
        <w:pStyle w:val="13"/>
        <w:tabs>
          <w:tab w:val="left" w:pos="1290"/>
          <w:tab w:val="left" w:pos="1680"/>
        </w:tabs>
        <w:spacing w:line="360" w:lineRule="auto"/>
        <w:ind w:firstLine="480" w:firstLineChars="200"/>
        <w:rPr>
          <w:szCs w:val="24"/>
        </w:rPr>
      </w:pPr>
      <w:r>
        <w:rPr>
          <w:szCs w:val="24"/>
        </w:rPr>
        <w:t>AAC-LC：低复杂度规格高级音频编码</w:t>
      </w:r>
    </w:p>
    <w:p>
      <w:pPr>
        <w:pStyle w:val="13"/>
        <w:tabs>
          <w:tab w:val="left" w:pos="1290"/>
          <w:tab w:val="left" w:pos="1680"/>
        </w:tabs>
        <w:spacing w:line="360" w:lineRule="auto"/>
        <w:ind w:firstLine="480" w:firstLineChars="200"/>
        <w:rPr>
          <w:szCs w:val="24"/>
        </w:rPr>
      </w:pPr>
      <w:r>
        <w:rPr>
          <w:szCs w:val="24"/>
        </w:rPr>
        <w:t>AAC-LD：低延迟规格高级音频编码</w:t>
      </w:r>
    </w:p>
    <w:p>
      <w:pPr>
        <w:pStyle w:val="13"/>
        <w:tabs>
          <w:tab w:val="left" w:pos="1290"/>
          <w:tab w:val="left" w:pos="1680"/>
        </w:tabs>
        <w:spacing w:line="360" w:lineRule="auto"/>
        <w:ind w:firstLine="480" w:firstLineChars="200"/>
        <w:rPr>
          <w:szCs w:val="24"/>
        </w:rPr>
      </w:pPr>
      <w:r>
        <w:rPr>
          <w:szCs w:val="24"/>
        </w:rPr>
        <w:t>HWA-LD：低延迟双声道音频编码</w:t>
      </w:r>
    </w:p>
    <w:p>
      <w:pPr>
        <w:pStyle w:val="13"/>
        <w:tabs>
          <w:tab w:val="left" w:pos="1290"/>
          <w:tab w:val="left" w:pos="1680"/>
        </w:tabs>
        <w:spacing w:line="360" w:lineRule="auto"/>
        <w:ind w:firstLine="480" w:firstLineChars="200"/>
        <w:rPr>
          <w:szCs w:val="24"/>
        </w:rPr>
      </w:pPr>
      <w:r>
        <w:rPr>
          <w:szCs w:val="24"/>
        </w:rPr>
        <w:t>G.722：用于16 KHZ采样率的标准化宽带语音编码算法</w:t>
      </w:r>
    </w:p>
    <w:p>
      <w:pPr>
        <w:pStyle w:val="13"/>
        <w:tabs>
          <w:tab w:val="left" w:pos="1290"/>
          <w:tab w:val="left" w:pos="1680"/>
        </w:tabs>
        <w:spacing w:line="360" w:lineRule="auto"/>
        <w:ind w:firstLine="480" w:firstLineChars="200"/>
        <w:rPr>
          <w:szCs w:val="24"/>
        </w:rPr>
      </w:pPr>
      <w:r>
        <w:rPr>
          <w:szCs w:val="24"/>
        </w:rPr>
        <w:t>G.711：用于8 KHZ采样率的标准化宽带语音编码算法</w:t>
      </w:r>
    </w:p>
    <w:p>
      <w:pPr>
        <w:pStyle w:val="13"/>
        <w:tabs>
          <w:tab w:val="left" w:pos="1290"/>
          <w:tab w:val="left" w:pos="1680"/>
        </w:tabs>
        <w:spacing w:line="360" w:lineRule="auto"/>
        <w:ind w:firstLine="480" w:firstLineChars="200"/>
        <w:rPr>
          <w:szCs w:val="24"/>
        </w:rPr>
      </w:pPr>
      <w:r>
        <w:rPr>
          <w:szCs w:val="24"/>
        </w:rPr>
        <w:t>G.728：电话声音信号编码方式</w:t>
      </w:r>
    </w:p>
    <w:p>
      <w:pPr>
        <w:pStyle w:val="13"/>
        <w:tabs>
          <w:tab w:val="left" w:pos="1290"/>
          <w:tab w:val="left" w:pos="1680"/>
        </w:tabs>
        <w:spacing w:line="360" w:lineRule="auto"/>
        <w:ind w:firstLine="480" w:firstLineChars="200"/>
        <w:rPr>
          <w:szCs w:val="24"/>
        </w:rPr>
      </w:pPr>
      <w:r>
        <w:rPr>
          <w:szCs w:val="24"/>
        </w:rPr>
        <w:t>TCP/IP：传输控制协议/网间协议</w:t>
      </w:r>
    </w:p>
    <w:p>
      <w:pPr>
        <w:pStyle w:val="13"/>
        <w:tabs>
          <w:tab w:val="left" w:pos="1290"/>
          <w:tab w:val="left" w:pos="1680"/>
        </w:tabs>
        <w:spacing w:line="360" w:lineRule="auto"/>
        <w:ind w:firstLine="480" w:firstLineChars="200"/>
        <w:rPr>
          <w:szCs w:val="24"/>
        </w:rPr>
      </w:pPr>
      <w:r>
        <w:rPr>
          <w:szCs w:val="24"/>
        </w:rPr>
        <w:t>FTP：用于在网络上进行文件传输的一套标准协议</w:t>
      </w:r>
    </w:p>
    <w:p>
      <w:pPr>
        <w:pStyle w:val="13"/>
        <w:tabs>
          <w:tab w:val="left" w:pos="1290"/>
          <w:tab w:val="left" w:pos="1680"/>
        </w:tabs>
        <w:spacing w:line="360" w:lineRule="auto"/>
        <w:ind w:firstLine="480" w:firstLineChars="200"/>
        <w:rPr>
          <w:szCs w:val="24"/>
        </w:rPr>
      </w:pPr>
      <w:r>
        <w:rPr>
          <w:szCs w:val="24"/>
        </w:rPr>
        <w:t>DHCP：局域网的网络协议</w:t>
      </w:r>
    </w:p>
    <w:p>
      <w:pPr>
        <w:pStyle w:val="13"/>
        <w:tabs>
          <w:tab w:val="left" w:pos="1290"/>
          <w:tab w:val="left" w:pos="1680"/>
        </w:tabs>
        <w:spacing w:line="360" w:lineRule="auto"/>
        <w:ind w:firstLine="480" w:firstLineChars="200"/>
        <w:rPr>
          <w:szCs w:val="24"/>
        </w:rPr>
      </w:pPr>
      <w:r>
        <w:rPr>
          <w:szCs w:val="24"/>
        </w:rPr>
        <w:t>SNMP：简单网络管理协议</w:t>
      </w:r>
    </w:p>
    <w:p>
      <w:pPr>
        <w:pStyle w:val="13"/>
        <w:tabs>
          <w:tab w:val="left" w:pos="1290"/>
          <w:tab w:val="left" w:pos="1680"/>
        </w:tabs>
        <w:spacing w:line="360" w:lineRule="auto"/>
        <w:ind w:firstLine="480" w:firstLineChars="200"/>
        <w:rPr>
          <w:szCs w:val="24"/>
        </w:rPr>
      </w:pPr>
      <w:r>
        <w:rPr>
          <w:szCs w:val="24"/>
        </w:rPr>
        <w:t>Telnet：是Internet远程登陆服务的标准协议</w:t>
      </w:r>
    </w:p>
    <w:p>
      <w:pPr>
        <w:pStyle w:val="13"/>
        <w:tabs>
          <w:tab w:val="left" w:pos="1290"/>
          <w:tab w:val="left" w:pos="1680"/>
        </w:tabs>
        <w:spacing w:line="360" w:lineRule="auto"/>
        <w:ind w:firstLine="480" w:firstLineChars="200"/>
        <w:rPr>
          <w:szCs w:val="24"/>
        </w:rPr>
      </w:pPr>
      <w:r>
        <w:rPr>
          <w:szCs w:val="24"/>
        </w:rPr>
        <w:t>HTTP：超文本传输协议</w:t>
      </w:r>
    </w:p>
    <w:p>
      <w:pPr>
        <w:pStyle w:val="13"/>
        <w:tabs>
          <w:tab w:val="left" w:pos="1290"/>
          <w:tab w:val="left" w:pos="1680"/>
        </w:tabs>
        <w:spacing w:line="360" w:lineRule="auto"/>
        <w:ind w:firstLine="480" w:firstLineChars="200"/>
        <w:rPr>
          <w:szCs w:val="24"/>
        </w:rPr>
      </w:pPr>
      <w:r>
        <w:rPr>
          <w:szCs w:val="24"/>
        </w:rPr>
        <w:t>HTTPS：安全超文本传输协议</w:t>
      </w:r>
    </w:p>
    <w:p>
      <w:pPr>
        <w:pStyle w:val="13"/>
        <w:tabs>
          <w:tab w:val="left" w:pos="1290"/>
          <w:tab w:val="left" w:pos="1680"/>
        </w:tabs>
        <w:spacing w:line="360" w:lineRule="auto"/>
        <w:ind w:firstLine="480" w:firstLineChars="200"/>
        <w:rPr>
          <w:szCs w:val="24"/>
        </w:rPr>
      </w:pPr>
      <w:r>
        <w:rPr>
          <w:szCs w:val="24"/>
        </w:rPr>
        <w:t>PPPoE：以太网上的点对点协议</w:t>
      </w:r>
    </w:p>
    <w:p>
      <w:pPr>
        <w:pStyle w:val="13"/>
        <w:tabs>
          <w:tab w:val="left" w:pos="1290"/>
          <w:tab w:val="left" w:pos="1680"/>
        </w:tabs>
        <w:spacing w:line="360" w:lineRule="auto"/>
        <w:ind w:firstLine="480" w:firstLineChars="200"/>
        <w:rPr>
          <w:szCs w:val="24"/>
        </w:rPr>
      </w:pPr>
      <w:r>
        <w:rPr>
          <w:szCs w:val="24"/>
        </w:rPr>
        <w:t>RTP：实时传输协议</w:t>
      </w:r>
    </w:p>
    <w:p>
      <w:pPr>
        <w:pStyle w:val="13"/>
        <w:tabs>
          <w:tab w:val="left" w:pos="1290"/>
          <w:tab w:val="left" w:pos="1680"/>
        </w:tabs>
        <w:spacing w:line="360" w:lineRule="auto"/>
        <w:ind w:firstLine="480" w:firstLineChars="200"/>
        <w:rPr>
          <w:szCs w:val="24"/>
        </w:rPr>
      </w:pPr>
      <w:r>
        <w:rPr>
          <w:szCs w:val="24"/>
        </w:rPr>
        <w:t>RTCP：实时传输控制协议</w:t>
      </w:r>
    </w:p>
    <w:p>
      <w:pPr>
        <w:pStyle w:val="13"/>
        <w:tabs>
          <w:tab w:val="left" w:pos="1290"/>
          <w:tab w:val="left" w:pos="1680"/>
        </w:tabs>
        <w:spacing w:line="360" w:lineRule="auto"/>
        <w:ind w:firstLine="480" w:firstLineChars="200"/>
        <w:rPr>
          <w:szCs w:val="24"/>
        </w:rPr>
      </w:pPr>
    </w:p>
    <w:p>
      <w:pPr>
        <w:pStyle w:val="13"/>
        <w:tabs>
          <w:tab w:val="left" w:pos="1290"/>
          <w:tab w:val="left" w:pos="1680"/>
        </w:tabs>
        <w:spacing w:line="360" w:lineRule="auto"/>
        <w:ind w:firstLine="480" w:firstLineChars="200"/>
        <w:rPr>
          <w:szCs w:val="24"/>
        </w:rPr>
      </w:pPr>
      <w:r>
        <w:rPr>
          <w:rFonts w:hint="eastAsia"/>
          <w:szCs w:val="24"/>
        </w:rPr>
        <w:t>2. 设备的设计与制造要求采用国际公制单位，个别部件采用英制单位应列出清单。</w:t>
      </w:r>
    </w:p>
    <w:p>
      <w:pPr>
        <w:pStyle w:val="13"/>
        <w:tabs>
          <w:tab w:val="left" w:pos="1290"/>
          <w:tab w:val="left" w:pos="1680"/>
        </w:tabs>
        <w:spacing w:line="360" w:lineRule="auto"/>
        <w:ind w:firstLine="480" w:firstLineChars="200"/>
        <w:rPr>
          <w:szCs w:val="24"/>
        </w:rPr>
      </w:pPr>
      <w:r>
        <w:rPr>
          <w:rFonts w:hint="eastAsia"/>
          <w:szCs w:val="24"/>
        </w:rPr>
        <w:t>3. 防爆电气设备应按中国国家防爆标准或其它中国防爆检验部门认可的标准制造。</w:t>
      </w:r>
    </w:p>
    <w:p>
      <w:pPr>
        <w:pStyle w:val="13"/>
        <w:tabs>
          <w:tab w:val="left" w:pos="1290"/>
          <w:tab w:val="left" w:pos="1680"/>
        </w:tabs>
        <w:spacing w:line="360" w:lineRule="auto"/>
        <w:ind w:firstLine="480" w:firstLineChars="200"/>
        <w:rPr>
          <w:rFonts w:hint="eastAsia"/>
          <w:szCs w:val="24"/>
        </w:rPr>
      </w:pPr>
      <w:r>
        <w:rPr>
          <w:rFonts w:hint="eastAsia"/>
          <w:szCs w:val="24"/>
        </w:rPr>
        <w:t>4. 上述标准均应为投标截止日时的最新有效版。</w:t>
      </w:r>
    </w:p>
    <w:p>
      <w:pPr>
        <w:pStyle w:val="13"/>
        <w:tabs>
          <w:tab w:val="left" w:pos="1290"/>
          <w:tab w:val="left" w:pos="1680"/>
        </w:tabs>
        <w:spacing w:line="360" w:lineRule="auto"/>
        <w:ind w:firstLine="480" w:firstLineChars="200"/>
        <w:rPr>
          <w:rFonts w:hint="eastAsia"/>
          <w:szCs w:val="24"/>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080E0000" w:usb2="00000000"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5050102010706020507"/>
    <w:charset w:val="02"/>
    <w:family w:val="roman"/>
    <w:pitch w:val="default"/>
    <w:sig w:usb0="00000000" w:usb1="00000000" w:usb2="00000000" w:usb3="00000000" w:csb0="80000000" w:csb1="00000000"/>
  </w:font>
  <w:font w:name="Cambria">
    <w:altName w:val="RomanS"/>
    <w:panose1 w:val="02040503050406030204"/>
    <w:charset w:val="00"/>
    <w:family w:val="roman"/>
    <w:pitch w:val="default"/>
    <w:sig w:usb0="00000000" w:usb1="00000000" w:usb2="00000000" w:usb3="00000000" w:csb0="0000019F" w:csb1="00000000"/>
  </w:font>
  <w:font w:name="Calibri">
    <w:altName w:val="微软雅黑"/>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61007A87" w:usb1="80000000" w:usb2="00000008" w:usb3="00000000" w:csb0="200101FF" w:csb1="20280000"/>
  </w:font>
  <w:font w:name="Arial">
    <w:panose1 w:val="020B0604020202020204"/>
    <w:charset w:val="00"/>
    <w:family w:val="swiss"/>
    <w:pitch w:val="default"/>
    <w:sig w:usb0="00007A87" w:usb1="80000000" w:usb2="00000008" w:usb3="00000000" w:csb0="400001FF" w:csb1="FFFF0000"/>
  </w:font>
  <w:font w:name="Courier New">
    <w:panose1 w:val="02070309020205020404"/>
    <w:charset w:val="00"/>
    <w:family w:val="modern"/>
    <w:pitch w:val="default"/>
    <w:sig w:usb0="00007A87" w:usb1="80000000" w:usb2="00000008" w:usb3="00000000" w:csb0="400001FF" w:csb1="FFFF0000"/>
  </w:font>
  <w:font w:name="RomanS">
    <w:panose1 w:val="02000400000000000000"/>
    <w:charset w:val="00"/>
    <w:family w:val="auto"/>
    <w:pitch w:val="default"/>
    <w:sig w:usb0="00000207" w:usb1="00000000" w:usb2="00000000" w:usb3="00000000" w:csb0="000001FF" w:csb1="00000000"/>
  </w:font>
  <w:font w:name="微软雅黑">
    <w:panose1 w:val="020B0503020204020204"/>
    <w:charset w:val="86"/>
    <w:family w:val="auto"/>
    <w:pitch w:val="default"/>
    <w:sig w:usb0="80000287" w:usb1="080F3C52" w:usb2="00000016" w:usb3="00000000" w:csb0="0004001F" w:csb1="00000000"/>
  </w:font>
  <w:font w:name="ArialMT">
    <w:altName w:val="Arial"/>
    <w:panose1 w:val="00000000000000000000"/>
    <w:charset w:val="00"/>
    <w:family w:val="swiss"/>
    <w:pitch w:val="default"/>
    <w:sig w:usb0="00000000"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62DA1A"/>
    <w:multiLevelType w:val="singleLevel"/>
    <w:tmpl w:val="5962DA1A"/>
    <w:lvl w:ilvl="0" w:tentative="0">
      <w:start w:val="2"/>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5904"/>
    <w:rsid w:val="00042263"/>
    <w:rsid w:val="001018C4"/>
    <w:rsid w:val="001A5904"/>
    <w:rsid w:val="00240575"/>
    <w:rsid w:val="00241A89"/>
    <w:rsid w:val="003D2EB6"/>
    <w:rsid w:val="0049494A"/>
    <w:rsid w:val="007378D0"/>
    <w:rsid w:val="009D4E28"/>
    <w:rsid w:val="00A87327"/>
    <w:rsid w:val="00AD1B51"/>
    <w:rsid w:val="00AF0B8A"/>
    <w:rsid w:val="00B34010"/>
    <w:rsid w:val="00BA09AD"/>
    <w:rsid w:val="00BE5AC6"/>
    <w:rsid w:val="00BF1023"/>
    <w:rsid w:val="00D44740"/>
    <w:rsid w:val="00DB42BA"/>
    <w:rsid w:val="00DC056E"/>
    <w:rsid w:val="00EE0FD1"/>
    <w:rsid w:val="025824BE"/>
    <w:rsid w:val="02764800"/>
    <w:rsid w:val="02E913EA"/>
    <w:rsid w:val="0337013C"/>
    <w:rsid w:val="039D6B48"/>
    <w:rsid w:val="03EF50CB"/>
    <w:rsid w:val="04554F14"/>
    <w:rsid w:val="04E7575E"/>
    <w:rsid w:val="0580101F"/>
    <w:rsid w:val="05D11869"/>
    <w:rsid w:val="06991CAF"/>
    <w:rsid w:val="0A031A5F"/>
    <w:rsid w:val="0D2E0D74"/>
    <w:rsid w:val="0D354F63"/>
    <w:rsid w:val="0E0A1F23"/>
    <w:rsid w:val="10600436"/>
    <w:rsid w:val="11671FE9"/>
    <w:rsid w:val="136B1103"/>
    <w:rsid w:val="13C7753B"/>
    <w:rsid w:val="13EC56E9"/>
    <w:rsid w:val="14110447"/>
    <w:rsid w:val="158F4E91"/>
    <w:rsid w:val="15E64651"/>
    <w:rsid w:val="17463D3B"/>
    <w:rsid w:val="178136F7"/>
    <w:rsid w:val="179E5601"/>
    <w:rsid w:val="18B170AA"/>
    <w:rsid w:val="18F379A1"/>
    <w:rsid w:val="190A6E8A"/>
    <w:rsid w:val="197D08AB"/>
    <w:rsid w:val="19FE7296"/>
    <w:rsid w:val="1A8506B8"/>
    <w:rsid w:val="1B1043EE"/>
    <w:rsid w:val="1B927794"/>
    <w:rsid w:val="1BF6769C"/>
    <w:rsid w:val="1CC22B55"/>
    <w:rsid w:val="1E5F210C"/>
    <w:rsid w:val="1EE42C30"/>
    <w:rsid w:val="1FB63E1B"/>
    <w:rsid w:val="205A50B8"/>
    <w:rsid w:val="20F065AB"/>
    <w:rsid w:val="20F85027"/>
    <w:rsid w:val="21B44A7D"/>
    <w:rsid w:val="21DC0F8A"/>
    <w:rsid w:val="22F452C4"/>
    <w:rsid w:val="232035EC"/>
    <w:rsid w:val="234617FC"/>
    <w:rsid w:val="23E30FD7"/>
    <w:rsid w:val="23F00ECE"/>
    <w:rsid w:val="243B3C93"/>
    <w:rsid w:val="246E448C"/>
    <w:rsid w:val="25F56DE1"/>
    <w:rsid w:val="275F140B"/>
    <w:rsid w:val="28FF5395"/>
    <w:rsid w:val="29125A65"/>
    <w:rsid w:val="293F5A34"/>
    <w:rsid w:val="294A29B3"/>
    <w:rsid w:val="2A457AF7"/>
    <w:rsid w:val="2A687466"/>
    <w:rsid w:val="2A805B8C"/>
    <w:rsid w:val="2AC67973"/>
    <w:rsid w:val="2B6B3D62"/>
    <w:rsid w:val="2C4E6AA3"/>
    <w:rsid w:val="2C987B2F"/>
    <w:rsid w:val="2D950E37"/>
    <w:rsid w:val="2E2F0D5F"/>
    <w:rsid w:val="3037126D"/>
    <w:rsid w:val="30794443"/>
    <w:rsid w:val="30F42C99"/>
    <w:rsid w:val="310170AA"/>
    <w:rsid w:val="32DC6A4D"/>
    <w:rsid w:val="33F86FD0"/>
    <w:rsid w:val="34482720"/>
    <w:rsid w:val="34FB6DB0"/>
    <w:rsid w:val="3514231E"/>
    <w:rsid w:val="36E97700"/>
    <w:rsid w:val="372A4B5A"/>
    <w:rsid w:val="377D69A2"/>
    <w:rsid w:val="38006D81"/>
    <w:rsid w:val="38487773"/>
    <w:rsid w:val="38A77DB6"/>
    <w:rsid w:val="38BC37FC"/>
    <w:rsid w:val="39A57125"/>
    <w:rsid w:val="39D53293"/>
    <w:rsid w:val="3A897345"/>
    <w:rsid w:val="3B610632"/>
    <w:rsid w:val="3BAF03DF"/>
    <w:rsid w:val="3BD06FFC"/>
    <w:rsid w:val="3BFD2E2C"/>
    <w:rsid w:val="3C0162F5"/>
    <w:rsid w:val="3C0F25B3"/>
    <w:rsid w:val="3C5F6C99"/>
    <w:rsid w:val="3CBF2920"/>
    <w:rsid w:val="3CD33EC1"/>
    <w:rsid w:val="3D197984"/>
    <w:rsid w:val="3D5309C3"/>
    <w:rsid w:val="3D9F239E"/>
    <w:rsid w:val="3EFC5749"/>
    <w:rsid w:val="40C94012"/>
    <w:rsid w:val="41312255"/>
    <w:rsid w:val="41C959C4"/>
    <w:rsid w:val="43E31C58"/>
    <w:rsid w:val="455D26CA"/>
    <w:rsid w:val="45791580"/>
    <w:rsid w:val="45954C2C"/>
    <w:rsid w:val="45C7032B"/>
    <w:rsid w:val="470D3C35"/>
    <w:rsid w:val="47666CB4"/>
    <w:rsid w:val="480453AB"/>
    <w:rsid w:val="490671EB"/>
    <w:rsid w:val="49A519E9"/>
    <w:rsid w:val="49B67E09"/>
    <w:rsid w:val="49EA2658"/>
    <w:rsid w:val="4A0D6BC8"/>
    <w:rsid w:val="4B9665BE"/>
    <w:rsid w:val="4BC94D9E"/>
    <w:rsid w:val="4D3D60D5"/>
    <w:rsid w:val="4E563A15"/>
    <w:rsid w:val="4EB54572"/>
    <w:rsid w:val="4F344B49"/>
    <w:rsid w:val="4F3F6ABF"/>
    <w:rsid w:val="4FCC2125"/>
    <w:rsid w:val="509902B3"/>
    <w:rsid w:val="52667543"/>
    <w:rsid w:val="54FD29E2"/>
    <w:rsid w:val="55232492"/>
    <w:rsid w:val="55984C99"/>
    <w:rsid w:val="55A741F1"/>
    <w:rsid w:val="57097892"/>
    <w:rsid w:val="573B0C96"/>
    <w:rsid w:val="57FE70CB"/>
    <w:rsid w:val="58D368D0"/>
    <w:rsid w:val="5A7D6DDF"/>
    <w:rsid w:val="5A812E5D"/>
    <w:rsid w:val="5DDC3865"/>
    <w:rsid w:val="61E97989"/>
    <w:rsid w:val="625C1C96"/>
    <w:rsid w:val="628C6952"/>
    <w:rsid w:val="62A70AE1"/>
    <w:rsid w:val="62BE77EF"/>
    <w:rsid w:val="63B77E1C"/>
    <w:rsid w:val="64D6740E"/>
    <w:rsid w:val="65002305"/>
    <w:rsid w:val="65B619D0"/>
    <w:rsid w:val="65C33D90"/>
    <w:rsid w:val="65D61B8A"/>
    <w:rsid w:val="661A036A"/>
    <w:rsid w:val="667E2A92"/>
    <w:rsid w:val="66AF5D08"/>
    <w:rsid w:val="671E6EC2"/>
    <w:rsid w:val="69DB7B7C"/>
    <w:rsid w:val="69F24933"/>
    <w:rsid w:val="6AE320C2"/>
    <w:rsid w:val="6BB54FAD"/>
    <w:rsid w:val="6C7910A0"/>
    <w:rsid w:val="6CEA368B"/>
    <w:rsid w:val="6E040A79"/>
    <w:rsid w:val="6FCE4422"/>
    <w:rsid w:val="6FD03805"/>
    <w:rsid w:val="6FFF7D6F"/>
    <w:rsid w:val="70E57D2E"/>
    <w:rsid w:val="71E6373B"/>
    <w:rsid w:val="72CB72F0"/>
    <w:rsid w:val="73114853"/>
    <w:rsid w:val="73561EE7"/>
    <w:rsid w:val="73721456"/>
    <w:rsid w:val="746673C2"/>
    <w:rsid w:val="7508216C"/>
    <w:rsid w:val="76651088"/>
    <w:rsid w:val="76D54758"/>
    <w:rsid w:val="77536BF7"/>
    <w:rsid w:val="7B4618BC"/>
    <w:rsid w:val="7CBE1B7B"/>
    <w:rsid w:val="7DDB36B1"/>
    <w:rsid w:val="7EF33ED3"/>
    <w:rsid w:val="7F4C0DBD"/>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unhideWhenUsed="0" w:uiPriority="0" w:semiHidden="0" w:name="heading 1"/>
    <w:lsdException w:unhideWhenUsed="0" w:uiPriority="0" w:semiHidden="0" w:name="heading 2"/>
    <w:lsdException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nhideWhenUsed="0" w:uiPriority="0" w:semiHidden="0" w:name="footnote text"/>
    <w:lsdException w:uiPriority="99" w:name="annotation text"/>
    <w:lsdException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nhideWhenUsed="0" w:uiPriority="0" w:semiHidden="0"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uiPriority w:val="0"/>
    <w:pPr>
      <w:keepNext/>
      <w:keepLines/>
      <w:spacing w:before="340" w:after="330" w:line="578" w:lineRule="auto"/>
      <w:outlineLvl w:val="0"/>
    </w:pPr>
    <w:rPr>
      <w:b/>
      <w:bCs/>
      <w:kern w:val="44"/>
      <w:sz w:val="44"/>
      <w:szCs w:val="44"/>
    </w:rPr>
  </w:style>
  <w:style w:type="paragraph" w:styleId="3">
    <w:name w:val="heading 2"/>
    <w:next w:val="1"/>
    <w:uiPriority w:val="0"/>
    <w:pPr>
      <w:keepNext/>
      <w:tabs>
        <w:tab w:val="left" w:pos="576"/>
      </w:tabs>
      <w:spacing w:before="240" w:after="240"/>
      <w:ind w:left="576" w:hanging="576"/>
      <w:jc w:val="both"/>
      <w:outlineLvl w:val="1"/>
    </w:pPr>
    <w:rPr>
      <w:rFonts w:ascii="Arial" w:hAnsi="Arial" w:eastAsia="黑体" w:cs="Times New Roman"/>
      <w:sz w:val="24"/>
      <w:szCs w:val="24"/>
      <w:lang w:val="en-US" w:eastAsia="zh-CN" w:bidi="ar-SA"/>
    </w:rPr>
  </w:style>
  <w:style w:type="paragraph" w:styleId="4">
    <w:name w:val="heading 3"/>
    <w:basedOn w:val="1"/>
    <w:next w:val="1"/>
    <w:uiPriority w:val="0"/>
    <w:pPr>
      <w:keepNext/>
      <w:keepLines/>
      <w:spacing w:before="260" w:after="260" w:line="415" w:lineRule="auto"/>
      <w:outlineLvl w:val="2"/>
    </w:pPr>
    <w:rPr>
      <w:b/>
      <w:bCs/>
      <w:sz w:val="32"/>
      <w:szCs w:val="32"/>
    </w:rPr>
  </w:style>
  <w:style w:type="character" w:default="1" w:styleId="10">
    <w:name w:val="Default Paragraph Font"/>
    <w:unhideWhenUsed/>
    <w:qFormat/>
    <w:uiPriority w:val="1"/>
  </w:style>
  <w:style w:type="table" w:default="1" w:styleId="12">
    <w:name w:val="Normal Table"/>
    <w:unhideWhenUsed/>
    <w:uiPriority w:val="99"/>
    <w:tblPr>
      <w:tblLayout w:type="fixed"/>
      <w:tblCellMar>
        <w:top w:w="0" w:type="dxa"/>
        <w:left w:w="108" w:type="dxa"/>
        <w:bottom w:w="0" w:type="dxa"/>
        <w:right w:w="108" w:type="dxa"/>
      </w:tblCellMar>
    </w:tblPr>
  </w:style>
  <w:style w:type="paragraph" w:styleId="5">
    <w:name w:val="Document Map"/>
    <w:basedOn w:val="1"/>
    <w:qFormat/>
    <w:uiPriority w:val="0"/>
    <w:rPr>
      <w:rFonts w:ascii="宋体"/>
      <w:sz w:val="18"/>
      <w:szCs w:val="18"/>
    </w:rPr>
  </w:style>
  <w:style w:type="paragraph" w:styleId="6">
    <w:name w:val="Plain Text"/>
    <w:basedOn w:val="1"/>
    <w:qFormat/>
    <w:uiPriority w:val="0"/>
    <w:rPr>
      <w:rFonts w:ascii="宋体" w:cs="Courier New"/>
      <w:szCs w:val="21"/>
    </w:rPr>
  </w:style>
  <w:style w:type="paragraph" w:styleId="7">
    <w:name w:val="footer"/>
    <w:basedOn w:val="1"/>
    <w:qFormat/>
    <w:uiPriority w:val="0"/>
    <w:pPr>
      <w:tabs>
        <w:tab w:val="center" w:pos="4153"/>
        <w:tab w:val="right" w:pos="8306"/>
      </w:tabs>
      <w:snapToGrid w:val="0"/>
      <w:jc w:val="left"/>
    </w:pPr>
    <w:rPr>
      <w:rFonts w:ascii="Calibri" w:hAnsi="Calibri" w:cs="黑体"/>
      <w:sz w:val="18"/>
      <w:szCs w:val="18"/>
    </w:rPr>
  </w:style>
  <w:style w:type="paragraph" w:styleId="8">
    <w:name w:val="header"/>
    <w:basedOn w:val="1"/>
    <w:uiPriority w:val="0"/>
    <w:pPr>
      <w:pBdr>
        <w:bottom w:val="single" w:color="auto" w:sz="6" w:space="1"/>
      </w:pBdr>
      <w:tabs>
        <w:tab w:val="center" w:pos="4153"/>
        <w:tab w:val="right" w:pos="8306"/>
      </w:tabs>
      <w:snapToGrid w:val="0"/>
      <w:jc w:val="center"/>
    </w:pPr>
    <w:rPr>
      <w:rFonts w:ascii="Calibri" w:hAnsi="Calibri" w:cs="黑体"/>
      <w:sz w:val="18"/>
      <w:szCs w:val="18"/>
    </w:rPr>
  </w:style>
  <w:style w:type="paragraph" w:styleId="9">
    <w:name w:val="footnote text"/>
    <w:basedOn w:val="1"/>
    <w:uiPriority w:val="0"/>
    <w:pPr>
      <w:snapToGrid w:val="0"/>
      <w:jc w:val="left"/>
    </w:pPr>
    <w:rPr>
      <w:sz w:val="18"/>
      <w:szCs w:val="18"/>
    </w:rPr>
  </w:style>
  <w:style w:type="character" w:styleId="11">
    <w:name w:val="footnote reference"/>
    <w:qFormat/>
    <w:uiPriority w:val="0"/>
    <w:rPr>
      <w:vertAlign w:val="superscript"/>
    </w:rPr>
  </w:style>
  <w:style w:type="paragraph" w:customStyle="1" w:styleId="13">
    <w:name w:val="普通 (Web)"/>
    <w:qFormat/>
    <w:uiPriority w:val="0"/>
    <w:pPr>
      <w:spacing w:before="100" w:after="100"/>
    </w:pPr>
    <w:rPr>
      <w:rFonts w:ascii="宋体" w:hAnsi="Times New Roman" w:eastAsia="宋体" w:cs="Times New Roman"/>
      <w:sz w:val="24"/>
      <w:lang w:val="en-US" w:eastAsia="zh-CN" w:bidi="ar-SA"/>
    </w:rPr>
  </w:style>
  <w:style w:type="character" w:customStyle="1" w:styleId="14">
    <w:name w:val="纯文本 Char1"/>
    <w:qFormat/>
    <w:uiPriority w:val="0"/>
    <w:rPr>
      <w:rFonts w:ascii="宋体" w:eastAsia="宋体" w:cs="Courier New"/>
      <w:szCs w:val="21"/>
    </w:rPr>
  </w:style>
  <w:style w:type="paragraph" w:customStyle="1" w:styleId="15">
    <w:name w:val="Table Text"/>
    <w:uiPriority w:val="0"/>
    <w:pPr>
      <w:tabs>
        <w:tab w:val="decimal" w:pos="0"/>
      </w:tabs>
    </w:pPr>
    <w:rPr>
      <w:rFonts w:ascii="Arial" w:hAnsi="Arial" w:eastAsia="宋体" w:cs="Times New Roman"/>
      <w:sz w:val="21"/>
      <w:szCs w:val="21"/>
      <w:lang w:val="en-US" w:eastAsia="zh-CN" w:bidi="ar-SA"/>
    </w:rPr>
  </w:style>
  <w:style w:type="paragraph" w:customStyle="1" w:styleId="16">
    <w:name w:val="Item List"/>
    <w:qFormat/>
    <w:uiPriority w:val="0"/>
    <w:pPr>
      <w:tabs>
        <w:tab w:val="left" w:pos="360"/>
      </w:tabs>
      <w:spacing w:line="300" w:lineRule="auto"/>
      <w:ind w:firstLine="425"/>
      <w:jc w:val="both"/>
    </w:pPr>
    <w:rPr>
      <w:rFonts w:ascii="Arial" w:hAnsi="Arial" w:eastAsia="宋体" w:cs="Times New Roman"/>
      <w:color w:val="000000"/>
      <w:sz w:val="24"/>
      <w:lang w:val="en-US" w:eastAsia="zh-CN" w:bidi="ar-SA"/>
    </w:rPr>
  </w:style>
  <w:style w:type="paragraph" w:customStyle="1" w:styleId="17">
    <w:name w:val="Char Char Char1 Char Char"/>
    <w:basedOn w:val="1"/>
    <w:qFormat/>
    <w:uiPriority w:val="0"/>
  </w:style>
  <w:style w:type="paragraph" w:customStyle="1" w:styleId="18">
    <w:name w:val="图样式"/>
    <w:basedOn w:val="1"/>
    <w:qFormat/>
    <w:uiPriority w:val="0"/>
    <w:pPr>
      <w:keepNext/>
      <w:widowControl/>
      <w:autoSpaceDE w:val="0"/>
      <w:autoSpaceDN w:val="0"/>
      <w:adjustRightInd w:val="0"/>
      <w:spacing w:before="80" w:after="80" w:line="360" w:lineRule="auto"/>
      <w:jc w:val="center"/>
    </w:pPr>
    <w:rPr>
      <w:snapToGrid w:val="0"/>
      <w:kern w:val="0"/>
      <w:szCs w:val="21"/>
    </w:rPr>
  </w:style>
  <w:style w:type="paragraph" w:customStyle="1" w:styleId="19">
    <w:name w:val="_Style 23"/>
    <w:basedOn w:val="1"/>
    <w:qFormat/>
    <w:uiPriority w:val="0"/>
    <w:pPr>
      <w:widowControl/>
      <w:snapToGrid w:val="0"/>
      <w:spacing w:after="160" w:line="360" w:lineRule="auto"/>
      <w:jc w:val="left"/>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1067</Words>
  <Characters>6086</Characters>
  <Lines>50</Lines>
  <Paragraphs>14</Paragraphs>
  <ScaleCrop>false</ScaleCrop>
  <LinksUpToDate>false</LinksUpToDate>
  <CharactersWithSpaces>7139</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2017-06-30T04:34:00Z</dcterms:created>
  <dc:creator>xuejun</dc:creator>
  <cp:lastModifiedBy>Administrator</cp:lastModifiedBy>
  <dcterms:modified xsi:type="dcterms:W3CDTF">2017-07-10T01:34:31Z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ies>
</file>