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公告附件：</w:t>
      </w:r>
      <w:bookmarkStart w:id="0" w:name="_Toc15364"/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自有</w:t>
      </w:r>
      <w:r>
        <w:rPr>
          <w:rFonts w:hint="eastAsia"/>
          <w:color w:val="auto"/>
          <w:sz w:val="24"/>
          <w:szCs w:val="24"/>
          <w:highlight w:val="none"/>
        </w:rPr>
        <w:t>设备要求</w:t>
      </w:r>
      <w:bookmarkEnd w:id="0"/>
    </w:p>
    <w:p>
      <w:pPr>
        <w:spacing w:line="480" w:lineRule="auto"/>
        <w:ind w:firstLine="480" w:firstLineChars="200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/>
          <w:color w:val="auto"/>
          <w:sz w:val="24"/>
          <w:szCs w:val="24"/>
          <w:highlight w:val="none"/>
        </w:rPr>
        <w:t>装载设备铲斗斗容必须在2立方米以上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auto"/>
          <w:sz w:val="24"/>
          <w:szCs w:val="24"/>
          <w:highlight w:val="none"/>
        </w:rPr>
        <w:t>装载设备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数量不少于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10台，</w:t>
      </w:r>
      <w:r>
        <w:rPr>
          <w:rFonts w:hint="eastAsia"/>
          <w:color w:val="auto"/>
          <w:sz w:val="24"/>
          <w:szCs w:val="24"/>
          <w:highlight w:val="none"/>
        </w:rPr>
        <w:t>若设备型号大于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规定</w:t>
      </w:r>
      <w:r>
        <w:rPr>
          <w:rFonts w:hint="eastAsia"/>
          <w:color w:val="auto"/>
          <w:sz w:val="24"/>
          <w:szCs w:val="24"/>
          <w:highlight w:val="none"/>
        </w:rPr>
        <w:t>标准，设备台数按核定型号台数进行换算。</w:t>
      </w:r>
    </w:p>
    <w:p>
      <w:pPr>
        <w:spacing w:line="480" w:lineRule="auto"/>
        <w:ind w:firstLine="480" w:firstLineChars="200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/>
          <w:color w:val="auto"/>
          <w:sz w:val="24"/>
          <w:szCs w:val="24"/>
          <w:highlight w:val="none"/>
        </w:rPr>
        <w:t>自卸汽车标定载重量在20吨以上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auto"/>
          <w:sz w:val="24"/>
          <w:szCs w:val="24"/>
          <w:highlight w:val="none"/>
        </w:rPr>
        <w:t>汽车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数量不少于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75台，</w:t>
      </w:r>
      <w:r>
        <w:rPr>
          <w:rFonts w:hint="eastAsia"/>
          <w:color w:val="auto"/>
          <w:sz w:val="24"/>
          <w:szCs w:val="24"/>
          <w:highlight w:val="none"/>
        </w:rPr>
        <w:t>若设备型号大于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规定</w:t>
      </w:r>
      <w:r>
        <w:rPr>
          <w:rFonts w:hint="eastAsia"/>
          <w:color w:val="auto"/>
          <w:sz w:val="24"/>
          <w:szCs w:val="24"/>
          <w:highlight w:val="none"/>
        </w:rPr>
        <w:t>标准，设备台数按核定型号台数进行换算。</w:t>
      </w:r>
    </w:p>
    <w:p>
      <w:pPr>
        <w:spacing w:line="48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3.钻机需满足倾</w:t>
      </w:r>
      <w:bookmarkStart w:id="1" w:name="_GoBack"/>
      <w:bookmarkEnd w:id="1"/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斜孔穿孔要求，</w:t>
      </w:r>
      <w:r>
        <w:rPr>
          <w:rFonts w:hint="eastAsia"/>
          <w:color w:val="auto"/>
          <w:sz w:val="24"/>
          <w:szCs w:val="24"/>
          <w:highlight w:val="none"/>
        </w:rPr>
        <w:t>孔径为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14</w:t>
      </w:r>
      <w:r>
        <w:rPr>
          <w:rFonts w:hint="eastAsia"/>
          <w:color w:val="auto"/>
          <w:sz w:val="24"/>
          <w:szCs w:val="24"/>
          <w:highlight w:val="none"/>
        </w:rPr>
        <w:t>0±10mm，钻机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数量不少于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/>
          <w:color w:val="auto"/>
          <w:sz w:val="24"/>
          <w:szCs w:val="24"/>
          <w:highlight w:val="none"/>
        </w:rPr>
        <w:t>台。</w:t>
      </w:r>
    </w:p>
    <w:p>
      <w:pPr>
        <w:spacing w:line="480" w:lineRule="auto"/>
        <w:ind w:firstLine="480" w:firstLineChars="200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/>
          <w:color w:val="auto"/>
          <w:sz w:val="24"/>
          <w:szCs w:val="24"/>
          <w:highlight w:val="none"/>
        </w:rPr>
        <w:t>推土机功率必须在200马力以上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，不少于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2台</w:t>
      </w:r>
      <w:r>
        <w:rPr>
          <w:rFonts w:hint="eastAsia"/>
          <w:color w:val="auto"/>
          <w:sz w:val="24"/>
          <w:szCs w:val="24"/>
          <w:highlight w:val="none"/>
        </w:rPr>
        <w:t>。</w:t>
      </w:r>
    </w:p>
    <w:p>
      <w:pPr>
        <w:spacing w:line="480" w:lineRule="auto"/>
        <w:ind w:firstLine="480" w:firstLineChars="200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/>
          <w:color w:val="auto"/>
          <w:sz w:val="24"/>
          <w:szCs w:val="24"/>
          <w:highlight w:val="none"/>
        </w:rPr>
        <w:t>配备必要的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辅助设备：</w:t>
      </w:r>
      <w:r>
        <w:rPr>
          <w:rFonts w:hint="eastAsia"/>
          <w:color w:val="auto"/>
          <w:sz w:val="24"/>
          <w:szCs w:val="24"/>
          <w:highlight w:val="none"/>
        </w:rPr>
        <w:t>平路机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不少于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1台、</w:t>
      </w:r>
      <w:r>
        <w:rPr>
          <w:rFonts w:hint="eastAsia"/>
          <w:color w:val="auto"/>
          <w:sz w:val="24"/>
          <w:szCs w:val="24"/>
          <w:highlight w:val="none"/>
        </w:rPr>
        <w:t>洒水车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不少于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2台、前装机不少于2台</w:t>
      </w:r>
      <w:r>
        <w:rPr>
          <w:rFonts w:hint="eastAsia"/>
          <w:color w:val="auto"/>
          <w:sz w:val="24"/>
          <w:szCs w:val="24"/>
          <w:highlight w:val="none"/>
        </w:rPr>
        <w:t>。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DotumChe">
    <w:altName w:val="Malgun Gothic"/>
    <w:panose1 w:val="020B0609000101010101"/>
    <w:charset w:val="81"/>
    <w:family w:val="moder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_x000B__x000C_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永中黑体">
    <w:altName w:val="黑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永中仿宋">
    <w:altName w:val="仿宋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incho">
    <w:altName w:val="Yu Gothic UI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lbertus Medium">
    <w:altName w:val="Segoe Print"/>
    <w:panose1 w:val="020E0602030304020304"/>
    <w:charset w:val="00"/>
    <w:family w:val="swiss"/>
    <w:pitch w:val="default"/>
    <w:sig w:usb0="00000000" w:usb1="00000000" w:usb2="00000000" w:usb3="00000000" w:csb0="00000093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创艺简楷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粗宋_GBK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永中楷体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永中粗黑">
    <w:altName w:val="黑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Batang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Guli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Guli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Gungsuh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eiryo">
    <w:altName w:val="Yu Gothic UI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Meiryo UI">
    <w:altName w:val="Yu Gothic UI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Gungsuh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Berlin Sans FB">
    <w:panose1 w:val="020E0602020502020306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0649D"/>
    <w:rsid w:val="3C80649D"/>
    <w:rsid w:val="649B51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中国神华国际工程有限公司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2017-09-30T02:45:00Z</dcterms:created>
  <dc:creator>工程公司:李远</dc:creator>
  <cp:lastModifiedBy>工程公司:李远</cp:lastModifiedBy>
  <dcterms:modified xsi:type="dcterms:W3CDTF">2017-09-30T02:47:49Z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