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cs="宋体"/>
          <w:b/>
          <w:bCs/>
          <w:kern w:val="0"/>
          <w:sz w:val="36"/>
          <w:szCs w:val="36"/>
        </w:rPr>
      </w:pPr>
      <w:r>
        <w:rPr>
          <w:rFonts w:ascii="宋体" w:hAnsi="宋体" w:cs="宋体"/>
          <w:b/>
          <w:bCs/>
          <w:kern w:val="0"/>
          <w:sz w:val="36"/>
          <w:szCs w:val="36"/>
        </w:rPr>
        <w:drawing>
          <wp:inline distT="0" distB="0" distL="0" distR="0">
            <wp:extent cx="5274310" cy="7027545"/>
            <wp:effectExtent l="19050" t="0" r="2540" b="0"/>
            <wp:docPr id="1" name="图片 0" descr="警用电动巡逻车标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警用电动巡逻车标书.jpg"/>
                    <pic:cNvPicPr>
                      <a:picLocks noChangeAspect="1"/>
                    </pic:cNvPicPr>
                  </pic:nvPicPr>
                  <pic:blipFill>
                    <a:blip r:embed="rId4" cstate="print"/>
                    <a:stretch>
                      <a:fillRect/>
                    </a:stretch>
                  </pic:blipFill>
                  <pic:spPr>
                    <a:xfrm>
                      <a:off x="0" y="0"/>
                      <a:ext cx="5274310" cy="7027545"/>
                    </a:xfrm>
                    <a:prstGeom prst="rect">
                      <a:avLst/>
                    </a:prstGeom>
                  </pic:spPr>
                </pic:pic>
              </a:graphicData>
            </a:graphic>
          </wp:inline>
        </w:drawing>
      </w:r>
    </w:p>
    <w:p>
      <w:pPr>
        <w:widowControl/>
        <w:jc w:val="left"/>
        <w:rPr>
          <w:rFonts w:ascii="宋体" w:hAnsi="宋体" w:cs="宋体"/>
          <w:b/>
          <w:bCs/>
          <w:kern w:val="0"/>
          <w:sz w:val="36"/>
          <w:szCs w:val="36"/>
        </w:rPr>
      </w:pPr>
      <w:r>
        <w:rPr>
          <w:rFonts w:ascii="宋体" w:hAnsi="宋体" w:cs="宋体"/>
          <w:b/>
          <w:bCs/>
          <w:kern w:val="0"/>
          <w:sz w:val="36"/>
          <w:szCs w:val="36"/>
        </w:rPr>
        <w:br w:type="page"/>
      </w:r>
    </w:p>
    <w:p>
      <w:pPr>
        <w:widowControl/>
        <w:jc w:val="center"/>
        <w:rPr>
          <w:rFonts w:ascii="宋体" w:hAnsi="宋体" w:cs="宋体"/>
          <w:kern w:val="0"/>
          <w:sz w:val="30"/>
          <w:szCs w:val="30"/>
        </w:rPr>
      </w:pPr>
    </w:p>
    <w:p>
      <w:pPr>
        <w:widowControl/>
        <w:jc w:val="left"/>
        <w:rPr>
          <w:rFonts w:ascii="宋体" w:hAnsi="宋体" w:cs="宋体"/>
          <w:kern w:val="0"/>
          <w:sz w:val="24"/>
        </w:rPr>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jc w:val="center"/>
      </w:pPr>
    </w:p>
    <w:p>
      <w:pPr>
        <w:pStyle w:val="14"/>
        <w:jc w:val="center"/>
      </w:pPr>
      <w:r>
        <w:br w:type="page"/>
      </w:r>
      <w:bookmarkStart w:id="0" w:name="_Toc356204538"/>
      <w:bookmarkStart w:id="1" w:name="_Toc357082526"/>
      <w:r>
        <w:rPr>
          <w:rFonts w:hint="eastAsia"/>
        </w:rPr>
        <w:t>第一节供货范围、技术规格、参数与要求</w:t>
      </w:r>
      <w:bookmarkEnd w:id="0"/>
      <w:bookmarkEnd w:id="1"/>
    </w:p>
    <w:p>
      <w:pPr>
        <w:pStyle w:val="14"/>
        <w:jc w:val="center"/>
        <w:rPr>
          <w:rFonts w:ascii="宋体"/>
          <w:sz w:val="21"/>
          <w:szCs w:val="21"/>
        </w:rPr>
      </w:pPr>
      <w:r>
        <w:rPr>
          <w:rFonts w:ascii="黑体"/>
          <w:b/>
          <w:sz w:val="21"/>
          <w:szCs w:val="21"/>
        </w:rPr>
        <w:t>(1)</w:t>
      </w:r>
      <w:r>
        <w:rPr>
          <w:rFonts w:hint="eastAsia" w:ascii="黑体"/>
          <w:b/>
          <w:sz w:val="21"/>
          <w:szCs w:val="21"/>
        </w:rPr>
        <w:t>货物需求一览表</w:t>
      </w:r>
    </w:p>
    <w:tbl>
      <w:tblPr>
        <w:tblStyle w:val="12"/>
        <w:tblW w:w="9269" w:type="dxa"/>
        <w:jc w:val="center"/>
        <w:tblInd w:w="0" w:type="dxa"/>
        <w:tblLayout w:type="fixed"/>
        <w:tblCellMar>
          <w:top w:w="0" w:type="dxa"/>
          <w:left w:w="108" w:type="dxa"/>
          <w:bottom w:w="0" w:type="dxa"/>
          <w:right w:w="108" w:type="dxa"/>
        </w:tblCellMar>
      </w:tblPr>
      <w:tblGrid>
        <w:gridCol w:w="817"/>
        <w:gridCol w:w="1985"/>
        <w:gridCol w:w="1701"/>
        <w:gridCol w:w="850"/>
        <w:gridCol w:w="751"/>
        <w:gridCol w:w="1545"/>
        <w:gridCol w:w="1620"/>
      </w:tblGrid>
      <w:tr>
        <w:tblPrEx>
          <w:tblLayout w:type="fixed"/>
          <w:tblCellMar>
            <w:top w:w="0" w:type="dxa"/>
            <w:left w:w="108" w:type="dxa"/>
            <w:bottom w:w="0" w:type="dxa"/>
            <w:right w:w="108" w:type="dxa"/>
          </w:tblCellMar>
        </w:tblPrEx>
        <w:trPr>
          <w:trHeight w:val="596"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序号</w:t>
            </w: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名称</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参考规格型号</w:t>
            </w:r>
          </w:p>
        </w:tc>
        <w:tc>
          <w:tcPr>
            <w:tcW w:w="850"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单位</w:t>
            </w:r>
          </w:p>
        </w:tc>
        <w:tc>
          <w:tcPr>
            <w:tcW w:w="75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数量</w:t>
            </w:r>
          </w:p>
        </w:tc>
        <w:tc>
          <w:tcPr>
            <w:tcW w:w="154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交货时间</w:t>
            </w: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使用单位</w:t>
            </w:r>
          </w:p>
        </w:tc>
      </w:tr>
      <w:tr>
        <w:tblPrEx>
          <w:tblLayout w:type="fixed"/>
          <w:tblCellMar>
            <w:top w:w="0" w:type="dxa"/>
            <w:left w:w="108" w:type="dxa"/>
            <w:bottom w:w="0" w:type="dxa"/>
            <w:right w:w="108" w:type="dxa"/>
          </w:tblCellMar>
        </w:tblPrEx>
        <w:trPr>
          <w:trHeight w:val="450" w:hRule="atLeast"/>
          <w:jc w:val="center"/>
        </w:trPr>
        <w:tc>
          <w:tcPr>
            <w:tcW w:w="817"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985"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警用电动代步车</w:t>
            </w:r>
          </w:p>
        </w:tc>
        <w:tc>
          <w:tcPr>
            <w:tcW w:w="1701"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HLD-TX4</w:t>
            </w:r>
          </w:p>
        </w:tc>
        <w:tc>
          <w:tcPr>
            <w:tcW w:w="850"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台</w:t>
            </w:r>
          </w:p>
        </w:tc>
        <w:tc>
          <w:tcPr>
            <w:tcW w:w="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6</w:t>
            </w:r>
          </w:p>
        </w:tc>
        <w:tc>
          <w:tcPr>
            <w:tcW w:w="1545"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color w:val="000000"/>
                <w:sz w:val="24"/>
                <w:lang w:val="zh-CN"/>
              </w:rPr>
              <w:t>合同签订后40天。</w:t>
            </w:r>
            <w:bookmarkStart w:id="8" w:name="_GoBack"/>
            <w:bookmarkEnd w:id="8"/>
          </w:p>
        </w:tc>
        <w:tc>
          <w:tcPr>
            <w:tcW w:w="162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r>
      <w:tr>
        <w:tblPrEx>
          <w:tblLayout w:type="fixed"/>
          <w:tblCellMar>
            <w:top w:w="0" w:type="dxa"/>
            <w:left w:w="108" w:type="dxa"/>
            <w:bottom w:w="0" w:type="dxa"/>
            <w:right w:w="108" w:type="dxa"/>
          </w:tblCellMar>
        </w:tblPrEx>
        <w:trPr>
          <w:trHeight w:val="42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98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随机附件及工具</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850"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75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6</w:t>
            </w:r>
          </w:p>
        </w:tc>
        <w:tc>
          <w:tcPr>
            <w:tcW w:w="1545"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r>
      <w:tr>
        <w:tblPrEx>
          <w:tblLayout w:type="fixed"/>
          <w:tblCellMar>
            <w:top w:w="0" w:type="dxa"/>
            <w:left w:w="108" w:type="dxa"/>
            <w:bottom w:w="0" w:type="dxa"/>
            <w:right w:w="108" w:type="dxa"/>
          </w:tblCellMar>
        </w:tblPrEx>
        <w:trPr>
          <w:trHeight w:val="450" w:hRule="atLeast"/>
          <w:jc w:val="center"/>
        </w:trPr>
        <w:tc>
          <w:tcPr>
            <w:tcW w:w="817"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985" w:type="dxa"/>
            <w:tcBorders>
              <w:top w:val="nil"/>
              <w:left w:val="nil"/>
              <w:bottom w:val="single" w:color="auto" w:sz="4" w:space="0"/>
              <w:right w:val="single" w:color="auto" w:sz="4" w:space="0"/>
            </w:tcBorders>
            <w:vAlign w:val="center"/>
          </w:tcPr>
          <w:p>
            <w:pPr>
              <w:adjustRightInd w:val="0"/>
              <w:snapToGrid w:val="0"/>
              <w:spacing w:line="360" w:lineRule="auto"/>
              <w:jc w:val="left"/>
              <w:rPr>
                <w:rFonts w:ascii="宋体" w:hAnsi="宋体"/>
                <w:szCs w:val="21"/>
              </w:rPr>
            </w:pPr>
            <w:r>
              <w:rPr>
                <w:rFonts w:hint="eastAsia" w:ascii="宋体" w:hAnsi="宋体"/>
                <w:szCs w:val="21"/>
              </w:rPr>
              <w:t>备件手册、使用说明书</w:t>
            </w:r>
          </w:p>
        </w:tc>
        <w:tc>
          <w:tcPr>
            <w:tcW w:w="1701"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850"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r>
              <w:rPr>
                <w:rFonts w:hint="eastAsia" w:ascii="宋体" w:hAnsi="宋体"/>
                <w:szCs w:val="21"/>
              </w:rPr>
              <w:t>6</w:t>
            </w:r>
          </w:p>
        </w:tc>
        <w:tc>
          <w:tcPr>
            <w:tcW w:w="1545" w:type="dxa"/>
            <w:tcBorders>
              <w:top w:val="nil"/>
              <w:left w:val="nil"/>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c>
          <w:tcPr>
            <w:tcW w:w="162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szCs w:val="21"/>
              </w:rPr>
            </w:pPr>
          </w:p>
        </w:tc>
      </w:tr>
    </w:tbl>
    <w:p>
      <w:pPr>
        <w:adjustRightInd w:val="0"/>
        <w:snapToGrid w:val="0"/>
        <w:spacing w:line="360" w:lineRule="auto"/>
        <w:jc w:val="center"/>
        <w:rPr>
          <w:rFonts w:ascii="宋体" w:hAnsi="宋体"/>
          <w:b/>
          <w:szCs w:val="21"/>
        </w:rPr>
      </w:pPr>
    </w:p>
    <w:p>
      <w:pPr>
        <w:adjustRightInd w:val="0"/>
        <w:snapToGrid w:val="0"/>
        <w:spacing w:line="360" w:lineRule="auto"/>
        <w:jc w:val="center"/>
        <w:rPr>
          <w:rFonts w:ascii="宋体" w:hAnsi="宋体"/>
          <w:b/>
          <w:szCs w:val="21"/>
        </w:rPr>
      </w:pPr>
      <w:r>
        <w:rPr>
          <w:rFonts w:hint="eastAsia" w:ascii="宋体" w:hAnsi="宋体"/>
          <w:b/>
          <w:szCs w:val="21"/>
        </w:rPr>
        <w:t>（</w:t>
      </w:r>
      <w:r>
        <w:rPr>
          <w:rFonts w:ascii="宋体" w:hAnsi="宋体"/>
          <w:b/>
          <w:szCs w:val="21"/>
        </w:rPr>
        <w:t>2</w:t>
      </w:r>
      <w:r>
        <w:rPr>
          <w:rFonts w:hint="eastAsia" w:ascii="宋体" w:hAnsi="宋体"/>
          <w:b/>
          <w:szCs w:val="21"/>
        </w:rPr>
        <w:t>）分项报价表</w:t>
      </w:r>
    </w:p>
    <w:tbl>
      <w:tblPr>
        <w:tblStyle w:val="12"/>
        <w:tblpPr w:leftFromText="180" w:rightFromText="180" w:vertAnchor="text" w:horzAnchor="margin" w:tblpXSpec="center" w:tblpY="15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489"/>
        <w:gridCol w:w="771"/>
        <w:gridCol w:w="929"/>
        <w:gridCol w:w="825"/>
        <w:gridCol w:w="656"/>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9" w:type="dxa"/>
            <w:vAlign w:val="center"/>
          </w:tcPr>
          <w:p>
            <w:pPr>
              <w:adjustRightInd w:val="0"/>
              <w:snapToGrid w:val="0"/>
              <w:spacing w:line="360" w:lineRule="auto"/>
              <w:jc w:val="center"/>
              <w:rPr>
                <w:rFonts w:ascii="宋体" w:hAnsi="宋体"/>
                <w:szCs w:val="21"/>
              </w:rPr>
            </w:pPr>
            <w:r>
              <w:rPr>
                <w:rFonts w:hint="eastAsia" w:ascii="宋体" w:hAnsi="宋体"/>
                <w:szCs w:val="21"/>
              </w:rPr>
              <w:t>序号</w:t>
            </w:r>
          </w:p>
        </w:tc>
        <w:tc>
          <w:tcPr>
            <w:tcW w:w="2489" w:type="dxa"/>
            <w:vAlign w:val="center"/>
          </w:tcPr>
          <w:p>
            <w:pPr>
              <w:adjustRightInd w:val="0"/>
              <w:snapToGrid w:val="0"/>
              <w:spacing w:line="360" w:lineRule="auto"/>
              <w:jc w:val="center"/>
              <w:rPr>
                <w:rFonts w:ascii="宋体" w:hAnsi="宋体"/>
                <w:szCs w:val="21"/>
              </w:rPr>
            </w:pPr>
            <w:r>
              <w:rPr>
                <w:rFonts w:hint="eastAsia" w:ascii="宋体" w:hAnsi="宋体"/>
                <w:szCs w:val="21"/>
              </w:rPr>
              <w:t>名　称</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单位</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数量</w:t>
            </w:r>
          </w:p>
        </w:tc>
        <w:tc>
          <w:tcPr>
            <w:tcW w:w="825" w:type="dxa"/>
            <w:vAlign w:val="center"/>
          </w:tcPr>
          <w:p>
            <w:pPr>
              <w:adjustRightInd w:val="0"/>
              <w:snapToGrid w:val="0"/>
              <w:spacing w:line="360" w:lineRule="auto"/>
              <w:jc w:val="center"/>
              <w:rPr>
                <w:rFonts w:ascii="宋体" w:hAnsi="宋体"/>
                <w:szCs w:val="21"/>
              </w:rPr>
            </w:pPr>
            <w:r>
              <w:rPr>
                <w:rFonts w:hint="eastAsia" w:ascii="宋体" w:hAnsi="宋体"/>
                <w:szCs w:val="21"/>
              </w:rPr>
              <w:t>单价（元）</w:t>
            </w:r>
          </w:p>
        </w:tc>
        <w:tc>
          <w:tcPr>
            <w:tcW w:w="656" w:type="dxa"/>
            <w:vAlign w:val="center"/>
          </w:tcPr>
          <w:p>
            <w:pPr>
              <w:adjustRightInd w:val="0"/>
              <w:snapToGrid w:val="0"/>
              <w:spacing w:line="360" w:lineRule="auto"/>
              <w:jc w:val="center"/>
              <w:rPr>
                <w:rFonts w:ascii="宋体" w:hAnsi="宋体"/>
                <w:szCs w:val="21"/>
              </w:rPr>
            </w:pPr>
            <w:r>
              <w:rPr>
                <w:rFonts w:hint="eastAsia" w:ascii="宋体" w:hAnsi="宋体"/>
                <w:szCs w:val="21"/>
              </w:rPr>
              <w:t>总计</w:t>
            </w:r>
          </w:p>
        </w:tc>
        <w:tc>
          <w:tcPr>
            <w:tcW w:w="1276" w:type="dxa"/>
            <w:vAlign w:val="center"/>
          </w:tcPr>
          <w:p>
            <w:pPr>
              <w:adjustRightInd w:val="0"/>
              <w:snapToGrid w:val="0"/>
              <w:spacing w:line="360" w:lineRule="auto"/>
              <w:jc w:val="center"/>
              <w:rPr>
                <w:rFonts w:ascii="宋体" w:hAnsi="宋体"/>
                <w:szCs w:val="21"/>
              </w:rPr>
            </w:pPr>
            <w:r>
              <w:rPr>
                <w:rFonts w:hint="eastAsia" w:ascii="宋体" w:hAnsi="宋体"/>
                <w:szCs w:val="21"/>
              </w:rPr>
              <w:t>重要程度</w:t>
            </w:r>
          </w:p>
        </w:tc>
        <w:tc>
          <w:tcPr>
            <w:tcW w:w="1275" w:type="dxa"/>
            <w:vAlign w:val="center"/>
          </w:tcPr>
          <w:p>
            <w:pPr>
              <w:adjustRightInd w:val="0"/>
              <w:snapToGrid w:val="0"/>
              <w:spacing w:line="360" w:lineRule="auto"/>
              <w:jc w:val="center"/>
              <w:rPr>
                <w:rFonts w:ascii="宋体" w:hAnsi="宋体"/>
                <w:szCs w:val="21"/>
              </w:rPr>
            </w:pPr>
            <w:r>
              <w:rPr>
                <w:rFonts w:hint="eastAsia" w:ascii="宋体" w:hAnsi="宋体"/>
                <w:szCs w:val="21"/>
              </w:rPr>
              <w:t>易损等级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p>
        </w:tc>
        <w:tc>
          <w:tcPr>
            <w:tcW w:w="2489" w:type="dxa"/>
            <w:vAlign w:val="center"/>
          </w:tcPr>
          <w:p>
            <w:pPr>
              <w:adjustRightInd w:val="0"/>
              <w:snapToGrid w:val="0"/>
              <w:spacing w:line="360" w:lineRule="auto"/>
              <w:jc w:val="center"/>
              <w:rPr>
                <w:rFonts w:ascii="宋体" w:hAnsi="宋体"/>
                <w:szCs w:val="21"/>
              </w:rPr>
            </w:pPr>
            <w:r>
              <w:rPr>
                <w:rFonts w:hint="eastAsia" w:ascii="宋体" w:hAnsi="宋体"/>
                <w:szCs w:val="21"/>
              </w:rPr>
              <w:t>警用电动代步车</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台</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6</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959" w:type="dxa"/>
            <w:vAlign w:val="center"/>
          </w:tcPr>
          <w:p>
            <w:pPr>
              <w:adjustRightInd w:val="0"/>
              <w:snapToGrid w:val="0"/>
              <w:spacing w:line="360" w:lineRule="auto"/>
              <w:jc w:val="center"/>
              <w:rPr>
                <w:rFonts w:ascii="宋体" w:hAnsi="宋体"/>
                <w:szCs w:val="21"/>
              </w:rPr>
            </w:pPr>
          </w:p>
        </w:tc>
        <w:tc>
          <w:tcPr>
            <w:tcW w:w="2489" w:type="dxa"/>
            <w:vAlign w:val="center"/>
          </w:tcPr>
          <w:p>
            <w:pPr>
              <w:adjustRightInd w:val="0"/>
              <w:snapToGrid w:val="0"/>
              <w:spacing w:line="360" w:lineRule="auto"/>
              <w:jc w:val="center"/>
              <w:rPr>
                <w:rFonts w:ascii="宋体" w:hAnsi="宋体"/>
                <w:szCs w:val="21"/>
              </w:rPr>
            </w:pPr>
            <w:r>
              <w:rPr>
                <w:rFonts w:hint="eastAsia" w:ascii="宋体" w:hAnsi="宋体"/>
                <w:szCs w:val="21"/>
              </w:rPr>
              <w:t>每台包括</w:t>
            </w:r>
          </w:p>
        </w:tc>
        <w:tc>
          <w:tcPr>
            <w:tcW w:w="771" w:type="dxa"/>
            <w:vAlign w:val="center"/>
          </w:tcPr>
          <w:p>
            <w:pPr>
              <w:adjustRightInd w:val="0"/>
              <w:snapToGrid w:val="0"/>
              <w:spacing w:line="360" w:lineRule="auto"/>
              <w:jc w:val="center"/>
              <w:rPr>
                <w:rFonts w:ascii="宋体" w:hAnsi="宋体"/>
                <w:szCs w:val="21"/>
              </w:rPr>
            </w:pPr>
          </w:p>
        </w:tc>
        <w:tc>
          <w:tcPr>
            <w:tcW w:w="929" w:type="dxa"/>
            <w:vAlign w:val="center"/>
          </w:tcPr>
          <w:p>
            <w:pPr>
              <w:adjustRightInd w:val="0"/>
              <w:snapToGrid w:val="0"/>
              <w:spacing w:line="360" w:lineRule="auto"/>
              <w:jc w:val="center"/>
              <w:rPr>
                <w:rFonts w:ascii="宋体" w:hAnsi="宋体"/>
                <w:szCs w:val="21"/>
              </w:rPr>
            </w:pP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1.1</w:t>
            </w:r>
          </w:p>
        </w:tc>
        <w:tc>
          <w:tcPr>
            <w:tcW w:w="2489" w:type="dxa"/>
            <w:vAlign w:val="center"/>
          </w:tcPr>
          <w:p>
            <w:pPr>
              <w:jc w:val="center"/>
              <w:rPr>
                <w:rFonts w:ascii="宋体" w:hAnsi="宋体"/>
                <w:szCs w:val="21"/>
              </w:rPr>
            </w:pPr>
            <w:r>
              <w:rPr>
                <w:rFonts w:hint="eastAsia" w:ascii="宋体" w:hAnsi="宋体"/>
                <w:szCs w:val="21"/>
              </w:rPr>
              <w:t>动力传动轴</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1.2</w:t>
            </w:r>
          </w:p>
        </w:tc>
        <w:tc>
          <w:tcPr>
            <w:tcW w:w="2489" w:type="dxa"/>
            <w:vAlign w:val="center"/>
          </w:tcPr>
          <w:p>
            <w:pPr>
              <w:jc w:val="center"/>
              <w:rPr>
                <w:rFonts w:ascii="宋体" w:hAnsi="宋体"/>
                <w:szCs w:val="21"/>
              </w:rPr>
            </w:pPr>
            <w:r>
              <w:rPr>
                <w:rFonts w:hint="eastAsia" w:ascii="宋体" w:hAnsi="宋体"/>
                <w:szCs w:val="21"/>
              </w:rPr>
              <w:t>减速器</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1.3</w:t>
            </w:r>
          </w:p>
        </w:tc>
        <w:tc>
          <w:tcPr>
            <w:tcW w:w="2489" w:type="dxa"/>
            <w:vAlign w:val="center"/>
          </w:tcPr>
          <w:p>
            <w:pPr>
              <w:jc w:val="center"/>
              <w:rPr>
                <w:rFonts w:ascii="宋体" w:hAnsi="宋体"/>
                <w:szCs w:val="21"/>
              </w:rPr>
            </w:pPr>
            <w:r>
              <w:rPr>
                <w:rFonts w:hint="eastAsia" w:ascii="宋体" w:hAnsi="宋体"/>
                <w:szCs w:val="21"/>
              </w:rPr>
              <w:t>车轮</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4</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1.4</w:t>
            </w:r>
          </w:p>
        </w:tc>
        <w:tc>
          <w:tcPr>
            <w:tcW w:w="2489" w:type="dxa"/>
            <w:vAlign w:val="center"/>
          </w:tcPr>
          <w:p>
            <w:pPr>
              <w:jc w:val="center"/>
              <w:rPr>
                <w:rFonts w:ascii="宋体" w:hAnsi="宋体"/>
                <w:szCs w:val="21"/>
              </w:rPr>
            </w:pPr>
            <w:r>
              <w:rPr>
                <w:rFonts w:hint="eastAsia" w:ascii="宋体" w:hAnsi="宋体"/>
                <w:szCs w:val="21"/>
              </w:rPr>
              <w:t>轮胎</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ascii="宋体" w:hAnsi="宋体"/>
                <w:szCs w:val="21"/>
              </w:rPr>
              <w:t>4</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1.5</w:t>
            </w:r>
          </w:p>
        </w:tc>
        <w:tc>
          <w:tcPr>
            <w:tcW w:w="2489" w:type="dxa"/>
            <w:vAlign w:val="center"/>
          </w:tcPr>
          <w:p>
            <w:pPr>
              <w:jc w:val="center"/>
              <w:rPr>
                <w:rFonts w:ascii="宋体" w:hAnsi="宋体"/>
                <w:szCs w:val="21"/>
              </w:rPr>
            </w:pPr>
            <w:r>
              <w:rPr>
                <w:rFonts w:hint="eastAsia" w:ascii="宋体" w:hAnsi="宋体"/>
                <w:szCs w:val="21"/>
              </w:rPr>
              <w:t>制动器</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件</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6</w:t>
            </w:r>
          </w:p>
        </w:tc>
        <w:tc>
          <w:tcPr>
            <w:tcW w:w="2489" w:type="dxa"/>
            <w:vAlign w:val="center"/>
          </w:tcPr>
          <w:p>
            <w:pPr>
              <w:jc w:val="center"/>
              <w:rPr>
                <w:rFonts w:ascii="宋体" w:hAnsi="宋体"/>
                <w:szCs w:val="21"/>
              </w:rPr>
            </w:pPr>
            <w:r>
              <w:rPr>
                <w:rFonts w:hint="eastAsia" w:ascii="宋体" w:hAnsi="宋体"/>
                <w:szCs w:val="21"/>
              </w:rPr>
              <w:t>牵引电机</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件</w:t>
            </w:r>
          </w:p>
        </w:tc>
        <w:tc>
          <w:tcPr>
            <w:tcW w:w="929" w:type="dxa"/>
            <w:vAlign w:val="center"/>
          </w:tcPr>
          <w:p>
            <w:pPr>
              <w:adjustRightInd w:val="0"/>
              <w:snapToGrid w:val="0"/>
              <w:spacing w:line="360" w:lineRule="auto"/>
              <w:jc w:val="center"/>
              <w:rPr>
                <w:rFonts w:ascii="宋体" w:hAnsi="宋体"/>
                <w:szCs w:val="21"/>
              </w:rPr>
            </w:pPr>
            <w:r>
              <w:rPr>
                <w:rFonts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7</w:t>
            </w:r>
          </w:p>
        </w:tc>
        <w:tc>
          <w:tcPr>
            <w:tcW w:w="2489" w:type="dxa"/>
            <w:vAlign w:val="center"/>
          </w:tcPr>
          <w:p>
            <w:pPr>
              <w:jc w:val="center"/>
              <w:rPr>
                <w:rFonts w:ascii="宋体" w:hAnsi="宋体"/>
                <w:szCs w:val="21"/>
              </w:rPr>
            </w:pPr>
            <w:r>
              <w:rPr>
                <w:rFonts w:hint="eastAsia" w:ascii="宋体" w:hAnsi="宋体"/>
                <w:szCs w:val="21"/>
              </w:rPr>
              <w:t>蓄电池</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8</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8</w:t>
            </w:r>
          </w:p>
        </w:tc>
        <w:tc>
          <w:tcPr>
            <w:tcW w:w="2489" w:type="dxa"/>
            <w:vAlign w:val="center"/>
          </w:tcPr>
          <w:p>
            <w:pPr>
              <w:jc w:val="center"/>
              <w:rPr>
                <w:rFonts w:ascii="宋体" w:hAnsi="宋体"/>
                <w:szCs w:val="21"/>
              </w:rPr>
            </w:pPr>
            <w:r>
              <w:rPr>
                <w:rFonts w:hint="eastAsia" w:ascii="宋体" w:hAnsi="宋体"/>
                <w:szCs w:val="21"/>
              </w:rPr>
              <w:t>充电机及电源插头</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件</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ascii="宋体" w:hAnsi="宋体"/>
                <w:szCs w:val="21"/>
              </w:rPr>
              <w:t>1.</w:t>
            </w:r>
            <w:r>
              <w:rPr>
                <w:rFonts w:hint="eastAsia" w:ascii="宋体" w:hAnsi="宋体"/>
                <w:szCs w:val="21"/>
              </w:rPr>
              <w:t>9</w:t>
            </w:r>
          </w:p>
        </w:tc>
        <w:tc>
          <w:tcPr>
            <w:tcW w:w="2489" w:type="dxa"/>
            <w:vAlign w:val="center"/>
          </w:tcPr>
          <w:p>
            <w:pPr>
              <w:jc w:val="center"/>
              <w:rPr>
                <w:color w:val="000000"/>
                <w:sz w:val="22"/>
                <w:szCs w:val="22"/>
              </w:rPr>
            </w:pPr>
            <w:r>
              <w:rPr>
                <w:rFonts w:hint="eastAsia"/>
                <w:color w:val="000000"/>
                <w:sz w:val="22"/>
                <w:szCs w:val="22"/>
              </w:rPr>
              <w:t>灭火器</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959" w:type="dxa"/>
            <w:vAlign w:val="center"/>
          </w:tcPr>
          <w:p>
            <w:pPr>
              <w:adjustRightInd w:val="0"/>
              <w:snapToGrid w:val="0"/>
              <w:spacing w:line="360" w:lineRule="auto"/>
              <w:jc w:val="center"/>
              <w:rPr>
                <w:rFonts w:ascii="宋体" w:hAnsi="宋体"/>
                <w:szCs w:val="21"/>
              </w:rPr>
            </w:pPr>
            <w:r>
              <w:rPr>
                <w:rFonts w:hint="eastAsia" w:ascii="宋体" w:hAnsi="宋体"/>
                <w:szCs w:val="21"/>
              </w:rPr>
              <w:t>2</w:t>
            </w:r>
          </w:p>
        </w:tc>
        <w:tc>
          <w:tcPr>
            <w:tcW w:w="2489" w:type="dxa"/>
            <w:vAlign w:val="center"/>
          </w:tcPr>
          <w:p>
            <w:pPr>
              <w:jc w:val="center"/>
              <w:rPr>
                <w:color w:val="000000"/>
                <w:sz w:val="22"/>
                <w:szCs w:val="22"/>
              </w:rPr>
            </w:pPr>
            <w:r>
              <w:rPr>
                <w:rFonts w:hint="eastAsia"/>
                <w:color w:val="000000"/>
                <w:sz w:val="22"/>
                <w:szCs w:val="22"/>
              </w:rPr>
              <w:t>其他</w:t>
            </w:r>
          </w:p>
        </w:tc>
        <w:tc>
          <w:tcPr>
            <w:tcW w:w="771" w:type="dxa"/>
            <w:vAlign w:val="center"/>
          </w:tcPr>
          <w:p>
            <w:pPr>
              <w:adjustRightInd w:val="0"/>
              <w:snapToGrid w:val="0"/>
              <w:spacing w:line="360" w:lineRule="auto"/>
              <w:jc w:val="center"/>
              <w:rPr>
                <w:rFonts w:ascii="宋体" w:hAnsi="宋体"/>
                <w:szCs w:val="21"/>
              </w:rPr>
            </w:pPr>
            <w:r>
              <w:rPr>
                <w:rFonts w:hint="eastAsia" w:ascii="宋体" w:hAnsi="宋体"/>
                <w:szCs w:val="21"/>
              </w:rPr>
              <w:t>套</w:t>
            </w:r>
          </w:p>
        </w:tc>
        <w:tc>
          <w:tcPr>
            <w:tcW w:w="92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c>
          <w:tcPr>
            <w:tcW w:w="825" w:type="dxa"/>
            <w:vAlign w:val="center"/>
          </w:tcPr>
          <w:p>
            <w:pPr>
              <w:adjustRightInd w:val="0"/>
              <w:snapToGrid w:val="0"/>
              <w:spacing w:line="360" w:lineRule="auto"/>
              <w:rPr>
                <w:rFonts w:ascii="宋体" w:hAnsi="宋体"/>
                <w:szCs w:val="21"/>
              </w:rPr>
            </w:pPr>
          </w:p>
        </w:tc>
        <w:tc>
          <w:tcPr>
            <w:tcW w:w="656" w:type="dxa"/>
            <w:vAlign w:val="center"/>
          </w:tcPr>
          <w:p>
            <w:pPr>
              <w:adjustRightInd w:val="0"/>
              <w:snapToGrid w:val="0"/>
              <w:spacing w:line="360" w:lineRule="auto"/>
              <w:rPr>
                <w:rFonts w:ascii="宋体" w:hAnsi="宋体"/>
                <w:szCs w:val="21"/>
              </w:rPr>
            </w:pPr>
          </w:p>
        </w:tc>
        <w:tc>
          <w:tcPr>
            <w:tcW w:w="1276" w:type="dxa"/>
            <w:vAlign w:val="center"/>
          </w:tcPr>
          <w:p>
            <w:pPr>
              <w:adjustRightInd w:val="0"/>
              <w:snapToGrid w:val="0"/>
              <w:spacing w:line="360" w:lineRule="auto"/>
              <w:rPr>
                <w:rFonts w:ascii="宋体" w:hAnsi="宋体"/>
                <w:szCs w:val="21"/>
              </w:rPr>
            </w:pPr>
          </w:p>
        </w:tc>
        <w:tc>
          <w:tcPr>
            <w:tcW w:w="1275" w:type="dxa"/>
            <w:vAlign w:val="center"/>
          </w:tcPr>
          <w:p>
            <w:pPr>
              <w:adjustRightInd w:val="0"/>
              <w:snapToGrid w:val="0"/>
              <w:spacing w:line="360" w:lineRule="auto"/>
              <w:rPr>
                <w:rFonts w:ascii="宋体" w:hAnsi="宋体"/>
                <w:szCs w:val="21"/>
              </w:rPr>
            </w:pP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说明：</w:t>
      </w:r>
      <w:r>
        <w:rPr>
          <w:rFonts w:ascii="宋体" w:hAnsi="宋体"/>
          <w:szCs w:val="21"/>
        </w:rPr>
        <w:t>1</w:t>
      </w:r>
      <w:r>
        <w:rPr>
          <w:rFonts w:hint="eastAsia" w:ascii="宋体" w:hAnsi="宋体"/>
          <w:szCs w:val="21"/>
        </w:rPr>
        <w:t>、重要程度分为</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三级，</w:t>
      </w:r>
      <w:r>
        <w:rPr>
          <w:rFonts w:ascii="宋体" w:hAnsi="宋体"/>
          <w:szCs w:val="21"/>
        </w:rPr>
        <w:t>A</w:t>
      </w:r>
      <w:r>
        <w:rPr>
          <w:rFonts w:hint="eastAsia" w:ascii="宋体" w:hAnsi="宋体"/>
          <w:szCs w:val="21"/>
        </w:rPr>
        <w:t>为极重要关键件；</w:t>
      </w:r>
      <w:r>
        <w:rPr>
          <w:rFonts w:ascii="宋体" w:hAnsi="宋体"/>
          <w:szCs w:val="21"/>
        </w:rPr>
        <w:t>B</w:t>
      </w:r>
      <w:r>
        <w:rPr>
          <w:rFonts w:hint="eastAsia" w:ascii="宋体" w:hAnsi="宋体"/>
          <w:szCs w:val="21"/>
        </w:rPr>
        <w:t>为一般重要件；</w:t>
      </w:r>
      <w:r>
        <w:rPr>
          <w:rFonts w:ascii="宋体" w:hAnsi="宋体"/>
          <w:szCs w:val="21"/>
        </w:rPr>
        <w:t>C</w:t>
      </w:r>
      <w:r>
        <w:rPr>
          <w:rFonts w:hint="eastAsia" w:ascii="宋体" w:hAnsi="宋体"/>
          <w:szCs w:val="21"/>
        </w:rPr>
        <w:t>为普通件。</w:t>
      </w:r>
    </w:p>
    <w:p>
      <w:pPr>
        <w:adjustRightInd w:val="0"/>
        <w:snapToGrid w:val="0"/>
        <w:spacing w:line="360" w:lineRule="auto"/>
        <w:rPr>
          <w:rFonts w:ascii="宋体" w:hAnsi="宋体"/>
          <w:szCs w:val="21"/>
        </w:rPr>
      </w:pPr>
      <w:r>
        <w:rPr>
          <w:rFonts w:ascii="宋体" w:hAnsi="宋体"/>
          <w:szCs w:val="21"/>
        </w:rPr>
        <w:t xml:space="preserve"> 2</w:t>
      </w:r>
      <w:r>
        <w:rPr>
          <w:rFonts w:hint="eastAsia" w:ascii="宋体" w:hAnsi="宋体"/>
          <w:szCs w:val="21"/>
        </w:rPr>
        <w:t>、易损等级分为</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三级，</w:t>
      </w:r>
      <w:r>
        <w:rPr>
          <w:rFonts w:ascii="宋体" w:hAnsi="宋体"/>
          <w:szCs w:val="21"/>
        </w:rPr>
        <w:t>1</w:t>
      </w:r>
      <w:r>
        <w:rPr>
          <w:rFonts w:hint="eastAsia" w:ascii="宋体" w:hAnsi="宋体"/>
          <w:szCs w:val="21"/>
        </w:rPr>
        <w:t>级为易损件；</w:t>
      </w:r>
      <w:r>
        <w:rPr>
          <w:rFonts w:ascii="宋体" w:hAnsi="宋体"/>
          <w:szCs w:val="21"/>
        </w:rPr>
        <w:t>2</w:t>
      </w:r>
      <w:r>
        <w:rPr>
          <w:rFonts w:hint="eastAsia" w:ascii="宋体" w:hAnsi="宋体"/>
          <w:szCs w:val="21"/>
        </w:rPr>
        <w:t>为周期损耗件（定期需更换的备件）；</w:t>
      </w:r>
      <w:r>
        <w:rPr>
          <w:rFonts w:ascii="宋体" w:hAnsi="宋体"/>
          <w:szCs w:val="21"/>
        </w:rPr>
        <w:t>3</w:t>
      </w:r>
      <w:r>
        <w:rPr>
          <w:rFonts w:hint="eastAsia" w:ascii="宋体" w:hAnsi="宋体"/>
          <w:szCs w:val="21"/>
        </w:rPr>
        <w:t>为非常规损耗件。</w:t>
      </w:r>
    </w:p>
    <w:p>
      <w:pPr>
        <w:adjustRightInd w:val="0"/>
        <w:snapToGrid w:val="0"/>
        <w:spacing w:line="360" w:lineRule="auto"/>
        <w:rPr>
          <w:rFonts w:ascii="宋体" w:hAnsi="宋体"/>
          <w:szCs w:val="21"/>
        </w:rPr>
      </w:pPr>
      <w:r>
        <w:rPr>
          <w:rFonts w:ascii="宋体" w:hAnsi="宋体"/>
          <w:szCs w:val="21"/>
        </w:rPr>
        <w:t xml:space="preserve">     3</w:t>
      </w:r>
      <w:r>
        <w:rPr>
          <w:rFonts w:hint="eastAsia" w:ascii="宋体" w:hAnsi="宋体"/>
          <w:szCs w:val="21"/>
        </w:rPr>
        <w:t>、分项报价表中分项报价合计价格与投标报价设备总价格必须一致。</w:t>
      </w:r>
    </w:p>
    <w:p>
      <w:pPr>
        <w:adjustRightInd w:val="0"/>
        <w:snapToGrid w:val="0"/>
        <w:spacing w:line="500" w:lineRule="exact"/>
        <w:jc w:val="center"/>
        <w:rPr>
          <w:rFonts w:ascii="宋体" w:hAnsi="宋体" w:eastAsia="新宋体"/>
          <w:sz w:val="24"/>
        </w:rPr>
      </w:pPr>
    </w:p>
    <w:p>
      <w:pPr>
        <w:adjustRightInd w:val="0"/>
        <w:snapToGrid w:val="0"/>
        <w:spacing w:before="312" w:beforeLines="100" w:after="312" w:afterLines="100" w:line="360" w:lineRule="auto"/>
        <w:rPr>
          <w:b/>
        </w:rPr>
      </w:pPr>
    </w:p>
    <w:p>
      <w:pPr>
        <w:adjustRightInd w:val="0"/>
        <w:snapToGrid w:val="0"/>
        <w:spacing w:before="312" w:beforeLines="100" w:after="312" w:afterLines="100" w:line="360" w:lineRule="auto"/>
        <w:rPr>
          <w:b/>
        </w:rPr>
      </w:pPr>
      <w:r>
        <w:rPr>
          <w:rFonts w:hint="eastAsia"/>
          <w:b/>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在地面普通环境中使用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pacing w:val="-5"/>
          <w:kern w:val="0"/>
          <w:sz w:val="24"/>
          <w:szCs w:val="20"/>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pacing w:val="-5"/>
          <w:kern w:val="0"/>
          <w:sz w:val="24"/>
          <w:szCs w:val="20"/>
          <w:u w:val="single"/>
        </w:rPr>
        <w:t>≤1400m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其它</w:t>
      </w:r>
    </w:p>
    <w:p>
      <w:pPr>
        <w:adjustRightInd w:val="0"/>
        <w:snapToGrid w:val="0"/>
        <w:spacing w:before="312" w:beforeLines="100" w:after="312" w:afterLines="100" w:line="360" w:lineRule="auto"/>
        <w:rPr>
          <w:b/>
        </w:rPr>
      </w:pPr>
      <w:r>
        <w:rPr>
          <w:rFonts w:hint="eastAsia"/>
          <w:b/>
        </w:rPr>
        <w:t>三、技术参数及要求</w:t>
      </w:r>
    </w:p>
    <w:p>
      <w:pPr>
        <w:adjustRightInd w:val="0"/>
        <w:snapToGrid w:val="0"/>
        <w:spacing w:before="312" w:beforeLines="100" w:after="312" w:afterLines="100" w:line="360" w:lineRule="auto"/>
        <w:rPr>
          <w:szCs w:val="21"/>
        </w:rPr>
      </w:pPr>
      <w:r>
        <w:rPr>
          <w:rFonts w:ascii="宋体" w:hAnsi="宋体"/>
          <w:szCs w:val="21"/>
        </w:rPr>
        <w:t>1.技术</w:t>
      </w:r>
      <w:r>
        <w:rPr>
          <w:rFonts w:hint="eastAsia"/>
          <w:szCs w:val="21"/>
        </w:rPr>
        <w:t>参数</w:t>
      </w:r>
    </w:p>
    <w:p>
      <w:pPr>
        <w:adjustRightInd w:val="0"/>
        <w:snapToGrid w:val="0"/>
        <w:spacing w:before="312" w:beforeLines="100" w:after="312" w:afterLines="100" w:line="360" w:lineRule="auto"/>
        <w:jc w:val="center"/>
        <w:rPr>
          <w:rFonts w:ascii="华文中宋" w:hAnsi="华文中宋" w:eastAsia="华文中宋" w:cs="华文中宋"/>
          <w:b/>
          <w:sz w:val="24"/>
        </w:rPr>
      </w:pPr>
      <w:r>
        <w:rPr>
          <w:rFonts w:hint="eastAsia" w:ascii="华文中宋" w:hAnsi="华文中宋" w:eastAsia="华文中宋" w:cs="华文中宋"/>
          <w:b/>
          <w:sz w:val="24"/>
        </w:rPr>
        <w:t>五座电动巡逻车技术参数</w:t>
      </w:r>
    </w:p>
    <w:tbl>
      <w:tblPr>
        <w:tblStyle w:val="12"/>
        <w:tblW w:w="89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132"/>
        <w:gridCol w:w="2408"/>
        <w:gridCol w:w="2125"/>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restart"/>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r>
              <w:rPr>
                <w:rFonts w:hint="eastAsia" w:ascii="宋体" w:hAnsi="宋体" w:cs="宋体"/>
                <w:color w:val="000000"/>
                <w:szCs w:val="21"/>
              </w:rPr>
              <w:t>基</w:t>
            </w:r>
          </w:p>
          <w:p>
            <w:pPr>
              <w:jc w:val="center"/>
              <w:rPr>
                <w:rFonts w:ascii="宋体" w:hAnsi="宋体" w:cs="宋体"/>
                <w:color w:val="000000"/>
                <w:szCs w:val="21"/>
              </w:rPr>
            </w:pPr>
            <w:r>
              <w:rPr>
                <w:rFonts w:hint="eastAsia" w:ascii="宋体" w:hAnsi="宋体" w:cs="宋体"/>
                <w:color w:val="000000"/>
                <w:szCs w:val="21"/>
              </w:rPr>
              <w:t>本</w:t>
            </w:r>
          </w:p>
          <w:p>
            <w:pPr>
              <w:jc w:val="center"/>
              <w:rPr>
                <w:rFonts w:ascii="宋体" w:hAnsi="宋体" w:cs="宋体"/>
                <w:color w:val="000000"/>
                <w:szCs w:val="21"/>
              </w:rPr>
            </w:pPr>
            <w:r>
              <w:rPr>
                <w:rFonts w:hint="eastAsia" w:ascii="宋体" w:hAnsi="宋体" w:cs="宋体"/>
                <w:color w:val="000000"/>
                <w:szCs w:val="21"/>
              </w:rPr>
              <w:t>参</w:t>
            </w:r>
          </w:p>
          <w:p>
            <w:pPr>
              <w:jc w:val="center"/>
              <w:rPr>
                <w:rFonts w:ascii="宋体" w:hAnsi="宋体" w:cs="宋体"/>
                <w:color w:val="000000"/>
                <w:szCs w:val="21"/>
              </w:rPr>
            </w:pPr>
            <w:r>
              <w:rPr>
                <w:rFonts w:hint="eastAsia" w:ascii="宋体" w:hAnsi="宋体" w:cs="宋体"/>
                <w:color w:val="000000"/>
                <w:szCs w:val="21"/>
              </w:rPr>
              <w:t>数</w:t>
            </w:r>
          </w:p>
          <w:p>
            <w:pPr>
              <w:jc w:val="center"/>
              <w:rPr>
                <w:rFonts w:ascii="宋体" w:hAnsi="宋体" w:cs="宋体"/>
                <w:color w:val="000000"/>
                <w:szCs w:val="21"/>
              </w:rPr>
            </w:pPr>
          </w:p>
          <w:p>
            <w:pPr>
              <w:jc w:val="center"/>
              <w:rPr>
                <w:rFonts w:ascii="宋体" w:hAnsi="宋体" w:cs="宋体"/>
                <w:color w:val="000000"/>
                <w:szCs w:val="21"/>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长×宽×高（mm）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不小于31</w:t>
            </w:r>
            <w:r>
              <w:rPr>
                <w:rFonts w:ascii="宋体" w:hAnsi="宋体" w:cs="宋体"/>
                <w:color w:val="000000"/>
                <w:szCs w:val="21"/>
              </w:rPr>
              <w:t>0</w:t>
            </w:r>
            <w:r>
              <w:rPr>
                <w:rFonts w:hint="eastAsia" w:ascii="宋体" w:hAnsi="宋体" w:cs="宋体"/>
                <w:color w:val="000000"/>
                <w:szCs w:val="21"/>
              </w:rPr>
              <w:t>0×16</w:t>
            </w:r>
            <w:r>
              <w:rPr>
                <w:rFonts w:ascii="宋体" w:hAnsi="宋体" w:cs="宋体"/>
                <w:color w:val="000000"/>
                <w:szCs w:val="21"/>
              </w:rPr>
              <w:t>0</w:t>
            </w:r>
            <w:r>
              <w:rPr>
                <w:rFonts w:hint="eastAsia" w:ascii="宋体" w:hAnsi="宋体" w:cs="宋体"/>
                <w:color w:val="000000"/>
                <w:szCs w:val="21"/>
              </w:rPr>
              <w:t>0×2000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驱动形式</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电机直驱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轴距（mm）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不小于2000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制动系统</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shd w:val="clear" w:color="auto" w:fill="FFFFFF"/>
              </w:rPr>
              <w:t>前通风盘式/后轮鼓式+双管路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 xml:space="preserve">  直流串励</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变速器</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电子换挡无级变速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最高车速 (km/h)</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≤38</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电机额定功率（kw）</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shd w:val="clear" w:color="auto" w:fill="FFFFFF"/>
              </w:rPr>
            </w:pPr>
            <w:r>
              <w:rPr>
                <w:rFonts w:hint="eastAsia" w:ascii="宋体" w:hAnsi="宋体" w:cs="宋体"/>
                <w:color w:val="000000"/>
                <w:szCs w:val="21"/>
              </w:rPr>
              <w:t>不小于4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最大续航里程 (km)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120～140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电机额定转速（r/min）</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最小转弯半径（m）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≤5.5</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电机最大扭矩（N.m）</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不小于7</w:t>
            </w:r>
            <w:r>
              <w:rPr>
                <w:rFonts w:ascii="宋体" w:hAnsi="宋体" w:cs="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最小离地间隙（mm）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≥170</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rPr>
                <w:rFonts w:ascii="宋体" w:hAnsi="宋体" w:cs="宋体"/>
                <w:color w:val="000000"/>
                <w:szCs w:val="21"/>
              </w:rPr>
            </w:pPr>
            <w:r>
              <w:rPr>
                <w:rFonts w:hint="eastAsia" w:ascii="宋体" w:hAnsi="宋体" w:cs="宋体"/>
                <w:color w:val="000000"/>
                <w:szCs w:val="21"/>
              </w:rPr>
              <w:t>前/后悬架系统</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rPr>
                <w:rFonts w:ascii="宋体" w:hAnsi="宋体" w:cs="宋体"/>
                <w:color w:val="000000"/>
                <w:szCs w:val="21"/>
              </w:rPr>
            </w:pPr>
            <w:r>
              <w:rPr>
                <w:rFonts w:hint="eastAsia" w:ascii="宋体" w:hAnsi="宋体" w:cs="宋体"/>
                <w:color w:val="000000"/>
                <w:szCs w:val="21"/>
              </w:rPr>
              <w:t>前麦弗逊独立悬架/后钢板弹簧非独立</w:t>
            </w:r>
            <w:r>
              <w:rPr>
                <w:rFonts w:hint="eastAsia" w:ascii="宋体" w:hAnsi="宋体" w:cs="宋体"/>
                <w:color w:val="000000"/>
                <w:szCs w:val="21"/>
                <w:shd w:val="clear" w:color="auto" w:fill="F0F3F8"/>
              </w:rPr>
              <w:t>悬架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最大爬坡度（%）</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≥15</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蓄电池组电压（V）</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制动距离（m）</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≤4  (20 km/h)</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蓄电池容量（Ah）</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不小于230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乘员人数</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4-5人</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循环使用寿命（次）</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w:t>
            </w:r>
            <w:r>
              <w:rPr>
                <w:rFonts w:ascii="宋体" w:hAnsi="宋体" w:cs="宋体"/>
                <w:color w:val="000000"/>
                <w:szCs w:val="21"/>
              </w:rPr>
              <w:t>8</w:t>
            </w:r>
            <w:r>
              <w:rPr>
                <w:rFonts w:hint="eastAsia" w:ascii="宋体" w:hAnsi="宋体" w:cs="宋体"/>
                <w:color w:val="000000"/>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前/后轮胎规格</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165/70R13</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充电时间（h）</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车身结构</w:t>
            </w:r>
          </w:p>
        </w:tc>
        <w:tc>
          <w:tcPr>
            <w:tcW w:w="24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r>
              <w:rPr>
                <w:rFonts w:hint="eastAsia" w:ascii="宋体" w:hAnsi="宋体" w:cs="宋体"/>
                <w:color w:val="000000"/>
                <w:szCs w:val="21"/>
              </w:rPr>
              <w:t>全金属冲压，四门铝合金可拆卸门窗*</w:t>
            </w:r>
          </w:p>
        </w:tc>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restart"/>
            <w:tcBorders>
              <w:top w:val="single" w:color="auto" w:sz="4" w:space="0"/>
              <w:left w:val="single" w:color="auto" w:sz="4" w:space="0"/>
              <w:bottom w:val="single" w:color="auto" w:sz="4" w:space="0"/>
              <w:right w:val="single" w:color="auto" w:sz="4" w:space="0"/>
            </w:tcBorders>
            <w:shd w:val="clear" w:color="auto" w:fill="auto"/>
          </w:tcPr>
          <w:p>
            <w:pPr>
              <w:rPr>
                <w:rFonts w:ascii="宋体" w:hAnsi="宋体" w:cs="宋体"/>
                <w:color w:val="000000"/>
                <w:szCs w:val="21"/>
              </w:rPr>
            </w:pPr>
          </w:p>
          <w:p>
            <w:pPr>
              <w:rPr>
                <w:rFonts w:ascii="宋体" w:hAnsi="宋体" w:cs="宋体"/>
                <w:color w:val="000000"/>
                <w:szCs w:val="21"/>
              </w:rPr>
            </w:pPr>
            <w:r>
              <w:rPr>
                <w:rFonts w:hint="eastAsia" w:ascii="宋体" w:hAnsi="宋体" w:cs="宋体"/>
                <w:color w:val="000000"/>
                <w:szCs w:val="21"/>
              </w:rPr>
              <w:t>配置标准</w:t>
            </w: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1</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齿条式双输出方向机。</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安装中央控制电路保护装置*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2</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CJB-60H /TBD-9000型前长排警灯（七种警报音，对外喊话）</w:t>
            </w: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3</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一体式发泡仪表台，吸塑隔热内饰顶。豪华皮革座椅（警蓝双色）。</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1575" w:firstLineChars="750"/>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565"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0"/>
                <w:szCs w:val="20"/>
              </w:rPr>
            </w:pPr>
          </w:p>
        </w:tc>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Cs w:val="21"/>
              </w:rPr>
            </w:pPr>
            <w:r>
              <w:rPr>
                <w:rFonts w:hint="eastAsia" w:ascii="宋体" w:hAnsi="宋体" w:cs="宋体"/>
                <w:color w:val="000000"/>
                <w:szCs w:val="21"/>
              </w:rPr>
              <w:t>4</w:t>
            </w:r>
          </w:p>
        </w:tc>
        <w:tc>
          <w:tcPr>
            <w:tcW w:w="4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Cs w:val="21"/>
              </w:rPr>
            </w:pPr>
            <w:r>
              <w:rPr>
                <w:rFonts w:hint="eastAsia" w:ascii="宋体" w:hAnsi="宋体" w:cs="宋体"/>
                <w:color w:val="000000"/>
                <w:szCs w:val="21"/>
              </w:rPr>
              <w:t>音响系统，2个喇叭，收放机可插U盘和SD卡，三档除霜暖风机（内置）。</w:t>
            </w: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imes New Roman"/>
                <w:sz w:val="20"/>
                <w:szCs w:val="20"/>
              </w:rPr>
            </w:pP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2、技术要求</w:t>
      </w:r>
    </w:p>
    <w:p>
      <w:pPr>
        <w:adjustRightInd w:val="0"/>
        <w:snapToGrid w:val="0"/>
        <w:spacing w:line="360" w:lineRule="auto"/>
        <w:rPr>
          <w:rFonts w:ascii="宋体" w:hAnsi="宋体"/>
          <w:szCs w:val="21"/>
        </w:rPr>
      </w:pPr>
      <w:r>
        <w:rPr>
          <w:rFonts w:hint="eastAsia" w:ascii="宋体" w:hAnsi="宋体"/>
          <w:szCs w:val="21"/>
        </w:rPr>
        <w:t>2.1以蓄电池为动力。</w:t>
      </w:r>
    </w:p>
    <w:p>
      <w:pPr>
        <w:adjustRightInd w:val="0"/>
        <w:snapToGrid w:val="0"/>
        <w:spacing w:line="360" w:lineRule="auto"/>
        <w:rPr>
          <w:rFonts w:ascii="宋体" w:hAnsi="宋体"/>
          <w:szCs w:val="21"/>
        </w:rPr>
      </w:pPr>
      <w:r>
        <w:rPr>
          <w:rFonts w:hint="eastAsia" w:ascii="宋体" w:hAnsi="宋体"/>
          <w:szCs w:val="21"/>
        </w:rPr>
        <w:t>*2.2要有仪表指示灯、电锁开关、组合开关、速度表；仪表盘有电压、电流，电池管理，工作时间等主要参数的显示和存储功能。</w:t>
      </w:r>
    </w:p>
    <w:p>
      <w:pPr>
        <w:adjustRightInd w:val="0"/>
        <w:snapToGrid w:val="0"/>
        <w:spacing w:line="360" w:lineRule="auto"/>
        <w:rPr>
          <w:rFonts w:ascii="宋体" w:hAnsi="宋体"/>
          <w:szCs w:val="21"/>
        </w:rPr>
      </w:pPr>
      <w:r>
        <w:rPr>
          <w:rFonts w:hint="eastAsia" w:ascii="宋体" w:hAnsi="宋体"/>
          <w:szCs w:val="21"/>
        </w:rPr>
        <w:t>*2.3电池正常服务寿命不小于</w:t>
      </w:r>
      <w:r>
        <w:rPr>
          <w:rFonts w:ascii="宋体" w:hAnsi="宋体"/>
          <w:szCs w:val="21"/>
        </w:rPr>
        <w:t>8</w:t>
      </w:r>
      <w:r>
        <w:rPr>
          <w:rFonts w:hint="eastAsia" w:ascii="宋体" w:hAnsi="宋体"/>
          <w:szCs w:val="21"/>
        </w:rPr>
        <w:t>00个循环。</w:t>
      </w:r>
    </w:p>
    <w:p>
      <w:pPr>
        <w:adjustRightInd w:val="0"/>
        <w:snapToGrid w:val="0"/>
        <w:spacing w:line="360" w:lineRule="auto"/>
        <w:rPr>
          <w:rFonts w:ascii="宋体" w:hAnsi="宋体"/>
          <w:szCs w:val="21"/>
        </w:rPr>
      </w:pPr>
      <w:r>
        <w:rPr>
          <w:rFonts w:hint="eastAsia" w:ascii="宋体" w:hAnsi="宋体"/>
          <w:szCs w:val="21"/>
        </w:rPr>
        <w:t>*2.4正常工作时间应满足8小时工作需要，充电时间不大于8小时。</w:t>
      </w:r>
    </w:p>
    <w:p>
      <w:pPr>
        <w:adjustRightInd w:val="0"/>
        <w:snapToGrid w:val="0"/>
        <w:spacing w:line="360" w:lineRule="auto"/>
        <w:rPr>
          <w:rFonts w:ascii="宋体" w:hAnsi="宋体"/>
          <w:szCs w:val="21"/>
        </w:rPr>
      </w:pPr>
      <w:r>
        <w:rPr>
          <w:rFonts w:hint="eastAsia" w:ascii="宋体" w:hAnsi="宋体"/>
          <w:szCs w:val="21"/>
        </w:rPr>
        <w:t>*2.5蓄电池升降装置设计应为落地式，以便于电池更换、安装和拆卸。</w:t>
      </w:r>
    </w:p>
    <w:p>
      <w:pPr>
        <w:adjustRightInd w:val="0"/>
        <w:snapToGrid w:val="0"/>
        <w:spacing w:line="360" w:lineRule="auto"/>
        <w:rPr>
          <w:rFonts w:ascii="宋体" w:hAnsi="宋体"/>
          <w:szCs w:val="21"/>
        </w:rPr>
      </w:pPr>
      <w:r>
        <w:rPr>
          <w:rFonts w:hint="eastAsia" w:ascii="宋体" w:hAnsi="宋体"/>
          <w:szCs w:val="21"/>
        </w:rPr>
        <w:t>*2.6能实现自动充电，充电机具有自动交流输入补偿功能，自动启动、停止功能，电充满自动感应功能。</w:t>
      </w:r>
    </w:p>
    <w:p>
      <w:pPr>
        <w:adjustRightInd w:val="0"/>
        <w:snapToGrid w:val="0"/>
        <w:spacing w:line="360" w:lineRule="auto"/>
        <w:ind w:firstLine="210" w:firstLineChars="100"/>
        <w:rPr>
          <w:rFonts w:ascii="宋体" w:hAnsi="宋体"/>
          <w:szCs w:val="21"/>
        </w:rPr>
      </w:pPr>
      <w:r>
        <w:rPr>
          <w:rFonts w:hint="eastAsia" w:ascii="宋体" w:hAnsi="宋体"/>
          <w:szCs w:val="21"/>
        </w:rPr>
        <w:t>2.7 要求所有液压管路元件有明显液压系统标识，包括进回液液压元件等。</w:t>
      </w:r>
    </w:p>
    <w:p>
      <w:pPr>
        <w:adjustRightInd w:val="0"/>
        <w:snapToGrid w:val="0"/>
        <w:spacing w:line="360" w:lineRule="auto"/>
        <w:ind w:firstLine="210" w:firstLineChars="100"/>
        <w:rPr>
          <w:rFonts w:ascii="宋体" w:hAnsi="宋体"/>
          <w:szCs w:val="21"/>
        </w:rPr>
      </w:pPr>
      <w:r>
        <w:rPr>
          <w:rFonts w:hint="eastAsia" w:ascii="宋体" w:hAnsi="宋体"/>
          <w:szCs w:val="21"/>
        </w:rPr>
        <w:t>*2.8 停车制动装置应保证车辆在</w:t>
      </w:r>
      <w:r>
        <w:rPr>
          <w:rFonts w:ascii="宋体" w:hAnsi="宋体"/>
          <w:szCs w:val="21"/>
        </w:rPr>
        <w:t>1.5</w:t>
      </w:r>
      <w:r>
        <w:rPr>
          <w:rFonts w:hint="eastAsia" w:ascii="宋体" w:hAnsi="宋体"/>
          <w:szCs w:val="21"/>
        </w:rPr>
        <w:t>倍额定载荷和规定的最大坡道上保持静止状态。</w:t>
      </w:r>
    </w:p>
    <w:p>
      <w:pPr>
        <w:adjustRightInd w:val="0"/>
        <w:snapToGrid w:val="0"/>
        <w:spacing w:line="360" w:lineRule="auto"/>
        <w:ind w:firstLine="210" w:firstLineChars="100"/>
        <w:rPr>
          <w:rFonts w:ascii="宋体" w:hAnsi="宋体"/>
          <w:szCs w:val="21"/>
        </w:rPr>
      </w:pPr>
      <w:r>
        <w:rPr>
          <w:rFonts w:hint="eastAsia" w:ascii="宋体" w:hAnsi="宋体"/>
          <w:szCs w:val="21"/>
        </w:rPr>
        <w:t>*2.9 车辆在额定载荷、最大行驶速度水平干燥路面制动距离应不大于4.5m。</w:t>
      </w:r>
    </w:p>
    <w:p>
      <w:pPr>
        <w:adjustRightInd w:val="0"/>
        <w:snapToGrid w:val="0"/>
        <w:spacing w:line="360" w:lineRule="auto"/>
        <w:ind w:firstLine="210" w:firstLineChars="100"/>
        <w:rPr>
          <w:rFonts w:ascii="宋体" w:hAnsi="宋体"/>
          <w:szCs w:val="21"/>
        </w:rPr>
      </w:pPr>
      <w:r>
        <w:rPr>
          <w:rFonts w:hint="eastAsia" w:ascii="宋体" w:hAnsi="宋体"/>
          <w:szCs w:val="21"/>
        </w:rPr>
        <w:t>2.10 应装有前灯和尾灯，车的行驶方向改变时，大灯可自动或手动变化</w:t>
      </w:r>
    </w:p>
    <w:p>
      <w:pPr>
        <w:adjustRightInd w:val="0"/>
        <w:snapToGrid w:val="0"/>
        <w:spacing w:line="360" w:lineRule="auto"/>
        <w:ind w:firstLine="315" w:firstLineChars="150"/>
        <w:rPr>
          <w:rFonts w:ascii="宋体" w:hAnsi="宋体"/>
          <w:szCs w:val="21"/>
        </w:rPr>
      </w:pPr>
      <w:r>
        <w:rPr>
          <w:rFonts w:hint="eastAsia" w:ascii="宋体" w:hAnsi="宋体"/>
          <w:szCs w:val="21"/>
        </w:rPr>
        <w:t>2.11 应装设气喇叭，在距车辆</w:t>
      </w:r>
      <w:r>
        <w:rPr>
          <w:rFonts w:ascii="宋体" w:hAnsi="宋体"/>
          <w:szCs w:val="21"/>
        </w:rPr>
        <w:t>40m</w:t>
      </w:r>
      <w:r>
        <w:rPr>
          <w:rFonts w:hint="eastAsia" w:ascii="宋体" w:hAnsi="宋体"/>
          <w:szCs w:val="21"/>
        </w:rPr>
        <w:t>处时不小于</w:t>
      </w:r>
      <w:r>
        <w:rPr>
          <w:rFonts w:ascii="宋体" w:hAnsi="宋体"/>
          <w:szCs w:val="21"/>
        </w:rPr>
        <w:t>70dB(A)</w:t>
      </w:r>
      <w:r>
        <w:rPr>
          <w:rFonts w:hint="eastAsia" w:ascii="宋体" w:hAnsi="宋体"/>
          <w:szCs w:val="21"/>
        </w:rPr>
        <w:t>。</w:t>
      </w:r>
    </w:p>
    <w:p>
      <w:pPr>
        <w:adjustRightInd w:val="0"/>
        <w:snapToGrid w:val="0"/>
        <w:spacing w:line="360" w:lineRule="auto"/>
        <w:ind w:firstLine="315" w:firstLineChars="150"/>
        <w:rPr>
          <w:rFonts w:ascii="宋体" w:hAnsi="宋体"/>
          <w:szCs w:val="21"/>
        </w:rPr>
      </w:pPr>
      <w:r>
        <w:rPr>
          <w:rFonts w:hint="eastAsia" w:ascii="宋体" w:hAnsi="宋体"/>
          <w:szCs w:val="21"/>
        </w:rPr>
        <w:t>2.12 座椅按照人机工程学设计，采用气囊减震，能够前后上下调节。</w:t>
      </w:r>
    </w:p>
    <w:p>
      <w:pPr>
        <w:adjustRightInd w:val="0"/>
        <w:snapToGrid w:val="0"/>
        <w:spacing w:line="360" w:lineRule="auto"/>
        <w:ind w:firstLine="315" w:firstLineChars="150"/>
        <w:rPr>
          <w:rFonts w:ascii="宋体" w:hAnsi="宋体"/>
          <w:szCs w:val="21"/>
        </w:rPr>
      </w:pPr>
      <w:r>
        <w:rPr>
          <w:rFonts w:hint="eastAsia" w:ascii="宋体" w:hAnsi="宋体"/>
          <w:szCs w:val="21"/>
        </w:rPr>
        <w:t>*2.13驾驶员头部位置噪音应小于85</w:t>
      </w:r>
      <w:r>
        <w:rPr>
          <w:rFonts w:ascii="宋体" w:hAnsi="宋体"/>
          <w:szCs w:val="21"/>
        </w:rPr>
        <w:t xml:space="preserve"> dB(A)</w:t>
      </w:r>
      <w:r>
        <w:rPr>
          <w:rFonts w:hint="eastAsia" w:ascii="宋体" w:hAnsi="宋体"/>
          <w:szCs w:val="21"/>
        </w:rPr>
        <w:t>。</w:t>
      </w:r>
    </w:p>
    <w:p>
      <w:pPr>
        <w:adjustRightInd w:val="0"/>
        <w:snapToGrid w:val="0"/>
        <w:spacing w:line="360" w:lineRule="auto"/>
        <w:ind w:firstLine="315" w:firstLineChars="150"/>
        <w:rPr>
          <w:rFonts w:ascii="宋体" w:hAnsi="宋体"/>
          <w:szCs w:val="21"/>
        </w:rPr>
      </w:pPr>
      <w:r>
        <w:rPr>
          <w:rFonts w:hint="eastAsia" w:ascii="宋体" w:hAnsi="宋体"/>
          <w:szCs w:val="21"/>
        </w:rPr>
        <w:t>2.14所有为设备的组装、空载试验、带载试验、试运行、质保期内的备件、消耗品、专用工具、仪器等，在设备交货时提供。</w:t>
      </w:r>
    </w:p>
    <w:p>
      <w:pPr>
        <w:adjustRightInd w:val="0"/>
        <w:snapToGrid w:val="0"/>
        <w:spacing w:line="360" w:lineRule="auto"/>
        <w:ind w:firstLine="315" w:firstLineChars="150"/>
        <w:rPr>
          <w:rFonts w:ascii="宋体" w:hAnsi="宋体"/>
          <w:szCs w:val="21"/>
        </w:rPr>
      </w:pPr>
      <w:r>
        <w:rPr>
          <w:rFonts w:hint="eastAsia" w:ascii="宋体" w:hAnsi="宋体"/>
          <w:szCs w:val="21"/>
        </w:rPr>
        <w:t>2.15 主要部件，如电动机、传动系统、冷却系统、液压系统寿命不低于5年，电气系统寿命不低于7年，机架等钢结构件应有10年以上的服务寿命，配件保证在寿命期内有供应。</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firstLine="315" w:firstLineChars="150"/>
        <w:rPr>
          <w:rFonts w:ascii="宋体" w:hAnsi="宋体"/>
          <w:szCs w:val="21"/>
        </w:rPr>
      </w:pPr>
      <w:r>
        <w:rPr>
          <w:rFonts w:hint="eastAsia" w:ascii="宋体" w:hAnsi="宋体"/>
          <w:szCs w:val="21"/>
        </w:rPr>
        <w:t>3.1配备有灭火器。</w:t>
      </w:r>
    </w:p>
    <w:p>
      <w:pPr>
        <w:adjustRightInd w:val="0"/>
        <w:snapToGrid w:val="0"/>
        <w:spacing w:line="360" w:lineRule="auto"/>
        <w:ind w:firstLine="315" w:firstLineChars="150"/>
        <w:rPr>
          <w:rFonts w:ascii="宋体" w:hAnsi="宋体"/>
          <w:szCs w:val="21"/>
        </w:rPr>
      </w:pPr>
      <w:r>
        <w:rPr>
          <w:rFonts w:hint="eastAsia" w:ascii="宋体" w:hAnsi="宋体"/>
          <w:szCs w:val="21"/>
        </w:rPr>
        <w:t>3.2驾驶员需配置安全带。</w:t>
      </w:r>
    </w:p>
    <w:p>
      <w:pPr>
        <w:adjustRightInd w:val="0"/>
        <w:snapToGrid w:val="0"/>
        <w:spacing w:line="360" w:lineRule="auto"/>
        <w:ind w:firstLine="315" w:firstLineChars="150"/>
        <w:rPr>
          <w:rFonts w:ascii="宋体" w:hAnsi="宋体"/>
          <w:szCs w:val="21"/>
        </w:rPr>
      </w:pPr>
      <w:r>
        <w:rPr>
          <w:rFonts w:hint="eastAsia" w:ascii="宋体" w:hAnsi="宋体"/>
          <w:szCs w:val="21"/>
        </w:rPr>
        <w:t>3.3具有过充、过放电保护。</w:t>
      </w:r>
    </w:p>
    <w:p>
      <w:pPr>
        <w:adjustRightInd w:val="0"/>
        <w:snapToGrid w:val="0"/>
        <w:spacing w:line="360" w:lineRule="auto"/>
        <w:rPr>
          <w:rFonts w:ascii="宋体" w:hAnsi="宋体"/>
          <w:szCs w:val="21"/>
        </w:rPr>
      </w:pPr>
      <w:r>
        <w:rPr>
          <w:rFonts w:hint="eastAsia" w:ascii="宋体" w:hAnsi="宋体"/>
          <w:szCs w:val="21"/>
        </w:rPr>
        <w:t>4.招标人提出的特别技术要求</w:t>
      </w:r>
    </w:p>
    <w:p>
      <w:pPr>
        <w:adjustRightInd w:val="0"/>
        <w:snapToGrid w:val="0"/>
        <w:spacing w:line="360" w:lineRule="auto"/>
        <w:ind w:left="707" w:leftChars="135" w:hanging="424" w:hangingChars="202"/>
        <w:rPr>
          <w:rFonts w:ascii="宋体"/>
          <w:szCs w:val="21"/>
        </w:rPr>
      </w:pPr>
      <w:r>
        <w:rPr>
          <w:rFonts w:hint="eastAsia" w:ascii="宋体" w:hAnsi="宋体"/>
          <w:szCs w:val="21"/>
        </w:rPr>
        <w:t xml:space="preserve">  4.1</w:t>
      </w:r>
      <w:r>
        <w:rPr>
          <w:rFonts w:hint="eastAsia" w:ascii="宋体"/>
          <w:szCs w:val="21"/>
        </w:rPr>
        <w:t>必须对标书的技术条款分项逐条解释并满足工作环境要求。</w:t>
      </w:r>
    </w:p>
    <w:p>
      <w:pPr>
        <w:adjustRightInd w:val="0"/>
        <w:snapToGrid w:val="0"/>
        <w:spacing w:line="360" w:lineRule="auto"/>
        <w:ind w:left="707" w:leftChars="135" w:hanging="424" w:hangingChars="202"/>
        <w:rPr>
          <w:rFonts w:ascii="宋体"/>
          <w:szCs w:val="21"/>
        </w:rPr>
      </w:pPr>
      <w:r>
        <w:rPr>
          <w:rFonts w:hint="eastAsia" w:ascii="宋体" w:hAnsi="宋体"/>
          <w:szCs w:val="21"/>
        </w:rPr>
        <w:t xml:space="preserve">  4.2</w:t>
      </w:r>
      <w:r>
        <w:rPr>
          <w:rFonts w:hint="eastAsia" w:ascii="宋体"/>
          <w:szCs w:val="21"/>
        </w:rPr>
        <w:t>未说明事项必须符合国家相关标准。</w:t>
      </w:r>
    </w:p>
    <w:p>
      <w:pPr>
        <w:adjustRightInd w:val="0"/>
        <w:snapToGrid w:val="0"/>
        <w:spacing w:line="360" w:lineRule="auto"/>
        <w:ind w:left="707" w:leftChars="135" w:hanging="424" w:hangingChars="202"/>
        <w:rPr>
          <w:rFonts w:ascii="宋体"/>
          <w:szCs w:val="21"/>
        </w:rPr>
      </w:pPr>
      <w:r>
        <w:rPr>
          <w:rFonts w:hint="eastAsia" w:ascii="宋体" w:hAnsi="宋体"/>
          <w:szCs w:val="21"/>
        </w:rPr>
        <w:t xml:space="preserve">  4.3</w:t>
      </w:r>
      <w:r>
        <w:rPr>
          <w:rFonts w:hint="eastAsia" w:ascii="宋体"/>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7"/>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1.所供应的货物将按下列标准（推荐）进行设计和制造</w:t>
      </w:r>
    </w:p>
    <w:p>
      <w:pPr>
        <w:pStyle w:val="17"/>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7"/>
        <w:tabs>
          <w:tab w:val="left" w:pos="550"/>
        </w:tabs>
        <w:adjustRightInd w:val="0"/>
        <w:snapToGrid w:val="0"/>
        <w:spacing w:line="360" w:lineRule="auto"/>
        <w:ind w:firstLine="420" w:firstLineChars="200"/>
        <w:rPr>
          <w:sz w:val="21"/>
          <w:szCs w:val="21"/>
        </w:rPr>
      </w:pPr>
      <w:r>
        <w:rPr>
          <w:sz w:val="21"/>
          <w:szCs w:val="21"/>
        </w:rPr>
        <w:t>机械:     ISO标准</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GB10827-1999</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GB7258-2004</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GB/T13055-1991</w:t>
      </w:r>
    </w:p>
    <w:p>
      <w:pPr>
        <w:pStyle w:val="17"/>
        <w:tabs>
          <w:tab w:val="left" w:pos="1290"/>
          <w:tab w:val="left" w:pos="1680"/>
        </w:tabs>
        <w:adjustRightInd w:val="0"/>
        <w:snapToGrid w:val="0"/>
        <w:spacing w:line="360" w:lineRule="auto"/>
        <w:ind w:firstLine="420" w:firstLineChars="200"/>
        <w:rPr>
          <w:sz w:val="21"/>
          <w:szCs w:val="21"/>
        </w:rPr>
      </w:pPr>
      <w:r>
        <w:rPr>
          <w:rFonts w:hint="eastAsia"/>
          <w:sz w:val="21"/>
          <w:szCs w:val="21"/>
        </w:rPr>
        <w:t>GB/T21268-2007</w:t>
      </w:r>
    </w:p>
    <w:p>
      <w:pPr>
        <w:pStyle w:val="17"/>
        <w:tabs>
          <w:tab w:val="left" w:pos="1290"/>
          <w:tab w:val="left" w:pos="1680"/>
        </w:tabs>
        <w:adjustRightInd w:val="0"/>
        <w:snapToGrid w:val="0"/>
        <w:spacing w:line="360" w:lineRule="auto"/>
        <w:rPr>
          <w:sz w:val="21"/>
          <w:szCs w:val="21"/>
        </w:rPr>
      </w:pPr>
      <w:r>
        <w:rPr>
          <w:rFonts w:hint="eastAsia"/>
          <w:sz w:val="21"/>
          <w:szCs w:val="21"/>
        </w:rPr>
        <w:t>5.</w:t>
      </w:r>
      <w:r>
        <w:rPr>
          <w:sz w:val="21"/>
          <w:szCs w:val="21"/>
        </w:rPr>
        <w:t>2.设备的设计与制造要求采用国际公制单位，个别部件采用英制单位应列出清单。</w:t>
      </w:r>
    </w:p>
    <w:p>
      <w:pPr>
        <w:pStyle w:val="17"/>
        <w:tabs>
          <w:tab w:val="left" w:pos="1290"/>
          <w:tab w:val="left" w:pos="1680"/>
        </w:tabs>
        <w:adjustRightInd w:val="0"/>
        <w:snapToGrid w:val="0"/>
        <w:spacing w:line="360" w:lineRule="auto"/>
        <w:rPr>
          <w:sz w:val="21"/>
          <w:szCs w:val="21"/>
        </w:rPr>
      </w:pPr>
      <w:r>
        <w:rPr>
          <w:rFonts w:hint="eastAsia"/>
          <w:sz w:val="21"/>
          <w:szCs w:val="21"/>
        </w:rPr>
        <w:t>5.</w:t>
      </w:r>
      <w:r>
        <w:rPr>
          <w:sz w:val="21"/>
          <w:szCs w:val="21"/>
        </w:rPr>
        <w:t>3.防爆电气设备应按中国国家防爆标准或其它中国防爆检验部门认可的标准制造。</w:t>
      </w:r>
    </w:p>
    <w:p>
      <w:pPr>
        <w:pStyle w:val="17"/>
        <w:tabs>
          <w:tab w:val="left" w:pos="1290"/>
          <w:tab w:val="left" w:pos="1680"/>
        </w:tabs>
        <w:adjustRightInd w:val="0"/>
        <w:snapToGrid w:val="0"/>
        <w:spacing w:line="360" w:lineRule="auto"/>
        <w:rPr>
          <w:sz w:val="21"/>
          <w:szCs w:val="21"/>
        </w:rPr>
      </w:pPr>
      <w:r>
        <w:rPr>
          <w:rFonts w:hint="eastAsia"/>
          <w:sz w:val="21"/>
          <w:szCs w:val="21"/>
        </w:rPr>
        <w:t>5.5.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adjustRightInd w:val="0"/>
        <w:snapToGrid w:val="0"/>
        <w:spacing w:before="312" w:beforeLines="100" w:after="312" w:afterLines="100" w:line="360" w:lineRule="auto"/>
        <w:rPr>
          <w:b/>
        </w:rPr>
      </w:pPr>
      <w:r>
        <w:rPr>
          <w:rFonts w:hint="eastAsia"/>
          <w:b/>
        </w:rPr>
        <w:t>四. 需投标人提供的技术参数</w:t>
      </w:r>
    </w:p>
    <w:p>
      <w:pPr>
        <w:adjustRightInd w:val="0"/>
        <w:snapToGrid w:val="0"/>
        <w:spacing w:before="312" w:beforeLines="100" w:after="312" w:afterLines="100" w:line="360" w:lineRule="auto"/>
        <w:rPr>
          <w:b/>
        </w:rPr>
      </w:pP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spacing w:val="-5"/>
          <w:kern w:val="0"/>
          <w:szCs w:val="21"/>
        </w:rPr>
      </w:pPr>
      <w:r>
        <w:rPr>
          <w:rFonts w:hint="eastAsia" w:ascii="宋体"/>
          <w:spacing w:val="-5"/>
          <w:kern w:val="0"/>
          <w:szCs w:val="21"/>
        </w:rPr>
        <w:t>1.1</w:t>
      </w:r>
    </w:p>
    <w:p>
      <w:pPr>
        <w:adjustRightInd w:val="0"/>
        <w:snapToGrid w:val="0"/>
        <w:spacing w:line="360" w:lineRule="auto"/>
        <w:rPr>
          <w:rFonts w:ascii="宋体"/>
          <w:spacing w:val="-5"/>
          <w:kern w:val="0"/>
          <w:szCs w:val="21"/>
        </w:rPr>
      </w:pPr>
      <w:r>
        <w:rPr>
          <w:rFonts w:hint="eastAsia" w:ascii="宋体"/>
          <w:szCs w:val="21"/>
        </w:rPr>
        <w:t>1.2</w:t>
      </w:r>
    </w:p>
    <w:p>
      <w:pPr>
        <w:adjustRightInd w:val="0"/>
        <w:snapToGrid w:val="0"/>
        <w:spacing w:line="360" w:lineRule="auto"/>
        <w:rPr>
          <w:rFonts w:ascii="宋体"/>
          <w:spacing w:val="-5"/>
          <w:kern w:val="0"/>
          <w:szCs w:val="21"/>
        </w:rPr>
      </w:pPr>
      <w:r>
        <w:rPr>
          <w:rFonts w:ascii="宋体" w:hAnsi="宋体" w:cs="宋体"/>
          <w:kern w:val="0"/>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pStyle w:val="14"/>
        <w:jc w:val="center"/>
      </w:pPr>
      <w:bookmarkStart w:id="2" w:name="_Toc357086143"/>
    </w:p>
    <w:p>
      <w:pPr>
        <w:pStyle w:val="14"/>
        <w:jc w:val="center"/>
      </w:pPr>
    </w:p>
    <w:p>
      <w:pPr>
        <w:pStyle w:val="14"/>
        <w:jc w:val="center"/>
      </w:pPr>
      <w:r>
        <w:rPr>
          <w:rFonts w:hint="eastAsia"/>
        </w:rPr>
        <w:t>第二节备件和工具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4"/>
        <w:adjustRightInd w:val="0"/>
        <w:snapToGrid w:val="0"/>
        <w:spacing w:before="156" w:beforeLines="50" w:line="360" w:lineRule="auto"/>
        <w:rPr>
          <w:rFonts w:ascii="宋体" w:hAnsi="宋体"/>
          <w:szCs w:val="21"/>
        </w:rPr>
      </w:pPr>
    </w:p>
    <w:p>
      <w:pPr>
        <w:pStyle w:val="14"/>
        <w:jc w:val="center"/>
      </w:pPr>
      <w:r>
        <w:rPr>
          <w:rFonts w:hint="eastAsia" w:ascii="宋体" w:hAnsi="宋体"/>
          <w:szCs w:val="21"/>
        </w:rPr>
        <w:br w:type="page"/>
      </w:r>
    </w:p>
    <w:p>
      <w:pPr>
        <w:pStyle w:val="14"/>
        <w:jc w:val="center"/>
      </w:pPr>
      <w:bookmarkStart w:id="3" w:name="_Toc357086144"/>
      <w:r>
        <w:rPr>
          <w:rFonts w:hint="eastAsia"/>
        </w:rPr>
        <w:t>第三节设备出厂前检验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4" w:name="_Toc357086145"/>
      <w:r>
        <w:rPr>
          <w:rFonts w:hint="eastAsia"/>
        </w:rPr>
        <w:t>第四节技术服务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156"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4"/>
        <w:jc w:val="center"/>
      </w:pPr>
      <w:r>
        <w:rPr>
          <w:rFonts w:hint="eastAsia" w:ascii="宋体" w:hAnsi="宋体"/>
          <w:szCs w:val="21"/>
        </w:rPr>
        <w:br w:type="page"/>
      </w:r>
      <w:bookmarkStart w:id="5" w:name="_Toc357086146"/>
      <w:r>
        <w:rPr>
          <w:rFonts w:hint="eastAsia"/>
        </w:rPr>
        <w:t>第五节安装、检验、调试、试运行及验收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6" w:name="_Toc357086147"/>
      <w:r>
        <w:rPr>
          <w:rFonts w:hint="eastAsia"/>
        </w:rPr>
        <w:t>第六节质量保证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9"/>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4"/>
        <w:jc w:val="center"/>
      </w:pPr>
      <w:r>
        <w:rPr>
          <w:rFonts w:hint="eastAsia" w:ascii="宋体" w:hAnsi="宋体"/>
          <w:szCs w:val="21"/>
        </w:rPr>
        <w:br w:type="page"/>
      </w:r>
      <w:bookmarkStart w:id="7" w:name="_Toc357086148"/>
      <w:r>
        <w:rPr>
          <w:rFonts w:hint="eastAsia"/>
        </w:rPr>
        <w:t>第七节技术资料和图纸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381"/>
    <w:rsid w:val="000202BE"/>
    <w:rsid w:val="000304C1"/>
    <w:rsid w:val="00034491"/>
    <w:rsid w:val="000349FF"/>
    <w:rsid w:val="00040E30"/>
    <w:rsid w:val="00040FAA"/>
    <w:rsid w:val="00045E0B"/>
    <w:rsid w:val="00046393"/>
    <w:rsid w:val="0005602E"/>
    <w:rsid w:val="0005661B"/>
    <w:rsid w:val="000613FE"/>
    <w:rsid w:val="00062A06"/>
    <w:rsid w:val="000634AB"/>
    <w:rsid w:val="00074BAA"/>
    <w:rsid w:val="00074F0A"/>
    <w:rsid w:val="0008777B"/>
    <w:rsid w:val="00093E79"/>
    <w:rsid w:val="000B4A8F"/>
    <w:rsid w:val="000B78EF"/>
    <w:rsid w:val="000C002E"/>
    <w:rsid w:val="000C22DF"/>
    <w:rsid w:val="000D5B51"/>
    <w:rsid w:val="000F7B2D"/>
    <w:rsid w:val="00137BB3"/>
    <w:rsid w:val="00142DC8"/>
    <w:rsid w:val="00152AAB"/>
    <w:rsid w:val="00155A24"/>
    <w:rsid w:val="00156683"/>
    <w:rsid w:val="001608A6"/>
    <w:rsid w:val="00162CD6"/>
    <w:rsid w:val="0017236C"/>
    <w:rsid w:val="00173B13"/>
    <w:rsid w:val="00175505"/>
    <w:rsid w:val="001834A2"/>
    <w:rsid w:val="001C2A35"/>
    <w:rsid w:val="001E17B0"/>
    <w:rsid w:val="001F168C"/>
    <w:rsid w:val="001F1AB3"/>
    <w:rsid w:val="00202796"/>
    <w:rsid w:val="00205A97"/>
    <w:rsid w:val="00207DB2"/>
    <w:rsid w:val="002136B3"/>
    <w:rsid w:val="00213B0F"/>
    <w:rsid w:val="0023500D"/>
    <w:rsid w:val="0024361C"/>
    <w:rsid w:val="002467DE"/>
    <w:rsid w:val="00247066"/>
    <w:rsid w:val="00254199"/>
    <w:rsid w:val="002633A5"/>
    <w:rsid w:val="002669FD"/>
    <w:rsid w:val="002673A6"/>
    <w:rsid w:val="002917DC"/>
    <w:rsid w:val="00291C9B"/>
    <w:rsid w:val="00292D0F"/>
    <w:rsid w:val="002A0807"/>
    <w:rsid w:val="002C2B1B"/>
    <w:rsid w:val="002D3DE9"/>
    <w:rsid w:val="002D5BFD"/>
    <w:rsid w:val="002D6A51"/>
    <w:rsid w:val="002E17F4"/>
    <w:rsid w:val="002E4385"/>
    <w:rsid w:val="0030306D"/>
    <w:rsid w:val="003133E1"/>
    <w:rsid w:val="00315A14"/>
    <w:rsid w:val="00324547"/>
    <w:rsid w:val="00324AED"/>
    <w:rsid w:val="00326E66"/>
    <w:rsid w:val="003370AA"/>
    <w:rsid w:val="003417A1"/>
    <w:rsid w:val="00343D04"/>
    <w:rsid w:val="003538D6"/>
    <w:rsid w:val="00355943"/>
    <w:rsid w:val="0035699D"/>
    <w:rsid w:val="0035785C"/>
    <w:rsid w:val="0036001B"/>
    <w:rsid w:val="003600C2"/>
    <w:rsid w:val="003708D1"/>
    <w:rsid w:val="00386656"/>
    <w:rsid w:val="00387C99"/>
    <w:rsid w:val="003A43AD"/>
    <w:rsid w:val="003B3F9D"/>
    <w:rsid w:val="003C07EB"/>
    <w:rsid w:val="003D0832"/>
    <w:rsid w:val="003D1110"/>
    <w:rsid w:val="003D621C"/>
    <w:rsid w:val="003F38A7"/>
    <w:rsid w:val="004021E7"/>
    <w:rsid w:val="00405B14"/>
    <w:rsid w:val="00413602"/>
    <w:rsid w:val="00413A0E"/>
    <w:rsid w:val="00415933"/>
    <w:rsid w:val="004171CC"/>
    <w:rsid w:val="00417F77"/>
    <w:rsid w:val="00424C95"/>
    <w:rsid w:val="00433399"/>
    <w:rsid w:val="004463A3"/>
    <w:rsid w:val="00462545"/>
    <w:rsid w:val="0046284D"/>
    <w:rsid w:val="00481D87"/>
    <w:rsid w:val="00486286"/>
    <w:rsid w:val="004954E0"/>
    <w:rsid w:val="004A5487"/>
    <w:rsid w:val="004D0FC3"/>
    <w:rsid w:val="004E0346"/>
    <w:rsid w:val="004F5D0C"/>
    <w:rsid w:val="00501850"/>
    <w:rsid w:val="00502BE3"/>
    <w:rsid w:val="0050670E"/>
    <w:rsid w:val="005210D7"/>
    <w:rsid w:val="005210E1"/>
    <w:rsid w:val="00522FE4"/>
    <w:rsid w:val="00524A09"/>
    <w:rsid w:val="005357F0"/>
    <w:rsid w:val="005421D9"/>
    <w:rsid w:val="00545BF9"/>
    <w:rsid w:val="00564646"/>
    <w:rsid w:val="00570E99"/>
    <w:rsid w:val="00571EA1"/>
    <w:rsid w:val="00595E43"/>
    <w:rsid w:val="00596F47"/>
    <w:rsid w:val="005A6A5C"/>
    <w:rsid w:val="005B4610"/>
    <w:rsid w:val="005B7C05"/>
    <w:rsid w:val="005C1073"/>
    <w:rsid w:val="005C2EC1"/>
    <w:rsid w:val="005D117A"/>
    <w:rsid w:val="005E0FBA"/>
    <w:rsid w:val="005E1806"/>
    <w:rsid w:val="005E2C8D"/>
    <w:rsid w:val="005F6C66"/>
    <w:rsid w:val="00604F0E"/>
    <w:rsid w:val="00607817"/>
    <w:rsid w:val="006118E4"/>
    <w:rsid w:val="00616668"/>
    <w:rsid w:val="00621E45"/>
    <w:rsid w:val="00626AD7"/>
    <w:rsid w:val="006360A4"/>
    <w:rsid w:val="00644CBA"/>
    <w:rsid w:val="0064539F"/>
    <w:rsid w:val="00674855"/>
    <w:rsid w:val="0068763C"/>
    <w:rsid w:val="00695B06"/>
    <w:rsid w:val="006B3D97"/>
    <w:rsid w:val="006C2B88"/>
    <w:rsid w:val="006C3017"/>
    <w:rsid w:val="006C3ED5"/>
    <w:rsid w:val="006D365C"/>
    <w:rsid w:val="006E52DC"/>
    <w:rsid w:val="006E79CC"/>
    <w:rsid w:val="006F7261"/>
    <w:rsid w:val="0072646E"/>
    <w:rsid w:val="00726B6D"/>
    <w:rsid w:val="0073246F"/>
    <w:rsid w:val="00734DF3"/>
    <w:rsid w:val="007404F7"/>
    <w:rsid w:val="00740916"/>
    <w:rsid w:val="0074278F"/>
    <w:rsid w:val="007568B1"/>
    <w:rsid w:val="00782F74"/>
    <w:rsid w:val="00787ECA"/>
    <w:rsid w:val="00790A71"/>
    <w:rsid w:val="00796B3C"/>
    <w:rsid w:val="00796B6E"/>
    <w:rsid w:val="007A37E8"/>
    <w:rsid w:val="007A5778"/>
    <w:rsid w:val="007D26B0"/>
    <w:rsid w:val="00802639"/>
    <w:rsid w:val="0080693E"/>
    <w:rsid w:val="00807102"/>
    <w:rsid w:val="00810F9E"/>
    <w:rsid w:val="008156D9"/>
    <w:rsid w:val="008254C2"/>
    <w:rsid w:val="00826F56"/>
    <w:rsid w:val="0083250C"/>
    <w:rsid w:val="00843418"/>
    <w:rsid w:val="00845825"/>
    <w:rsid w:val="00853966"/>
    <w:rsid w:val="00881676"/>
    <w:rsid w:val="00882500"/>
    <w:rsid w:val="00885022"/>
    <w:rsid w:val="0088601A"/>
    <w:rsid w:val="00890998"/>
    <w:rsid w:val="00897BC6"/>
    <w:rsid w:val="008C254E"/>
    <w:rsid w:val="008C2E31"/>
    <w:rsid w:val="008E2A15"/>
    <w:rsid w:val="008E4684"/>
    <w:rsid w:val="008E59D7"/>
    <w:rsid w:val="008E6C83"/>
    <w:rsid w:val="008F3221"/>
    <w:rsid w:val="00905422"/>
    <w:rsid w:val="009054B3"/>
    <w:rsid w:val="00921B71"/>
    <w:rsid w:val="0092369C"/>
    <w:rsid w:val="009316B3"/>
    <w:rsid w:val="00943FA8"/>
    <w:rsid w:val="00945BC6"/>
    <w:rsid w:val="00947716"/>
    <w:rsid w:val="00947E03"/>
    <w:rsid w:val="009555FC"/>
    <w:rsid w:val="00962A7A"/>
    <w:rsid w:val="009652F5"/>
    <w:rsid w:val="00986153"/>
    <w:rsid w:val="00992860"/>
    <w:rsid w:val="00993163"/>
    <w:rsid w:val="009933CD"/>
    <w:rsid w:val="00996A9F"/>
    <w:rsid w:val="009A1731"/>
    <w:rsid w:val="009B7AFD"/>
    <w:rsid w:val="009C4B86"/>
    <w:rsid w:val="009C560A"/>
    <w:rsid w:val="009D05E6"/>
    <w:rsid w:val="009D16D9"/>
    <w:rsid w:val="009D3CC9"/>
    <w:rsid w:val="009F0088"/>
    <w:rsid w:val="009F700A"/>
    <w:rsid w:val="00A0156C"/>
    <w:rsid w:val="00A1147B"/>
    <w:rsid w:val="00A116B9"/>
    <w:rsid w:val="00A14213"/>
    <w:rsid w:val="00A1789C"/>
    <w:rsid w:val="00A2367D"/>
    <w:rsid w:val="00A25B21"/>
    <w:rsid w:val="00A30913"/>
    <w:rsid w:val="00A6162C"/>
    <w:rsid w:val="00A678FB"/>
    <w:rsid w:val="00A759F8"/>
    <w:rsid w:val="00A8273B"/>
    <w:rsid w:val="00A846ED"/>
    <w:rsid w:val="00A90896"/>
    <w:rsid w:val="00A9110C"/>
    <w:rsid w:val="00AA1072"/>
    <w:rsid w:val="00AA563E"/>
    <w:rsid w:val="00AB7D21"/>
    <w:rsid w:val="00AB7E73"/>
    <w:rsid w:val="00AC3394"/>
    <w:rsid w:val="00AD2002"/>
    <w:rsid w:val="00AE2322"/>
    <w:rsid w:val="00AE3F1F"/>
    <w:rsid w:val="00AE66AF"/>
    <w:rsid w:val="00AF260A"/>
    <w:rsid w:val="00B031C1"/>
    <w:rsid w:val="00B03A0D"/>
    <w:rsid w:val="00B045D4"/>
    <w:rsid w:val="00B10346"/>
    <w:rsid w:val="00B15920"/>
    <w:rsid w:val="00B1737F"/>
    <w:rsid w:val="00B24159"/>
    <w:rsid w:val="00B246C9"/>
    <w:rsid w:val="00B335EE"/>
    <w:rsid w:val="00B42553"/>
    <w:rsid w:val="00B479F5"/>
    <w:rsid w:val="00B615D0"/>
    <w:rsid w:val="00B6712E"/>
    <w:rsid w:val="00B72D32"/>
    <w:rsid w:val="00B73000"/>
    <w:rsid w:val="00B81CAE"/>
    <w:rsid w:val="00B840B8"/>
    <w:rsid w:val="00B8459D"/>
    <w:rsid w:val="00B926F2"/>
    <w:rsid w:val="00B93EF8"/>
    <w:rsid w:val="00B950DE"/>
    <w:rsid w:val="00BB3B5C"/>
    <w:rsid w:val="00BC1A1D"/>
    <w:rsid w:val="00BC7C25"/>
    <w:rsid w:val="00BD126A"/>
    <w:rsid w:val="00BD3068"/>
    <w:rsid w:val="00BD7950"/>
    <w:rsid w:val="00BF1B41"/>
    <w:rsid w:val="00C005E2"/>
    <w:rsid w:val="00C04844"/>
    <w:rsid w:val="00C22C5C"/>
    <w:rsid w:val="00C3204C"/>
    <w:rsid w:val="00C4115D"/>
    <w:rsid w:val="00C527AF"/>
    <w:rsid w:val="00C53DAE"/>
    <w:rsid w:val="00C56484"/>
    <w:rsid w:val="00C56E68"/>
    <w:rsid w:val="00C572DC"/>
    <w:rsid w:val="00C61510"/>
    <w:rsid w:val="00C61BEE"/>
    <w:rsid w:val="00C655FD"/>
    <w:rsid w:val="00C70B86"/>
    <w:rsid w:val="00C7639E"/>
    <w:rsid w:val="00C82F57"/>
    <w:rsid w:val="00C87C9F"/>
    <w:rsid w:val="00C904D9"/>
    <w:rsid w:val="00C945CD"/>
    <w:rsid w:val="00C97624"/>
    <w:rsid w:val="00CA1942"/>
    <w:rsid w:val="00CA2AAB"/>
    <w:rsid w:val="00CA6ADA"/>
    <w:rsid w:val="00CB68B2"/>
    <w:rsid w:val="00CC186D"/>
    <w:rsid w:val="00CD2953"/>
    <w:rsid w:val="00CE2302"/>
    <w:rsid w:val="00CF3560"/>
    <w:rsid w:val="00D0282A"/>
    <w:rsid w:val="00D04856"/>
    <w:rsid w:val="00D10234"/>
    <w:rsid w:val="00D15AFD"/>
    <w:rsid w:val="00D31B19"/>
    <w:rsid w:val="00D33006"/>
    <w:rsid w:val="00D43F0D"/>
    <w:rsid w:val="00D45A07"/>
    <w:rsid w:val="00D46376"/>
    <w:rsid w:val="00D50A55"/>
    <w:rsid w:val="00D6581A"/>
    <w:rsid w:val="00D70B67"/>
    <w:rsid w:val="00D81DC0"/>
    <w:rsid w:val="00D84658"/>
    <w:rsid w:val="00D87B9E"/>
    <w:rsid w:val="00D93117"/>
    <w:rsid w:val="00D95D3F"/>
    <w:rsid w:val="00DA0D5B"/>
    <w:rsid w:val="00DA4732"/>
    <w:rsid w:val="00DC0DF1"/>
    <w:rsid w:val="00DC3545"/>
    <w:rsid w:val="00DC42CF"/>
    <w:rsid w:val="00DD144E"/>
    <w:rsid w:val="00DD1A04"/>
    <w:rsid w:val="00DD1B16"/>
    <w:rsid w:val="00DD2797"/>
    <w:rsid w:val="00DD3E50"/>
    <w:rsid w:val="00DD5CFE"/>
    <w:rsid w:val="00DE1BDB"/>
    <w:rsid w:val="00DE243A"/>
    <w:rsid w:val="00DF37AF"/>
    <w:rsid w:val="00E00421"/>
    <w:rsid w:val="00E12326"/>
    <w:rsid w:val="00E12EBD"/>
    <w:rsid w:val="00E17E02"/>
    <w:rsid w:val="00E24742"/>
    <w:rsid w:val="00E33525"/>
    <w:rsid w:val="00E4526B"/>
    <w:rsid w:val="00E461DF"/>
    <w:rsid w:val="00E62120"/>
    <w:rsid w:val="00E73DE8"/>
    <w:rsid w:val="00E74C50"/>
    <w:rsid w:val="00E8366B"/>
    <w:rsid w:val="00E876FE"/>
    <w:rsid w:val="00EA3C6E"/>
    <w:rsid w:val="00EB08C9"/>
    <w:rsid w:val="00EB4E4A"/>
    <w:rsid w:val="00EB7AB9"/>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2D03"/>
    <w:rsid w:val="00FA6B21"/>
    <w:rsid w:val="00FC615A"/>
    <w:rsid w:val="00FC6B4B"/>
    <w:rsid w:val="00FD6049"/>
    <w:rsid w:val="00FD776B"/>
    <w:rsid w:val="00FF6988"/>
    <w:rsid w:val="0C9E6311"/>
    <w:rsid w:val="22A77769"/>
    <w:rsid w:val="2A2A3142"/>
    <w:rsid w:val="2BDC37B1"/>
    <w:rsid w:val="2DB6330F"/>
    <w:rsid w:val="35EA142C"/>
    <w:rsid w:val="38DF5587"/>
    <w:rsid w:val="3C1F33B4"/>
    <w:rsid w:val="3FD0274E"/>
    <w:rsid w:val="41E902D0"/>
    <w:rsid w:val="45D856C1"/>
    <w:rsid w:val="48FB74E8"/>
    <w:rsid w:val="5C010C02"/>
    <w:rsid w:val="5DDD03E1"/>
    <w:rsid w:val="67B25402"/>
    <w:rsid w:val="7B9F173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8"/>
    <w:qFormat/>
    <w:uiPriority w:val="0"/>
    <w:pPr>
      <w:spacing w:after="120"/>
    </w:pPr>
  </w:style>
  <w:style w:type="paragraph" w:styleId="5">
    <w:name w:val="Plain Text"/>
    <w:basedOn w:val="1"/>
    <w:link w:val="23"/>
    <w:qFormat/>
    <w:uiPriority w:val="0"/>
    <w:rPr>
      <w:rFonts w:ascii="宋体" w:hAnsi="Courier New"/>
      <w:szCs w:val="20"/>
    </w:rPr>
  </w:style>
  <w:style w:type="paragraph" w:styleId="6">
    <w:name w:val="Balloon Text"/>
    <w:basedOn w:val="1"/>
    <w:link w:val="24"/>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5"/>
    <w:qFormat/>
    <w:uiPriority w:val="0"/>
    <w:pPr>
      <w:snapToGrid w:val="0"/>
      <w:jc w:val="left"/>
    </w:pPr>
    <w:rPr>
      <w:sz w:val="18"/>
      <w:szCs w:val="18"/>
    </w:rPr>
  </w:style>
  <w:style w:type="character" w:styleId="11">
    <w:name w:val="footnote reference"/>
    <w:qFormat/>
    <w:uiPriority w:val="0"/>
    <w:rPr>
      <w:vertAlign w:val="superscript"/>
    </w:rPr>
  </w:style>
  <w:style w:type="character" w:customStyle="1" w:styleId="13">
    <w:name w:val="标题 1 Char"/>
    <w:basedOn w:val="10"/>
    <w:link w:val="2"/>
    <w:qFormat/>
    <w:uiPriority w:val="0"/>
    <w:rPr>
      <w:rFonts w:ascii="Times New Roman" w:hAnsi="Times New Roman" w:eastAsia="宋体" w:cs="Times New Roman"/>
      <w:b/>
      <w:bCs/>
      <w:kern w:val="44"/>
      <w:sz w:val="44"/>
      <w:szCs w:val="44"/>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5">
    <w:name w:val="脚注文本 Char"/>
    <w:basedOn w:val="10"/>
    <w:link w:val="9"/>
    <w:qFormat/>
    <w:uiPriority w:val="0"/>
    <w:rPr>
      <w:rFonts w:ascii="Times New Roman" w:hAnsi="Times New Roman" w:eastAsia="宋体" w:cs="Times New Roman"/>
      <w:sz w:val="18"/>
      <w:szCs w:val="18"/>
    </w:rPr>
  </w:style>
  <w:style w:type="character" w:customStyle="1" w:styleId="16">
    <w:name w:val="标题 2 Char"/>
    <w:basedOn w:val="10"/>
    <w:link w:val="3"/>
    <w:semiHidden/>
    <w:qFormat/>
    <w:uiPriority w:val="9"/>
    <w:rPr>
      <w:rFonts w:asciiTheme="majorHAnsi" w:hAnsiTheme="majorHAnsi" w:eastAsiaTheme="majorEastAsia" w:cstheme="majorBidi"/>
      <w:b/>
      <w:bCs/>
      <w:sz w:val="32"/>
      <w:szCs w:val="32"/>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character" w:customStyle="1" w:styleId="18">
    <w:name w:val="正文文本 Char"/>
    <w:basedOn w:val="10"/>
    <w:link w:val="4"/>
    <w:qFormat/>
    <w:uiPriority w:val="0"/>
    <w:rPr>
      <w:rFonts w:ascii="Times New Roman" w:hAnsi="Times New Roman" w:eastAsia="宋体" w:cs="Times New Roman"/>
      <w:szCs w:val="24"/>
    </w:rPr>
  </w:style>
  <w:style w:type="paragraph" w:customStyle="1" w:styleId="19">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0">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1">
    <w:name w:val="页眉 Char"/>
    <w:basedOn w:val="10"/>
    <w:link w:val="8"/>
    <w:qFormat/>
    <w:uiPriority w:val="99"/>
    <w:rPr>
      <w:rFonts w:ascii="Times New Roman" w:hAnsi="Times New Roman" w:eastAsia="宋体" w:cs="Times New Roman"/>
      <w:sz w:val="18"/>
      <w:szCs w:val="18"/>
    </w:rPr>
  </w:style>
  <w:style w:type="character" w:customStyle="1" w:styleId="22">
    <w:name w:val="页脚 Char"/>
    <w:basedOn w:val="10"/>
    <w:link w:val="7"/>
    <w:qFormat/>
    <w:uiPriority w:val="99"/>
    <w:rPr>
      <w:rFonts w:ascii="Times New Roman" w:hAnsi="Times New Roman" w:eastAsia="宋体" w:cs="Times New Roman"/>
      <w:sz w:val="18"/>
      <w:szCs w:val="18"/>
    </w:rPr>
  </w:style>
  <w:style w:type="character" w:customStyle="1" w:styleId="23">
    <w:name w:val="纯文本 Char"/>
    <w:basedOn w:val="10"/>
    <w:link w:val="5"/>
    <w:qFormat/>
    <w:uiPriority w:val="0"/>
    <w:rPr>
      <w:rFonts w:ascii="宋体" w:hAnsi="Courier New" w:eastAsia="宋体" w:cs="Times New Roman"/>
      <w:szCs w:val="20"/>
    </w:rPr>
  </w:style>
  <w:style w:type="character" w:customStyle="1" w:styleId="24">
    <w:name w:val="批注框文本 Char"/>
    <w:basedOn w:val="10"/>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7EF02A-642F-42E1-80C7-A21D87BEAD49}">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12</Pages>
  <Words>767</Words>
  <Characters>4377</Characters>
  <Lines>36</Lines>
  <Paragraphs>10</Paragraphs>
  <ScaleCrop>false</ScaleCrop>
  <LinksUpToDate>false</LinksUpToDate>
  <CharactersWithSpaces>5134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2017-02-14T09:24:00Z</dcterms:created>
  <dc:creator>qzy3472</dc:creator>
  <cp:lastModifiedBy>中国神华国际工程有限公司:马鹏军</cp:lastModifiedBy>
  <cp:lastPrinted>2017-01-04T03:29:00Z</cp:lastPrinted>
  <dcterms:modified xsi:type="dcterms:W3CDTF">2017-11-23T00:41:32Z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