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eastAsia="黑体"/>
          <w:b/>
          <w:bCs/>
          <w:sz w:val="32"/>
        </w:rPr>
      </w:pPr>
      <w:r>
        <w:rPr>
          <w:rFonts w:hint="eastAsia" w:ascii="黑体" w:eastAsia="黑体"/>
          <w:b/>
          <w:bCs/>
          <w:sz w:val="32"/>
        </w:rPr>
        <w:t>配件技术要求</w:t>
      </w:r>
    </w:p>
    <w:p>
      <w:pPr>
        <w:tabs>
          <w:tab w:val="left" w:pos="2340"/>
        </w:tabs>
        <w:spacing w:line="480" w:lineRule="auto"/>
        <w:jc w:val="center"/>
        <w:rPr>
          <w:rFonts w:ascii="黑体" w:eastAsia="黑体"/>
          <w:b/>
          <w:bCs/>
          <w:sz w:val="32"/>
        </w:rPr>
      </w:pPr>
    </w:p>
    <w:p>
      <w:pPr>
        <w:tabs>
          <w:tab w:val="left" w:pos="2340"/>
        </w:tabs>
        <w:spacing w:line="480" w:lineRule="auto"/>
        <w:ind w:firstLine="840" w:firstLineChars="350"/>
        <w:jc w:val="left"/>
        <w:rPr>
          <w:rFonts w:ascii="宋体"/>
          <w:sz w:val="24"/>
        </w:rPr>
      </w:pPr>
      <w:bookmarkStart w:id="0" w:name="_Toc357082526"/>
      <w:bookmarkStart w:id="1" w:name="_Toc356204538"/>
      <w:r>
        <w:rPr>
          <w:rFonts w:hint="eastAsia" w:ascii="宋体"/>
          <w:sz w:val="24"/>
        </w:rPr>
        <w:t>第一节</w:t>
      </w:r>
      <w:r>
        <w:rPr>
          <w:rFonts w:ascii="宋体"/>
          <w:sz w:val="24"/>
        </w:rPr>
        <w:t xml:space="preserve">  </w:t>
      </w:r>
      <w:r>
        <w:rPr>
          <w:rFonts w:hint="eastAsia" w:ascii="宋体"/>
          <w:sz w:val="24"/>
        </w:rPr>
        <w:t>供货范围、技术规格、参数与要求</w:t>
      </w:r>
    </w:p>
    <w:p>
      <w:pPr>
        <w:tabs>
          <w:tab w:val="left" w:pos="2340"/>
        </w:tabs>
        <w:spacing w:line="480" w:lineRule="auto"/>
        <w:ind w:firstLine="840" w:firstLineChars="350"/>
        <w:jc w:val="left"/>
        <w:rPr>
          <w:rFonts w:ascii="宋体"/>
          <w:sz w:val="24"/>
        </w:rPr>
      </w:pPr>
      <w:r>
        <w:rPr>
          <w:rFonts w:hint="eastAsia" w:ascii="宋体"/>
          <w:sz w:val="24"/>
        </w:rPr>
        <w:t>第二节</w:t>
      </w:r>
      <w:r>
        <w:rPr>
          <w:rFonts w:ascii="宋体"/>
          <w:sz w:val="24"/>
        </w:rPr>
        <w:t xml:space="preserve">  </w:t>
      </w:r>
      <w:r>
        <w:rPr>
          <w:rFonts w:hint="eastAsia" w:ascii="宋体"/>
          <w:sz w:val="24"/>
        </w:rPr>
        <w:t>出厂前检验与交货验收</w:t>
      </w:r>
    </w:p>
    <w:p>
      <w:pPr>
        <w:tabs>
          <w:tab w:val="left" w:pos="2340"/>
        </w:tabs>
        <w:spacing w:line="480" w:lineRule="auto"/>
        <w:ind w:firstLine="840" w:firstLineChars="350"/>
        <w:jc w:val="left"/>
        <w:rPr>
          <w:rFonts w:ascii="宋体"/>
          <w:sz w:val="24"/>
        </w:rPr>
      </w:pPr>
      <w:r>
        <w:rPr>
          <w:rFonts w:hint="eastAsia" w:ascii="宋体"/>
          <w:sz w:val="24"/>
        </w:rPr>
        <w:t>第三节</w:t>
      </w:r>
      <w:r>
        <w:rPr>
          <w:rFonts w:ascii="宋体"/>
          <w:sz w:val="24"/>
        </w:rPr>
        <w:t xml:space="preserve">  </w:t>
      </w:r>
      <w:r>
        <w:rPr>
          <w:rFonts w:hint="eastAsia" w:ascii="宋体"/>
          <w:sz w:val="24"/>
        </w:rPr>
        <w:t>质量保证</w:t>
      </w:r>
    </w:p>
    <w:p>
      <w:pPr>
        <w:tabs>
          <w:tab w:val="left" w:pos="2340"/>
        </w:tabs>
        <w:spacing w:line="480" w:lineRule="auto"/>
        <w:ind w:firstLine="840" w:firstLineChars="350"/>
        <w:jc w:val="left"/>
      </w:pPr>
      <w:r>
        <w:rPr>
          <w:rFonts w:hint="eastAsia" w:ascii="宋体"/>
          <w:sz w:val="24"/>
        </w:rPr>
        <w:t>第四节</w:t>
      </w:r>
      <w:r>
        <w:rPr>
          <w:rFonts w:ascii="宋体"/>
          <w:sz w:val="24"/>
        </w:rPr>
        <w:t xml:space="preserve">  </w:t>
      </w:r>
      <w:r>
        <w:rPr>
          <w:rFonts w:hint="eastAsia" w:ascii="宋体"/>
          <w:sz w:val="24"/>
        </w:rPr>
        <w:t>标准</w:t>
      </w:r>
      <w:r>
        <w:br w:type="page"/>
      </w:r>
    </w:p>
    <w:p>
      <w:pPr>
        <w:tabs>
          <w:tab w:val="left" w:pos="2340"/>
        </w:tabs>
        <w:spacing w:line="480" w:lineRule="auto"/>
        <w:jc w:val="center"/>
        <w:rPr>
          <w:rFonts w:ascii="黑体" w:eastAsia="黑体"/>
          <w:b/>
          <w:bCs/>
          <w:sz w:val="32"/>
        </w:rPr>
      </w:pPr>
      <w:r>
        <w:rPr>
          <w:rFonts w:hint="eastAsia" w:ascii="黑体" w:eastAsia="黑体"/>
          <w:b/>
          <w:bCs/>
          <w:sz w:val="32"/>
        </w:rPr>
        <w:t>第一节</w:t>
      </w:r>
      <w:r>
        <w:rPr>
          <w:rFonts w:ascii="黑体" w:eastAsia="黑体"/>
          <w:b/>
          <w:bCs/>
          <w:sz w:val="32"/>
        </w:rPr>
        <w:t xml:space="preserve"> </w:t>
      </w:r>
      <w:r>
        <w:rPr>
          <w:rFonts w:hint="eastAsia" w:ascii="黑体" w:eastAsia="黑体"/>
          <w:b/>
          <w:bCs/>
          <w:sz w:val="32"/>
        </w:rPr>
        <w:t>供货范围、技术规格、参数与要求</w:t>
      </w:r>
      <w:bookmarkEnd w:id="0"/>
      <w:bookmarkEnd w:id="1"/>
    </w:p>
    <w:p>
      <w:pPr>
        <w:adjustRightInd w:val="0"/>
        <w:snapToGrid w:val="0"/>
        <w:spacing w:before="312" w:beforeLines="100" w:after="312" w:afterLines="100" w:line="360" w:lineRule="auto"/>
        <w:ind w:left="2237" w:leftChars="-5" w:hanging="2247" w:hangingChars="1070"/>
        <w:rPr>
          <w:b/>
          <w:szCs w:val="21"/>
        </w:rPr>
      </w:pPr>
      <w:r>
        <w:rPr>
          <w:rFonts w:hint="eastAsia"/>
          <w:b/>
          <w:szCs w:val="21"/>
        </w:rPr>
        <w:t>一、货物需求一览表</w:t>
      </w:r>
    </w:p>
    <w:tbl>
      <w:tblPr>
        <w:tblStyle w:val="16"/>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b/>
              </w:rPr>
            </w:pPr>
            <w:r>
              <w:rPr>
                <w:rFonts w:hint="eastAsia" w:ascii="宋体"/>
                <w:b/>
              </w:rPr>
              <w:t>序号</w:t>
            </w:r>
          </w:p>
        </w:tc>
        <w:tc>
          <w:tcPr>
            <w:tcW w:w="244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b/>
              </w:rPr>
            </w:pPr>
            <w:r>
              <w:rPr>
                <w:rFonts w:hint="eastAsia" w:ascii="宋体"/>
                <w:b/>
              </w:rPr>
              <w:t>名称</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
              </w:rPr>
            </w:pPr>
            <w:r>
              <w:rPr>
                <w:rFonts w:hint="eastAsia" w:ascii="宋体"/>
                <w:b/>
                <w:lang w:eastAsia="zh-CN"/>
              </w:rPr>
              <w:t>参考</w:t>
            </w:r>
            <w:r>
              <w:rPr>
                <w:rFonts w:hint="eastAsia" w:ascii="宋体"/>
                <w:b/>
              </w:rPr>
              <w:t>型号</w:t>
            </w:r>
          </w:p>
        </w:tc>
        <w:tc>
          <w:tcPr>
            <w:tcW w:w="70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b/>
              </w:rPr>
            </w:pPr>
            <w:r>
              <w:rPr>
                <w:rFonts w:hint="eastAsia" w:ascii="宋体"/>
                <w:b/>
              </w:rPr>
              <w:t>单位</w:t>
            </w:r>
          </w:p>
        </w:tc>
        <w:tc>
          <w:tcPr>
            <w:tcW w:w="85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b/>
              </w:rPr>
            </w:pPr>
            <w:r>
              <w:rPr>
                <w:rFonts w:hint="eastAsia" w:ascii="宋体"/>
                <w:b/>
              </w:rPr>
              <w:t>数量</w:t>
            </w:r>
          </w:p>
        </w:tc>
        <w:tc>
          <w:tcPr>
            <w:tcW w:w="17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
              </w:rPr>
            </w:pPr>
            <w:r>
              <w:rPr>
                <w:rFonts w:hint="eastAsia" w:ascii="宋体"/>
                <w:b/>
              </w:rPr>
              <w:t>交货时间</w:t>
            </w:r>
          </w:p>
        </w:tc>
        <w:tc>
          <w:tcPr>
            <w:tcW w:w="127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
              </w:rPr>
            </w:pPr>
            <w:r>
              <w:rPr>
                <w:rFonts w:hint="eastAsia" w:ascii="宋体"/>
                <w:b/>
              </w:rPr>
              <w:t>交货地点</w:t>
            </w:r>
          </w:p>
        </w:tc>
        <w:tc>
          <w:tcPr>
            <w:tcW w:w="93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b/>
              </w:rPr>
            </w:pPr>
            <w:r>
              <w:rPr>
                <w:rFonts w:hint="eastAsia" w:asci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ascii="宋体"/>
                <w:szCs w:val="21"/>
              </w:rPr>
              <w:t>1</w:t>
            </w:r>
          </w:p>
        </w:tc>
        <w:tc>
          <w:tcPr>
            <w:tcW w:w="244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val="en-US" w:eastAsia="zh-CN"/>
              </w:rPr>
            </w:pPr>
            <w:r>
              <w:rPr>
                <w:rFonts w:hint="eastAsia" w:ascii="宋体" w:hAnsi="宋体" w:cs="宋体"/>
                <w:sz w:val="24"/>
                <w:szCs w:val="24"/>
                <w:lang w:val="en-US" w:eastAsia="zh-CN"/>
              </w:rPr>
              <w:t>三相组合式过电压保护器</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eastAsia="zh-CN"/>
              </w:rPr>
            </w:pPr>
            <w:r>
              <w:rPr>
                <w:rFonts w:hint="eastAsia" w:ascii="宋体" w:hAnsi="宋体" w:cs="宋体"/>
                <w:sz w:val="24"/>
                <w:szCs w:val="24"/>
                <w:lang w:val="en-US" w:eastAsia="zh-CN"/>
              </w:rPr>
              <w:t>TBP-B-12.7/131</w:t>
            </w:r>
          </w:p>
        </w:tc>
        <w:tc>
          <w:tcPr>
            <w:tcW w:w="70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eastAsia="zh-CN"/>
              </w:rPr>
            </w:pPr>
            <w:r>
              <w:rPr>
                <w:rFonts w:hint="eastAsia" w:ascii="宋体"/>
                <w:szCs w:val="21"/>
                <w:lang w:val="en-US" w:eastAsia="zh-CN"/>
              </w:rPr>
              <w:t>个</w:t>
            </w:r>
          </w:p>
        </w:tc>
        <w:tc>
          <w:tcPr>
            <w:tcW w:w="85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eastAsia="zh-CN"/>
              </w:rPr>
            </w:pPr>
            <w:r>
              <w:rPr>
                <w:rFonts w:hint="eastAsia" w:ascii="宋体"/>
                <w:szCs w:val="21"/>
                <w:lang w:val="en-US" w:eastAsia="zh-CN"/>
              </w:rPr>
              <w:t>50</w:t>
            </w:r>
          </w:p>
        </w:tc>
        <w:tc>
          <w:tcPr>
            <w:tcW w:w="17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szCs w:val="21"/>
              </w:rPr>
              <w:t>自合同签订之日起</w:t>
            </w:r>
            <w:r>
              <w:rPr>
                <w:rFonts w:ascii="宋体"/>
                <w:szCs w:val="21"/>
              </w:rPr>
              <w:t>15</w:t>
            </w:r>
            <w:r>
              <w:rPr>
                <w:rFonts w:hint="eastAsia" w:ascii="宋体"/>
                <w:szCs w:val="21"/>
              </w:rPr>
              <w:t>天内交货</w:t>
            </w:r>
          </w:p>
        </w:tc>
        <w:tc>
          <w:tcPr>
            <w:tcW w:w="127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szCs w:val="21"/>
              </w:rPr>
            </w:pPr>
            <w:r>
              <w:rPr>
                <w:rFonts w:hint="eastAsia" w:ascii="宋体"/>
                <w:szCs w:val="21"/>
              </w:rPr>
              <w:t>供电中心</w:t>
            </w:r>
          </w:p>
        </w:tc>
        <w:tc>
          <w:tcPr>
            <w:tcW w:w="93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eastAsia="宋体"/>
                <w:szCs w:val="21"/>
                <w:lang w:val="en-US" w:eastAsia="zh-CN"/>
              </w:rPr>
            </w:pPr>
            <w:r>
              <w:rPr>
                <w:rFonts w:hint="eastAsia" w:ascii="宋体"/>
                <w:szCs w:val="21"/>
                <w:lang w:val="en-US" w:eastAsia="zh-CN"/>
              </w:rPr>
              <w:t>电站型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2</w:t>
            </w:r>
          </w:p>
        </w:tc>
        <w:tc>
          <w:tcPr>
            <w:tcW w:w="244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bCs/>
                <w:szCs w:val="21"/>
              </w:rPr>
            </w:pPr>
          </w:p>
        </w:tc>
        <w:tc>
          <w:tcPr>
            <w:tcW w:w="70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rPr>
            </w:pPr>
            <w:r>
              <w:rPr>
                <w:rFonts w:hint="eastAsia" w:ascii="宋体" w:hAnsi="宋体"/>
                <w:szCs w:val="21"/>
              </w:rPr>
              <w:t>套/</w:t>
            </w:r>
            <w:r>
              <w:rPr>
                <w:rFonts w:hint="eastAsia" w:ascii="宋体" w:hAnsi="宋体"/>
                <w:szCs w:val="21"/>
                <w:lang w:val="en-US" w:eastAsia="zh-CN"/>
              </w:rPr>
              <w:t>个</w:t>
            </w:r>
          </w:p>
        </w:tc>
        <w:tc>
          <w:tcPr>
            <w:tcW w:w="85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szCs w:val="21"/>
                <w:lang w:val="en-US" w:eastAsia="zh-CN"/>
              </w:rPr>
            </w:pPr>
            <w:r>
              <w:rPr>
                <w:rFonts w:hint="eastAsia" w:ascii="宋体" w:hAnsi="宋体"/>
                <w:szCs w:val="21"/>
                <w:lang w:val="en-US" w:eastAsia="zh-CN"/>
              </w:rPr>
              <w:t>50</w:t>
            </w:r>
          </w:p>
        </w:tc>
        <w:tc>
          <w:tcPr>
            <w:tcW w:w="170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p>
        </w:tc>
        <w:tc>
          <w:tcPr>
            <w:tcW w:w="127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p>
        </w:tc>
        <w:tc>
          <w:tcPr>
            <w:tcW w:w="93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szCs w:val="21"/>
        </w:rPr>
      </w:pPr>
      <w:r>
        <w:rPr>
          <w:rFonts w:ascii="宋体"/>
          <w:szCs w:val="21"/>
        </w:rPr>
        <w:t xml:space="preserve">1. </w:t>
      </w:r>
      <w:r>
        <w:rPr>
          <w:rFonts w:hint="eastAsia" w:ascii="宋体"/>
          <w:szCs w:val="21"/>
        </w:rPr>
        <w:t>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 xml:space="preserve">   ≤1400m   </w:t>
      </w:r>
      <w:r>
        <w:rPr>
          <w:rFonts w:hint="eastAsia" w:ascii="宋体" w:hAnsi="宋体"/>
          <w:szCs w:val="21"/>
        </w:rPr>
        <w:t>。</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szCs w:val="21"/>
        </w:rPr>
      </w:pPr>
      <w:r>
        <w:rPr>
          <w:rFonts w:ascii="宋体"/>
          <w:szCs w:val="21"/>
        </w:rPr>
        <w:t xml:space="preserve">1. </w:t>
      </w:r>
      <w:r>
        <w:rPr>
          <w:rFonts w:hint="eastAsia" w:ascii="宋体"/>
          <w:szCs w:val="21"/>
        </w:rPr>
        <w:t>技术</w:t>
      </w:r>
      <w:r>
        <w:rPr>
          <w:rFonts w:hint="eastAsia"/>
          <w:szCs w:val="21"/>
        </w:rPr>
        <w:t>参数</w:t>
      </w:r>
    </w:p>
    <w:p>
      <w:pPr>
        <w:pStyle w:val="18"/>
        <w:tabs>
          <w:tab w:val="left" w:pos="1290"/>
          <w:tab w:val="left" w:pos="1680"/>
        </w:tabs>
        <w:adjustRightInd w:val="0"/>
        <w:snapToGrid w:val="0"/>
        <w:spacing w:line="360" w:lineRule="auto"/>
        <w:rPr>
          <w:rFonts w:hint="eastAsia"/>
          <w:sz w:val="21"/>
          <w:szCs w:val="21"/>
        </w:rPr>
      </w:pPr>
      <w:r>
        <w:rPr>
          <w:rFonts w:hint="eastAsia"/>
          <w:bCs/>
          <w:sz w:val="21"/>
          <w:szCs w:val="21"/>
          <w:lang w:val="en-US" w:eastAsia="zh-CN"/>
        </w:rPr>
        <w:t xml:space="preserve">  1.1、</w:t>
      </w:r>
      <w:r>
        <w:rPr>
          <w:rFonts w:hint="eastAsia"/>
          <w:bCs/>
          <w:sz w:val="21"/>
          <w:szCs w:val="21"/>
          <w:lang w:eastAsia="zh-CN"/>
        </w:rPr>
        <w:t>参考</w:t>
      </w:r>
      <w:r>
        <w:rPr>
          <w:rFonts w:hint="eastAsia"/>
          <w:bCs/>
          <w:sz w:val="21"/>
          <w:szCs w:val="21"/>
        </w:rPr>
        <w:t>型号</w:t>
      </w:r>
      <w:r>
        <w:rPr>
          <w:bCs/>
          <w:sz w:val="21"/>
          <w:szCs w:val="21"/>
        </w:rPr>
        <w:t>:</w:t>
      </w:r>
      <w:r>
        <w:rPr>
          <w:sz w:val="21"/>
          <w:szCs w:val="21"/>
        </w:rPr>
        <w:t xml:space="preserve"> </w:t>
      </w:r>
      <w:r>
        <w:rPr>
          <w:rFonts w:hint="eastAsia" w:ascii="宋体" w:hAnsi="宋体" w:cs="宋体"/>
          <w:sz w:val="21"/>
          <w:szCs w:val="21"/>
          <w:lang w:val="en-US" w:eastAsia="zh-CN"/>
        </w:rPr>
        <w:t>TBP-B-12.7/131</w:t>
      </w:r>
    </w:p>
    <w:p>
      <w:pPr>
        <w:pStyle w:val="18"/>
        <w:tabs>
          <w:tab w:val="left" w:pos="1290"/>
          <w:tab w:val="left" w:pos="1680"/>
        </w:tabs>
        <w:adjustRightInd w:val="0"/>
        <w:snapToGrid w:val="0"/>
        <w:spacing w:line="360" w:lineRule="auto"/>
        <w:ind w:firstLine="210" w:firstLineChars="100"/>
        <w:rPr>
          <w:rFonts w:hint="eastAsia"/>
          <w:sz w:val="21"/>
          <w:szCs w:val="21"/>
          <w:lang w:val="en-US" w:eastAsia="zh-CN"/>
        </w:rPr>
      </w:pPr>
      <w:r>
        <w:rPr>
          <w:rFonts w:hint="eastAsia"/>
          <w:sz w:val="21"/>
          <w:szCs w:val="21"/>
          <w:lang w:val="en-US" w:eastAsia="zh-CN"/>
        </w:rPr>
        <w:t>1.2、额定电压：17kV</w:t>
      </w:r>
    </w:p>
    <w:p>
      <w:pPr>
        <w:pStyle w:val="18"/>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lang w:val="en-US" w:eastAsia="zh-CN"/>
        </w:rPr>
        <w:t>1.4、持续运行电压：13.6kV</w:t>
      </w:r>
    </w:p>
    <w:p>
      <w:pPr>
        <w:pStyle w:val="18"/>
        <w:tabs>
          <w:tab w:val="left" w:pos="1290"/>
          <w:tab w:val="left" w:pos="1680"/>
        </w:tabs>
        <w:adjustRightInd w:val="0"/>
        <w:snapToGrid w:val="0"/>
        <w:spacing w:line="360" w:lineRule="auto"/>
        <w:ind w:firstLine="210" w:firstLineChars="100"/>
        <w:rPr>
          <w:rFonts w:hint="eastAsia"/>
          <w:sz w:val="21"/>
          <w:szCs w:val="21"/>
          <w:lang w:val="en-US" w:eastAsia="zh-CN"/>
        </w:rPr>
      </w:pPr>
      <w:r>
        <w:rPr>
          <w:rFonts w:hint="eastAsia"/>
          <w:sz w:val="21"/>
          <w:szCs w:val="21"/>
          <w:lang w:val="en-US" w:eastAsia="zh-CN"/>
        </w:rPr>
        <w:t>1.5、直流参考电压：24kV</w:t>
      </w:r>
    </w:p>
    <w:p>
      <w:pPr>
        <w:pStyle w:val="18"/>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lang w:val="en-US" w:eastAsia="zh-CN"/>
        </w:rPr>
        <w:t>1.6</w:t>
      </w:r>
      <w:r>
        <w:rPr>
          <w:rFonts w:hint="eastAsia"/>
          <w:sz w:val="21"/>
          <w:szCs w:val="21"/>
          <w:lang w:eastAsia="zh-CN"/>
        </w:rPr>
        <w:t>、</w:t>
      </w:r>
      <w:r>
        <w:rPr>
          <w:rFonts w:hint="eastAsia"/>
          <w:sz w:val="21"/>
          <w:szCs w:val="21"/>
          <w:lang w:val="en-US" w:eastAsia="zh-CN"/>
        </w:rPr>
        <w:t>工频参考电压：17kV</w:t>
      </w:r>
    </w:p>
    <w:p>
      <w:pPr>
        <w:pStyle w:val="18"/>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lang w:val="en-US" w:eastAsia="zh-CN"/>
        </w:rPr>
        <w:t>1.7、标称放电电流下残压：45kV</w:t>
      </w:r>
      <w:bookmarkStart w:id="4" w:name="_GoBack"/>
      <w:bookmarkEnd w:id="4"/>
    </w:p>
    <w:p>
      <w:pPr>
        <w:pStyle w:val="18"/>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lang w:val="en-US" w:eastAsia="zh-CN"/>
        </w:rPr>
        <w:t>1.8</w:t>
      </w:r>
      <w:r>
        <w:rPr>
          <w:rFonts w:hint="eastAsia"/>
          <w:sz w:val="21"/>
          <w:szCs w:val="21"/>
          <w:lang w:eastAsia="zh-CN"/>
        </w:rPr>
        <w:t>、</w:t>
      </w:r>
      <w:r>
        <w:rPr>
          <w:rFonts w:hint="eastAsia"/>
          <w:sz w:val="21"/>
          <w:szCs w:val="21"/>
          <w:lang w:val="en-US" w:eastAsia="zh-CN"/>
        </w:rPr>
        <w:t>方波冲击电流耐受：400A</w:t>
      </w:r>
    </w:p>
    <w:p>
      <w:pPr>
        <w:pStyle w:val="18"/>
        <w:tabs>
          <w:tab w:val="left" w:pos="1290"/>
          <w:tab w:val="left" w:pos="1680"/>
        </w:tabs>
        <w:adjustRightInd w:val="0"/>
        <w:snapToGrid w:val="0"/>
        <w:spacing w:line="360" w:lineRule="auto"/>
        <w:rPr>
          <w:rFonts w:hint="eastAsia"/>
          <w:sz w:val="21"/>
          <w:szCs w:val="21"/>
          <w:lang w:val="en-US" w:eastAsia="zh-CN"/>
        </w:rPr>
      </w:pPr>
      <w:r>
        <w:rPr>
          <w:rFonts w:hint="eastAsia"/>
          <w:sz w:val="21"/>
          <w:szCs w:val="21"/>
          <w:lang w:val="en-US" w:eastAsia="zh-CN"/>
        </w:rPr>
        <w:t>2.招标人提出的其它技术要求</w:t>
      </w:r>
    </w:p>
    <w:p>
      <w:pPr>
        <w:pStyle w:val="18"/>
        <w:tabs>
          <w:tab w:val="left" w:pos="1290"/>
          <w:tab w:val="left" w:pos="1680"/>
        </w:tabs>
        <w:adjustRightInd w:val="0"/>
        <w:snapToGrid w:val="0"/>
        <w:spacing w:line="360" w:lineRule="auto"/>
        <w:rPr>
          <w:rFonts w:hint="eastAsia"/>
          <w:sz w:val="21"/>
          <w:szCs w:val="21"/>
          <w:lang w:val="en-US" w:eastAsia="zh-CN"/>
        </w:rPr>
      </w:pPr>
      <w:r>
        <w:rPr>
          <w:rFonts w:hint="eastAsia"/>
          <w:sz w:val="21"/>
          <w:szCs w:val="21"/>
          <w:lang w:val="en-US" w:eastAsia="zh-CN"/>
        </w:rPr>
        <w:t xml:space="preserve">  2.1.投标厂家必须对招标文件中的技术条款逐条解释并满足工作环境。</w:t>
      </w:r>
    </w:p>
    <w:p>
      <w:pPr>
        <w:pStyle w:val="18"/>
        <w:tabs>
          <w:tab w:val="left" w:pos="1290"/>
          <w:tab w:val="left" w:pos="1680"/>
        </w:tabs>
        <w:adjustRightInd w:val="0"/>
        <w:snapToGrid w:val="0"/>
        <w:spacing w:line="360" w:lineRule="auto"/>
        <w:rPr>
          <w:rFonts w:hint="eastAsia"/>
          <w:sz w:val="21"/>
          <w:szCs w:val="21"/>
          <w:lang w:val="en-US" w:eastAsia="zh-CN"/>
        </w:rPr>
      </w:pPr>
      <w:r>
        <w:rPr>
          <w:rFonts w:hint="eastAsia"/>
          <w:sz w:val="21"/>
          <w:szCs w:val="21"/>
          <w:lang w:val="en-US" w:eastAsia="zh-CN"/>
        </w:rPr>
        <w:t xml:space="preserve">  2.2.投标产品必须满足相关的最新国家和行业标准要求，招标技术要求中相关条款指标高于国家行业要求的，按照招标文件要求条款执行。</w:t>
      </w:r>
    </w:p>
    <w:p>
      <w:pPr>
        <w:pStyle w:val="18"/>
        <w:tabs>
          <w:tab w:val="left" w:pos="1290"/>
          <w:tab w:val="left" w:pos="1680"/>
        </w:tabs>
        <w:adjustRightInd w:val="0"/>
        <w:snapToGrid w:val="0"/>
        <w:spacing w:line="360" w:lineRule="auto"/>
        <w:rPr>
          <w:rFonts w:hint="eastAsia"/>
          <w:sz w:val="21"/>
          <w:szCs w:val="21"/>
          <w:lang w:val="en-US" w:eastAsia="zh-CN"/>
        </w:rPr>
      </w:pPr>
      <w:r>
        <w:rPr>
          <w:rFonts w:hint="eastAsia"/>
          <w:sz w:val="21"/>
          <w:szCs w:val="21"/>
          <w:lang w:val="en-US" w:eastAsia="zh-CN"/>
        </w:rPr>
        <w:t xml:space="preserve">  2.3.上表分项报价合计价格与投标报价设备总价格必须一致。</w:t>
      </w:r>
    </w:p>
    <w:p>
      <w:pPr>
        <w:pStyle w:val="18"/>
        <w:tabs>
          <w:tab w:val="left" w:pos="1290"/>
          <w:tab w:val="left" w:pos="1680"/>
        </w:tabs>
        <w:adjustRightInd w:val="0"/>
        <w:snapToGrid w:val="0"/>
        <w:spacing w:line="360" w:lineRule="auto"/>
        <w:rPr>
          <w:rFonts w:hint="eastAsia"/>
          <w:sz w:val="21"/>
          <w:szCs w:val="21"/>
          <w:lang w:val="en-US" w:eastAsia="zh-CN"/>
        </w:rPr>
      </w:pPr>
      <w:r>
        <w:rPr>
          <w:rFonts w:hint="eastAsia"/>
          <w:sz w:val="21"/>
          <w:szCs w:val="21"/>
          <w:lang w:val="en-US" w:eastAsia="zh-CN"/>
        </w:rPr>
        <w:t xml:space="preserve">  2.4.中标单位保证所供配件必须与主机尺寸、安装位置一致，并保证正常安装使用，可实现主机设备所有功能。</w:t>
      </w:r>
    </w:p>
    <w:p>
      <w:pPr>
        <w:pStyle w:val="18"/>
        <w:tabs>
          <w:tab w:val="left" w:pos="1290"/>
          <w:tab w:val="left" w:pos="1680"/>
        </w:tabs>
        <w:adjustRightInd w:val="0"/>
        <w:snapToGrid w:val="0"/>
        <w:spacing w:line="360" w:lineRule="auto"/>
        <w:jc w:val="both"/>
        <w:rPr>
          <w:b/>
          <w:sz w:val="21"/>
          <w:szCs w:val="21"/>
        </w:rPr>
      </w:pPr>
      <w:r>
        <w:rPr>
          <w:rFonts w:hint="eastAsia"/>
          <w:b/>
          <w:sz w:val="21"/>
          <w:szCs w:val="21"/>
        </w:rPr>
        <w:t>四</w:t>
      </w:r>
      <w:r>
        <w:rPr>
          <w:b/>
          <w:sz w:val="21"/>
          <w:szCs w:val="21"/>
        </w:rPr>
        <w:t xml:space="preserve">. </w:t>
      </w:r>
      <w:r>
        <w:rPr>
          <w:rFonts w:hint="eastAsia"/>
          <w:b/>
          <w:sz w:val="21"/>
          <w:szCs w:val="21"/>
        </w:rPr>
        <w:t>需投标人提供的技术参数</w:t>
      </w:r>
    </w:p>
    <w:p>
      <w:pPr>
        <w:spacing w:line="360" w:lineRule="auto"/>
        <w:ind w:firstLine="200" w:firstLineChars="100"/>
        <w:rPr>
          <w:rFonts w:ascii="宋体"/>
          <w:szCs w:val="21"/>
        </w:rPr>
      </w:pPr>
      <w:r>
        <w:rPr>
          <w:rFonts w:ascii="宋体"/>
          <w:spacing w:val="-5"/>
          <w:kern w:val="0"/>
          <w:szCs w:val="21"/>
        </w:rPr>
        <w:t>1 .</w:t>
      </w:r>
      <w:r>
        <w:rPr>
          <w:rFonts w:hint="eastAsia" w:ascii="宋体"/>
          <w:spacing w:val="-5"/>
          <w:kern w:val="0"/>
          <w:szCs w:val="21"/>
        </w:rPr>
        <w:t>技术参数及性能</w:t>
      </w:r>
    </w:p>
    <w:p>
      <w:pPr>
        <w:spacing w:line="360" w:lineRule="auto"/>
        <w:ind w:firstLine="210" w:firstLineChars="100"/>
        <w:jc w:val="both"/>
        <w:rPr>
          <w:rFonts w:hint="eastAsia" w:ascii="宋体"/>
          <w:sz w:val="21"/>
          <w:szCs w:val="21"/>
          <w:u w:val="single"/>
          <w:lang w:val="en-US" w:eastAsia="zh-CN"/>
        </w:rPr>
      </w:pPr>
      <w:r>
        <w:rPr>
          <w:rFonts w:hint="eastAsia" w:ascii="宋体" w:hAnsi="宋体" w:eastAsia="宋体" w:cs="宋体"/>
          <w:bCs/>
          <w:sz w:val="21"/>
          <w:szCs w:val="21"/>
        </w:rPr>
        <w:t>1.1</w:t>
      </w:r>
      <w:r>
        <w:rPr>
          <w:rFonts w:hint="eastAsia" w:ascii="宋体" w:hAnsi="宋体" w:cs="宋体"/>
          <w:bCs/>
          <w:sz w:val="21"/>
          <w:szCs w:val="21"/>
          <w:lang w:eastAsia="zh-CN"/>
        </w:rPr>
        <w:t>、</w:t>
      </w:r>
      <w:r>
        <w:rPr>
          <w:rFonts w:hint="eastAsia" w:ascii="宋体" w:hAnsi="宋体" w:eastAsia="宋体" w:cs="宋体"/>
          <w:bCs/>
          <w:sz w:val="21"/>
          <w:szCs w:val="21"/>
        </w:rPr>
        <w:t>规格型号</w:t>
      </w:r>
      <w:r>
        <w:rPr>
          <w:bCs/>
          <w:sz w:val="21"/>
          <w:szCs w:val="21"/>
        </w:rPr>
        <w:t>:</w:t>
      </w:r>
      <w:r>
        <w:rPr>
          <w:rFonts w:ascii="宋体"/>
          <w:bCs/>
          <w:sz w:val="21"/>
          <w:szCs w:val="21"/>
          <w:u w:val="single"/>
        </w:rPr>
        <w:t xml:space="preserve"> </w:t>
      </w:r>
      <w:r>
        <w:rPr>
          <w:rFonts w:hint="eastAsia" w:ascii="宋体"/>
          <w:sz w:val="21"/>
          <w:szCs w:val="21"/>
          <w:u w:val="single"/>
          <w:lang w:val="en-US" w:eastAsia="zh-CN"/>
        </w:rPr>
        <w:t xml:space="preserve">  </w:t>
      </w:r>
    </w:p>
    <w:p>
      <w:pPr>
        <w:pStyle w:val="18"/>
        <w:tabs>
          <w:tab w:val="left" w:pos="1290"/>
          <w:tab w:val="left" w:pos="1680"/>
        </w:tabs>
        <w:adjustRightInd w:val="0"/>
        <w:snapToGrid w:val="0"/>
        <w:spacing w:line="360" w:lineRule="auto"/>
        <w:ind w:firstLine="210" w:firstLineChars="100"/>
        <w:rPr>
          <w:rFonts w:hint="eastAsia"/>
          <w:sz w:val="21"/>
          <w:szCs w:val="21"/>
          <w:lang w:val="en-US" w:eastAsia="zh-CN"/>
        </w:rPr>
      </w:pPr>
      <w:r>
        <w:rPr>
          <w:rFonts w:hint="eastAsia"/>
          <w:sz w:val="21"/>
          <w:szCs w:val="21"/>
          <w:lang w:val="en-US" w:eastAsia="zh-CN"/>
        </w:rPr>
        <w:t>1.2、额定电压：</w:t>
      </w:r>
    </w:p>
    <w:p>
      <w:pPr>
        <w:pStyle w:val="18"/>
        <w:tabs>
          <w:tab w:val="left" w:pos="1290"/>
          <w:tab w:val="left" w:pos="1680"/>
        </w:tabs>
        <w:adjustRightInd w:val="0"/>
        <w:snapToGrid w:val="0"/>
        <w:spacing w:line="360" w:lineRule="auto"/>
        <w:ind w:firstLine="210" w:firstLineChars="100"/>
        <w:rPr>
          <w:rFonts w:hint="eastAsia"/>
          <w:sz w:val="21"/>
          <w:szCs w:val="21"/>
          <w:lang w:val="en-US" w:eastAsia="zh-CN"/>
        </w:rPr>
      </w:pPr>
      <w:r>
        <w:rPr>
          <w:rFonts w:hint="eastAsia"/>
          <w:sz w:val="21"/>
          <w:szCs w:val="21"/>
          <w:lang w:val="en-US" w:eastAsia="zh-CN"/>
        </w:rPr>
        <w:t>1.4、持续运行电压：</w:t>
      </w:r>
    </w:p>
    <w:p>
      <w:pPr>
        <w:pStyle w:val="18"/>
        <w:tabs>
          <w:tab w:val="left" w:pos="1290"/>
          <w:tab w:val="left" w:pos="1680"/>
        </w:tabs>
        <w:adjustRightInd w:val="0"/>
        <w:snapToGrid w:val="0"/>
        <w:spacing w:line="360" w:lineRule="auto"/>
        <w:ind w:firstLine="210" w:firstLineChars="100"/>
        <w:rPr>
          <w:rFonts w:hint="eastAsia"/>
          <w:sz w:val="21"/>
          <w:szCs w:val="21"/>
          <w:lang w:val="en-US" w:eastAsia="zh-CN"/>
        </w:rPr>
      </w:pPr>
      <w:r>
        <w:rPr>
          <w:rFonts w:hint="eastAsia"/>
          <w:sz w:val="21"/>
          <w:szCs w:val="21"/>
          <w:lang w:val="en-US" w:eastAsia="zh-CN"/>
        </w:rPr>
        <w:t>1.5、直流参考电压：</w:t>
      </w:r>
    </w:p>
    <w:p>
      <w:pPr>
        <w:pStyle w:val="18"/>
        <w:tabs>
          <w:tab w:val="left" w:pos="1290"/>
          <w:tab w:val="left" w:pos="1680"/>
        </w:tabs>
        <w:adjustRightInd w:val="0"/>
        <w:snapToGrid w:val="0"/>
        <w:spacing w:line="360" w:lineRule="auto"/>
        <w:ind w:firstLine="210" w:firstLineChars="100"/>
        <w:rPr>
          <w:rFonts w:hint="eastAsia"/>
          <w:sz w:val="21"/>
          <w:szCs w:val="21"/>
          <w:lang w:val="en-US" w:eastAsia="zh-CN"/>
        </w:rPr>
      </w:pPr>
      <w:r>
        <w:rPr>
          <w:rFonts w:hint="eastAsia"/>
          <w:sz w:val="21"/>
          <w:szCs w:val="21"/>
          <w:lang w:val="en-US" w:eastAsia="zh-CN"/>
        </w:rPr>
        <w:t>1.6</w:t>
      </w:r>
      <w:r>
        <w:rPr>
          <w:rFonts w:hint="eastAsia"/>
          <w:sz w:val="21"/>
          <w:szCs w:val="21"/>
          <w:lang w:eastAsia="zh-CN"/>
        </w:rPr>
        <w:t>、</w:t>
      </w:r>
      <w:r>
        <w:rPr>
          <w:rFonts w:hint="eastAsia"/>
          <w:sz w:val="21"/>
          <w:szCs w:val="21"/>
          <w:lang w:val="en-US" w:eastAsia="zh-CN"/>
        </w:rPr>
        <w:t>工频参考电压：</w:t>
      </w:r>
    </w:p>
    <w:p>
      <w:pPr>
        <w:pStyle w:val="18"/>
        <w:tabs>
          <w:tab w:val="left" w:pos="1290"/>
          <w:tab w:val="left" w:pos="1680"/>
        </w:tabs>
        <w:adjustRightInd w:val="0"/>
        <w:snapToGrid w:val="0"/>
        <w:spacing w:line="360" w:lineRule="auto"/>
        <w:ind w:firstLine="210" w:firstLineChars="100"/>
        <w:rPr>
          <w:rFonts w:hint="eastAsia"/>
          <w:sz w:val="21"/>
          <w:szCs w:val="21"/>
          <w:lang w:val="en-US" w:eastAsia="zh-CN"/>
        </w:rPr>
      </w:pPr>
      <w:r>
        <w:rPr>
          <w:rFonts w:hint="eastAsia"/>
          <w:sz w:val="21"/>
          <w:szCs w:val="21"/>
          <w:lang w:val="en-US" w:eastAsia="zh-CN"/>
        </w:rPr>
        <w:t>1.7、标称放电电流下残压：</w:t>
      </w:r>
    </w:p>
    <w:p>
      <w:pPr>
        <w:pStyle w:val="18"/>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lang w:val="en-US" w:eastAsia="zh-CN"/>
        </w:rPr>
        <w:t>1.8</w:t>
      </w:r>
      <w:r>
        <w:rPr>
          <w:rFonts w:hint="eastAsia"/>
          <w:sz w:val="21"/>
          <w:szCs w:val="21"/>
          <w:lang w:eastAsia="zh-CN"/>
        </w:rPr>
        <w:t>、</w:t>
      </w:r>
      <w:r>
        <w:rPr>
          <w:rFonts w:hint="eastAsia"/>
          <w:sz w:val="21"/>
          <w:szCs w:val="21"/>
          <w:lang w:val="en-US" w:eastAsia="zh-CN"/>
        </w:rPr>
        <w:t>方波冲击电流耐受：</w:t>
      </w:r>
    </w:p>
    <w:p>
      <w:pPr>
        <w:spacing w:line="360" w:lineRule="auto"/>
        <w:ind w:firstLine="315" w:firstLineChars="150"/>
        <w:rPr>
          <w:rFonts w:ascii="宋体"/>
          <w:bCs/>
          <w:szCs w:val="21"/>
          <w:u w:val="single"/>
        </w:rPr>
      </w:pPr>
      <w:r>
        <w:rPr>
          <w:rFonts w:ascii="宋体"/>
          <w:bCs/>
          <w:szCs w:val="21"/>
          <w:u w:val="single"/>
        </w:rPr>
        <w:t xml:space="preserve">    </w:t>
      </w:r>
    </w:p>
    <w:p>
      <w:pPr>
        <w:spacing w:line="360" w:lineRule="auto"/>
        <w:ind w:firstLine="210" w:firstLineChars="100"/>
        <w:rPr>
          <w:rFonts w:ascii="宋体"/>
          <w:szCs w:val="21"/>
        </w:rPr>
      </w:pPr>
      <w:r>
        <w:rPr>
          <w:rFonts w:ascii="宋体"/>
          <w:szCs w:val="21"/>
        </w:rPr>
        <w:t>2.</w:t>
      </w:r>
      <w:r>
        <w:rPr>
          <w:rFonts w:hint="eastAsia" w:ascii="宋体"/>
          <w:szCs w:val="21"/>
        </w:rPr>
        <w:t>投标人需要特别说明的其他问题。</w:t>
      </w:r>
    </w:p>
    <w:p>
      <w:pPr>
        <w:widowControl/>
        <w:jc w:val="left"/>
        <w:rPr>
          <w:rFonts w:ascii="宋体"/>
          <w:szCs w:val="21"/>
        </w:rPr>
      </w:pPr>
      <w:r>
        <w:rPr>
          <w:rFonts w:ascii="宋体"/>
          <w:szCs w:val="21"/>
        </w:rPr>
        <w:br w:type="page"/>
      </w:r>
    </w:p>
    <w:p>
      <w:pPr>
        <w:pStyle w:val="17"/>
        <w:jc w:val="center"/>
        <w:rPr>
          <w:rFonts w:ascii="黑体" w:cs="Times New Roman"/>
          <w:b/>
          <w:bCs/>
          <w:sz w:val="32"/>
          <w:szCs w:val="24"/>
        </w:rPr>
      </w:pPr>
      <w:bookmarkStart w:id="2" w:name="_Toc357086143"/>
      <w:r>
        <w:rPr>
          <w:rFonts w:hint="eastAsia" w:ascii="黑体" w:cs="Times New Roman"/>
          <w:b/>
          <w:bCs/>
          <w:sz w:val="32"/>
          <w:szCs w:val="24"/>
        </w:rPr>
        <w:t>第二节</w:t>
      </w:r>
      <w:r>
        <w:rPr>
          <w:rFonts w:ascii="黑体" w:cs="Times New Roman"/>
          <w:b/>
          <w:bCs/>
          <w:sz w:val="32"/>
          <w:szCs w:val="24"/>
        </w:rPr>
        <w:t xml:space="preserve"> </w:t>
      </w:r>
      <w:r>
        <w:rPr>
          <w:rFonts w:hint="eastAsia" w:ascii="黑体" w:cs="Times New Roman"/>
          <w:b/>
          <w:bCs/>
          <w:sz w:val="32"/>
          <w:szCs w:val="24"/>
        </w:rPr>
        <w:t>出厂前检验与交货验收</w:t>
      </w:r>
      <w:bookmarkEnd w:id="2"/>
    </w:p>
    <w:p>
      <w:pPr>
        <w:adjustRightInd w:val="0"/>
        <w:snapToGrid w:val="0"/>
        <w:spacing w:line="360" w:lineRule="auto"/>
        <w:jc w:val="center"/>
        <w:rPr>
          <w:rFonts w:ascii="宋体"/>
          <w:szCs w:val="21"/>
        </w:rPr>
      </w:pPr>
    </w:p>
    <w:p>
      <w:pPr>
        <w:adjustRightInd w:val="0"/>
        <w:snapToGrid w:val="0"/>
        <w:spacing w:before="156" w:beforeLines="50" w:line="360" w:lineRule="auto"/>
        <w:ind w:left="315" w:hanging="315" w:hangingChars="150"/>
        <w:rPr>
          <w:rFonts w:ascii="宋体"/>
          <w:szCs w:val="21"/>
        </w:rPr>
      </w:pPr>
      <w:r>
        <w:rPr>
          <w:rFonts w:ascii="宋体"/>
          <w:szCs w:val="21"/>
        </w:rPr>
        <w:t xml:space="preserve">1. </w:t>
      </w:r>
      <w:r>
        <w:rPr>
          <w:rFonts w:hint="eastAsia" w:ascii="宋体"/>
          <w:szCs w:val="21"/>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156" w:beforeLines="50" w:line="360" w:lineRule="auto"/>
        <w:ind w:left="315" w:hanging="315" w:hangingChars="150"/>
        <w:rPr>
          <w:rFonts w:ascii="宋体"/>
          <w:szCs w:val="21"/>
        </w:rPr>
      </w:pPr>
      <w:r>
        <w:rPr>
          <w:rFonts w:ascii="宋体"/>
          <w:szCs w:val="21"/>
        </w:rPr>
        <w:t xml:space="preserve">2. </w:t>
      </w:r>
      <w:r>
        <w:rPr>
          <w:rFonts w:hint="eastAsia" w:ascii="宋体"/>
          <w:szCs w:val="21"/>
        </w:rPr>
        <w:t>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156" w:beforeLines="50" w:line="360" w:lineRule="auto"/>
        <w:rPr>
          <w:rFonts w:ascii="宋体"/>
          <w:szCs w:val="21"/>
        </w:rPr>
      </w:pPr>
      <w:r>
        <w:rPr>
          <w:rFonts w:ascii="宋体"/>
          <w:szCs w:val="21"/>
        </w:rPr>
        <w:t>3</w:t>
      </w:r>
      <w:r>
        <w:rPr>
          <w:rFonts w:hint="eastAsia" w:ascii="宋体"/>
          <w:szCs w:val="21"/>
        </w:rPr>
        <w:t>．在中检中质检团成员发现或提出的问题，双方应积极通过友好协商解决。</w:t>
      </w:r>
    </w:p>
    <w:p>
      <w:pPr>
        <w:adjustRightInd w:val="0"/>
        <w:snapToGrid w:val="0"/>
        <w:spacing w:before="156" w:beforeLines="50" w:line="360" w:lineRule="auto"/>
        <w:ind w:left="315" w:hanging="315" w:hangingChars="150"/>
        <w:rPr>
          <w:rFonts w:ascii="宋体"/>
          <w:szCs w:val="21"/>
        </w:rPr>
      </w:pPr>
      <w:r>
        <w:rPr>
          <w:rFonts w:ascii="宋体"/>
          <w:szCs w:val="21"/>
        </w:rPr>
        <w:t xml:space="preserve">4. </w:t>
      </w:r>
      <w:r>
        <w:rPr>
          <w:rFonts w:hint="eastAsia" w:ascii="宋体"/>
          <w:szCs w:val="21"/>
        </w:rPr>
        <w:t>设备在出厂前必须进行整体联合试运转，根据试运转时间确定招标人中检时间，联合试运转应在招标人中检人员监督下进行。</w:t>
      </w:r>
    </w:p>
    <w:p>
      <w:pPr>
        <w:adjustRightInd w:val="0"/>
        <w:snapToGrid w:val="0"/>
        <w:spacing w:before="156" w:beforeLines="50" w:line="360" w:lineRule="auto"/>
        <w:ind w:left="315" w:hanging="315" w:hangingChars="150"/>
        <w:rPr>
          <w:rFonts w:ascii="宋体"/>
          <w:szCs w:val="21"/>
        </w:rPr>
      </w:pPr>
      <w:r>
        <w:rPr>
          <w:rFonts w:ascii="宋体"/>
          <w:szCs w:val="21"/>
        </w:rPr>
        <w:t xml:space="preserve">5. </w:t>
      </w:r>
      <w:r>
        <w:rPr>
          <w:rFonts w:hint="eastAsia" w:ascii="宋体"/>
          <w:szCs w:val="21"/>
        </w:rPr>
        <w:t>在设备到达招标人现场后组装试运转中如出现问题，原因是中标人没有在出厂前进行设备整体联合试运转，因此推迟的时间将按照推迟交货期来计算。</w:t>
      </w:r>
    </w:p>
    <w:p>
      <w:pPr>
        <w:adjustRightInd w:val="0"/>
        <w:snapToGrid w:val="0"/>
        <w:spacing w:before="156" w:beforeLines="50" w:line="360" w:lineRule="auto"/>
        <w:ind w:left="283" w:hanging="283" w:hangingChars="135"/>
        <w:rPr>
          <w:rFonts w:ascii="宋体"/>
          <w:szCs w:val="21"/>
        </w:rPr>
      </w:pPr>
      <w:r>
        <w:rPr>
          <w:rFonts w:ascii="宋体"/>
          <w:szCs w:val="21"/>
        </w:rPr>
        <w:t xml:space="preserve">6. </w:t>
      </w:r>
      <w:r>
        <w:rPr>
          <w:rFonts w:hint="eastAsia" w:ascii="宋体"/>
          <w:szCs w:val="21"/>
        </w:rPr>
        <w:t>设备到货应随机提供出厂验收报告。</w:t>
      </w:r>
    </w:p>
    <w:p>
      <w:pPr>
        <w:adjustRightInd w:val="0"/>
        <w:snapToGrid w:val="0"/>
        <w:spacing w:before="156" w:beforeLines="50" w:line="360" w:lineRule="auto"/>
        <w:ind w:left="283" w:hanging="283" w:hangingChars="135"/>
        <w:rPr>
          <w:rFonts w:ascii="宋体"/>
          <w:szCs w:val="21"/>
        </w:rPr>
      </w:pPr>
      <w:r>
        <w:rPr>
          <w:rFonts w:ascii="宋体"/>
          <w:szCs w:val="21"/>
        </w:rPr>
        <w:t>7</w:t>
      </w:r>
      <w:r>
        <w:rPr>
          <w:rFonts w:hint="eastAsia" w:ascii="宋体"/>
          <w:szCs w:val="21"/>
        </w:rPr>
        <w:t>．</w:t>
      </w:r>
      <w:r>
        <w:rPr>
          <w:rFonts w:ascii="宋体"/>
          <w:szCs w:val="21"/>
        </w:rPr>
        <w:t xml:space="preserve"> </w:t>
      </w:r>
      <w:r>
        <w:rPr>
          <w:rFonts w:hint="eastAsia" w:ascii="宋体"/>
          <w:szCs w:val="21"/>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szCs w:val="21"/>
        </w:rPr>
      </w:pPr>
      <w:r>
        <w:rPr>
          <w:rFonts w:ascii="宋体"/>
          <w:szCs w:val="21"/>
        </w:rPr>
        <w:t>8</w:t>
      </w:r>
      <w:r>
        <w:rPr>
          <w:rFonts w:hint="eastAsia" w:ascii="宋体"/>
          <w:szCs w:val="21"/>
        </w:rPr>
        <w:t>．包装：必须按照双方约定的包装要求包装，如无约定的要按照中国国家标准、规范以及国际标准和双方认可的标准进行包装。</w:t>
      </w:r>
    </w:p>
    <w:p>
      <w:pPr>
        <w:pStyle w:val="17"/>
        <w:jc w:val="center"/>
      </w:pPr>
      <w:r>
        <w:rPr>
          <w:rFonts w:ascii="宋体" w:eastAsia="宋体"/>
          <w:szCs w:val="21"/>
        </w:rPr>
        <w:br w:type="page"/>
      </w:r>
    </w:p>
    <w:p>
      <w:pPr>
        <w:pStyle w:val="17"/>
        <w:spacing w:before="156" w:beforeLines="50" w:after="156" w:afterLines="50" w:line="360" w:lineRule="auto"/>
        <w:jc w:val="center"/>
        <w:outlineLvl w:val="9"/>
        <w:rPr>
          <w:rFonts w:ascii="宋体" w:eastAsia="宋体"/>
          <w:b/>
          <w:sz w:val="24"/>
          <w:szCs w:val="24"/>
        </w:rPr>
      </w:pPr>
      <w:bookmarkStart w:id="3" w:name="_Toc357086144"/>
      <w:r>
        <w:rPr>
          <w:rFonts w:hint="eastAsia" w:ascii="黑体" w:cs="Times New Roman"/>
          <w:b/>
          <w:bCs/>
          <w:sz w:val="32"/>
          <w:szCs w:val="24"/>
        </w:rPr>
        <w:t>第三节</w:t>
      </w:r>
      <w:r>
        <w:rPr>
          <w:rFonts w:ascii="黑体" w:cs="Times New Roman"/>
          <w:b/>
          <w:bCs/>
          <w:sz w:val="32"/>
          <w:szCs w:val="24"/>
        </w:rPr>
        <w:t xml:space="preserve"> </w:t>
      </w:r>
      <w:r>
        <w:rPr>
          <w:rFonts w:hint="eastAsia" w:ascii="黑体" w:cs="Times New Roman"/>
          <w:b/>
          <w:bCs/>
          <w:sz w:val="32"/>
          <w:szCs w:val="24"/>
        </w:rPr>
        <w:t>质量保证</w:t>
      </w:r>
    </w:p>
    <w:p>
      <w:pPr>
        <w:spacing w:line="360" w:lineRule="auto"/>
        <w:ind w:firstLine="420" w:firstLineChars="200"/>
      </w:pPr>
      <w:r>
        <w:rPr>
          <w:rFonts w:hint="eastAsia"/>
        </w:rPr>
        <w:t>对由于质量问题而引起的事故，中标人应进一步对此负责。专用合同条款对质保有特殊规定的服从其规定。</w:t>
      </w:r>
      <w:bookmarkEnd w:id="3"/>
    </w:p>
    <w:p>
      <w:pPr>
        <w:widowControl/>
        <w:jc w:val="left"/>
      </w:pPr>
      <w:r>
        <w:br w:type="page"/>
      </w:r>
    </w:p>
    <w:p>
      <w:pPr>
        <w:pStyle w:val="17"/>
        <w:spacing w:before="156" w:beforeLines="50" w:after="156" w:afterLines="50" w:line="360" w:lineRule="auto"/>
        <w:jc w:val="center"/>
        <w:outlineLvl w:val="9"/>
        <w:rPr>
          <w:rFonts w:ascii="黑体" w:cs="Times New Roman"/>
          <w:b/>
          <w:bCs/>
          <w:sz w:val="32"/>
          <w:szCs w:val="24"/>
        </w:rPr>
      </w:pPr>
      <w:r>
        <w:rPr>
          <w:rFonts w:hint="eastAsia" w:ascii="黑体" w:cs="Times New Roman"/>
          <w:b/>
          <w:bCs/>
          <w:sz w:val="32"/>
          <w:szCs w:val="24"/>
        </w:rPr>
        <w:t>第四节</w:t>
      </w:r>
      <w:r>
        <w:rPr>
          <w:rFonts w:ascii="黑体" w:cs="Times New Roman"/>
          <w:b/>
          <w:bCs/>
          <w:sz w:val="32"/>
          <w:szCs w:val="24"/>
        </w:rPr>
        <w:t xml:space="preserve"> </w:t>
      </w:r>
      <w:r>
        <w:rPr>
          <w:rFonts w:hint="eastAsia" w:ascii="黑体" w:cs="Times New Roman"/>
          <w:b/>
          <w:bCs/>
          <w:sz w:val="32"/>
          <w:szCs w:val="24"/>
        </w:rPr>
        <w:t>标准</w:t>
      </w:r>
    </w:p>
    <w:p>
      <w:pPr>
        <w:pStyle w:val="18"/>
        <w:tabs>
          <w:tab w:val="left" w:pos="1290"/>
          <w:tab w:val="left" w:pos="1680"/>
        </w:tabs>
        <w:adjustRightInd w:val="0"/>
        <w:snapToGrid w:val="0"/>
        <w:spacing w:before="120" w:after="0" w:line="360" w:lineRule="auto"/>
        <w:rPr>
          <w:sz w:val="21"/>
          <w:szCs w:val="21"/>
        </w:rPr>
      </w:pPr>
      <w:r>
        <w:rPr>
          <w:sz w:val="21"/>
          <w:szCs w:val="21"/>
        </w:rPr>
        <w:t xml:space="preserve">4.1. </w:t>
      </w:r>
      <w:r>
        <w:rPr>
          <w:rFonts w:hint="eastAsia"/>
          <w:sz w:val="21"/>
          <w:szCs w:val="21"/>
        </w:rPr>
        <w:t>所供应的货物将按下列标准（推荐）进行设计和制造</w:t>
      </w:r>
    </w:p>
    <w:p>
      <w:pPr>
        <w:pStyle w:val="18"/>
        <w:tabs>
          <w:tab w:val="left" w:pos="550"/>
        </w:tabs>
        <w:adjustRightInd w:val="0"/>
        <w:snapToGrid w:val="0"/>
        <w:spacing w:line="360" w:lineRule="auto"/>
        <w:ind w:left="546" w:leftChars="200" w:hanging="126" w:hangingChars="60"/>
        <w:rPr>
          <w:sz w:val="21"/>
          <w:szCs w:val="21"/>
        </w:rPr>
      </w:pPr>
      <w:r>
        <w:rPr>
          <w:rFonts w:hint="eastAsia"/>
          <w:sz w:val="21"/>
          <w:szCs w:val="21"/>
        </w:rPr>
        <w:t>电器</w:t>
      </w:r>
      <w:r>
        <w:rPr>
          <w:sz w:val="21"/>
          <w:szCs w:val="21"/>
        </w:rPr>
        <w:t>:     IEC</w:t>
      </w:r>
      <w:r>
        <w:rPr>
          <w:rFonts w:hint="eastAsia"/>
          <w:sz w:val="21"/>
          <w:szCs w:val="21"/>
        </w:rPr>
        <w:t>标准</w:t>
      </w:r>
      <w:r>
        <w:rPr>
          <w:sz w:val="21"/>
          <w:szCs w:val="21"/>
        </w:rPr>
        <w:t>/EN</w:t>
      </w:r>
      <w:r>
        <w:rPr>
          <w:rFonts w:hint="eastAsia"/>
          <w:sz w:val="21"/>
          <w:szCs w:val="21"/>
        </w:rPr>
        <w:t>标准</w:t>
      </w:r>
    </w:p>
    <w:p>
      <w:pPr>
        <w:pStyle w:val="18"/>
        <w:tabs>
          <w:tab w:val="left" w:pos="550"/>
        </w:tabs>
        <w:adjustRightInd w:val="0"/>
        <w:snapToGrid w:val="0"/>
        <w:spacing w:line="360" w:lineRule="auto"/>
        <w:ind w:firstLine="420" w:firstLineChars="200"/>
        <w:rPr>
          <w:sz w:val="21"/>
          <w:szCs w:val="21"/>
        </w:rPr>
      </w:pPr>
      <w:r>
        <w:rPr>
          <w:rFonts w:hint="eastAsia"/>
          <w:sz w:val="21"/>
          <w:szCs w:val="21"/>
        </w:rPr>
        <w:t>机械</w:t>
      </w:r>
      <w:r>
        <w:rPr>
          <w:sz w:val="21"/>
          <w:szCs w:val="21"/>
        </w:rPr>
        <w:t>:     ISO</w:t>
      </w:r>
      <w:r>
        <w:rPr>
          <w:rFonts w:hint="eastAsia"/>
          <w:sz w:val="21"/>
          <w:szCs w:val="21"/>
        </w:rPr>
        <w:t>标准</w:t>
      </w:r>
    </w:p>
    <w:p>
      <w:pPr>
        <w:pStyle w:val="11"/>
        <w:keepNext w:val="0"/>
        <w:keepLines w:val="0"/>
        <w:widowControl/>
        <w:suppressLineNumbers w:val="0"/>
        <w:ind w:firstLine="210" w:firstLineChars="100"/>
        <w:rPr>
          <w:rFonts w:hint="eastAsia"/>
          <w:sz w:val="21"/>
          <w:szCs w:val="21"/>
          <w:lang w:val="en-US" w:eastAsia="zh-CN"/>
        </w:rPr>
      </w:pPr>
      <w:r>
        <w:rPr>
          <w:rFonts w:hint="eastAsia"/>
          <w:sz w:val="21"/>
          <w:szCs w:val="21"/>
          <w:lang w:val="en-US" w:eastAsia="zh-CN"/>
        </w:rPr>
        <w:t xml:space="preserve">  GB11032-2010     交流无间隙金属氧化物避雷器</w:t>
      </w:r>
    </w:p>
    <w:p>
      <w:pPr>
        <w:pStyle w:val="11"/>
        <w:keepNext w:val="0"/>
        <w:keepLines w:val="0"/>
        <w:widowControl/>
        <w:suppressLineNumbers w:val="0"/>
        <w:ind w:firstLine="420" w:firstLineChars="200"/>
        <w:rPr>
          <w:rFonts w:hint="eastAsia"/>
          <w:sz w:val="21"/>
          <w:szCs w:val="21"/>
          <w:lang w:val="en-US" w:eastAsia="zh-CN"/>
        </w:rPr>
      </w:pPr>
      <w:r>
        <w:rPr>
          <w:rFonts w:hint="eastAsia"/>
          <w:sz w:val="21"/>
          <w:szCs w:val="21"/>
          <w:lang w:val="en-US" w:eastAsia="zh-CN"/>
        </w:rPr>
        <w:t>JB/T10496-2005    交流三相组合式无间隙金属氧化物避雷器</w:t>
      </w:r>
    </w:p>
    <w:p>
      <w:pPr>
        <w:pStyle w:val="11"/>
        <w:keepNext w:val="0"/>
        <w:keepLines w:val="0"/>
        <w:widowControl/>
        <w:suppressLineNumbers w:val="0"/>
        <w:ind w:firstLine="420" w:firstLineChars="200"/>
        <w:rPr>
          <w:rFonts w:hint="eastAsia"/>
          <w:sz w:val="21"/>
          <w:szCs w:val="21"/>
          <w:lang w:val="en-US" w:eastAsia="zh-CN"/>
        </w:rPr>
      </w:pPr>
      <w:r>
        <w:rPr>
          <w:rFonts w:hint="eastAsia"/>
          <w:sz w:val="21"/>
          <w:szCs w:val="21"/>
          <w:lang w:val="en-US" w:eastAsia="zh-CN"/>
        </w:rPr>
        <w:t>JB／T10609-2006  交流三相组合式有串联间隙金属氧化物避雷器</w:t>
      </w:r>
    </w:p>
    <w:p>
      <w:pPr>
        <w:pStyle w:val="18"/>
        <w:tabs>
          <w:tab w:val="left" w:pos="1290"/>
          <w:tab w:val="left" w:pos="1680"/>
        </w:tabs>
        <w:adjustRightInd w:val="0"/>
        <w:snapToGrid w:val="0"/>
        <w:spacing w:line="360" w:lineRule="auto"/>
        <w:rPr>
          <w:sz w:val="21"/>
          <w:szCs w:val="21"/>
        </w:rPr>
      </w:pPr>
      <w:r>
        <w:rPr>
          <w:sz w:val="21"/>
          <w:szCs w:val="21"/>
        </w:rPr>
        <w:t xml:space="preserve">4.2. </w:t>
      </w:r>
      <w:r>
        <w:rPr>
          <w:rFonts w:hint="eastAsia"/>
          <w:sz w:val="21"/>
          <w:szCs w:val="21"/>
        </w:rPr>
        <w:t>设备的设计与制造要求采用国际公制单位，个别部件采用英制单位应列出清单。</w:t>
      </w:r>
    </w:p>
    <w:p>
      <w:pPr>
        <w:pStyle w:val="18"/>
        <w:tabs>
          <w:tab w:val="left" w:pos="1290"/>
          <w:tab w:val="left" w:pos="1680"/>
        </w:tabs>
        <w:adjustRightInd w:val="0"/>
        <w:snapToGrid w:val="0"/>
        <w:spacing w:line="360" w:lineRule="auto"/>
        <w:rPr>
          <w:sz w:val="21"/>
          <w:szCs w:val="21"/>
        </w:rPr>
      </w:pPr>
      <w:r>
        <w:rPr>
          <w:sz w:val="21"/>
          <w:szCs w:val="21"/>
        </w:rPr>
        <w:t xml:space="preserve">4.3. </w:t>
      </w:r>
      <w:r>
        <w:rPr>
          <w:rFonts w:hint="eastAsia"/>
          <w:sz w:val="21"/>
          <w:szCs w:val="21"/>
        </w:rPr>
        <w:t>防爆电气设备应按中国国家防爆标准或其它中国防爆检验部门认可的标准制造。</w:t>
      </w:r>
    </w:p>
    <w:p>
      <w:pPr>
        <w:pStyle w:val="18"/>
        <w:tabs>
          <w:tab w:val="left" w:pos="1290"/>
          <w:tab w:val="left" w:pos="1680"/>
        </w:tabs>
        <w:adjustRightInd w:val="0"/>
        <w:snapToGrid w:val="0"/>
        <w:spacing w:line="360" w:lineRule="auto"/>
        <w:rPr>
          <w:rFonts w:hint="eastAsia"/>
          <w:sz w:val="21"/>
          <w:szCs w:val="21"/>
        </w:rPr>
      </w:pPr>
      <w:r>
        <w:rPr>
          <w:sz w:val="21"/>
          <w:szCs w:val="21"/>
        </w:rPr>
        <w:t xml:space="preserve">4.4. </w:t>
      </w:r>
      <w:r>
        <w:rPr>
          <w:rFonts w:hint="eastAsia"/>
          <w:sz w:val="21"/>
          <w:szCs w:val="21"/>
        </w:rPr>
        <w:t>上述标准均应为投标截止日时的最新有效版。</w:t>
      </w:r>
    </w:p>
    <w:p>
      <w:pPr>
        <w:rPr>
          <w:rFonts w:hint="eastAsia"/>
          <w:sz w:val="21"/>
          <w:szCs w:val="21"/>
        </w:rPr>
      </w:pPr>
    </w:p>
    <w:p>
      <w:pPr>
        <w:rPr>
          <w:rFonts w:hint="eastAsia"/>
          <w:sz w:val="21"/>
          <w:szCs w:val="21"/>
        </w:rPr>
      </w:pPr>
    </w:p>
    <w:p>
      <w:pPr>
        <w:rPr>
          <w:rFonts w:hint="eastAsia"/>
          <w:sz w:val="21"/>
          <w:szCs w:val="21"/>
        </w:rPr>
      </w:pPr>
    </w:p>
    <w:p>
      <w:pPr>
        <w:rPr>
          <w:rFonts w:hint="eastAsia"/>
          <w:sz w:val="21"/>
          <w:szCs w:val="21"/>
        </w:rPr>
      </w:pPr>
    </w:p>
    <w:p>
      <w:pPr>
        <w:rPr>
          <w:rFonts w:hint="eastAsia"/>
          <w:sz w:val="21"/>
          <w:szCs w:val="21"/>
        </w:rPr>
      </w:pPr>
    </w:p>
    <w:p>
      <w:pPr>
        <w:jc w:val="center"/>
        <w:rPr>
          <w:rFonts w:hint="eastAsia"/>
        </w:rPr>
      </w:pPr>
    </w:p>
    <w:sectPr>
      <w:headerReference r:id="rId3" w:type="default"/>
      <w:pgSz w:w="11906" w:h="16838"/>
      <w:pgMar w:top="1440" w:right="1800" w:bottom="1440" w:left="1800" w:header="851" w:footer="992" w:gutter="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宋黑简体">
    <w:altName w:val="宋体"/>
    <w:panose1 w:val="02010601030101010101"/>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auto"/>
    <w:pitch w:val="default"/>
    <w:sig w:usb0="80000287" w:usb1="28CF3C50" w:usb2="00000016" w:usb3="00000000" w:csb0="0004001F" w:csb1="00000000"/>
  </w:font>
  <w:font w:name="Palatino Linotype">
    <w:panose1 w:val="02040502050505030304"/>
    <w:charset w:val="00"/>
    <w:family w:val="auto"/>
    <w:pitch w:val="default"/>
    <w:sig w:usb0="E0000287" w:usb1="40000013" w:usb2="00000000" w:usb3="00000000" w:csb0="2000019F"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refly-dpl-icon">
    <w:altName w:val="Segoe Print"/>
    <w:panose1 w:val="00000000000000000000"/>
    <w:charset w:val="00"/>
    <w:family w:val="auto"/>
    <w:pitch w:val="default"/>
    <w:sig w:usb0="00000000" w:usb1="00000000" w:usb2="00000000" w:usb3="00000000" w:csb0="00000000" w:csb1="00000000"/>
  </w:font>
  <w:font w:name="back-icon_back">
    <w:altName w:val="Segoe Print"/>
    <w:panose1 w:val="00000000000000000000"/>
    <w:charset w:val="00"/>
    <w:family w:val="auto"/>
    <w:pitch w:val="default"/>
    <w:sig w:usb0="00000000" w:usb1="00000000" w:usb2="00000000" w:usb3="00000000" w:csb0="00000000" w:csb1="00000000"/>
  </w:font>
  <w:font w:name="back_icon">
    <w:altName w:val="Segoe Print"/>
    <w:panose1 w:val="00000000000000000000"/>
    <w:charset w:val="00"/>
    <w:family w:val="auto"/>
    <w:pitch w:val="default"/>
    <w:sig w:usb0="00000000" w:usb1="00000000" w:usb2="00000000" w:usb3="00000000" w:csb0="00000000" w:csb1="00000000"/>
  </w:font>
  <w:font w:name="rightIconfont">
    <w:altName w:val="Segoe Print"/>
    <w:panose1 w:val="00000000000000000000"/>
    <w:charset w:val="00"/>
    <w:family w:val="auto"/>
    <w:pitch w:val="default"/>
    <w:sig w:usb0="00000000" w:usb1="00000000" w:usb2="00000000" w:usb3="00000000" w:csb0="00000000" w:csb1="00000000"/>
  </w:font>
  <w:font w:name="alibariconfont">
    <w:altName w:val="Segoe Print"/>
    <w:panose1 w:val="00000000000000000000"/>
    <w:charset w:val="00"/>
    <w:family w:val="auto"/>
    <w:pitch w:val="default"/>
    <w:sig w:usb0="00000000" w:usb1="00000000" w:usb2="00000000" w:usb3="00000000" w:csb0="00000000" w:csb1="00000000"/>
  </w:font>
  <w:font w:name="vbar-iconfont">
    <w:altName w:val="Segoe Print"/>
    <w:panose1 w:val="00000000000000000000"/>
    <w:charset w:val="00"/>
    <w:family w:val="auto"/>
    <w:pitch w:val="default"/>
    <w:sig w:usb0="00000000" w:usb1="00000000" w:usb2="00000000" w:usb3="00000000" w:csb0="00000000" w:csb1="00000000"/>
  </w:font>
  <w:font w:name="webfont">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603F01FF" w:csb1="FFFF0000"/>
  </w:font>
  <w:font w:name="Symbol">
    <w:panose1 w:val="05050102010706020507"/>
    <w:charset w:val="00"/>
    <w:family w:val="auto"/>
    <w:pitch w:val="default"/>
    <w:sig w:usb0="00000000" w:usb1="00000000" w:usb2="00000000" w:usb3="00000000" w:csb0="80000000" w:csb1="00000000"/>
  </w:font>
  <w:font w:name="tahoma helvetica arial sans-serif">
    <w:altName w:val="Courier New"/>
    <w:panose1 w:val="00000000000000000000"/>
    <w:charset w:val="00"/>
    <w:family w:val="auto"/>
    <w:pitch w:val="default"/>
    <w:sig w:usb0="00000000" w:usb1="00000000" w:usb2="00000000" w:usb3="00000000" w:csb0="00000000" w:csb1="00000000"/>
  </w:font>
  <w:font w:name="AMGDT">
    <w:altName w:val="Palatino Linotype"/>
    <w:panose1 w:val="02000400000000000000"/>
    <w:charset w:val="00"/>
    <w:family w:val="auto"/>
    <w:pitch w:val="default"/>
    <w:sig w:usb0="00000000" w:usb1="00000000" w:usb2="00000000" w:usb3="00000000" w:csb0="00000001" w:csb1="00000000"/>
  </w:font>
  <w:font w:name="Wingdings">
    <w:panose1 w:val="05000000000000000000"/>
    <w:charset w:val="00"/>
    <w:family w:val="auto"/>
    <w:pitch w:val="default"/>
    <w:sig w:usb0="00000000" w:usb1="00000000" w:usb2="00000000" w:usb3="00000000" w:csb0="80000000" w:csb1="00000000"/>
  </w:font>
  <w:font w:name="Verdana">
    <w:panose1 w:val="020B0604030504040204"/>
    <w:charset w:val="00"/>
    <w:family w:val="auto"/>
    <w:pitch w:val="default"/>
    <w:sig w:usb0="A10006FF" w:usb1="4000205B" w:usb2="00000010" w:usb3="00000000" w:csb0="2000019F" w:csb1="00000000"/>
  </w:font>
  <w:font w:name="新宋体">
    <w:panose1 w:val="02010609030101010101"/>
    <w:charset w:val="86"/>
    <w:family w:val="auto"/>
    <w:pitch w:val="default"/>
    <w:sig w:usb0="00000003" w:usb1="288F0000" w:usb2="00000006" w:usb3="00000000" w:csb0="00040001" w:csb1="00000000"/>
  </w:font>
  <w:font w:name="宋体 ! important">
    <w:altName w:val="宋体"/>
    <w:panose1 w:val="00000000000000000000"/>
    <w:charset w:val="00"/>
    <w:family w:val="auto"/>
    <w:pitch w:val="default"/>
    <w:sig w:usb0="00000000" w:usb1="00000000" w:usb2="00000000" w:usb3="00000000" w:csb0="00000000" w:csb1="00000000"/>
  </w:font>
  <w:font w:name="suggest_iconfont">
    <w:altName w:val="Courier New"/>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ExpandShiftReturn/>
    <w:adjustLineHeightInTable/>
    <w:doNotWrapTextWithPunct/>
    <w:doNotUseEastAsianBreakRules/>
    <w:growAutofit/>
    <w:useFELayout/>
    <w:doNotUseIndentAsNumberingTabStop/>
    <w:useAltKinsokuLineBreakRules/>
    <w:splitPgBreakAndParaMark/>
    <w:compatSetting w:name="compatibilityMode" w:uri="http://schemas.microsoft.com/office/word" w:val="14"/>
  </w:compat>
  <w:rsids>
    <w:rsidRoot w:val="00000000"/>
    <w:rsid w:val="005F4425"/>
    <w:rsid w:val="06DC4017"/>
    <w:rsid w:val="0846348F"/>
    <w:rsid w:val="08C705E2"/>
    <w:rsid w:val="09082A4E"/>
    <w:rsid w:val="0D7A7138"/>
    <w:rsid w:val="0D7F00AD"/>
    <w:rsid w:val="0EB67AD6"/>
    <w:rsid w:val="11BC54BC"/>
    <w:rsid w:val="12352285"/>
    <w:rsid w:val="126E57B1"/>
    <w:rsid w:val="13F2704E"/>
    <w:rsid w:val="1492450E"/>
    <w:rsid w:val="1557401A"/>
    <w:rsid w:val="156F556F"/>
    <w:rsid w:val="16403E14"/>
    <w:rsid w:val="16E405C1"/>
    <w:rsid w:val="18F1230F"/>
    <w:rsid w:val="19693009"/>
    <w:rsid w:val="19AF1CB3"/>
    <w:rsid w:val="1AD83A74"/>
    <w:rsid w:val="1B1E5EBA"/>
    <w:rsid w:val="1C4C4B3B"/>
    <w:rsid w:val="1DDB67D2"/>
    <w:rsid w:val="218F01D9"/>
    <w:rsid w:val="21EF6565"/>
    <w:rsid w:val="24273B1A"/>
    <w:rsid w:val="245A326E"/>
    <w:rsid w:val="2539094E"/>
    <w:rsid w:val="27AE1D08"/>
    <w:rsid w:val="2B2F0BA0"/>
    <w:rsid w:val="2F584F61"/>
    <w:rsid w:val="322A1A90"/>
    <w:rsid w:val="33CD4790"/>
    <w:rsid w:val="34260516"/>
    <w:rsid w:val="351E54EA"/>
    <w:rsid w:val="35BA23DA"/>
    <w:rsid w:val="367C506A"/>
    <w:rsid w:val="36D3270F"/>
    <w:rsid w:val="383E7752"/>
    <w:rsid w:val="39FD18A8"/>
    <w:rsid w:val="3A5F3819"/>
    <w:rsid w:val="3B202F88"/>
    <w:rsid w:val="3BF356FA"/>
    <w:rsid w:val="469679F6"/>
    <w:rsid w:val="489C74F9"/>
    <w:rsid w:val="48F44E3D"/>
    <w:rsid w:val="49E5618D"/>
    <w:rsid w:val="4BE132F5"/>
    <w:rsid w:val="4BE41919"/>
    <w:rsid w:val="4D2E1F5A"/>
    <w:rsid w:val="4FBD51E2"/>
    <w:rsid w:val="51C270C7"/>
    <w:rsid w:val="52621F15"/>
    <w:rsid w:val="53124DAA"/>
    <w:rsid w:val="566835AE"/>
    <w:rsid w:val="59AC30EA"/>
    <w:rsid w:val="5A3301A6"/>
    <w:rsid w:val="5A5A360E"/>
    <w:rsid w:val="5C132E07"/>
    <w:rsid w:val="5EEF56E2"/>
    <w:rsid w:val="656204A4"/>
    <w:rsid w:val="659E1CF2"/>
    <w:rsid w:val="667354D8"/>
    <w:rsid w:val="69710719"/>
    <w:rsid w:val="699A13CB"/>
    <w:rsid w:val="6BA85174"/>
    <w:rsid w:val="6C350E54"/>
    <w:rsid w:val="70DD5F9C"/>
    <w:rsid w:val="732264A2"/>
    <w:rsid w:val="73E519D5"/>
    <w:rsid w:val="74417050"/>
    <w:rsid w:val="75445F07"/>
    <w:rsid w:val="78C65A00"/>
    <w:rsid w:val="797A2039"/>
    <w:rsid w:val="7A9C3985"/>
    <w:rsid w:val="7BA10D50"/>
    <w:rsid w:val="7C4D53DA"/>
    <w:rsid w:val="7CB708FA"/>
    <w:rsid w:val="7D7E50BF"/>
    <w:rsid w:val="7DAB346D"/>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qFormat/>
    <w:uiPriority w:val="0"/>
    <w:pPr>
      <w:keepNext/>
      <w:keepLines/>
      <w:widowControl w:val="0"/>
      <w:spacing w:before="260" w:after="260" w:line="415" w:lineRule="auto"/>
      <w:outlineLvl w:val="1"/>
    </w:pPr>
    <w:rPr>
      <w:rFonts w:ascii="Cambria" w:hAnsi="Cambria"/>
      <w:b/>
      <w:bCs/>
      <w:sz w:val="32"/>
      <w:szCs w:val="32"/>
    </w:rPr>
  </w:style>
  <w:style w:type="character" w:default="1" w:styleId="12">
    <w:name w:val="Default Paragraph Font"/>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4">
    <w:name w:val="annotation subject"/>
    <w:basedOn w:val="5"/>
    <w:next w:val="5"/>
    <w:qFormat/>
    <w:uiPriority w:val="0"/>
    <w:rPr>
      <w:b/>
      <w:bCs/>
    </w:rPr>
  </w:style>
  <w:style w:type="paragraph" w:styleId="5">
    <w:name w:val="annotation text"/>
    <w:basedOn w:val="1"/>
    <w:qFormat/>
    <w:uiPriority w:val="0"/>
    <w:pPr>
      <w:jc w:val="left"/>
    </w:pPr>
  </w:style>
  <w:style w:type="paragraph" w:styleId="6">
    <w:name w:val="Body Text"/>
    <w:basedOn w:val="1"/>
    <w:qFormat/>
    <w:uiPriority w:val="0"/>
    <w:pPr>
      <w:spacing w:after="120"/>
    </w:p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footnote text"/>
    <w:basedOn w:val="1"/>
    <w:qFormat/>
    <w:uiPriority w:val="0"/>
    <w:pPr>
      <w:snapToGrid w:val="0"/>
      <w:jc w:val="left"/>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basedOn w:val="12"/>
    <w:qFormat/>
    <w:uiPriority w:val="0"/>
    <w:rPr>
      <w:rFonts w:cs="Times New Roman"/>
      <w:color w:val="0000FF"/>
      <w:u w:val="single"/>
    </w:rPr>
  </w:style>
  <w:style w:type="character" w:styleId="14">
    <w:name w:val="annotation reference"/>
    <w:basedOn w:val="12"/>
    <w:qFormat/>
    <w:uiPriority w:val="0"/>
    <w:rPr>
      <w:rFonts w:cs="Times New Roman"/>
      <w:sz w:val="21"/>
      <w:szCs w:val="21"/>
    </w:rPr>
  </w:style>
  <w:style w:type="character" w:styleId="15">
    <w:name w:val="footnote reference"/>
    <w:basedOn w:val="12"/>
    <w:qFormat/>
    <w:uiPriority w:val="0"/>
    <w:rPr>
      <w:rFonts w:cs="Times New Roman"/>
      <w:vertAlign w:val="superscript"/>
    </w:rPr>
  </w:style>
  <w:style w:type="paragraph" w:customStyle="1" w:styleId="17">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8">
    <w:name w:val="普通 (Web)"/>
    <w:qFormat/>
    <w:uiPriority w:val="0"/>
    <w:pPr>
      <w:spacing w:before="100" w:after="100"/>
    </w:pPr>
    <w:rPr>
      <w:rFonts w:ascii="宋体" w:hAnsi="Times New Roman" w:eastAsia="宋体" w:cs="Times New Roman"/>
      <w:kern w:val="0"/>
      <w:sz w:val="24"/>
      <w:szCs w:val="20"/>
      <w:lang w:val="en-US" w:eastAsia="zh-CN" w:bidi="ar-SA"/>
    </w:rPr>
  </w:style>
  <w:style w:type="paragraph" w:customStyle="1" w:styleId="19">
    <w:name w:val="List Paragraph"/>
    <w:basedOn w:val="1"/>
    <w:qFormat/>
    <w:uiPriority w:val="0"/>
    <w:pPr>
      <w:ind w:firstLine="200" w:firstLineChars="200"/>
    </w:pPr>
    <w:rPr>
      <w:rFonts w:ascii="Calibri" w:hAnsi="Calibri"/>
      <w:szCs w:val="22"/>
    </w:rPr>
  </w:style>
  <w:style w:type="paragraph" w:customStyle="1" w:styleId="20">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paragraph" w:customStyle="1" w:styleId="21">
    <w:name w:val="Revision"/>
    <w:qFormat/>
    <w:uiPriority w:val="0"/>
    <w:rPr>
      <w:rFonts w:ascii="Times New Roman" w:hAnsi="Times New Roman" w:eastAsia="宋体" w:cs="Times New Roman"/>
      <w:kern w:val="2"/>
      <w:sz w:val="21"/>
      <w:szCs w:val="24"/>
      <w:lang w:val="en-US" w:eastAsia="zh-CN" w:bidi="ar-SA"/>
    </w:rPr>
  </w:style>
  <w:style w:type="character" w:customStyle="1" w:styleId="22">
    <w:name w:val="a-button-dropdown"/>
    <w:basedOn w:val="12"/>
    <w:qFormat/>
    <w:uiPriority w:val="0"/>
    <w:rPr>
      <w:vanish/>
    </w:rPr>
  </w:style>
  <w:style w:type="character" w:customStyle="1" w:styleId="23">
    <w:name w:val="a-button-dropdown6"/>
    <w:basedOn w:val="12"/>
    <w:qFormat/>
    <w:uiPriority w:val="0"/>
    <w:rPr>
      <w:vanish/>
    </w:rPr>
  </w:style>
  <w:style w:type="character" w:customStyle="1" w:styleId="24">
    <w:name w:val="strength-txt"/>
    <w:basedOn w:val="12"/>
    <w:qFormat/>
    <w:uiPriority w:val="0"/>
  </w:style>
  <w:style w:type="character" w:customStyle="1" w:styleId="25">
    <w:name w:val="meter-bar"/>
    <w:basedOn w:val="12"/>
    <w:qFormat/>
    <w:uiPriority w:val="0"/>
  </w:style>
  <w:style w:type="character" w:customStyle="1" w:styleId="26">
    <w:name w:val="close4"/>
    <w:basedOn w:val="12"/>
    <w:qFormat/>
    <w:uiPriority w:val="0"/>
  </w:style>
  <w:style w:type="character" w:customStyle="1" w:styleId="27">
    <w:name w:val="close"/>
    <w:basedOn w:val="1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7</Pages>
  <Words>1940</Words>
  <Characters>2190</Characters>
  <Lines>125</Lines>
  <Paragraphs>91</Paragraphs>
  <ScaleCrop>false</ScaleCrop>
  <LinksUpToDate>false</LinksUpToDate>
  <CharactersWithSpaces>2393</CharactersWithSpaces>
  <Application>WPS Office_10.8.0.5988_F1E327BC-269C-435d-A152-05C5408002CA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2014-08-17T09:15:00Z</dcterms:created>
  <dc:creator>qzy3472</dc:creator>
  <cp:lastModifiedBy>zhanglu</cp:lastModifiedBy>
  <dcterms:modified xsi:type="dcterms:W3CDTF">2017-08-16T07:06:11Z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2052-10.8.0.5988</vt:lpwstr>
  </property>
</Properties>
</file>