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360" w:lineRule="auto"/>
        <w:ind w:left="630" w:leftChars="300" w:firstLine="321" w:firstLineChars="100"/>
        <w:jc w:val="center"/>
        <w:rPr>
          <w:rFonts w:ascii="黑体" w:hAnsi="黑体" w:eastAsia="黑体"/>
          <w:b/>
          <w:bCs/>
          <w:sz w:val="32"/>
          <w:highlight w:val="none"/>
        </w:rPr>
      </w:pPr>
      <w:r>
        <w:rPr>
          <w:rFonts w:hint="eastAsia" w:ascii="黑体" w:hAnsi="黑体" w:eastAsia="黑体"/>
          <w:b/>
          <w:bCs/>
          <w:sz w:val="32"/>
          <w:highlight w:val="none"/>
        </w:rPr>
        <w:t>设备技术要求</w:t>
      </w:r>
    </w:p>
    <w:p>
      <w:pPr>
        <w:tabs>
          <w:tab w:val="left" w:pos="2340"/>
        </w:tabs>
        <w:spacing w:line="360" w:lineRule="auto"/>
        <w:ind w:left="630" w:leftChars="300" w:firstLine="321" w:firstLineChars="100"/>
        <w:jc w:val="center"/>
        <w:rPr>
          <w:rFonts w:ascii="黑体" w:hAnsi="黑体" w:eastAsia="黑体"/>
          <w:b/>
          <w:bCs/>
          <w:sz w:val="32"/>
          <w:highlight w:val="none"/>
        </w:rPr>
      </w:pPr>
    </w:p>
    <w:p>
      <w:pPr>
        <w:tabs>
          <w:tab w:val="left" w:pos="2340"/>
        </w:tabs>
        <w:spacing w:line="360" w:lineRule="auto"/>
        <w:ind w:left="630" w:leftChars="300" w:firstLine="240" w:firstLineChars="100"/>
        <w:jc w:val="left"/>
        <w:rPr>
          <w:rFonts w:ascii="宋体"/>
          <w:sz w:val="24"/>
          <w:highlight w:val="none"/>
        </w:rPr>
      </w:pPr>
      <w:r>
        <w:rPr>
          <w:rFonts w:hint="eastAsia" w:ascii="宋体"/>
          <w:sz w:val="24"/>
          <w:highlight w:val="none"/>
        </w:rPr>
        <w:t>第一节  供货范围、技术规格、参数与要求</w:t>
      </w:r>
    </w:p>
    <w:p>
      <w:pPr>
        <w:tabs>
          <w:tab w:val="left" w:pos="2340"/>
        </w:tabs>
        <w:spacing w:line="360" w:lineRule="auto"/>
        <w:ind w:left="630" w:leftChars="300" w:firstLine="240" w:firstLineChars="100"/>
        <w:jc w:val="left"/>
        <w:rPr>
          <w:rFonts w:ascii="宋体"/>
          <w:sz w:val="24"/>
          <w:highlight w:val="none"/>
        </w:rPr>
      </w:pPr>
      <w:r>
        <w:rPr>
          <w:rFonts w:hint="eastAsia" w:ascii="宋体"/>
          <w:sz w:val="24"/>
          <w:highlight w:val="none"/>
        </w:rPr>
        <w:t>第二节  备件和工具</w:t>
      </w:r>
    </w:p>
    <w:p>
      <w:pPr>
        <w:tabs>
          <w:tab w:val="left" w:pos="2340"/>
        </w:tabs>
        <w:spacing w:line="360" w:lineRule="auto"/>
        <w:ind w:left="630" w:leftChars="300" w:firstLine="240" w:firstLineChars="100"/>
        <w:jc w:val="left"/>
        <w:rPr>
          <w:rFonts w:ascii="宋体"/>
          <w:sz w:val="24"/>
          <w:highlight w:val="none"/>
        </w:rPr>
      </w:pPr>
      <w:r>
        <w:rPr>
          <w:rFonts w:hint="eastAsia" w:ascii="宋体"/>
          <w:sz w:val="24"/>
          <w:highlight w:val="none"/>
        </w:rPr>
        <w:t>第三节  设备出厂前检验</w:t>
      </w:r>
    </w:p>
    <w:p>
      <w:pPr>
        <w:tabs>
          <w:tab w:val="left" w:pos="2340"/>
        </w:tabs>
        <w:spacing w:line="360" w:lineRule="auto"/>
        <w:ind w:left="630" w:leftChars="300" w:firstLine="240" w:firstLineChars="100"/>
        <w:jc w:val="left"/>
        <w:rPr>
          <w:rFonts w:ascii="宋体"/>
          <w:sz w:val="24"/>
          <w:highlight w:val="none"/>
        </w:rPr>
      </w:pPr>
      <w:r>
        <w:rPr>
          <w:rFonts w:hint="eastAsia" w:ascii="宋体"/>
          <w:sz w:val="24"/>
          <w:highlight w:val="none"/>
        </w:rPr>
        <w:t>第四节  技术服务</w:t>
      </w:r>
    </w:p>
    <w:p>
      <w:pPr>
        <w:tabs>
          <w:tab w:val="left" w:pos="2340"/>
        </w:tabs>
        <w:spacing w:line="360" w:lineRule="auto"/>
        <w:ind w:left="630" w:leftChars="300" w:firstLine="240" w:firstLineChars="100"/>
        <w:jc w:val="left"/>
        <w:rPr>
          <w:rFonts w:ascii="宋体"/>
          <w:sz w:val="24"/>
          <w:highlight w:val="none"/>
        </w:rPr>
      </w:pPr>
      <w:r>
        <w:rPr>
          <w:rFonts w:hint="eastAsia" w:ascii="宋体"/>
          <w:sz w:val="24"/>
          <w:highlight w:val="none"/>
        </w:rPr>
        <w:t>第五节  安装、检验、调试、试运行及验收</w:t>
      </w:r>
    </w:p>
    <w:p>
      <w:pPr>
        <w:tabs>
          <w:tab w:val="left" w:pos="2340"/>
        </w:tabs>
        <w:spacing w:line="360" w:lineRule="auto"/>
        <w:ind w:left="630" w:leftChars="300" w:firstLine="240" w:firstLineChars="100"/>
        <w:jc w:val="left"/>
        <w:rPr>
          <w:rFonts w:ascii="宋体"/>
          <w:sz w:val="24"/>
          <w:highlight w:val="none"/>
        </w:rPr>
      </w:pPr>
      <w:r>
        <w:rPr>
          <w:rFonts w:hint="eastAsia" w:ascii="宋体"/>
          <w:sz w:val="24"/>
          <w:highlight w:val="none"/>
        </w:rPr>
        <w:t>第六节  质量保证</w:t>
      </w:r>
    </w:p>
    <w:p>
      <w:pPr>
        <w:tabs>
          <w:tab w:val="left" w:pos="2340"/>
        </w:tabs>
        <w:spacing w:line="360" w:lineRule="auto"/>
        <w:ind w:left="630" w:leftChars="300" w:firstLine="240" w:firstLineChars="100"/>
        <w:jc w:val="left"/>
        <w:rPr>
          <w:rFonts w:ascii="宋体"/>
          <w:sz w:val="24"/>
          <w:highlight w:val="none"/>
        </w:rPr>
      </w:pPr>
      <w:r>
        <w:rPr>
          <w:rFonts w:hint="eastAsia" w:ascii="宋体"/>
          <w:sz w:val="24"/>
          <w:highlight w:val="none"/>
        </w:rPr>
        <w:t>第七节  技术资料和图纸</w:t>
      </w:r>
    </w:p>
    <w:p>
      <w:pPr>
        <w:topLinePunct/>
        <w:spacing w:line="360" w:lineRule="auto"/>
        <w:jc w:val="center"/>
        <w:rPr>
          <w:highlight w:val="none"/>
        </w:rPr>
      </w:pPr>
    </w:p>
    <w:p>
      <w:pPr>
        <w:topLinePunct/>
        <w:spacing w:line="360" w:lineRule="auto"/>
        <w:jc w:val="center"/>
        <w:rPr>
          <w:highlight w:val="none"/>
        </w:rPr>
      </w:pPr>
    </w:p>
    <w:p>
      <w:pPr>
        <w:topLinePunct/>
        <w:spacing w:line="360" w:lineRule="auto"/>
        <w:jc w:val="center"/>
        <w:rPr>
          <w:highlight w:val="none"/>
        </w:rPr>
      </w:pPr>
    </w:p>
    <w:p>
      <w:pPr>
        <w:spacing w:line="360" w:lineRule="auto"/>
        <w:rPr>
          <w:highlight w:val="none"/>
        </w:rPr>
      </w:pPr>
    </w:p>
    <w:p>
      <w:pPr>
        <w:spacing w:line="360" w:lineRule="auto"/>
        <w:jc w:val="center"/>
        <w:rPr>
          <w:highlight w:val="none"/>
        </w:rPr>
      </w:pPr>
    </w:p>
    <w:p>
      <w:pPr>
        <w:pStyle w:val="17"/>
        <w:spacing w:line="360" w:lineRule="auto"/>
        <w:jc w:val="center"/>
        <w:rPr>
          <w:rFonts w:ascii="宋体"/>
          <w:b/>
          <w:sz w:val="32"/>
          <w:szCs w:val="32"/>
          <w:highlight w:val="none"/>
        </w:rPr>
      </w:pPr>
      <w:r>
        <w:rPr>
          <w:highlight w:val="none"/>
        </w:rPr>
        <w:br w:type="page"/>
      </w:r>
      <w:bookmarkStart w:id="0" w:name="_Toc357082526"/>
      <w:bookmarkStart w:id="1" w:name="_Toc356204538"/>
      <w:r>
        <w:rPr>
          <w:rFonts w:hint="eastAsia"/>
          <w:b/>
          <w:sz w:val="32"/>
          <w:szCs w:val="32"/>
          <w:highlight w:val="none"/>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jc w:val="left"/>
        <w:rPr>
          <w:b/>
          <w:highlight w:val="none"/>
        </w:rPr>
      </w:pPr>
      <w:r>
        <w:rPr>
          <w:rFonts w:hint="eastAsia"/>
          <w:b/>
          <w:highlight w:val="none"/>
        </w:rPr>
        <w:t>一、货物需求一览表</w:t>
      </w:r>
    </w:p>
    <w:tbl>
      <w:tblPr>
        <w:tblStyle w:val="15"/>
        <w:tblW w:w="91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2112"/>
        <w:gridCol w:w="1984"/>
        <w:gridCol w:w="709"/>
        <w:gridCol w:w="709"/>
        <w:gridCol w:w="1417"/>
        <w:gridCol w:w="1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jc w:val="center"/>
        </w:trPr>
        <w:tc>
          <w:tcPr>
            <w:tcW w:w="875" w:type="dxa"/>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序号</w:t>
            </w:r>
          </w:p>
        </w:tc>
        <w:tc>
          <w:tcPr>
            <w:tcW w:w="2112" w:type="dxa"/>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名称</w:t>
            </w:r>
          </w:p>
        </w:tc>
        <w:tc>
          <w:tcPr>
            <w:tcW w:w="1984" w:type="dxa"/>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规格型号</w:t>
            </w:r>
          </w:p>
        </w:tc>
        <w:tc>
          <w:tcPr>
            <w:tcW w:w="709" w:type="dxa"/>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单位</w:t>
            </w:r>
          </w:p>
        </w:tc>
        <w:tc>
          <w:tcPr>
            <w:tcW w:w="709" w:type="dxa"/>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数量</w:t>
            </w:r>
          </w:p>
        </w:tc>
        <w:tc>
          <w:tcPr>
            <w:tcW w:w="1417" w:type="dxa"/>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交货时间</w:t>
            </w:r>
          </w:p>
        </w:tc>
        <w:tc>
          <w:tcPr>
            <w:tcW w:w="1370" w:type="dxa"/>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使用单位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jc w:val="center"/>
        </w:trPr>
        <w:tc>
          <w:tcPr>
            <w:tcW w:w="875" w:type="dxa"/>
            <w:vAlign w:val="center"/>
          </w:tcPr>
          <w:p>
            <w:pPr>
              <w:spacing w:line="360" w:lineRule="auto"/>
              <w:jc w:val="center"/>
              <w:rPr>
                <w:rFonts w:ascii="宋体" w:hAnsi="宋体" w:cs="宋体"/>
                <w:b/>
                <w:szCs w:val="21"/>
                <w:highlight w:val="none"/>
              </w:rPr>
            </w:pPr>
            <w:r>
              <w:rPr>
                <w:rFonts w:hint="eastAsia" w:ascii="宋体" w:hAnsi="宋体" w:cs="宋体"/>
                <w:szCs w:val="21"/>
                <w:highlight w:val="none"/>
              </w:rPr>
              <w:t>1</w:t>
            </w:r>
          </w:p>
        </w:tc>
        <w:tc>
          <w:tcPr>
            <w:tcW w:w="2112" w:type="dxa"/>
            <w:vAlign w:val="center"/>
          </w:tcPr>
          <w:p>
            <w:pPr>
              <w:spacing w:line="360" w:lineRule="auto"/>
              <w:jc w:val="center"/>
              <w:rPr>
                <w:rFonts w:ascii="宋体" w:hAnsi="宋体" w:cs="宋体"/>
                <w:kern w:val="0"/>
                <w:szCs w:val="21"/>
                <w:highlight w:val="none"/>
              </w:rPr>
            </w:pPr>
            <w:r>
              <w:rPr>
                <w:rFonts w:hint="eastAsia" w:ascii="宋体" w:hAnsi="宋体" w:cs="宋体"/>
                <w:kern w:val="0"/>
                <w:szCs w:val="21"/>
                <w:highlight w:val="none"/>
              </w:rPr>
              <w:t>有源滤波</w:t>
            </w:r>
            <w:r>
              <w:rPr>
                <w:rFonts w:hint="eastAsia" w:ascii="宋体" w:hAnsi="宋体" w:cs="宋体"/>
                <w:kern w:val="0"/>
                <w:szCs w:val="21"/>
                <w:highlight w:val="none"/>
                <w:lang w:val="en-US" w:eastAsia="zh-CN"/>
              </w:rPr>
              <w:t>器</w:t>
            </w:r>
          </w:p>
        </w:tc>
        <w:tc>
          <w:tcPr>
            <w:tcW w:w="1984" w:type="dxa"/>
            <w:vAlign w:val="center"/>
          </w:tcPr>
          <w:p>
            <w:pPr>
              <w:spacing w:line="360" w:lineRule="auto"/>
              <w:jc w:val="center"/>
              <w:rPr>
                <w:rFonts w:hint="eastAsia" w:ascii="宋体" w:hAnsi="宋体" w:cs="宋体"/>
                <w:kern w:val="0"/>
                <w:szCs w:val="21"/>
                <w:highlight w:val="none"/>
              </w:rPr>
            </w:pPr>
            <w:r>
              <w:rPr>
                <w:rFonts w:hint="eastAsia" w:ascii="宋体" w:hAnsi="宋体" w:cs="宋体"/>
                <w:kern w:val="0"/>
                <w:szCs w:val="21"/>
                <w:highlight w:val="none"/>
              </w:rPr>
              <w:t>FN3420-200-690-3</w:t>
            </w:r>
          </w:p>
        </w:tc>
        <w:tc>
          <w:tcPr>
            <w:tcW w:w="709" w:type="dxa"/>
            <w:vAlign w:val="center"/>
          </w:tcPr>
          <w:p>
            <w:pPr>
              <w:spacing w:line="360" w:lineRule="auto"/>
              <w:jc w:val="center"/>
              <w:rPr>
                <w:rFonts w:ascii="宋体" w:hAnsi="宋体" w:cs="宋体"/>
                <w:kern w:val="0"/>
                <w:szCs w:val="21"/>
                <w:highlight w:val="none"/>
              </w:rPr>
            </w:pPr>
            <w:r>
              <w:rPr>
                <w:rFonts w:hint="eastAsia" w:ascii="宋体" w:hAnsi="宋体" w:cs="宋体"/>
                <w:kern w:val="0"/>
                <w:szCs w:val="21"/>
                <w:highlight w:val="none"/>
              </w:rPr>
              <w:t>台</w:t>
            </w:r>
          </w:p>
        </w:tc>
        <w:tc>
          <w:tcPr>
            <w:tcW w:w="709" w:type="dxa"/>
            <w:vAlign w:val="center"/>
          </w:tcPr>
          <w:p>
            <w:pPr>
              <w:spacing w:line="360" w:lineRule="auto"/>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1</w:t>
            </w:r>
          </w:p>
        </w:tc>
        <w:tc>
          <w:tcPr>
            <w:tcW w:w="1417" w:type="dxa"/>
            <w:vAlign w:val="center"/>
          </w:tcPr>
          <w:p>
            <w:pPr>
              <w:spacing w:line="360" w:lineRule="auto"/>
              <w:jc w:val="center"/>
              <w:rPr>
                <w:rFonts w:ascii="宋体" w:hAnsi="宋体" w:cs="宋体"/>
                <w:kern w:val="0"/>
                <w:szCs w:val="21"/>
                <w:highlight w:val="none"/>
              </w:rPr>
            </w:pPr>
            <w:r>
              <w:rPr>
                <w:rFonts w:hint="eastAsia" w:ascii="宋体" w:hAnsi="宋体" w:cs="宋体"/>
                <w:kern w:val="0"/>
                <w:szCs w:val="21"/>
                <w:highlight w:val="none"/>
              </w:rPr>
              <w:t>自合同签订之日起3个月</w:t>
            </w:r>
          </w:p>
        </w:tc>
        <w:tc>
          <w:tcPr>
            <w:tcW w:w="1370" w:type="dxa"/>
            <w:vAlign w:val="center"/>
          </w:tcPr>
          <w:p>
            <w:pPr>
              <w:spacing w:line="360" w:lineRule="auto"/>
              <w:jc w:val="center"/>
              <w:rPr>
                <w:rFonts w:ascii="宋体" w:hAnsi="宋体" w:cs="宋体"/>
                <w:kern w:val="0"/>
                <w:szCs w:val="21"/>
                <w:highlight w:val="none"/>
              </w:rPr>
            </w:pPr>
            <w:r>
              <w:rPr>
                <w:rFonts w:hint="eastAsia" w:ascii="宋体" w:hAnsi="宋体" w:cs="宋体"/>
                <w:kern w:val="0"/>
                <w:szCs w:val="21"/>
                <w:highlight w:val="none"/>
              </w:rPr>
              <w:t>洗洗中心电气维修中心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75" w:type="dxa"/>
            <w:vAlign w:val="center"/>
          </w:tcPr>
          <w:p>
            <w:pPr>
              <w:spacing w:line="360" w:lineRule="auto"/>
              <w:jc w:val="center"/>
              <w:rPr>
                <w:rFonts w:ascii="宋体" w:hAnsi="宋体" w:cs="宋体"/>
                <w:color w:val="0D0D0D"/>
                <w:kern w:val="0"/>
                <w:szCs w:val="21"/>
                <w:highlight w:val="none"/>
              </w:rPr>
            </w:pPr>
            <w:r>
              <w:rPr>
                <w:rFonts w:hint="eastAsia" w:ascii="宋体" w:hAnsi="宋体" w:cs="宋体"/>
                <w:color w:val="0D0D0D"/>
                <w:kern w:val="0"/>
                <w:szCs w:val="21"/>
                <w:highlight w:val="none"/>
              </w:rPr>
              <w:t>3</w:t>
            </w:r>
          </w:p>
        </w:tc>
        <w:tc>
          <w:tcPr>
            <w:tcW w:w="2112" w:type="dxa"/>
            <w:vAlign w:val="center"/>
          </w:tcPr>
          <w:p>
            <w:pPr>
              <w:adjustRightInd w:val="0"/>
              <w:snapToGrid w:val="0"/>
              <w:spacing w:line="360" w:lineRule="auto"/>
              <w:jc w:val="center"/>
              <w:rPr>
                <w:rFonts w:ascii="宋体" w:hAnsi="宋体" w:cs="宋体"/>
                <w:color w:val="0D0D0D"/>
                <w:kern w:val="0"/>
                <w:szCs w:val="21"/>
                <w:highlight w:val="none"/>
              </w:rPr>
            </w:pPr>
            <w:r>
              <w:rPr>
                <w:rFonts w:hint="eastAsia" w:ascii="宋体" w:hAnsi="宋体" w:cs="宋体"/>
                <w:color w:val="0D0D0D"/>
                <w:kern w:val="0"/>
                <w:szCs w:val="21"/>
                <w:highlight w:val="none"/>
              </w:rPr>
              <w:t>技术资料与质检资料</w:t>
            </w:r>
          </w:p>
        </w:tc>
        <w:tc>
          <w:tcPr>
            <w:tcW w:w="198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cs="宋体"/>
                <w:color w:val="0D0D0D"/>
                <w:kern w:val="0"/>
                <w:szCs w:val="21"/>
                <w:highlight w:val="none"/>
              </w:rPr>
            </w:pPr>
          </w:p>
        </w:tc>
        <w:tc>
          <w:tcPr>
            <w:tcW w:w="709" w:type="dxa"/>
            <w:vAlign w:val="center"/>
          </w:tcPr>
          <w:p>
            <w:pPr>
              <w:adjustRightInd w:val="0"/>
              <w:snapToGrid w:val="0"/>
              <w:spacing w:line="360" w:lineRule="auto"/>
              <w:jc w:val="center"/>
              <w:rPr>
                <w:rFonts w:ascii="宋体" w:hAnsi="宋体" w:cs="宋体"/>
                <w:color w:val="0D0D0D"/>
                <w:kern w:val="0"/>
                <w:szCs w:val="21"/>
                <w:highlight w:val="none"/>
              </w:rPr>
            </w:pPr>
            <w:r>
              <w:rPr>
                <w:rFonts w:hint="eastAsia" w:ascii="宋体" w:hAnsi="宋体" w:cs="宋体"/>
                <w:color w:val="0D0D0D"/>
                <w:kern w:val="0"/>
                <w:szCs w:val="21"/>
                <w:highlight w:val="none"/>
              </w:rPr>
              <w:t>套</w:t>
            </w:r>
          </w:p>
        </w:tc>
        <w:tc>
          <w:tcPr>
            <w:tcW w:w="709" w:type="dxa"/>
            <w:vAlign w:val="center"/>
          </w:tcPr>
          <w:p>
            <w:pPr>
              <w:adjustRightInd w:val="0"/>
              <w:snapToGrid w:val="0"/>
              <w:spacing w:line="360" w:lineRule="auto"/>
              <w:jc w:val="center"/>
              <w:rPr>
                <w:rFonts w:ascii="宋体" w:hAnsi="宋体" w:cs="宋体"/>
                <w:color w:val="0D0D0D"/>
                <w:kern w:val="0"/>
                <w:szCs w:val="21"/>
                <w:highlight w:val="none"/>
              </w:rPr>
            </w:pPr>
            <w:r>
              <w:rPr>
                <w:rFonts w:hint="eastAsia" w:ascii="宋体" w:hAnsi="宋体" w:cs="宋体"/>
                <w:color w:val="0D0D0D"/>
                <w:kern w:val="0"/>
                <w:szCs w:val="21"/>
                <w:highlight w:val="none"/>
              </w:rPr>
              <w:t>1</w:t>
            </w:r>
          </w:p>
        </w:tc>
        <w:tc>
          <w:tcPr>
            <w:tcW w:w="1417" w:type="dxa"/>
            <w:vAlign w:val="center"/>
          </w:tcPr>
          <w:p>
            <w:pPr>
              <w:adjustRightInd w:val="0"/>
              <w:snapToGrid w:val="0"/>
              <w:spacing w:line="360" w:lineRule="auto"/>
              <w:jc w:val="center"/>
              <w:rPr>
                <w:rFonts w:ascii="宋体" w:hAnsi="宋体" w:cs="宋体"/>
                <w:color w:val="0D0D0D"/>
                <w:kern w:val="0"/>
                <w:szCs w:val="21"/>
                <w:highlight w:val="none"/>
              </w:rPr>
            </w:pPr>
            <w:r>
              <w:rPr>
                <w:rFonts w:hint="eastAsia" w:ascii="宋体" w:hAnsi="宋体" w:cs="宋体"/>
                <w:color w:val="0D0D0D"/>
                <w:kern w:val="0"/>
                <w:szCs w:val="21"/>
                <w:highlight w:val="none"/>
              </w:rPr>
              <w:t>同上</w:t>
            </w:r>
          </w:p>
        </w:tc>
        <w:tc>
          <w:tcPr>
            <w:tcW w:w="1370" w:type="dxa"/>
            <w:vAlign w:val="center"/>
          </w:tcPr>
          <w:p>
            <w:pPr>
              <w:adjustRightInd w:val="0"/>
              <w:snapToGrid w:val="0"/>
              <w:spacing w:line="360" w:lineRule="auto"/>
              <w:jc w:val="center"/>
              <w:rPr>
                <w:rFonts w:ascii="宋体" w:hAnsi="宋体" w:cs="宋体"/>
                <w:color w:val="0D0D0D"/>
                <w:kern w:val="0"/>
                <w:szCs w:val="21"/>
                <w:highlight w:val="none"/>
              </w:rPr>
            </w:pPr>
            <w:r>
              <w:rPr>
                <w:rFonts w:hint="eastAsia" w:ascii="宋体" w:hAnsi="宋体" w:cs="宋体"/>
                <w:color w:val="0D0D0D"/>
                <w:kern w:val="0"/>
                <w:szCs w:val="21"/>
                <w:highlight w:val="none"/>
              </w:rPr>
              <w:t>同上</w:t>
            </w:r>
          </w:p>
        </w:tc>
      </w:tr>
    </w:tbl>
    <w:p>
      <w:pPr>
        <w:adjustRightInd w:val="0"/>
        <w:snapToGrid w:val="0"/>
        <w:spacing w:before="312" w:beforeLines="100" w:line="360" w:lineRule="auto"/>
        <w:jc w:val="center"/>
        <w:rPr>
          <w:b/>
          <w:szCs w:val="21"/>
          <w:highlight w:val="none"/>
        </w:rPr>
      </w:pPr>
      <w:r>
        <w:rPr>
          <w:rFonts w:hint="eastAsia"/>
          <w:b/>
          <w:szCs w:val="21"/>
          <w:highlight w:val="none"/>
        </w:rPr>
        <w:t>分项报价表</w:t>
      </w:r>
    </w:p>
    <w:tbl>
      <w:tblPr>
        <w:tblStyle w:val="15"/>
        <w:tblW w:w="8704" w:type="dxa"/>
        <w:jc w:val="center"/>
        <w:tblInd w:w="0" w:type="dxa"/>
        <w:tblLayout w:type="fixed"/>
        <w:tblCellMar>
          <w:top w:w="0" w:type="dxa"/>
          <w:left w:w="108" w:type="dxa"/>
          <w:bottom w:w="0" w:type="dxa"/>
          <w:right w:w="108" w:type="dxa"/>
        </w:tblCellMar>
      </w:tblPr>
      <w:tblGrid>
        <w:gridCol w:w="946"/>
        <w:gridCol w:w="3350"/>
        <w:gridCol w:w="1289"/>
        <w:gridCol w:w="851"/>
        <w:gridCol w:w="1417"/>
        <w:gridCol w:w="851"/>
      </w:tblGrid>
      <w:tr>
        <w:tblPrEx>
          <w:tblLayout w:type="fixed"/>
          <w:tblCellMar>
            <w:top w:w="0" w:type="dxa"/>
            <w:left w:w="108" w:type="dxa"/>
            <w:bottom w:w="0" w:type="dxa"/>
            <w:right w:w="108" w:type="dxa"/>
          </w:tblCellMar>
        </w:tblPrEx>
        <w:trPr>
          <w:trHeight w:val="537"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序号</w:t>
            </w:r>
          </w:p>
        </w:tc>
        <w:tc>
          <w:tcPr>
            <w:tcW w:w="33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名称</w:t>
            </w:r>
          </w:p>
        </w:tc>
        <w:tc>
          <w:tcPr>
            <w:tcW w:w="12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单位</w:t>
            </w: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数量</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单价（元）</w:t>
            </w: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szCs w:val="21"/>
                <w:highlight w:val="none"/>
              </w:rPr>
            </w:pPr>
            <w:r>
              <w:rPr>
                <w:rFonts w:hint="eastAsia" w:ascii="宋体" w:hAnsi="宋体" w:cs="宋体"/>
                <w:b/>
                <w:szCs w:val="21"/>
                <w:highlight w:val="none"/>
              </w:rPr>
              <w:t>合计</w:t>
            </w:r>
          </w:p>
        </w:tc>
      </w:tr>
      <w:tr>
        <w:tblPrEx>
          <w:tblLayout w:type="fixed"/>
          <w:tblCellMar>
            <w:top w:w="0" w:type="dxa"/>
            <w:left w:w="108" w:type="dxa"/>
            <w:bottom w:w="0" w:type="dxa"/>
            <w:right w:w="108" w:type="dxa"/>
          </w:tblCellMar>
        </w:tblPrEx>
        <w:trPr>
          <w:trHeight w:val="39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33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r>
              <w:rPr>
                <w:rFonts w:hint="eastAsia" w:ascii="宋体" w:hAnsi="宋体" w:cs="宋体"/>
                <w:kern w:val="0"/>
                <w:szCs w:val="21"/>
                <w:highlight w:val="none"/>
              </w:rPr>
              <w:t>有源滤波</w:t>
            </w:r>
            <w:r>
              <w:rPr>
                <w:rFonts w:hint="eastAsia" w:ascii="宋体" w:hAnsi="宋体" w:cs="宋体"/>
                <w:kern w:val="0"/>
                <w:szCs w:val="21"/>
                <w:highlight w:val="none"/>
                <w:lang w:val="en-US" w:eastAsia="zh-CN"/>
              </w:rPr>
              <w:t>器</w:t>
            </w:r>
          </w:p>
        </w:tc>
        <w:tc>
          <w:tcPr>
            <w:tcW w:w="12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台</w:t>
            </w: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szCs w:val="21"/>
                <w:highlight w:val="none"/>
                <w:lang w:val="en-US" w:eastAsia="zh-CN"/>
              </w:rPr>
              <w:t>1</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r>
        <w:tblPrEx>
          <w:tblLayout w:type="fixed"/>
          <w:tblCellMar>
            <w:top w:w="0" w:type="dxa"/>
            <w:left w:w="108" w:type="dxa"/>
            <w:bottom w:w="0" w:type="dxa"/>
            <w:right w:w="108" w:type="dxa"/>
          </w:tblCellMar>
        </w:tblPrEx>
        <w:trPr>
          <w:trHeight w:val="39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3350"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cs="宋体" w:asciiTheme="minorEastAsia" w:hAnsiTheme="minorEastAsia" w:eastAsiaTheme="minorEastAsia"/>
                <w:szCs w:val="21"/>
                <w:highlight w:val="none"/>
              </w:rPr>
            </w:pPr>
            <w:r>
              <w:rPr>
                <w:rFonts w:hint="eastAsia" w:cs="宋体" w:asciiTheme="minorEastAsia" w:hAnsiTheme="minorEastAsia" w:eastAsiaTheme="minorEastAsia"/>
                <w:bCs/>
                <w:szCs w:val="21"/>
                <w:highlight w:val="none"/>
              </w:rPr>
              <w:t>每套包括：</w:t>
            </w:r>
          </w:p>
        </w:tc>
        <w:tc>
          <w:tcPr>
            <w:tcW w:w="12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r>
        <w:tblPrEx>
          <w:tblLayout w:type="fixed"/>
          <w:tblCellMar>
            <w:top w:w="0" w:type="dxa"/>
            <w:left w:w="108" w:type="dxa"/>
            <w:bottom w:w="0" w:type="dxa"/>
            <w:right w:w="108" w:type="dxa"/>
          </w:tblCellMar>
        </w:tblPrEx>
        <w:trPr>
          <w:trHeight w:val="39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1.1</w:t>
            </w:r>
          </w:p>
        </w:tc>
        <w:tc>
          <w:tcPr>
            <w:tcW w:w="3350" w:type="dxa"/>
            <w:tcBorders>
              <w:top w:val="single" w:color="auto" w:sz="4" w:space="0"/>
              <w:left w:val="single" w:color="auto" w:sz="4" w:space="0"/>
              <w:bottom w:val="single" w:color="auto" w:sz="4" w:space="0"/>
              <w:right w:val="single" w:color="auto" w:sz="4" w:space="0"/>
            </w:tcBorders>
          </w:tcPr>
          <w:p>
            <w:pPr>
              <w:widowControl/>
              <w:adjustRightInd w:val="0"/>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有源滤波</w:t>
            </w:r>
            <w:r>
              <w:rPr>
                <w:rFonts w:hint="eastAsia" w:cs="宋体" w:asciiTheme="minorEastAsia" w:hAnsiTheme="minorEastAsia" w:eastAsiaTheme="minorEastAsia"/>
                <w:szCs w:val="21"/>
                <w:highlight w:val="none"/>
                <w:lang w:val="en-US" w:eastAsia="zh-CN"/>
              </w:rPr>
              <w:t>器</w:t>
            </w:r>
          </w:p>
        </w:tc>
        <w:tc>
          <w:tcPr>
            <w:tcW w:w="1289" w:type="dxa"/>
            <w:tcBorders>
              <w:top w:val="single" w:color="auto" w:sz="4" w:space="0"/>
              <w:left w:val="single" w:color="auto" w:sz="4" w:space="0"/>
              <w:bottom w:val="single" w:color="auto" w:sz="4" w:space="0"/>
              <w:right w:val="single" w:color="auto" w:sz="4" w:space="0"/>
            </w:tcBorders>
            <w:vAlign w:val="center"/>
          </w:tcPr>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台</w:t>
            </w:r>
          </w:p>
        </w:tc>
        <w:tc>
          <w:tcPr>
            <w:tcW w:w="851"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r>
        <w:tblPrEx>
          <w:tblLayout w:type="fixed"/>
          <w:tblCellMar>
            <w:top w:w="0" w:type="dxa"/>
            <w:left w:w="108" w:type="dxa"/>
            <w:bottom w:w="0" w:type="dxa"/>
            <w:right w:w="108" w:type="dxa"/>
          </w:tblCellMar>
        </w:tblPrEx>
        <w:trPr>
          <w:trHeight w:val="39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1.2</w:t>
            </w:r>
          </w:p>
        </w:tc>
        <w:tc>
          <w:tcPr>
            <w:tcW w:w="33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color w:val="0D0D0D"/>
                <w:kern w:val="0"/>
                <w:szCs w:val="21"/>
                <w:highlight w:val="none"/>
              </w:rPr>
            </w:pPr>
            <w:r>
              <w:rPr>
                <w:rFonts w:hint="eastAsia" w:cs="宋体" w:asciiTheme="minorEastAsia" w:hAnsiTheme="minorEastAsia" w:eastAsiaTheme="minorEastAsia"/>
                <w:color w:val="0D0D0D"/>
                <w:kern w:val="0"/>
                <w:szCs w:val="21"/>
                <w:highlight w:val="none"/>
              </w:rPr>
              <w:t>电流互感器</w:t>
            </w:r>
          </w:p>
        </w:tc>
        <w:tc>
          <w:tcPr>
            <w:tcW w:w="12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color w:val="0D0D0D"/>
                <w:kern w:val="0"/>
                <w:szCs w:val="21"/>
                <w:highlight w:val="none"/>
              </w:rPr>
            </w:pPr>
            <w:r>
              <w:rPr>
                <w:rFonts w:hint="eastAsia" w:cs="宋体" w:asciiTheme="minorEastAsia" w:hAnsiTheme="minorEastAsia" w:eastAsiaTheme="minorEastAsia"/>
                <w:color w:val="0D0D0D"/>
                <w:kern w:val="0"/>
                <w:szCs w:val="21"/>
                <w:highlight w:val="none"/>
              </w:rPr>
              <w:t>个</w:t>
            </w: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color w:val="0D0D0D"/>
                <w:kern w:val="0"/>
                <w:szCs w:val="21"/>
                <w:highlight w:val="none"/>
              </w:rPr>
            </w:pPr>
            <w:r>
              <w:rPr>
                <w:rFonts w:hint="eastAsia" w:cs="宋体" w:asciiTheme="minorEastAsia" w:hAnsiTheme="minorEastAsia" w:eastAsiaTheme="minorEastAsia"/>
                <w:color w:val="0D0D0D"/>
                <w:kern w:val="0"/>
                <w:szCs w:val="21"/>
                <w:highlight w:val="none"/>
              </w:rPr>
              <w:t>3</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color w:val="0D0D0D"/>
                <w:kern w:val="0"/>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r>
        <w:tblPrEx>
          <w:tblLayout w:type="fixed"/>
          <w:tblCellMar>
            <w:top w:w="0" w:type="dxa"/>
            <w:left w:w="108" w:type="dxa"/>
            <w:bottom w:w="0" w:type="dxa"/>
            <w:right w:w="108" w:type="dxa"/>
          </w:tblCellMar>
        </w:tblPrEx>
        <w:trPr>
          <w:trHeight w:val="42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1.3</w:t>
            </w:r>
          </w:p>
        </w:tc>
        <w:tc>
          <w:tcPr>
            <w:tcW w:w="3350" w:type="dxa"/>
            <w:tcBorders>
              <w:top w:val="single" w:color="auto" w:sz="4" w:space="0"/>
              <w:left w:val="single" w:color="auto" w:sz="4" w:space="0"/>
              <w:bottom w:val="single" w:color="auto" w:sz="4" w:space="0"/>
              <w:right w:val="single" w:color="auto" w:sz="4" w:space="0"/>
            </w:tcBorders>
          </w:tcPr>
          <w:p>
            <w:pPr>
              <w:widowControl/>
              <w:adjustRightInd w:val="0"/>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电缆</w:t>
            </w:r>
          </w:p>
        </w:tc>
        <w:tc>
          <w:tcPr>
            <w:tcW w:w="1289" w:type="dxa"/>
            <w:tcBorders>
              <w:top w:val="single" w:color="auto" w:sz="4" w:space="0"/>
              <w:left w:val="single" w:color="auto" w:sz="4" w:space="0"/>
              <w:bottom w:val="single" w:color="auto" w:sz="4" w:space="0"/>
              <w:right w:val="single" w:color="auto" w:sz="4" w:space="0"/>
            </w:tcBorders>
            <w:vAlign w:val="center"/>
          </w:tcPr>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套</w:t>
            </w:r>
          </w:p>
        </w:tc>
        <w:tc>
          <w:tcPr>
            <w:tcW w:w="851"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jc w:val="center"/>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1</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r>
        <w:tblPrEx>
          <w:tblLayout w:type="fixed"/>
          <w:tblCellMar>
            <w:top w:w="0" w:type="dxa"/>
            <w:left w:w="108" w:type="dxa"/>
            <w:bottom w:w="0" w:type="dxa"/>
            <w:right w:w="108" w:type="dxa"/>
          </w:tblCellMar>
        </w:tblPrEx>
        <w:trPr>
          <w:trHeight w:val="42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1.4</w:t>
            </w:r>
          </w:p>
        </w:tc>
        <w:tc>
          <w:tcPr>
            <w:tcW w:w="3350" w:type="dxa"/>
            <w:tcBorders>
              <w:top w:val="single" w:color="auto" w:sz="4" w:space="0"/>
              <w:left w:val="single" w:color="auto" w:sz="4" w:space="0"/>
              <w:bottom w:val="single" w:color="auto" w:sz="4" w:space="0"/>
              <w:right w:val="single" w:color="auto" w:sz="4" w:space="0"/>
            </w:tcBorders>
          </w:tcPr>
          <w:p>
            <w:pPr>
              <w:widowControl/>
              <w:adjustRightInd w:val="0"/>
              <w:spacing w:line="360" w:lineRule="auto"/>
              <w:jc w:val="center"/>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附件</w:t>
            </w:r>
          </w:p>
        </w:tc>
        <w:tc>
          <w:tcPr>
            <w:tcW w:w="1289" w:type="dxa"/>
            <w:tcBorders>
              <w:top w:val="single" w:color="auto" w:sz="4" w:space="0"/>
              <w:left w:val="single" w:color="auto" w:sz="4" w:space="0"/>
              <w:bottom w:val="single" w:color="auto" w:sz="4" w:space="0"/>
              <w:right w:val="single" w:color="auto" w:sz="4" w:space="0"/>
            </w:tcBorders>
            <w:textDirection w:val="lrTb"/>
            <w:vAlign w:val="center"/>
          </w:tcPr>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val="en-US" w:eastAsia="zh-CN"/>
              </w:rPr>
              <w:t>套</w:t>
            </w:r>
          </w:p>
        </w:tc>
        <w:tc>
          <w:tcPr>
            <w:tcW w:w="851" w:type="dxa"/>
            <w:tcBorders>
              <w:top w:val="single" w:color="auto" w:sz="4" w:space="0"/>
              <w:left w:val="single" w:color="auto" w:sz="4" w:space="0"/>
              <w:bottom w:val="single" w:color="auto" w:sz="4" w:space="0"/>
              <w:right w:val="single" w:color="auto" w:sz="4" w:space="0"/>
            </w:tcBorders>
            <w:textDirection w:val="lrTb"/>
            <w:vAlign w:val="center"/>
          </w:tcPr>
          <w:p>
            <w:pPr>
              <w:widowControl/>
              <w:adjustRightInd w:val="0"/>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val="en-US" w:eastAsia="zh-CN"/>
              </w:rPr>
              <w:t>1</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r>
        <w:tblPrEx>
          <w:tblLayout w:type="fixed"/>
          <w:tblCellMar>
            <w:top w:w="0" w:type="dxa"/>
            <w:left w:w="108" w:type="dxa"/>
            <w:bottom w:w="0" w:type="dxa"/>
            <w:right w:w="108" w:type="dxa"/>
          </w:tblCellMar>
        </w:tblPrEx>
        <w:trPr>
          <w:trHeight w:val="42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1.5</w:t>
            </w:r>
          </w:p>
        </w:tc>
        <w:tc>
          <w:tcPr>
            <w:tcW w:w="335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jc w:val="center"/>
              <w:rPr>
                <w:rFonts w:cs="宋体" w:asciiTheme="minorEastAsia" w:hAnsiTheme="minorEastAsia" w:eastAsiaTheme="minorEastAsia"/>
                <w:szCs w:val="21"/>
                <w:highlight w:val="none"/>
              </w:rPr>
            </w:pPr>
            <w:r>
              <w:rPr>
                <w:rFonts w:hint="eastAsia" w:ascii="宋体" w:hAnsi="宋体" w:cs="宋体"/>
                <w:color w:val="0D0D0D"/>
                <w:kern w:val="0"/>
                <w:szCs w:val="21"/>
                <w:highlight w:val="none"/>
              </w:rPr>
              <w:t>技术资料与质检资料</w:t>
            </w:r>
          </w:p>
        </w:tc>
        <w:tc>
          <w:tcPr>
            <w:tcW w:w="1289" w:type="dxa"/>
            <w:tcBorders>
              <w:top w:val="single" w:color="auto" w:sz="4" w:space="0"/>
              <w:left w:val="single" w:color="auto" w:sz="4" w:space="0"/>
              <w:bottom w:val="single" w:color="auto" w:sz="4" w:space="0"/>
              <w:right w:val="single" w:color="auto" w:sz="4" w:space="0"/>
            </w:tcBorders>
            <w:textDirection w:val="lrTb"/>
            <w:vAlign w:val="center"/>
          </w:tcPr>
          <w:p>
            <w:pPr>
              <w:adjustRightInd w:val="0"/>
              <w:snapToGrid w:val="0"/>
              <w:spacing w:line="360" w:lineRule="auto"/>
              <w:jc w:val="center"/>
              <w:rPr>
                <w:rFonts w:cs="宋体" w:asciiTheme="minorEastAsia" w:hAnsiTheme="minorEastAsia" w:eastAsiaTheme="minorEastAsia"/>
                <w:szCs w:val="21"/>
                <w:highlight w:val="none"/>
              </w:rPr>
            </w:pPr>
            <w:r>
              <w:rPr>
                <w:rFonts w:hint="eastAsia" w:ascii="宋体" w:hAnsi="宋体" w:cs="宋体"/>
                <w:color w:val="0D0D0D"/>
                <w:kern w:val="0"/>
                <w:szCs w:val="21"/>
                <w:highlight w:val="none"/>
              </w:rPr>
              <w:t>套</w:t>
            </w:r>
          </w:p>
        </w:tc>
        <w:tc>
          <w:tcPr>
            <w:tcW w:w="851" w:type="dxa"/>
            <w:tcBorders>
              <w:top w:val="single" w:color="auto" w:sz="4" w:space="0"/>
              <w:left w:val="single" w:color="auto" w:sz="4" w:space="0"/>
              <w:bottom w:val="single" w:color="auto" w:sz="4" w:space="0"/>
              <w:right w:val="single" w:color="auto" w:sz="4" w:space="0"/>
            </w:tcBorders>
            <w:textDirection w:val="lrTb"/>
            <w:vAlign w:val="center"/>
          </w:tcPr>
          <w:p>
            <w:pPr>
              <w:adjustRightInd w:val="0"/>
              <w:snapToGrid w:val="0"/>
              <w:spacing w:line="360" w:lineRule="auto"/>
              <w:jc w:val="center"/>
              <w:rPr>
                <w:rFonts w:cs="宋体" w:asciiTheme="minorEastAsia" w:hAnsiTheme="minorEastAsia" w:eastAsiaTheme="minorEastAsia"/>
                <w:szCs w:val="21"/>
                <w:highlight w:val="none"/>
              </w:rPr>
            </w:pPr>
            <w:r>
              <w:rPr>
                <w:rFonts w:hint="eastAsia" w:ascii="宋体" w:hAnsi="宋体" w:cs="宋体"/>
                <w:color w:val="0D0D0D"/>
                <w:kern w:val="0"/>
                <w:szCs w:val="21"/>
                <w:highlight w:val="none"/>
              </w:rPr>
              <w:t>1</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r>
        <w:tblPrEx>
          <w:tblLayout w:type="fixed"/>
          <w:tblCellMar>
            <w:top w:w="0" w:type="dxa"/>
            <w:left w:w="108" w:type="dxa"/>
            <w:bottom w:w="0" w:type="dxa"/>
            <w:right w:w="108" w:type="dxa"/>
          </w:tblCellMar>
        </w:tblPrEx>
        <w:trPr>
          <w:trHeight w:val="42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3350" w:type="dxa"/>
            <w:tcBorders>
              <w:top w:val="single" w:color="auto" w:sz="4" w:space="0"/>
              <w:left w:val="single" w:color="auto" w:sz="4" w:space="0"/>
              <w:bottom w:val="single" w:color="auto" w:sz="4" w:space="0"/>
              <w:right w:val="single" w:color="auto" w:sz="4" w:space="0"/>
            </w:tcBorders>
          </w:tcPr>
          <w:p>
            <w:pPr>
              <w:widowControl/>
              <w:adjustRightInd w:val="0"/>
              <w:spacing w:line="360" w:lineRule="auto"/>
              <w:jc w:val="center"/>
              <w:rPr>
                <w:rFonts w:cs="宋体" w:asciiTheme="minorEastAsia" w:hAnsiTheme="minorEastAsia" w:eastAsiaTheme="minorEastAsia"/>
                <w:szCs w:val="21"/>
                <w:highlight w:val="none"/>
              </w:rPr>
            </w:pPr>
          </w:p>
        </w:tc>
        <w:tc>
          <w:tcPr>
            <w:tcW w:w="1289" w:type="dxa"/>
            <w:tcBorders>
              <w:top w:val="single" w:color="auto" w:sz="4" w:space="0"/>
              <w:left w:val="single" w:color="auto" w:sz="4" w:space="0"/>
              <w:bottom w:val="single" w:color="auto" w:sz="4" w:space="0"/>
              <w:right w:val="single" w:color="auto" w:sz="4" w:space="0"/>
            </w:tcBorders>
            <w:vAlign w:val="center"/>
          </w:tcPr>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jc w:val="center"/>
              <w:rPr>
                <w:rFonts w:cs="宋体" w:asciiTheme="minorEastAsia" w:hAnsiTheme="minorEastAsia" w:eastAsiaTheme="minorEastAsia"/>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r>
        <w:tblPrEx>
          <w:tblLayout w:type="fixed"/>
          <w:tblCellMar>
            <w:top w:w="0" w:type="dxa"/>
            <w:left w:w="108" w:type="dxa"/>
            <w:bottom w:w="0" w:type="dxa"/>
            <w:right w:w="108" w:type="dxa"/>
          </w:tblCellMar>
        </w:tblPrEx>
        <w:trPr>
          <w:trHeight w:val="420" w:hRule="atLeast"/>
          <w:jc w:val="center"/>
        </w:trPr>
        <w:tc>
          <w:tcPr>
            <w:tcW w:w="9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33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szCs w:val="21"/>
                <w:highlight w:val="none"/>
              </w:rPr>
              <w:t>合计</w:t>
            </w:r>
          </w:p>
        </w:tc>
        <w:tc>
          <w:tcPr>
            <w:tcW w:w="128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cs="宋体" w:asciiTheme="minorEastAsia" w:hAnsiTheme="minorEastAsia" w:eastAsiaTheme="minorEastAsia"/>
                <w:szCs w:val="21"/>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宋体" w:asciiTheme="minorEastAsia" w:hAnsiTheme="minorEastAsia" w:eastAsiaTheme="minorEastAsia"/>
                <w:szCs w:val="21"/>
                <w:highlight w:val="none"/>
              </w:rPr>
            </w:pPr>
          </w:p>
        </w:tc>
      </w:tr>
    </w:tbl>
    <w:p>
      <w:pPr>
        <w:adjustRightInd w:val="0"/>
        <w:snapToGrid w:val="0"/>
        <w:spacing w:before="312" w:beforeLines="100" w:after="312" w:afterLines="100" w:line="360" w:lineRule="auto"/>
        <w:rPr>
          <w:b/>
          <w:highlight w:val="none"/>
        </w:rPr>
      </w:pPr>
    </w:p>
    <w:p>
      <w:pPr>
        <w:adjustRightInd w:val="0"/>
        <w:snapToGrid w:val="0"/>
        <w:spacing w:before="312" w:beforeLines="100" w:after="312" w:afterLines="100" w:line="360" w:lineRule="auto"/>
        <w:jc w:val="left"/>
        <w:rPr>
          <w:b/>
          <w:highlight w:val="none"/>
        </w:rPr>
      </w:pPr>
      <w:r>
        <w:rPr>
          <w:rFonts w:hint="eastAsia"/>
          <w:b/>
          <w:highlight w:val="none"/>
        </w:rPr>
        <w:t>二、工作环境</w:t>
      </w:r>
    </w:p>
    <w:p>
      <w:pPr>
        <w:adjustRightInd w:val="0"/>
        <w:snapToGrid w:val="0"/>
        <w:spacing w:line="360" w:lineRule="auto"/>
        <w:rPr>
          <w:rFonts w:ascii="宋体" w:hAnsi="宋体"/>
          <w:szCs w:val="21"/>
          <w:highlight w:val="none"/>
        </w:rPr>
      </w:pPr>
      <w:r>
        <w:rPr>
          <w:rFonts w:hint="eastAsia" w:ascii="宋体" w:hAnsi="宋体"/>
          <w:szCs w:val="21"/>
          <w:highlight w:val="none"/>
        </w:rPr>
        <w:t>1. 工作环境</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最高温度：</w:t>
      </w:r>
      <w:r>
        <w:rPr>
          <w:rFonts w:hint="eastAsia" w:ascii="宋体" w:hAnsi="宋体"/>
          <w:szCs w:val="21"/>
          <w:highlight w:val="none"/>
          <w:u w:val="single"/>
        </w:rPr>
        <w:t xml:space="preserve">  +55℃ </w:t>
      </w:r>
      <w:r>
        <w:rPr>
          <w:rFonts w:hint="eastAsia" w:ascii="宋体" w:hAnsi="宋体"/>
          <w:szCs w:val="21"/>
          <w:highlight w:val="none"/>
        </w:rPr>
        <w:t>。</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最低温度：</w:t>
      </w:r>
      <w:r>
        <w:rPr>
          <w:rFonts w:hint="eastAsia" w:ascii="宋体" w:hAnsi="宋体"/>
          <w:szCs w:val="21"/>
          <w:highlight w:val="none"/>
          <w:u w:val="single"/>
        </w:rPr>
        <w:t xml:space="preserve"> -0℃  </w:t>
      </w:r>
      <w:r>
        <w:rPr>
          <w:rFonts w:hint="eastAsia" w:ascii="宋体" w:hAnsi="宋体"/>
          <w:szCs w:val="21"/>
          <w:highlight w:val="none"/>
        </w:rPr>
        <w:t>。</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年平均气温：</w:t>
      </w:r>
      <w:r>
        <w:rPr>
          <w:rFonts w:hint="eastAsia" w:ascii="宋体" w:hAnsi="宋体"/>
          <w:szCs w:val="21"/>
          <w:highlight w:val="none"/>
          <w:u w:val="single"/>
        </w:rPr>
        <w:t xml:space="preserve">  +15℃</w:t>
      </w:r>
      <w:r>
        <w:rPr>
          <w:rFonts w:hint="eastAsia" w:ascii="宋体" w:hAnsi="宋体"/>
          <w:szCs w:val="21"/>
          <w:highlight w:val="none"/>
        </w:rPr>
        <w:t>。</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环境相对湿度：</w:t>
      </w:r>
      <w:r>
        <w:rPr>
          <w:rFonts w:hint="eastAsia" w:ascii="宋体" w:hAnsi="宋体"/>
          <w:color w:val="000000"/>
          <w:szCs w:val="21"/>
          <w:highlight w:val="none"/>
          <w:u w:val="single"/>
        </w:rPr>
        <w:t>日相对湿度平均值小于</w:t>
      </w:r>
      <w:r>
        <w:rPr>
          <w:rFonts w:ascii="宋体" w:hAnsi="宋体"/>
          <w:color w:val="000000"/>
          <w:szCs w:val="21"/>
          <w:highlight w:val="none"/>
          <w:u w:val="single"/>
        </w:rPr>
        <w:t>95%</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海拔高度：</w:t>
      </w:r>
      <w:r>
        <w:rPr>
          <w:rFonts w:hint="eastAsia" w:ascii="宋体" w:hAnsi="宋体"/>
          <w:spacing w:val="-5"/>
          <w:kern w:val="0"/>
          <w:szCs w:val="21"/>
          <w:highlight w:val="none"/>
          <w:u w:val="single"/>
        </w:rPr>
        <w:t>≤1000m</w:t>
      </w:r>
      <w:r>
        <w:rPr>
          <w:rFonts w:hint="eastAsia" w:ascii="宋体" w:hAnsi="宋体"/>
          <w:szCs w:val="21"/>
          <w:highlight w:val="none"/>
        </w:rPr>
        <w:t>。</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污秽等级：</w:t>
      </w:r>
      <w:r>
        <w:rPr>
          <w:rFonts w:hint="eastAsia" w:ascii="宋体" w:hAnsi="宋体"/>
          <w:szCs w:val="21"/>
          <w:highlight w:val="none"/>
          <w:u w:val="single"/>
        </w:rPr>
        <w:t>2级</w:t>
      </w:r>
      <w:r>
        <w:rPr>
          <w:rFonts w:hint="eastAsia" w:ascii="宋体" w:hAnsi="宋体"/>
          <w:szCs w:val="21"/>
          <w:highlight w:val="none"/>
        </w:rPr>
        <w:t>。</w:t>
      </w:r>
    </w:p>
    <w:p>
      <w:pPr>
        <w:adjustRightInd w:val="0"/>
        <w:snapToGrid w:val="0"/>
        <w:spacing w:line="360" w:lineRule="auto"/>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使用条件</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）使用条件：户内</w:t>
      </w:r>
    </w:p>
    <w:p>
      <w:pPr>
        <w:adjustRightInd w:val="0"/>
        <w:snapToGrid w:val="0"/>
        <w:spacing w:line="360" w:lineRule="auto"/>
        <w:ind w:left="707" w:leftChars="135" w:hanging="424" w:hangingChars="202"/>
        <w:rPr>
          <w:rFonts w:ascii="宋体" w:hAns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）现场环境：有煤尘</w:t>
      </w:r>
    </w:p>
    <w:p>
      <w:pPr>
        <w:adjustRightInd w:val="0"/>
        <w:snapToGrid w:val="0"/>
        <w:spacing w:before="312" w:beforeLines="100" w:after="312" w:afterLines="100" w:line="360" w:lineRule="auto"/>
        <w:jc w:val="left"/>
        <w:rPr>
          <w:b/>
          <w:highlight w:val="none"/>
        </w:rPr>
      </w:pPr>
      <w:r>
        <w:rPr>
          <w:rFonts w:hint="eastAsia"/>
          <w:b/>
          <w:highlight w:val="none"/>
        </w:rPr>
        <w:t>三、技术参数及要求</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 xml:space="preserve">1 主要技术参数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1.1 工作电压：AC500V-690V（±10%）；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1.2 工作频率：50Hz±3Hz</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1.3 额定容量：200A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1.4 过载能力：2.5倍（10ms）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1.5 开关频率：16KHz</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1.6 动态响应时间≤300微秒</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1.7 功率损耗：满载时≤额定容量 3%；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1.8 噪音：≤60dB；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1.9 滤波效果：在满负荷工作情况下，电压畸变率≤2%，电流畸变率≤3%； 滤波器应能方便地通过并联实现扩容；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1.10 MTBF(平均无故障时间)≥10 万小时；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1.11 浪涌电压的抗扰能力需符合 IEC 1000-4-5 等级 4 的要求；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 xml:space="preserve">1.12 防护等级：IP54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1.13 冷却方式：水冷</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2．安全技术要求</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2.1 过电流保护</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2.2 超温保护</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2.3 欠电压保护、过电压保护</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3.招标人提出的特别技术要求</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3.1投标厂家必须对招标文件中的技术条款逐条解释并满足工作环境；</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lang w:val="en-US" w:eastAsia="zh-CN"/>
        </w:rPr>
        <w:t>*</w:t>
      </w:r>
      <w:r>
        <w:rPr>
          <w:rFonts w:hint="eastAsia" w:ascii="宋体" w:hAnsi="宋体"/>
          <w:szCs w:val="21"/>
          <w:highlight w:val="none"/>
        </w:rPr>
        <w:t>3.2投标产品必须满足相关的最新国家和行业标准要求，招标技术要求中相关条款指标高于国家行业要求的，按照招标文件要求条款执行；</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3.3上表分项报价合计价格与投标报价设备总价格必须一致；</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3.4未说明事项必须符合国家相关标准；</w:t>
      </w:r>
    </w:p>
    <w:p>
      <w:pPr>
        <w:adjustRightInd w:val="0"/>
        <w:snapToGrid w:val="0"/>
        <w:spacing w:line="360" w:lineRule="auto"/>
        <w:ind w:firstLine="315" w:firstLineChars="150"/>
        <w:rPr>
          <w:rFonts w:asciiTheme="minorEastAsia" w:hAnsiTheme="minorEastAsia" w:eastAsiaTheme="minorEastAsia"/>
          <w:szCs w:val="21"/>
          <w:highlight w:val="none"/>
        </w:rPr>
      </w:pPr>
      <w:r>
        <w:rPr>
          <w:rFonts w:hint="eastAsia" w:cs="宋体" w:asciiTheme="minorEastAsia" w:hAnsiTheme="minorEastAsia" w:eastAsiaTheme="minorEastAsia"/>
          <w:color w:val="333333"/>
          <w:kern w:val="0"/>
          <w:szCs w:val="21"/>
          <w:highlight w:val="none"/>
          <w:shd w:val="clear" w:color="auto" w:fill="FFFFFF"/>
        </w:rPr>
        <w:t>3</w:t>
      </w:r>
      <w:r>
        <w:rPr>
          <w:rFonts w:hint="eastAsia" w:asciiTheme="minorEastAsia" w:hAnsiTheme="minorEastAsia" w:eastAsiaTheme="minorEastAsia"/>
          <w:szCs w:val="21"/>
          <w:highlight w:val="none"/>
        </w:rPr>
        <w:t>.5附详细安装使用说明书；</w:t>
      </w:r>
    </w:p>
    <w:p>
      <w:pPr>
        <w:adjustRightInd w:val="0"/>
        <w:snapToGrid w:val="0"/>
        <w:spacing w:line="360" w:lineRule="auto"/>
        <w:ind w:firstLine="315" w:firstLineChars="15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w:t>
      </w:r>
      <w:r>
        <w:rPr>
          <w:rFonts w:hint="eastAsia" w:asciiTheme="minorEastAsia" w:hAnsiTheme="minorEastAsia" w:eastAsiaTheme="minorEastAsia"/>
          <w:szCs w:val="21"/>
          <w:highlight w:val="none"/>
        </w:rPr>
        <w:t>3.6提供免费技术培训；</w:t>
      </w:r>
    </w:p>
    <w:p>
      <w:pPr>
        <w:adjustRightInd w:val="0"/>
        <w:snapToGrid w:val="0"/>
        <w:spacing w:line="360" w:lineRule="auto"/>
        <w:ind w:firstLine="315" w:firstLineChars="15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w:t>
      </w:r>
      <w:r>
        <w:rPr>
          <w:rFonts w:hint="eastAsia" w:asciiTheme="minorEastAsia" w:hAnsiTheme="minorEastAsia" w:eastAsiaTheme="minorEastAsia"/>
          <w:szCs w:val="21"/>
          <w:highlight w:val="none"/>
        </w:rPr>
        <w:t>3.7</w:t>
      </w:r>
      <w:r>
        <w:rPr>
          <w:rFonts w:hint="eastAsia" w:asciiTheme="minorEastAsia" w:hAnsiTheme="minorEastAsia" w:eastAsiaTheme="minorEastAsia"/>
          <w:kern w:val="0"/>
          <w:szCs w:val="21"/>
          <w:highlight w:val="none"/>
        </w:rPr>
        <w:t>中标供货方供货前应与使用单位联系确认是否满足使用技术要求，确认后方可供货。</w:t>
      </w:r>
    </w:p>
    <w:p>
      <w:pPr>
        <w:adjustRightInd w:val="0"/>
        <w:snapToGrid w:val="0"/>
        <w:spacing w:line="360" w:lineRule="auto"/>
        <w:ind w:left="707" w:leftChars="135" w:hanging="424" w:hangingChars="202"/>
        <w:rPr>
          <w:rFonts w:hint="eastAsia" w:ascii="宋体" w:hAnsi="宋体"/>
          <w:szCs w:val="21"/>
          <w:highlight w:val="none"/>
        </w:rPr>
      </w:pPr>
      <w:bookmarkStart w:id="8" w:name="_GoBack"/>
      <w:bookmarkEnd w:id="8"/>
      <w:r>
        <w:rPr>
          <w:rFonts w:hint="eastAsia" w:ascii="宋体" w:hAnsi="宋体"/>
          <w:szCs w:val="21"/>
          <w:highlight w:val="none"/>
        </w:rPr>
        <w:t>4.标准</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4.1.所供应的货物将按下列标准（推荐）进行设计和制造</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 xml:space="preserve">GB  191-2000       包装储运图示标志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 xml:space="preserve">GB/T 4857.2-1992   包装件基本试验  温湿度调节处理  </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IEC 60947-4-2      存放标准</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电气遵循如下标准：</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4.2.设备的设计与制造要求采用国际公制单位，个别部件采用英制单位应列出清单。</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4.3防爆电气设备应按中国国家防爆标准或其它中国防爆检验部门认可的标准制造。</w:t>
      </w:r>
    </w:p>
    <w:p>
      <w:pPr>
        <w:adjustRightInd w:val="0"/>
        <w:snapToGrid w:val="0"/>
        <w:spacing w:line="360" w:lineRule="auto"/>
        <w:ind w:left="707" w:leftChars="135" w:hanging="424" w:hangingChars="202"/>
        <w:rPr>
          <w:rFonts w:hint="eastAsia" w:ascii="宋体" w:hAnsi="宋体"/>
          <w:szCs w:val="21"/>
          <w:highlight w:val="none"/>
        </w:rPr>
      </w:pPr>
      <w:r>
        <w:rPr>
          <w:rFonts w:hint="eastAsia" w:ascii="宋体" w:hAnsi="宋体"/>
          <w:szCs w:val="21"/>
          <w:highlight w:val="none"/>
        </w:rPr>
        <w:t>上述标准均应为投标截止日时的最新有效版。</w:t>
      </w:r>
    </w:p>
    <w:p>
      <w:pPr>
        <w:adjustRightInd w:val="0"/>
        <w:snapToGrid w:val="0"/>
        <w:spacing w:before="312" w:beforeLines="100" w:after="312" w:afterLines="100" w:line="360" w:lineRule="auto"/>
        <w:jc w:val="left"/>
        <w:rPr>
          <w:rFonts w:ascii="宋体" w:hAnsi="宋体"/>
          <w:b/>
          <w:highlight w:val="none"/>
        </w:rPr>
      </w:pPr>
      <w:r>
        <w:rPr>
          <w:rFonts w:hint="eastAsia" w:ascii="宋体" w:hAnsi="宋体"/>
          <w:b/>
          <w:highlight w:val="none"/>
        </w:rPr>
        <w:t>四. 需投标人提供的技术参数</w:t>
      </w:r>
    </w:p>
    <w:p>
      <w:pPr>
        <w:adjustRightInd w:val="0"/>
        <w:snapToGrid w:val="0"/>
        <w:spacing w:line="360" w:lineRule="auto"/>
        <w:ind w:firstLine="315" w:firstLineChars="150"/>
        <w:rPr>
          <w:rFonts w:hint="eastAsia"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 .技术参数及性能</w:t>
      </w:r>
      <w:bookmarkStart w:id="2" w:name="_Toc357086143"/>
    </w:p>
    <w:p>
      <w:pPr>
        <w:adjustRightInd w:val="0"/>
        <w:snapToGrid w:val="0"/>
        <w:spacing w:line="360" w:lineRule="auto"/>
        <w:ind w:firstLine="315" w:firstLineChars="150"/>
        <w:rPr>
          <w:rFonts w:hint="eastAsia"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1.1 设备名称及型号：</w:t>
      </w:r>
      <w:r>
        <w:rPr>
          <w:rFonts w:hint="eastAsia" w:asciiTheme="minorEastAsia" w:hAnsiTheme="minorEastAsia" w:eastAsiaTheme="minorEastAsia"/>
          <w:kern w:val="0"/>
          <w:szCs w:val="21"/>
          <w:highlight w:val="none"/>
          <w:u w:val="single"/>
          <w:lang w:val="en-US" w:eastAsia="zh-CN"/>
        </w:rPr>
        <w:t xml:space="preserve">                   </w:t>
      </w:r>
      <w:r>
        <w:rPr>
          <w:rFonts w:hint="eastAsia" w:asciiTheme="minorEastAsia" w:hAnsiTheme="minorEastAsia" w:eastAsiaTheme="minorEastAsia"/>
          <w:kern w:val="0"/>
          <w:szCs w:val="21"/>
          <w:highlight w:val="none"/>
          <w:lang w:val="en-US" w:eastAsia="zh-CN"/>
        </w:rPr>
        <w:t>。</w:t>
      </w:r>
    </w:p>
    <w:p>
      <w:pPr>
        <w:adjustRightInd w:val="0"/>
        <w:snapToGrid w:val="0"/>
        <w:spacing w:line="360" w:lineRule="auto"/>
        <w:ind w:firstLine="315" w:firstLineChars="150"/>
        <w:rPr>
          <w:rFonts w:hint="eastAsia"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1.2 输入电源：</w:t>
      </w:r>
      <w:r>
        <w:rPr>
          <w:rFonts w:hint="eastAsia" w:asciiTheme="minorEastAsia" w:hAnsiTheme="minorEastAsia" w:eastAsiaTheme="minorEastAsia"/>
          <w:kern w:val="0"/>
          <w:szCs w:val="21"/>
          <w:highlight w:val="none"/>
          <w:u w:val="single"/>
          <w:lang w:val="en-US" w:eastAsia="zh-CN"/>
        </w:rPr>
        <w:t xml:space="preserve">                         </w:t>
      </w:r>
      <w:r>
        <w:rPr>
          <w:rFonts w:hint="eastAsia" w:asciiTheme="minorEastAsia" w:hAnsiTheme="minorEastAsia" w:eastAsiaTheme="minorEastAsia"/>
          <w:kern w:val="0"/>
          <w:szCs w:val="21"/>
          <w:highlight w:val="none"/>
          <w:lang w:val="en-US" w:eastAsia="zh-CN"/>
        </w:rPr>
        <w:t>。</w:t>
      </w:r>
    </w:p>
    <w:p>
      <w:pPr>
        <w:adjustRightInd w:val="0"/>
        <w:snapToGrid w:val="0"/>
        <w:spacing w:line="360" w:lineRule="auto"/>
        <w:ind w:firstLine="315" w:firstLineChars="150"/>
        <w:rPr>
          <w:rFonts w:hint="eastAsia"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1.3 最高电压测试等级：</w:t>
      </w:r>
      <w:r>
        <w:rPr>
          <w:rFonts w:hint="eastAsia" w:asciiTheme="minorEastAsia" w:hAnsiTheme="minorEastAsia" w:eastAsiaTheme="minorEastAsia"/>
          <w:kern w:val="0"/>
          <w:szCs w:val="21"/>
          <w:highlight w:val="none"/>
          <w:u w:val="single"/>
          <w:lang w:val="en-US" w:eastAsia="zh-CN"/>
        </w:rPr>
        <w:t xml:space="preserve">                 </w:t>
      </w:r>
      <w:r>
        <w:rPr>
          <w:rFonts w:hint="eastAsia" w:asciiTheme="minorEastAsia" w:hAnsiTheme="minorEastAsia" w:eastAsiaTheme="minorEastAsia"/>
          <w:kern w:val="0"/>
          <w:szCs w:val="21"/>
          <w:highlight w:val="none"/>
          <w:lang w:val="en-US" w:eastAsia="zh-CN"/>
        </w:rPr>
        <w:t>。</w:t>
      </w:r>
    </w:p>
    <w:p>
      <w:pPr>
        <w:adjustRightInd w:val="0"/>
        <w:snapToGrid w:val="0"/>
        <w:spacing w:line="360" w:lineRule="auto"/>
        <w:ind w:firstLine="315" w:firstLineChars="150"/>
        <w:rPr>
          <w:rFonts w:hint="eastAsia"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1.4 接线模式：</w:t>
      </w:r>
      <w:r>
        <w:rPr>
          <w:rFonts w:hint="eastAsia" w:asciiTheme="minorEastAsia" w:hAnsiTheme="minorEastAsia" w:eastAsiaTheme="minorEastAsia"/>
          <w:kern w:val="0"/>
          <w:szCs w:val="21"/>
          <w:highlight w:val="none"/>
          <w:u w:val="single"/>
          <w:lang w:val="en-US" w:eastAsia="zh-CN"/>
        </w:rPr>
        <w:t xml:space="preserve">                         </w:t>
      </w:r>
      <w:r>
        <w:rPr>
          <w:rFonts w:hint="eastAsia" w:asciiTheme="minorEastAsia" w:hAnsiTheme="minorEastAsia" w:eastAsiaTheme="minorEastAsia"/>
          <w:kern w:val="0"/>
          <w:szCs w:val="21"/>
          <w:highlight w:val="none"/>
          <w:lang w:val="en-US" w:eastAsia="zh-CN"/>
        </w:rPr>
        <w:t>。</w:t>
      </w:r>
    </w:p>
    <w:p>
      <w:pPr>
        <w:adjustRightInd w:val="0"/>
        <w:snapToGrid w:val="0"/>
        <w:spacing w:line="360" w:lineRule="auto"/>
        <w:ind w:firstLine="315" w:firstLineChars="150"/>
        <w:rPr>
          <w:rFonts w:hint="eastAsia"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1.5 电源接入模式：</w:t>
      </w:r>
      <w:r>
        <w:rPr>
          <w:rFonts w:hint="eastAsia" w:asciiTheme="minorEastAsia" w:hAnsiTheme="minorEastAsia" w:eastAsiaTheme="minorEastAsia"/>
          <w:kern w:val="0"/>
          <w:szCs w:val="21"/>
          <w:highlight w:val="none"/>
          <w:u w:val="single"/>
          <w:lang w:val="en-US" w:eastAsia="zh-CN"/>
        </w:rPr>
        <w:t xml:space="preserve">                     </w:t>
      </w:r>
      <w:r>
        <w:rPr>
          <w:rFonts w:hint="eastAsia" w:asciiTheme="minorEastAsia" w:hAnsiTheme="minorEastAsia" w:eastAsiaTheme="minorEastAsia"/>
          <w:kern w:val="0"/>
          <w:szCs w:val="21"/>
          <w:highlight w:val="none"/>
          <w:lang w:val="en-US" w:eastAsia="zh-CN"/>
        </w:rPr>
        <w:t>。</w:t>
      </w:r>
    </w:p>
    <w:p>
      <w:pPr>
        <w:adjustRightInd w:val="0"/>
        <w:snapToGrid w:val="0"/>
        <w:spacing w:line="360" w:lineRule="auto"/>
        <w:ind w:firstLine="315" w:firstLineChars="150"/>
        <w:rPr>
          <w:rFonts w:hint="eastAsia" w:asciiTheme="minorEastAsia" w:hAnsiTheme="minorEastAsia" w:eastAsiaTheme="minorEastAsia"/>
          <w:kern w:val="0"/>
          <w:szCs w:val="21"/>
          <w:highlight w:val="none"/>
          <w:u w:val="single"/>
          <w:lang w:val="en-US" w:eastAsia="zh-CN"/>
        </w:rPr>
      </w:pPr>
      <w:r>
        <w:rPr>
          <w:rFonts w:hint="eastAsia" w:asciiTheme="minorEastAsia" w:hAnsiTheme="minorEastAsia" w:eastAsiaTheme="minorEastAsia"/>
          <w:kern w:val="0"/>
          <w:szCs w:val="21"/>
          <w:highlight w:val="none"/>
        </w:rPr>
        <w:t>1.6 重量：</w:t>
      </w:r>
      <w:r>
        <w:rPr>
          <w:rFonts w:hint="eastAsia" w:asciiTheme="minorEastAsia" w:hAnsiTheme="minorEastAsia" w:eastAsiaTheme="minorEastAsia"/>
          <w:kern w:val="0"/>
          <w:szCs w:val="21"/>
          <w:highlight w:val="none"/>
          <w:u w:val="single"/>
          <w:lang w:val="en-US" w:eastAsia="zh-CN"/>
        </w:rPr>
        <w:t xml:space="preserve">                             </w:t>
      </w:r>
      <w:r>
        <w:rPr>
          <w:rFonts w:hint="eastAsia" w:asciiTheme="minorEastAsia" w:hAnsiTheme="minorEastAsia" w:eastAsiaTheme="minorEastAsia"/>
          <w:kern w:val="0"/>
          <w:szCs w:val="21"/>
          <w:highlight w:val="none"/>
          <w:lang w:val="en-US" w:eastAsia="zh-CN"/>
        </w:rPr>
        <w:t>。</w:t>
      </w:r>
    </w:p>
    <w:p>
      <w:pPr>
        <w:adjustRightInd w:val="0"/>
        <w:snapToGrid w:val="0"/>
        <w:spacing w:line="360" w:lineRule="auto"/>
        <w:ind w:firstLine="315" w:firstLineChars="150"/>
        <w:rPr>
          <w:rFonts w:hint="eastAsia"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1.7 滤波器冷却方式：</w:t>
      </w:r>
      <w:r>
        <w:rPr>
          <w:rFonts w:hint="eastAsia" w:asciiTheme="minorEastAsia" w:hAnsiTheme="minorEastAsia" w:eastAsiaTheme="minorEastAsia"/>
          <w:kern w:val="0"/>
          <w:szCs w:val="21"/>
          <w:highlight w:val="none"/>
          <w:u w:val="single"/>
          <w:lang w:val="en-US" w:eastAsia="zh-CN"/>
        </w:rPr>
        <w:t xml:space="preserve">                   </w:t>
      </w:r>
      <w:r>
        <w:rPr>
          <w:rFonts w:hint="eastAsia" w:asciiTheme="minorEastAsia" w:hAnsiTheme="minorEastAsia" w:eastAsiaTheme="minorEastAsia"/>
          <w:kern w:val="0"/>
          <w:szCs w:val="21"/>
          <w:highlight w:val="none"/>
          <w:lang w:val="en-US" w:eastAsia="zh-CN"/>
        </w:rPr>
        <w:t>。</w:t>
      </w:r>
    </w:p>
    <w:p>
      <w:pPr>
        <w:adjustRightInd w:val="0"/>
        <w:snapToGrid w:val="0"/>
        <w:spacing w:line="360" w:lineRule="auto"/>
        <w:ind w:firstLine="315" w:firstLineChars="150"/>
        <w:rPr>
          <w:rFonts w:hint="eastAsia"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2.投标人需要特别说明的其他问题</w:t>
      </w:r>
    </w:p>
    <w:p>
      <w:pPr>
        <w:adjustRightInd w:val="0"/>
        <w:snapToGrid w:val="0"/>
        <w:spacing w:line="360" w:lineRule="auto"/>
        <w:rPr>
          <w:rFonts w:ascii="宋体"/>
          <w:szCs w:val="21"/>
          <w:highlight w:val="none"/>
        </w:rPr>
      </w:pPr>
    </w:p>
    <w:p>
      <w:pPr>
        <w:adjustRightInd w:val="0"/>
        <w:snapToGrid w:val="0"/>
        <w:spacing w:line="360" w:lineRule="auto"/>
        <w:rPr>
          <w:rFonts w:ascii="宋体"/>
          <w:szCs w:val="21"/>
          <w:highlight w:val="none"/>
        </w:rPr>
      </w:pPr>
    </w:p>
    <w:p>
      <w:pPr>
        <w:adjustRightInd w:val="0"/>
        <w:snapToGrid w:val="0"/>
        <w:spacing w:line="360" w:lineRule="auto"/>
        <w:rPr>
          <w:rFonts w:ascii="宋体"/>
          <w:szCs w:val="21"/>
          <w:highlight w:val="none"/>
        </w:rPr>
      </w:pPr>
    </w:p>
    <w:p>
      <w:pPr>
        <w:adjustRightInd w:val="0"/>
        <w:snapToGrid w:val="0"/>
        <w:spacing w:line="360" w:lineRule="auto"/>
        <w:jc w:val="center"/>
        <w:rPr>
          <w:rFonts w:ascii="黑体" w:eastAsia="黑体"/>
          <w:b/>
          <w:sz w:val="32"/>
          <w:szCs w:val="32"/>
          <w:highlight w:val="none"/>
        </w:rPr>
      </w:pPr>
    </w:p>
    <w:p>
      <w:pPr>
        <w:adjustRightInd w:val="0"/>
        <w:snapToGrid w:val="0"/>
        <w:spacing w:line="360" w:lineRule="auto"/>
        <w:jc w:val="center"/>
        <w:rPr>
          <w:rFonts w:ascii="黑体" w:eastAsia="黑体"/>
          <w:b/>
          <w:sz w:val="32"/>
          <w:szCs w:val="32"/>
          <w:highlight w:val="none"/>
        </w:rPr>
      </w:pPr>
    </w:p>
    <w:p>
      <w:pPr>
        <w:adjustRightInd w:val="0"/>
        <w:snapToGrid w:val="0"/>
        <w:spacing w:line="360" w:lineRule="auto"/>
        <w:jc w:val="center"/>
        <w:rPr>
          <w:rFonts w:ascii="黑体" w:eastAsia="黑体"/>
          <w:b/>
          <w:sz w:val="32"/>
          <w:szCs w:val="32"/>
          <w:highlight w:val="none"/>
        </w:rPr>
      </w:pPr>
    </w:p>
    <w:p>
      <w:pPr>
        <w:adjustRightInd w:val="0"/>
        <w:snapToGrid w:val="0"/>
        <w:spacing w:line="360" w:lineRule="auto"/>
        <w:jc w:val="center"/>
        <w:rPr>
          <w:rFonts w:ascii="黑体" w:eastAsia="黑体"/>
          <w:b/>
          <w:sz w:val="32"/>
          <w:szCs w:val="32"/>
          <w:highlight w:val="none"/>
        </w:rPr>
      </w:pPr>
    </w:p>
    <w:p>
      <w:pPr>
        <w:adjustRightInd w:val="0"/>
        <w:snapToGrid w:val="0"/>
        <w:spacing w:line="360" w:lineRule="auto"/>
        <w:jc w:val="center"/>
        <w:rPr>
          <w:rFonts w:ascii="黑体" w:eastAsia="黑体"/>
          <w:b/>
          <w:sz w:val="32"/>
          <w:szCs w:val="32"/>
          <w:highlight w:val="none"/>
        </w:rPr>
      </w:pPr>
    </w:p>
    <w:p>
      <w:pPr>
        <w:adjustRightInd w:val="0"/>
        <w:snapToGrid w:val="0"/>
        <w:spacing w:line="360" w:lineRule="auto"/>
        <w:rPr>
          <w:rFonts w:ascii="黑体" w:eastAsia="黑体"/>
          <w:b/>
          <w:sz w:val="32"/>
          <w:szCs w:val="32"/>
          <w:highlight w:val="none"/>
        </w:rPr>
      </w:pPr>
    </w:p>
    <w:p>
      <w:pPr>
        <w:adjustRightInd w:val="0"/>
        <w:snapToGrid w:val="0"/>
        <w:spacing w:line="360" w:lineRule="auto"/>
        <w:jc w:val="center"/>
        <w:rPr>
          <w:rFonts w:ascii="黑体" w:eastAsia="黑体"/>
          <w:b/>
          <w:sz w:val="32"/>
          <w:szCs w:val="32"/>
          <w:highlight w:val="none"/>
        </w:rPr>
      </w:pPr>
      <w:r>
        <w:rPr>
          <w:rFonts w:hint="eastAsia" w:ascii="黑体" w:eastAsia="黑体"/>
          <w:b/>
          <w:sz w:val="32"/>
          <w:szCs w:val="32"/>
          <w:highlight w:val="none"/>
        </w:rPr>
        <w:t>第二节 备件和工具</w:t>
      </w:r>
      <w:bookmarkEnd w:id="2"/>
    </w:p>
    <w:p>
      <w:pPr>
        <w:adjustRightInd w:val="0"/>
        <w:snapToGrid w:val="0"/>
        <w:spacing w:line="360" w:lineRule="auto"/>
        <w:jc w:val="center"/>
        <w:rPr>
          <w:rFonts w:ascii="宋体" w:hAnsi="宋体"/>
          <w:szCs w:val="21"/>
          <w:highlight w:val="none"/>
        </w:rPr>
      </w:pP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1. 所有为设备的安装、试运行、质保期内和质保期后1年必备的备件、消耗品，包括专用工具等，在设备交货时提供。推迟的交货期将按照设备推迟交货计算。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2. 中标方应提供完整备件手册、备件件号、数量、规格型号、价格表的CD盘，随同设备发货。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3. 中标方应保证所有零部件均有唯一编码，如属外购标准件，要求必须按照原厂家编码执行。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4. 中标方还应进一步提供设备上的所需的备件、易耗品及标准件的货源地，包括润滑油脂。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6. 如因为中标人提供1年期备件明细不准确，导致招标人方误采购或按明细提供数量不足以满足生产需求，中标人应免费提供相应的备件。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7. 中标人应保证长期以最优惠的价格供给易损件和备件。如果备件发生设计变更，应将变更信息及时通知招标人。</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8. 中标人备件价格在设备开始使用的3年内必须维持稳定。</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highlight w:val="none"/>
        </w:rPr>
      </w:pPr>
      <w:r>
        <w:rPr>
          <w:rFonts w:hint="eastAsia" w:ascii="宋体" w:hAnsi="宋体"/>
          <w:szCs w:val="21"/>
          <w:highlight w:val="none"/>
        </w:rPr>
        <w:t>11. 5年后在备件停止生产后，如果招标人要求，中标人应免费向买方提供备件的蓝图、图纸和规格。</w:t>
      </w:r>
      <w:r>
        <w:rPr>
          <w:rFonts w:hint="eastAsia" w:ascii="宋体" w:hAnsi="宋体"/>
          <w:szCs w:val="21"/>
          <w:highlight w:val="none"/>
        </w:rPr>
        <w:br w:type="page"/>
      </w:r>
    </w:p>
    <w:p>
      <w:pPr>
        <w:pStyle w:val="17"/>
        <w:spacing w:line="360" w:lineRule="auto"/>
        <w:jc w:val="center"/>
        <w:rPr>
          <w:b/>
          <w:sz w:val="32"/>
          <w:szCs w:val="32"/>
          <w:highlight w:val="none"/>
        </w:rPr>
      </w:pPr>
      <w:bookmarkStart w:id="3" w:name="_Toc357086144"/>
      <w:r>
        <w:rPr>
          <w:rFonts w:hint="eastAsia"/>
          <w:b/>
          <w:sz w:val="32"/>
          <w:szCs w:val="32"/>
          <w:highlight w:val="none"/>
        </w:rPr>
        <w:t>第三节 设备出厂前检验</w:t>
      </w:r>
      <w:bookmarkEnd w:id="3"/>
    </w:p>
    <w:p>
      <w:pPr>
        <w:adjustRightInd w:val="0"/>
        <w:snapToGrid w:val="0"/>
        <w:spacing w:line="360" w:lineRule="auto"/>
        <w:jc w:val="center"/>
        <w:rPr>
          <w:rFonts w:ascii="宋体" w:hAnsi="宋体"/>
          <w:szCs w:val="21"/>
          <w:highlight w:val="none"/>
        </w:rPr>
      </w:pP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ascii="宋体" w:hAnsi="宋体"/>
          <w:szCs w:val="21"/>
          <w:highlight w:val="none"/>
        </w:rPr>
      </w:pPr>
      <w:r>
        <w:rPr>
          <w:rFonts w:hint="eastAsia" w:ascii="宋体" w:hAnsi="宋体"/>
          <w:szCs w:val="21"/>
          <w:highlight w:val="none"/>
        </w:rPr>
        <w:t>3．在中检中质检团成员发现或提出的问题，双方应积极通过友好协商解决。</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4. 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5. 在设备到达招标人现场后组装试运转中如出现问题，原因是中标人没有在出厂前进行设备整体联合试运转，因此推迟的时间将按照推迟交货期来计算。</w:t>
      </w:r>
    </w:p>
    <w:p>
      <w:pPr>
        <w:pStyle w:val="5"/>
        <w:adjustRightInd w:val="0"/>
        <w:snapToGrid w:val="0"/>
        <w:spacing w:line="360" w:lineRule="auto"/>
        <w:rPr>
          <w:rFonts w:ascii="宋体" w:hAnsi="宋体"/>
          <w:szCs w:val="21"/>
          <w:highlight w:val="none"/>
        </w:rPr>
      </w:pPr>
    </w:p>
    <w:p>
      <w:pPr>
        <w:pStyle w:val="17"/>
        <w:spacing w:line="360" w:lineRule="auto"/>
        <w:jc w:val="center"/>
        <w:rPr>
          <w:b/>
          <w:sz w:val="32"/>
          <w:szCs w:val="32"/>
          <w:highlight w:val="none"/>
        </w:rPr>
      </w:pPr>
      <w:r>
        <w:rPr>
          <w:rFonts w:hint="eastAsia" w:ascii="宋体" w:hAnsi="宋体"/>
          <w:szCs w:val="21"/>
          <w:highlight w:val="none"/>
        </w:rPr>
        <w:br w:type="page"/>
      </w:r>
      <w:bookmarkStart w:id="4" w:name="_Toc357086145"/>
      <w:r>
        <w:rPr>
          <w:rFonts w:hint="eastAsia"/>
          <w:b/>
          <w:sz w:val="32"/>
          <w:szCs w:val="32"/>
          <w:highlight w:val="none"/>
        </w:rPr>
        <w:t>第四节 技术服务</w:t>
      </w:r>
      <w:bookmarkEnd w:id="4"/>
    </w:p>
    <w:p>
      <w:pPr>
        <w:adjustRightInd w:val="0"/>
        <w:snapToGrid w:val="0"/>
        <w:spacing w:line="360" w:lineRule="auto"/>
        <w:jc w:val="center"/>
        <w:rPr>
          <w:rFonts w:ascii="宋体" w:hAnsi="宋体"/>
          <w:szCs w:val="21"/>
          <w:highlight w:val="none"/>
        </w:rPr>
      </w:pP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ascii="宋体" w:hAnsi="宋体"/>
          <w:szCs w:val="21"/>
          <w:highlight w:val="none"/>
        </w:rPr>
      </w:pPr>
      <w:r>
        <w:rPr>
          <w:rFonts w:hint="eastAsia" w:ascii="宋体" w:hAnsi="宋体"/>
          <w:szCs w:val="21"/>
          <w:highlight w:val="none"/>
        </w:rPr>
        <w:t>——给招标人安装人员提供完整的技术指导。</w:t>
      </w:r>
    </w:p>
    <w:p>
      <w:pPr>
        <w:adjustRightInd w:val="0"/>
        <w:snapToGrid w:val="0"/>
        <w:spacing w:before="156" w:beforeLines="50" w:line="360" w:lineRule="auto"/>
        <w:ind w:firstLine="525"/>
        <w:rPr>
          <w:rFonts w:ascii="宋体" w:hAnsi="宋体"/>
          <w:szCs w:val="21"/>
          <w:highlight w:val="none"/>
        </w:rPr>
      </w:pPr>
      <w:r>
        <w:rPr>
          <w:rFonts w:hint="eastAsia" w:ascii="宋体" w:hAnsi="宋体"/>
          <w:szCs w:val="21"/>
          <w:highlight w:val="none"/>
        </w:rPr>
        <w:t>——指导招标人人员进行合同设备的试运转，运行测试和性能测试。</w:t>
      </w:r>
    </w:p>
    <w:p>
      <w:pPr>
        <w:adjustRightInd w:val="0"/>
        <w:snapToGrid w:val="0"/>
        <w:spacing w:before="156" w:beforeLines="50" w:line="360" w:lineRule="auto"/>
        <w:ind w:firstLine="525"/>
        <w:rPr>
          <w:rFonts w:ascii="宋体" w:hAnsi="宋体"/>
          <w:szCs w:val="21"/>
          <w:highlight w:val="none"/>
        </w:rPr>
      </w:pPr>
      <w:r>
        <w:rPr>
          <w:rFonts w:hint="eastAsia" w:ascii="宋体" w:hAnsi="宋体"/>
          <w:szCs w:val="21"/>
          <w:highlight w:val="none"/>
        </w:rPr>
        <w:t>——培训招标人人员。</w:t>
      </w:r>
    </w:p>
    <w:p>
      <w:pPr>
        <w:adjustRightInd w:val="0"/>
        <w:snapToGrid w:val="0"/>
        <w:spacing w:before="156" w:beforeLines="50" w:line="360" w:lineRule="auto"/>
        <w:ind w:firstLine="525"/>
        <w:rPr>
          <w:rFonts w:ascii="宋体" w:hAnsi="宋体"/>
          <w:szCs w:val="21"/>
          <w:highlight w:val="none"/>
        </w:rPr>
      </w:pPr>
      <w:r>
        <w:rPr>
          <w:rFonts w:hint="eastAsia" w:ascii="宋体" w:hAnsi="宋体"/>
          <w:szCs w:val="21"/>
          <w:highlight w:val="none"/>
        </w:rPr>
        <w:t>——设备投入使用后提供现场运行技术支持。</w:t>
      </w:r>
    </w:p>
    <w:p>
      <w:pPr>
        <w:adjustRightInd w:val="0"/>
        <w:snapToGrid w:val="0"/>
        <w:spacing w:before="156" w:beforeLines="50" w:line="360" w:lineRule="auto"/>
        <w:ind w:firstLine="525"/>
        <w:rPr>
          <w:rFonts w:ascii="宋体" w:hAnsi="宋体"/>
          <w:szCs w:val="21"/>
          <w:highlight w:val="none"/>
        </w:rPr>
      </w:pPr>
      <w:r>
        <w:rPr>
          <w:rFonts w:hint="eastAsia" w:ascii="宋体" w:hAnsi="宋体"/>
          <w:szCs w:val="21"/>
          <w:highlight w:val="none"/>
        </w:rPr>
        <w:t>——质保期内技术服务。</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3.中标人将提供所有的关于装配与组装所用的专用工具,例如:专用测试仪、测量仪和机械工具。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4.在现场举行由双方参加的会议，对所提供设备进行安装的准备工作进行讨论。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6. 中标人应提供用于招标人自行培训人员需要使用的相关培训资料。</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7"/>
        <w:spacing w:line="360" w:lineRule="auto"/>
        <w:jc w:val="center"/>
        <w:rPr>
          <w:b/>
          <w:sz w:val="32"/>
          <w:szCs w:val="32"/>
          <w:highlight w:val="none"/>
        </w:rPr>
      </w:pPr>
      <w:r>
        <w:rPr>
          <w:rFonts w:hint="eastAsia" w:ascii="宋体" w:hAnsi="宋体"/>
          <w:szCs w:val="21"/>
          <w:highlight w:val="none"/>
        </w:rPr>
        <w:br w:type="page"/>
      </w:r>
      <w:bookmarkStart w:id="5" w:name="_Toc357086146"/>
      <w:r>
        <w:rPr>
          <w:rFonts w:hint="eastAsia"/>
          <w:b/>
          <w:sz w:val="32"/>
          <w:szCs w:val="32"/>
          <w:highlight w:val="none"/>
        </w:rPr>
        <w:t>第五节 安装、检验、调试、试运行及验收</w:t>
      </w:r>
      <w:bookmarkEnd w:id="5"/>
    </w:p>
    <w:p>
      <w:pPr>
        <w:adjustRightInd w:val="0"/>
        <w:snapToGrid w:val="0"/>
        <w:spacing w:line="360" w:lineRule="auto"/>
        <w:jc w:val="center"/>
        <w:rPr>
          <w:rFonts w:ascii="宋体" w:hAnsi="宋体"/>
          <w:szCs w:val="21"/>
          <w:highlight w:val="none"/>
        </w:rPr>
      </w:pPr>
    </w:p>
    <w:p>
      <w:pPr>
        <w:adjustRightInd w:val="0"/>
        <w:snapToGrid w:val="0"/>
        <w:spacing w:before="156" w:beforeLines="50" w:line="360" w:lineRule="auto"/>
        <w:ind w:left="315" w:hanging="315" w:hangingChars="150"/>
        <w:rPr>
          <w:rFonts w:ascii="宋体" w:hAnsi="宋体"/>
          <w:szCs w:val="21"/>
          <w:highlight w:val="none"/>
        </w:rPr>
      </w:pPr>
      <w:r>
        <w:rPr>
          <w:rFonts w:hint="eastAsia" w:ascii="宋体" w:hAnsi="宋体"/>
          <w:szCs w:val="21"/>
          <w:highlight w:val="none"/>
        </w:rPr>
        <w:t>1. 在该附录中：</w:t>
      </w:r>
    </w:p>
    <w:p>
      <w:pPr>
        <w:adjustRightInd w:val="0"/>
        <w:snapToGrid w:val="0"/>
        <w:spacing w:before="156" w:beforeLines="50" w:line="360" w:lineRule="auto"/>
        <w:ind w:left="708" w:leftChars="135" w:hanging="425"/>
        <w:rPr>
          <w:rFonts w:ascii="宋体" w:hAnsi="宋体"/>
          <w:szCs w:val="21"/>
          <w:highlight w:val="none"/>
        </w:rPr>
      </w:pPr>
      <w:r>
        <w:rPr>
          <w:rFonts w:hint="eastAsia" w:ascii="宋体" w:hAnsi="宋体"/>
          <w:szCs w:val="21"/>
          <w:highlight w:val="none"/>
        </w:rPr>
        <w:t>安装：意为招标人安装人员在中标人的服务工程人员的监督与指导下，将整套设备或一个系统安装起来。</w:t>
      </w:r>
    </w:p>
    <w:p>
      <w:pPr>
        <w:adjustRightInd w:val="0"/>
        <w:snapToGrid w:val="0"/>
        <w:spacing w:before="156" w:beforeLines="50" w:line="360" w:lineRule="auto"/>
        <w:ind w:left="708" w:leftChars="135" w:hanging="425"/>
        <w:rPr>
          <w:rFonts w:ascii="宋体" w:hAnsi="宋体"/>
          <w:szCs w:val="21"/>
          <w:highlight w:val="none"/>
        </w:rPr>
      </w:pPr>
      <w:r>
        <w:rPr>
          <w:rFonts w:hint="eastAsia" w:ascii="宋体" w:hAnsi="宋体"/>
          <w:szCs w:val="21"/>
          <w:highlight w:val="none"/>
        </w:rPr>
        <w:t>试运转：即为在空载条件下测试该设备。</w:t>
      </w:r>
    </w:p>
    <w:p>
      <w:pPr>
        <w:adjustRightInd w:val="0"/>
        <w:snapToGrid w:val="0"/>
        <w:spacing w:before="156" w:beforeLines="50" w:line="360" w:lineRule="auto"/>
        <w:ind w:left="708" w:leftChars="135" w:hanging="425"/>
        <w:rPr>
          <w:rFonts w:ascii="宋体" w:hAnsi="宋体"/>
          <w:szCs w:val="21"/>
          <w:highlight w:val="none"/>
        </w:rPr>
      </w:pPr>
      <w:r>
        <w:rPr>
          <w:rFonts w:hint="eastAsia" w:ascii="宋体" w:hAnsi="宋体"/>
          <w:szCs w:val="21"/>
          <w:highlight w:val="none"/>
        </w:rPr>
        <w:t xml:space="preserve">性能调试：即在它们的额定负载下测试设备，检查其是否能达到合同规定的所有技术性能。 </w:t>
      </w:r>
    </w:p>
    <w:p>
      <w:pPr>
        <w:adjustRightInd w:val="0"/>
        <w:snapToGrid w:val="0"/>
        <w:spacing w:before="156" w:beforeLines="50" w:line="360" w:lineRule="auto"/>
        <w:ind w:left="708" w:leftChars="135" w:hanging="425"/>
        <w:rPr>
          <w:rFonts w:ascii="宋体" w:hAnsi="宋体"/>
          <w:szCs w:val="21"/>
          <w:highlight w:val="none"/>
        </w:rPr>
      </w:pPr>
      <w:r>
        <w:rPr>
          <w:rFonts w:hint="eastAsia" w:ascii="宋体" w:hAnsi="宋体"/>
          <w:szCs w:val="21"/>
          <w:highlight w:val="none"/>
        </w:rPr>
        <w:t>试运行：即为设备按照合同要求性能投入运转。</w:t>
      </w:r>
    </w:p>
    <w:p>
      <w:pPr>
        <w:adjustRightInd w:val="0"/>
        <w:snapToGrid w:val="0"/>
        <w:spacing w:before="156" w:beforeLines="50" w:line="360" w:lineRule="auto"/>
        <w:ind w:left="708" w:leftChars="135" w:hanging="425"/>
        <w:rPr>
          <w:rFonts w:ascii="宋体" w:hAnsi="宋体"/>
          <w:szCs w:val="21"/>
          <w:highlight w:val="none"/>
        </w:rPr>
      </w:pPr>
      <w:r>
        <w:rPr>
          <w:rFonts w:hint="eastAsia" w:ascii="宋体" w:hAnsi="宋体"/>
          <w:szCs w:val="21"/>
          <w:highlight w:val="none"/>
        </w:rPr>
        <w:t>验收：即为该设备达到合同规定的试运转、性能调试和试运行技术要求后招标人正式接收。</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2. 设备到货应随机提供出厂验收报告。</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rPr>
          <w:rFonts w:ascii="宋体" w:hAnsi="宋体"/>
          <w:szCs w:val="21"/>
          <w:highlight w:val="none"/>
        </w:rPr>
      </w:pPr>
    </w:p>
    <w:p>
      <w:pPr>
        <w:pStyle w:val="17"/>
        <w:spacing w:line="360" w:lineRule="auto"/>
        <w:jc w:val="center"/>
        <w:rPr>
          <w:b/>
          <w:sz w:val="32"/>
          <w:szCs w:val="32"/>
          <w:highlight w:val="none"/>
        </w:rPr>
      </w:pPr>
      <w:r>
        <w:rPr>
          <w:rFonts w:hint="eastAsia" w:ascii="宋体" w:hAnsi="宋体"/>
          <w:szCs w:val="21"/>
          <w:highlight w:val="none"/>
        </w:rPr>
        <w:br w:type="page"/>
      </w:r>
      <w:bookmarkStart w:id="6" w:name="_Toc357086147"/>
      <w:r>
        <w:rPr>
          <w:rFonts w:hint="eastAsia"/>
          <w:b/>
          <w:sz w:val="32"/>
          <w:szCs w:val="32"/>
          <w:highlight w:val="none"/>
        </w:rPr>
        <w:t>第六节 质量保证</w:t>
      </w:r>
      <w:bookmarkEnd w:id="6"/>
    </w:p>
    <w:p>
      <w:pPr>
        <w:adjustRightInd w:val="0"/>
        <w:snapToGrid w:val="0"/>
        <w:spacing w:line="360" w:lineRule="auto"/>
        <w:jc w:val="center"/>
        <w:rPr>
          <w:rFonts w:ascii="宋体" w:hAnsi="宋体"/>
          <w:szCs w:val="21"/>
          <w:highlight w:val="none"/>
        </w:rPr>
      </w:pP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1. 质保期应为设备投入运行后1年或到货验收合格后18个月，以先到为准。对由于设计或质量问题而引起的设备故障，中标方应进一步对此负责。专用合同条款对质保有特殊规定的从其规定。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2. 中标方应有质保期内的维修服务承诺，无偿更换零配件、部件承诺。</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3. 中标方应有对设备大修周期、使用寿命及各主要部件的寿命承诺。</w:t>
      </w:r>
    </w:p>
    <w:p>
      <w:pPr>
        <w:pStyle w:val="22"/>
        <w:adjustRightInd w:val="0"/>
        <w:snapToGrid w:val="0"/>
        <w:spacing w:line="360" w:lineRule="auto"/>
        <w:ind w:left="426" w:leftChars="202" w:hanging="2" w:firstLineChars="0"/>
        <w:rPr>
          <w:rFonts w:ascii="宋体" w:hAnsi="宋体"/>
          <w:szCs w:val="21"/>
          <w:highlight w:val="none"/>
        </w:rPr>
      </w:pPr>
    </w:p>
    <w:p>
      <w:pPr>
        <w:adjustRightInd w:val="0"/>
        <w:snapToGrid w:val="0"/>
        <w:spacing w:line="360" w:lineRule="auto"/>
        <w:rPr>
          <w:rFonts w:ascii="宋体" w:hAnsi="宋体"/>
          <w:szCs w:val="21"/>
          <w:highlight w:val="none"/>
        </w:rPr>
      </w:pPr>
    </w:p>
    <w:p>
      <w:pPr>
        <w:pStyle w:val="17"/>
        <w:spacing w:line="360" w:lineRule="auto"/>
        <w:jc w:val="center"/>
        <w:rPr>
          <w:b/>
          <w:sz w:val="32"/>
          <w:szCs w:val="32"/>
          <w:highlight w:val="none"/>
        </w:rPr>
      </w:pPr>
      <w:r>
        <w:rPr>
          <w:rFonts w:hint="eastAsia" w:ascii="宋体" w:hAnsi="宋体"/>
          <w:szCs w:val="21"/>
          <w:highlight w:val="none"/>
        </w:rPr>
        <w:br w:type="page"/>
      </w:r>
      <w:bookmarkStart w:id="7" w:name="_Toc357086148"/>
      <w:r>
        <w:rPr>
          <w:rFonts w:hint="eastAsia"/>
          <w:b/>
          <w:sz w:val="32"/>
          <w:szCs w:val="32"/>
          <w:highlight w:val="none"/>
        </w:rPr>
        <w:t>第七节 技术资料和图纸</w:t>
      </w:r>
      <w:bookmarkEnd w:id="7"/>
    </w:p>
    <w:p>
      <w:pPr>
        <w:adjustRightInd w:val="0"/>
        <w:snapToGrid w:val="0"/>
        <w:spacing w:before="156" w:beforeLines="50" w:line="360" w:lineRule="auto"/>
        <w:ind w:left="283" w:hanging="283" w:hangingChars="135"/>
        <w:rPr>
          <w:rFonts w:ascii="宋体" w:hAnsi="宋体"/>
          <w:szCs w:val="21"/>
          <w:highlight w:val="none"/>
        </w:rPr>
      </w:pP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2. 中标人按规定给招标人每台（套）设备提供</w:t>
      </w:r>
      <w:r>
        <w:rPr>
          <w:rFonts w:hint="eastAsia" w:ascii="宋体" w:hAnsi="宋体"/>
          <w:szCs w:val="21"/>
          <w:highlight w:val="none"/>
          <w:u w:val="single"/>
        </w:rPr>
        <w:t xml:space="preserve">  6</w:t>
      </w:r>
      <w:r>
        <w:rPr>
          <w:rFonts w:hint="eastAsia" w:ascii="宋体" w:hAnsi="宋体"/>
          <w:szCs w:val="21"/>
          <w:highlight w:val="none"/>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6. 中标人要提供下列相关的技术资料及图纸：</w:t>
      </w:r>
    </w:p>
    <w:p>
      <w:pPr>
        <w:adjustRightInd w:val="0"/>
        <w:snapToGrid w:val="0"/>
        <w:spacing w:before="156" w:beforeLines="50" w:line="360" w:lineRule="auto"/>
        <w:ind w:left="281" w:leftChars="134" w:firstLine="424" w:firstLineChars="202"/>
        <w:rPr>
          <w:rFonts w:ascii="宋体" w:hAnsi="宋体"/>
          <w:szCs w:val="21"/>
          <w:highlight w:val="none"/>
        </w:rPr>
      </w:pPr>
      <w:r>
        <w:rPr>
          <w:rFonts w:hint="eastAsia" w:ascii="宋体" w:hAnsi="宋体"/>
          <w:szCs w:val="21"/>
          <w:highlight w:val="none"/>
        </w:rPr>
        <w:t>总图及安装图</w:t>
      </w:r>
    </w:p>
    <w:p>
      <w:pPr>
        <w:adjustRightInd w:val="0"/>
        <w:snapToGrid w:val="0"/>
        <w:spacing w:before="156" w:beforeLines="50" w:line="360" w:lineRule="auto"/>
        <w:ind w:left="281" w:leftChars="134" w:firstLine="424" w:firstLineChars="202"/>
        <w:rPr>
          <w:rFonts w:ascii="宋体" w:hAnsi="宋体"/>
          <w:szCs w:val="21"/>
          <w:highlight w:val="none"/>
        </w:rPr>
      </w:pPr>
      <w:r>
        <w:rPr>
          <w:rFonts w:hint="eastAsia" w:ascii="宋体" w:hAnsi="宋体"/>
          <w:szCs w:val="21"/>
          <w:highlight w:val="none"/>
        </w:rPr>
        <w:t>制造标准</w:t>
      </w:r>
    </w:p>
    <w:p>
      <w:pPr>
        <w:adjustRightInd w:val="0"/>
        <w:snapToGrid w:val="0"/>
        <w:spacing w:before="156" w:beforeLines="50" w:line="360" w:lineRule="auto"/>
        <w:ind w:left="281" w:leftChars="134" w:firstLine="424" w:firstLineChars="202"/>
        <w:rPr>
          <w:rFonts w:ascii="宋体" w:hAnsi="宋体"/>
          <w:szCs w:val="21"/>
          <w:highlight w:val="none"/>
        </w:rPr>
      </w:pPr>
      <w:r>
        <w:rPr>
          <w:rFonts w:hint="eastAsia" w:ascii="宋体" w:hAnsi="宋体"/>
          <w:szCs w:val="21"/>
          <w:highlight w:val="none"/>
        </w:rPr>
        <w:t>完整的技术特征及说明书</w:t>
      </w:r>
    </w:p>
    <w:p>
      <w:pPr>
        <w:adjustRightInd w:val="0"/>
        <w:snapToGrid w:val="0"/>
        <w:spacing w:before="156" w:beforeLines="50" w:line="360" w:lineRule="auto"/>
        <w:ind w:left="281" w:leftChars="134" w:firstLine="424" w:firstLineChars="202"/>
        <w:rPr>
          <w:rFonts w:ascii="宋体" w:hAnsi="宋体"/>
          <w:szCs w:val="21"/>
          <w:highlight w:val="none"/>
        </w:rPr>
      </w:pPr>
      <w:r>
        <w:rPr>
          <w:rFonts w:hint="eastAsia" w:ascii="宋体" w:hAnsi="宋体"/>
          <w:szCs w:val="21"/>
          <w:highlight w:val="none"/>
        </w:rPr>
        <w:t>全部机电图纸、材料清册、所有设备、元件、部件型号、规格、特性曲线、产品检验合格证及出厂日期。</w:t>
      </w:r>
    </w:p>
    <w:p>
      <w:pPr>
        <w:adjustRightInd w:val="0"/>
        <w:snapToGrid w:val="0"/>
        <w:spacing w:before="156" w:beforeLines="50" w:line="360" w:lineRule="auto"/>
        <w:ind w:left="283" w:hanging="283" w:hangingChars="135"/>
        <w:rPr>
          <w:rFonts w:ascii="宋体" w:hAnsi="宋体"/>
          <w:szCs w:val="21"/>
          <w:highlight w:val="none"/>
        </w:rPr>
      </w:pPr>
      <w:r>
        <w:rPr>
          <w:rFonts w:hint="eastAsia" w:ascii="宋体" w:hAnsi="宋体"/>
          <w:szCs w:val="21"/>
          <w:highlight w:val="none"/>
        </w:rPr>
        <w:t>7. 技术资料与设备同属合同供货范围，如不能按照上述条款交货，将按照推迟合同交货期执行。</w:t>
      </w:r>
    </w:p>
    <w:p>
      <w:pPr>
        <w:spacing w:line="360" w:lineRule="auto"/>
        <w:rPr>
          <w:highlight w:val="none"/>
        </w:rPr>
      </w:pPr>
    </w:p>
    <w:p>
      <w:pPr>
        <w:adjustRightInd w:val="0"/>
        <w:snapToGrid w:val="0"/>
        <w:spacing w:line="360" w:lineRule="auto"/>
        <w:rPr>
          <w:rFonts w:ascii="宋体"/>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08BD"/>
    <w:rsid w:val="00003561"/>
    <w:rsid w:val="00015381"/>
    <w:rsid w:val="00017558"/>
    <w:rsid w:val="000322FA"/>
    <w:rsid w:val="00034491"/>
    <w:rsid w:val="000349FF"/>
    <w:rsid w:val="00040FAA"/>
    <w:rsid w:val="00044F87"/>
    <w:rsid w:val="00046393"/>
    <w:rsid w:val="00061424"/>
    <w:rsid w:val="00062A06"/>
    <w:rsid w:val="00064DE7"/>
    <w:rsid w:val="0006623F"/>
    <w:rsid w:val="00067925"/>
    <w:rsid w:val="00067EA9"/>
    <w:rsid w:val="000703E0"/>
    <w:rsid w:val="00074BAA"/>
    <w:rsid w:val="0007775E"/>
    <w:rsid w:val="000800FB"/>
    <w:rsid w:val="0008777B"/>
    <w:rsid w:val="000902B9"/>
    <w:rsid w:val="000A4833"/>
    <w:rsid w:val="000A5E3D"/>
    <w:rsid w:val="000B1255"/>
    <w:rsid w:val="000B4A8F"/>
    <w:rsid w:val="000B62E5"/>
    <w:rsid w:val="000B6717"/>
    <w:rsid w:val="000C002E"/>
    <w:rsid w:val="000C40CF"/>
    <w:rsid w:val="000C57D7"/>
    <w:rsid w:val="000C76D9"/>
    <w:rsid w:val="000D5B51"/>
    <w:rsid w:val="000F7B2D"/>
    <w:rsid w:val="00112BE3"/>
    <w:rsid w:val="00123D7E"/>
    <w:rsid w:val="00125592"/>
    <w:rsid w:val="0013431F"/>
    <w:rsid w:val="001347C4"/>
    <w:rsid w:val="001348B1"/>
    <w:rsid w:val="00135037"/>
    <w:rsid w:val="00136434"/>
    <w:rsid w:val="00142A90"/>
    <w:rsid w:val="00142DC8"/>
    <w:rsid w:val="00144216"/>
    <w:rsid w:val="00146F85"/>
    <w:rsid w:val="00152AAB"/>
    <w:rsid w:val="00155A24"/>
    <w:rsid w:val="001568B7"/>
    <w:rsid w:val="001608A6"/>
    <w:rsid w:val="00162CD6"/>
    <w:rsid w:val="00162F3A"/>
    <w:rsid w:val="00164310"/>
    <w:rsid w:val="00165E41"/>
    <w:rsid w:val="00166787"/>
    <w:rsid w:val="00166DB3"/>
    <w:rsid w:val="0017236C"/>
    <w:rsid w:val="00173B13"/>
    <w:rsid w:val="00175505"/>
    <w:rsid w:val="00185B96"/>
    <w:rsid w:val="001871FA"/>
    <w:rsid w:val="001B4549"/>
    <w:rsid w:val="001C0CCD"/>
    <w:rsid w:val="001C2837"/>
    <w:rsid w:val="001C2A35"/>
    <w:rsid w:val="001C672E"/>
    <w:rsid w:val="001C6913"/>
    <w:rsid w:val="001D21E5"/>
    <w:rsid w:val="001E3BA9"/>
    <w:rsid w:val="001E4198"/>
    <w:rsid w:val="001E5125"/>
    <w:rsid w:val="001F064B"/>
    <w:rsid w:val="001F0C6A"/>
    <w:rsid w:val="00202796"/>
    <w:rsid w:val="00205A97"/>
    <w:rsid w:val="00207DB2"/>
    <w:rsid w:val="0021128B"/>
    <w:rsid w:val="00213B0F"/>
    <w:rsid w:val="002258A4"/>
    <w:rsid w:val="00230C49"/>
    <w:rsid w:val="00232AED"/>
    <w:rsid w:val="0023500D"/>
    <w:rsid w:val="00237F7D"/>
    <w:rsid w:val="00241B6D"/>
    <w:rsid w:val="0024361C"/>
    <w:rsid w:val="00247066"/>
    <w:rsid w:val="0025036B"/>
    <w:rsid w:val="002523E5"/>
    <w:rsid w:val="00253ABF"/>
    <w:rsid w:val="00254199"/>
    <w:rsid w:val="002633A5"/>
    <w:rsid w:val="002719FD"/>
    <w:rsid w:val="00292D0F"/>
    <w:rsid w:val="002965E4"/>
    <w:rsid w:val="002A0807"/>
    <w:rsid w:val="002A16FF"/>
    <w:rsid w:val="002A5858"/>
    <w:rsid w:val="002A7F1E"/>
    <w:rsid w:val="002B48A0"/>
    <w:rsid w:val="002B69ED"/>
    <w:rsid w:val="002B76E9"/>
    <w:rsid w:val="002C2B1B"/>
    <w:rsid w:val="002C5EA1"/>
    <w:rsid w:val="002D1ED2"/>
    <w:rsid w:val="002D5BFD"/>
    <w:rsid w:val="002D6E9B"/>
    <w:rsid w:val="002D74CA"/>
    <w:rsid w:val="002E12FE"/>
    <w:rsid w:val="002E17F4"/>
    <w:rsid w:val="002E4385"/>
    <w:rsid w:val="002E7FB0"/>
    <w:rsid w:val="002F3A92"/>
    <w:rsid w:val="00301287"/>
    <w:rsid w:val="0030189A"/>
    <w:rsid w:val="0030306D"/>
    <w:rsid w:val="00303583"/>
    <w:rsid w:val="003074F2"/>
    <w:rsid w:val="003133E1"/>
    <w:rsid w:val="00315A14"/>
    <w:rsid w:val="0031610C"/>
    <w:rsid w:val="00316507"/>
    <w:rsid w:val="00323D36"/>
    <w:rsid w:val="00324547"/>
    <w:rsid w:val="00324615"/>
    <w:rsid w:val="00324AED"/>
    <w:rsid w:val="003273C9"/>
    <w:rsid w:val="003370AA"/>
    <w:rsid w:val="003417A1"/>
    <w:rsid w:val="00343D04"/>
    <w:rsid w:val="003538D6"/>
    <w:rsid w:val="003557F0"/>
    <w:rsid w:val="00355943"/>
    <w:rsid w:val="0035699D"/>
    <w:rsid w:val="0036001B"/>
    <w:rsid w:val="00362159"/>
    <w:rsid w:val="003708D1"/>
    <w:rsid w:val="00372021"/>
    <w:rsid w:val="003771F8"/>
    <w:rsid w:val="00386656"/>
    <w:rsid w:val="00386FDD"/>
    <w:rsid w:val="00392A05"/>
    <w:rsid w:val="00394D70"/>
    <w:rsid w:val="003966EF"/>
    <w:rsid w:val="0039692C"/>
    <w:rsid w:val="00396C9B"/>
    <w:rsid w:val="003A0698"/>
    <w:rsid w:val="003A1E96"/>
    <w:rsid w:val="003A1EE3"/>
    <w:rsid w:val="003A3B82"/>
    <w:rsid w:val="003A43AD"/>
    <w:rsid w:val="003A63B2"/>
    <w:rsid w:val="003B15E5"/>
    <w:rsid w:val="003B179E"/>
    <w:rsid w:val="003B24BC"/>
    <w:rsid w:val="003B289D"/>
    <w:rsid w:val="003B3894"/>
    <w:rsid w:val="003B3F9D"/>
    <w:rsid w:val="003B7A20"/>
    <w:rsid w:val="003C068F"/>
    <w:rsid w:val="003C217E"/>
    <w:rsid w:val="003C4DF8"/>
    <w:rsid w:val="003C6838"/>
    <w:rsid w:val="003D0832"/>
    <w:rsid w:val="003D412F"/>
    <w:rsid w:val="003D621C"/>
    <w:rsid w:val="003D6ACF"/>
    <w:rsid w:val="003E3055"/>
    <w:rsid w:val="003F38A7"/>
    <w:rsid w:val="003F5C1C"/>
    <w:rsid w:val="003F5CB1"/>
    <w:rsid w:val="003F6FB8"/>
    <w:rsid w:val="003F7ED3"/>
    <w:rsid w:val="004021E7"/>
    <w:rsid w:val="00402D8B"/>
    <w:rsid w:val="00403611"/>
    <w:rsid w:val="00405B14"/>
    <w:rsid w:val="00407E6D"/>
    <w:rsid w:val="0041032D"/>
    <w:rsid w:val="00413602"/>
    <w:rsid w:val="004138B1"/>
    <w:rsid w:val="00413EB2"/>
    <w:rsid w:val="00415933"/>
    <w:rsid w:val="004171CC"/>
    <w:rsid w:val="00417EFD"/>
    <w:rsid w:val="00422342"/>
    <w:rsid w:val="00424C95"/>
    <w:rsid w:val="004253F7"/>
    <w:rsid w:val="00433399"/>
    <w:rsid w:val="00442255"/>
    <w:rsid w:val="00442891"/>
    <w:rsid w:val="00442BEA"/>
    <w:rsid w:val="004463A3"/>
    <w:rsid w:val="004513B1"/>
    <w:rsid w:val="00452F8C"/>
    <w:rsid w:val="00454785"/>
    <w:rsid w:val="0045739B"/>
    <w:rsid w:val="00462545"/>
    <w:rsid w:val="0046284D"/>
    <w:rsid w:val="00463CA2"/>
    <w:rsid w:val="00470330"/>
    <w:rsid w:val="0048136E"/>
    <w:rsid w:val="00481D87"/>
    <w:rsid w:val="00491DB1"/>
    <w:rsid w:val="004924BC"/>
    <w:rsid w:val="00495137"/>
    <w:rsid w:val="004954E0"/>
    <w:rsid w:val="004A1B0A"/>
    <w:rsid w:val="004A5487"/>
    <w:rsid w:val="004A5EE3"/>
    <w:rsid w:val="004B44EE"/>
    <w:rsid w:val="004C03A5"/>
    <w:rsid w:val="004C053B"/>
    <w:rsid w:val="004C27B9"/>
    <w:rsid w:val="004C5292"/>
    <w:rsid w:val="004C69F2"/>
    <w:rsid w:val="004E0346"/>
    <w:rsid w:val="004E0440"/>
    <w:rsid w:val="004E243E"/>
    <w:rsid w:val="004E674D"/>
    <w:rsid w:val="004E6ACA"/>
    <w:rsid w:val="004F5A6B"/>
    <w:rsid w:val="004F5D0C"/>
    <w:rsid w:val="00501850"/>
    <w:rsid w:val="00502BE3"/>
    <w:rsid w:val="005054C3"/>
    <w:rsid w:val="0050670E"/>
    <w:rsid w:val="00511CC4"/>
    <w:rsid w:val="00513005"/>
    <w:rsid w:val="005210D7"/>
    <w:rsid w:val="005210E1"/>
    <w:rsid w:val="00522FE4"/>
    <w:rsid w:val="00524A09"/>
    <w:rsid w:val="00525912"/>
    <w:rsid w:val="00527473"/>
    <w:rsid w:val="005307FF"/>
    <w:rsid w:val="00533522"/>
    <w:rsid w:val="0053551B"/>
    <w:rsid w:val="005357F0"/>
    <w:rsid w:val="005364EF"/>
    <w:rsid w:val="00541017"/>
    <w:rsid w:val="005453E5"/>
    <w:rsid w:val="00551098"/>
    <w:rsid w:val="005517C0"/>
    <w:rsid w:val="00554483"/>
    <w:rsid w:val="0055750B"/>
    <w:rsid w:val="0056134F"/>
    <w:rsid w:val="00564646"/>
    <w:rsid w:val="00566816"/>
    <w:rsid w:val="00567296"/>
    <w:rsid w:val="00567451"/>
    <w:rsid w:val="0057142F"/>
    <w:rsid w:val="00571CB6"/>
    <w:rsid w:val="00572059"/>
    <w:rsid w:val="00572160"/>
    <w:rsid w:val="00575AB9"/>
    <w:rsid w:val="0057640A"/>
    <w:rsid w:val="00582E38"/>
    <w:rsid w:val="0059135A"/>
    <w:rsid w:val="00595E43"/>
    <w:rsid w:val="00596F47"/>
    <w:rsid w:val="005A6A5C"/>
    <w:rsid w:val="005A7C65"/>
    <w:rsid w:val="005B48EE"/>
    <w:rsid w:val="005B7C05"/>
    <w:rsid w:val="005C0517"/>
    <w:rsid w:val="005C08C2"/>
    <w:rsid w:val="005C1073"/>
    <w:rsid w:val="005C2A3F"/>
    <w:rsid w:val="005C2EC1"/>
    <w:rsid w:val="005C5C73"/>
    <w:rsid w:val="005C5DAF"/>
    <w:rsid w:val="005D117A"/>
    <w:rsid w:val="005E1806"/>
    <w:rsid w:val="005E2488"/>
    <w:rsid w:val="005E2C8D"/>
    <w:rsid w:val="005E649F"/>
    <w:rsid w:val="005F09BE"/>
    <w:rsid w:val="005F2E79"/>
    <w:rsid w:val="005F6044"/>
    <w:rsid w:val="005F6C66"/>
    <w:rsid w:val="00604F0E"/>
    <w:rsid w:val="006058F0"/>
    <w:rsid w:val="00607817"/>
    <w:rsid w:val="006118E4"/>
    <w:rsid w:val="00613F70"/>
    <w:rsid w:val="00616668"/>
    <w:rsid w:val="00622404"/>
    <w:rsid w:val="00625CCC"/>
    <w:rsid w:val="00625E0B"/>
    <w:rsid w:val="006363EA"/>
    <w:rsid w:val="00636EF4"/>
    <w:rsid w:val="00640D26"/>
    <w:rsid w:val="00644597"/>
    <w:rsid w:val="00644CBA"/>
    <w:rsid w:val="0064539F"/>
    <w:rsid w:val="00651575"/>
    <w:rsid w:val="00651EC4"/>
    <w:rsid w:val="00654EEC"/>
    <w:rsid w:val="00655383"/>
    <w:rsid w:val="0066389A"/>
    <w:rsid w:val="00670198"/>
    <w:rsid w:val="00674855"/>
    <w:rsid w:val="00676C75"/>
    <w:rsid w:val="0068763C"/>
    <w:rsid w:val="00687899"/>
    <w:rsid w:val="00690E0F"/>
    <w:rsid w:val="00695B06"/>
    <w:rsid w:val="00696BF4"/>
    <w:rsid w:val="006971D5"/>
    <w:rsid w:val="00697EBC"/>
    <w:rsid w:val="006A7222"/>
    <w:rsid w:val="006A7E22"/>
    <w:rsid w:val="006B0665"/>
    <w:rsid w:val="006B18AC"/>
    <w:rsid w:val="006B3D97"/>
    <w:rsid w:val="006B405C"/>
    <w:rsid w:val="006C12ED"/>
    <w:rsid w:val="006C17B0"/>
    <w:rsid w:val="006C2B88"/>
    <w:rsid w:val="006C3017"/>
    <w:rsid w:val="006C3ED5"/>
    <w:rsid w:val="006C4FDA"/>
    <w:rsid w:val="006D365C"/>
    <w:rsid w:val="006E280F"/>
    <w:rsid w:val="006E52DC"/>
    <w:rsid w:val="006E602B"/>
    <w:rsid w:val="006E6459"/>
    <w:rsid w:val="006E7D29"/>
    <w:rsid w:val="006F7261"/>
    <w:rsid w:val="00702734"/>
    <w:rsid w:val="00715F5A"/>
    <w:rsid w:val="0072386D"/>
    <w:rsid w:val="0072646E"/>
    <w:rsid w:val="00731428"/>
    <w:rsid w:val="0073246F"/>
    <w:rsid w:val="00734DF3"/>
    <w:rsid w:val="007404F7"/>
    <w:rsid w:val="00741623"/>
    <w:rsid w:val="0074278F"/>
    <w:rsid w:val="007449D4"/>
    <w:rsid w:val="00756123"/>
    <w:rsid w:val="00756C31"/>
    <w:rsid w:val="00772C46"/>
    <w:rsid w:val="00781753"/>
    <w:rsid w:val="007820F6"/>
    <w:rsid w:val="00782F74"/>
    <w:rsid w:val="00786D4D"/>
    <w:rsid w:val="00790A71"/>
    <w:rsid w:val="00790AB3"/>
    <w:rsid w:val="00796B6E"/>
    <w:rsid w:val="007A1F73"/>
    <w:rsid w:val="007A37E8"/>
    <w:rsid w:val="007A5778"/>
    <w:rsid w:val="007B103C"/>
    <w:rsid w:val="007D0547"/>
    <w:rsid w:val="007D73CA"/>
    <w:rsid w:val="007E3E97"/>
    <w:rsid w:val="007E5875"/>
    <w:rsid w:val="007E643A"/>
    <w:rsid w:val="007F1341"/>
    <w:rsid w:val="007F1C6E"/>
    <w:rsid w:val="007F31FA"/>
    <w:rsid w:val="007F3C1D"/>
    <w:rsid w:val="0080304C"/>
    <w:rsid w:val="0080693E"/>
    <w:rsid w:val="00806AF2"/>
    <w:rsid w:val="00807102"/>
    <w:rsid w:val="008156D9"/>
    <w:rsid w:val="00826020"/>
    <w:rsid w:val="008262B2"/>
    <w:rsid w:val="00826F56"/>
    <w:rsid w:val="00827CF7"/>
    <w:rsid w:val="0083250C"/>
    <w:rsid w:val="00836E5C"/>
    <w:rsid w:val="008378ED"/>
    <w:rsid w:val="00843418"/>
    <w:rsid w:val="00844489"/>
    <w:rsid w:val="00845825"/>
    <w:rsid w:val="008501D8"/>
    <w:rsid w:val="00853966"/>
    <w:rsid w:val="00856BF9"/>
    <w:rsid w:val="0086446F"/>
    <w:rsid w:val="008665E6"/>
    <w:rsid w:val="00867CB3"/>
    <w:rsid w:val="00870D93"/>
    <w:rsid w:val="00871F31"/>
    <w:rsid w:val="00881676"/>
    <w:rsid w:val="00882500"/>
    <w:rsid w:val="00883211"/>
    <w:rsid w:val="008850C5"/>
    <w:rsid w:val="0088601A"/>
    <w:rsid w:val="00890998"/>
    <w:rsid w:val="008917DB"/>
    <w:rsid w:val="008923B5"/>
    <w:rsid w:val="00897BC6"/>
    <w:rsid w:val="008A21AC"/>
    <w:rsid w:val="008B253C"/>
    <w:rsid w:val="008C2E31"/>
    <w:rsid w:val="008C33F0"/>
    <w:rsid w:val="008C57A4"/>
    <w:rsid w:val="008C6F6A"/>
    <w:rsid w:val="008D10BB"/>
    <w:rsid w:val="008E4684"/>
    <w:rsid w:val="008F013E"/>
    <w:rsid w:val="008F03CF"/>
    <w:rsid w:val="008F4701"/>
    <w:rsid w:val="008F556C"/>
    <w:rsid w:val="008F6AE0"/>
    <w:rsid w:val="008F6D3F"/>
    <w:rsid w:val="00905422"/>
    <w:rsid w:val="009054B3"/>
    <w:rsid w:val="009125FD"/>
    <w:rsid w:val="009202B5"/>
    <w:rsid w:val="00920FBA"/>
    <w:rsid w:val="0092369C"/>
    <w:rsid w:val="00927AD2"/>
    <w:rsid w:val="00930002"/>
    <w:rsid w:val="009318AB"/>
    <w:rsid w:val="009344BC"/>
    <w:rsid w:val="00935AD3"/>
    <w:rsid w:val="009360E8"/>
    <w:rsid w:val="00936FDE"/>
    <w:rsid w:val="00940ACC"/>
    <w:rsid w:val="00942D78"/>
    <w:rsid w:val="009431B4"/>
    <w:rsid w:val="00943FA8"/>
    <w:rsid w:val="0094707A"/>
    <w:rsid w:val="00947716"/>
    <w:rsid w:val="00947E03"/>
    <w:rsid w:val="00952BEA"/>
    <w:rsid w:val="009555FC"/>
    <w:rsid w:val="00955F0E"/>
    <w:rsid w:val="0095780D"/>
    <w:rsid w:val="009671F6"/>
    <w:rsid w:val="0097702C"/>
    <w:rsid w:val="00980E4D"/>
    <w:rsid w:val="00982C0C"/>
    <w:rsid w:val="00986153"/>
    <w:rsid w:val="00990AB3"/>
    <w:rsid w:val="00992860"/>
    <w:rsid w:val="00992E6E"/>
    <w:rsid w:val="00993163"/>
    <w:rsid w:val="009933CD"/>
    <w:rsid w:val="00995AE0"/>
    <w:rsid w:val="00996A9F"/>
    <w:rsid w:val="009975D9"/>
    <w:rsid w:val="009A1731"/>
    <w:rsid w:val="009A3700"/>
    <w:rsid w:val="009A3C58"/>
    <w:rsid w:val="009A74EA"/>
    <w:rsid w:val="009B17ED"/>
    <w:rsid w:val="009B21A8"/>
    <w:rsid w:val="009B25C7"/>
    <w:rsid w:val="009B3D5C"/>
    <w:rsid w:val="009B7AFD"/>
    <w:rsid w:val="009C16C9"/>
    <w:rsid w:val="009C560A"/>
    <w:rsid w:val="009D05E6"/>
    <w:rsid w:val="009D16D9"/>
    <w:rsid w:val="009D2B55"/>
    <w:rsid w:val="009D2D52"/>
    <w:rsid w:val="009D3687"/>
    <w:rsid w:val="009E2CCB"/>
    <w:rsid w:val="009E677B"/>
    <w:rsid w:val="009F0088"/>
    <w:rsid w:val="009F700A"/>
    <w:rsid w:val="00A0156C"/>
    <w:rsid w:val="00A1147B"/>
    <w:rsid w:val="00A116B9"/>
    <w:rsid w:val="00A13156"/>
    <w:rsid w:val="00A14213"/>
    <w:rsid w:val="00A22923"/>
    <w:rsid w:val="00A2367D"/>
    <w:rsid w:val="00A25B21"/>
    <w:rsid w:val="00A26C6D"/>
    <w:rsid w:val="00A27F10"/>
    <w:rsid w:val="00A30913"/>
    <w:rsid w:val="00A31C07"/>
    <w:rsid w:val="00A326CE"/>
    <w:rsid w:val="00A32DD4"/>
    <w:rsid w:val="00A33AAF"/>
    <w:rsid w:val="00A35AB4"/>
    <w:rsid w:val="00A45E0F"/>
    <w:rsid w:val="00A46016"/>
    <w:rsid w:val="00A46078"/>
    <w:rsid w:val="00A51393"/>
    <w:rsid w:val="00A53BAF"/>
    <w:rsid w:val="00A6162C"/>
    <w:rsid w:val="00A678FB"/>
    <w:rsid w:val="00A8273B"/>
    <w:rsid w:val="00A90896"/>
    <w:rsid w:val="00A90EF4"/>
    <w:rsid w:val="00A9110C"/>
    <w:rsid w:val="00A946E4"/>
    <w:rsid w:val="00A97D72"/>
    <w:rsid w:val="00AA1072"/>
    <w:rsid w:val="00AA552F"/>
    <w:rsid w:val="00AA563E"/>
    <w:rsid w:val="00AB38BB"/>
    <w:rsid w:val="00AB48FA"/>
    <w:rsid w:val="00AB5386"/>
    <w:rsid w:val="00AB659D"/>
    <w:rsid w:val="00AB7D21"/>
    <w:rsid w:val="00AB7E73"/>
    <w:rsid w:val="00AC3394"/>
    <w:rsid w:val="00AC3A25"/>
    <w:rsid w:val="00AC41B9"/>
    <w:rsid w:val="00AC6D12"/>
    <w:rsid w:val="00AE0761"/>
    <w:rsid w:val="00AE2322"/>
    <w:rsid w:val="00AE3F1F"/>
    <w:rsid w:val="00AE66AF"/>
    <w:rsid w:val="00AF260A"/>
    <w:rsid w:val="00AF66EE"/>
    <w:rsid w:val="00B01DB9"/>
    <w:rsid w:val="00B031C1"/>
    <w:rsid w:val="00B03A0D"/>
    <w:rsid w:val="00B045D4"/>
    <w:rsid w:val="00B053D5"/>
    <w:rsid w:val="00B10346"/>
    <w:rsid w:val="00B103A0"/>
    <w:rsid w:val="00B11069"/>
    <w:rsid w:val="00B11F64"/>
    <w:rsid w:val="00B14C5E"/>
    <w:rsid w:val="00B15920"/>
    <w:rsid w:val="00B1737F"/>
    <w:rsid w:val="00B24159"/>
    <w:rsid w:val="00B246C9"/>
    <w:rsid w:val="00B24CE8"/>
    <w:rsid w:val="00B335EE"/>
    <w:rsid w:val="00B35D84"/>
    <w:rsid w:val="00B42553"/>
    <w:rsid w:val="00B43208"/>
    <w:rsid w:val="00B44BDE"/>
    <w:rsid w:val="00B479F5"/>
    <w:rsid w:val="00B47BA8"/>
    <w:rsid w:val="00B551B9"/>
    <w:rsid w:val="00B57427"/>
    <w:rsid w:val="00B615D0"/>
    <w:rsid w:val="00B619B2"/>
    <w:rsid w:val="00B65D9C"/>
    <w:rsid w:val="00B6712E"/>
    <w:rsid w:val="00B73000"/>
    <w:rsid w:val="00B7612C"/>
    <w:rsid w:val="00B81CAE"/>
    <w:rsid w:val="00B8459D"/>
    <w:rsid w:val="00B90069"/>
    <w:rsid w:val="00B93EF8"/>
    <w:rsid w:val="00BB04A8"/>
    <w:rsid w:val="00BB2C5F"/>
    <w:rsid w:val="00BB2F36"/>
    <w:rsid w:val="00BB3B5C"/>
    <w:rsid w:val="00BB76D7"/>
    <w:rsid w:val="00BC03F3"/>
    <w:rsid w:val="00BC1240"/>
    <w:rsid w:val="00BC1A1D"/>
    <w:rsid w:val="00BC1E8D"/>
    <w:rsid w:val="00BC2801"/>
    <w:rsid w:val="00BC38A2"/>
    <w:rsid w:val="00BC6624"/>
    <w:rsid w:val="00BC7180"/>
    <w:rsid w:val="00BC7C25"/>
    <w:rsid w:val="00BD126A"/>
    <w:rsid w:val="00BD3068"/>
    <w:rsid w:val="00BD332B"/>
    <w:rsid w:val="00BE1ACC"/>
    <w:rsid w:val="00BE22FB"/>
    <w:rsid w:val="00BE4322"/>
    <w:rsid w:val="00BF1B41"/>
    <w:rsid w:val="00BF43FE"/>
    <w:rsid w:val="00C005E2"/>
    <w:rsid w:val="00C04844"/>
    <w:rsid w:val="00C202FE"/>
    <w:rsid w:val="00C22C5C"/>
    <w:rsid w:val="00C250DB"/>
    <w:rsid w:val="00C266FC"/>
    <w:rsid w:val="00C318C6"/>
    <w:rsid w:val="00C3204C"/>
    <w:rsid w:val="00C35F88"/>
    <w:rsid w:val="00C4115D"/>
    <w:rsid w:val="00C43FA4"/>
    <w:rsid w:val="00C4695D"/>
    <w:rsid w:val="00C50D8A"/>
    <w:rsid w:val="00C53D0F"/>
    <w:rsid w:val="00C53DAE"/>
    <w:rsid w:val="00C56484"/>
    <w:rsid w:val="00C566CF"/>
    <w:rsid w:val="00C5693E"/>
    <w:rsid w:val="00C56E68"/>
    <w:rsid w:val="00C61510"/>
    <w:rsid w:val="00C61866"/>
    <w:rsid w:val="00C61BEE"/>
    <w:rsid w:val="00C655FD"/>
    <w:rsid w:val="00C6615A"/>
    <w:rsid w:val="00C71A45"/>
    <w:rsid w:val="00C71FD9"/>
    <w:rsid w:val="00C7269E"/>
    <w:rsid w:val="00C77710"/>
    <w:rsid w:val="00C82F57"/>
    <w:rsid w:val="00C86CE8"/>
    <w:rsid w:val="00C87C9F"/>
    <w:rsid w:val="00C904D9"/>
    <w:rsid w:val="00C945CD"/>
    <w:rsid w:val="00C978E9"/>
    <w:rsid w:val="00CA1942"/>
    <w:rsid w:val="00CA292F"/>
    <w:rsid w:val="00CA2AAB"/>
    <w:rsid w:val="00CA6542"/>
    <w:rsid w:val="00CA6ADA"/>
    <w:rsid w:val="00CB4485"/>
    <w:rsid w:val="00CB68B2"/>
    <w:rsid w:val="00CB780E"/>
    <w:rsid w:val="00CB78CE"/>
    <w:rsid w:val="00CC186D"/>
    <w:rsid w:val="00CC2D7A"/>
    <w:rsid w:val="00CD3CB4"/>
    <w:rsid w:val="00CD7385"/>
    <w:rsid w:val="00CD7B5D"/>
    <w:rsid w:val="00CE03F0"/>
    <w:rsid w:val="00CE1659"/>
    <w:rsid w:val="00CE2302"/>
    <w:rsid w:val="00CE50CB"/>
    <w:rsid w:val="00D01378"/>
    <w:rsid w:val="00D04856"/>
    <w:rsid w:val="00D10234"/>
    <w:rsid w:val="00D10FEB"/>
    <w:rsid w:val="00D13C70"/>
    <w:rsid w:val="00D15AFD"/>
    <w:rsid w:val="00D15B26"/>
    <w:rsid w:val="00D16AD1"/>
    <w:rsid w:val="00D17351"/>
    <w:rsid w:val="00D27A9C"/>
    <w:rsid w:val="00D33006"/>
    <w:rsid w:val="00D42276"/>
    <w:rsid w:val="00D430EC"/>
    <w:rsid w:val="00D43F0D"/>
    <w:rsid w:val="00D45104"/>
    <w:rsid w:val="00D45A07"/>
    <w:rsid w:val="00D50A55"/>
    <w:rsid w:val="00D637B0"/>
    <w:rsid w:val="00D67E3B"/>
    <w:rsid w:val="00D71626"/>
    <w:rsid w:val="00D74485"/>
    <w:rsid w:val="00D77868"/>
    <w:rsid w:val="00D77964"/>
    <w:rsid w:val="00D854EF"/>
    <w:rsid w:val="00D8662A"/>
    <w:rsid w:val="00D93117"/>
    <w:rsid w:val="00D95D3F"/>
    <w:rsid w:val="00DA009F"/>
    <w:rsid w:val="00DA0D5B"/>
    <w:rsid w:val="00DA371F"/>
    <w:rsid w:val="00DA4732"/>
    <w:rsid w:val="00DB2E9E"/>
    <w:rsid w:val="00DB45CE"/>
    <w:rsid w:val="00DC0DF1"/>
    <w:rsid w:val="00DC15D8"/>
    <w:rsid w:val="00DC42CF"/>
    <w:rsid w:val="00DC51A4"/>
    <w:rsid w:val="00DD144E"/>
    <w:rsid w:val="00DD1B16"/>
    <w:rsid w:val="00DD22CE"/>
    <w:rsid w:val="00DD2FCA"/>
    <w:rsid w:val="00DD3E50"/>
    <w:rsid w:val="00DE1BDB"/>
    <w:rsid w:val="00DE243A"/>
    <w:rsid w:val="00DE3550"/>
    <w:rsid w:val="00DE4BBC"/>
    <w:rsid w:val="00DE7109"/>
    <w:rsid w:val="00DF16EF"/>
    <w:rsid w:val="00DF328E"/>
    <w:rsid w:val="00DF4875"/>
    <w:rsid w:val="00E00421"/>
    <w:rsid w:val="00E045B7"/>
    <w:rsid w:val="00E0723A"/>
    <w:rsid w:val="00E1222B"/>
    <w:rsid w:val="00E12326"/>
    <w:rsid w:val="00E12EBD"/>
    <w:rsid w:val="00E17E02"/>
    <w:rsid w:val="00E21686"/>
    <w:rsid w:val="00E22AF4"/>
    <w:rsid w:val="00E276FF"/>
    <w:rsid w:val="00E3150F"/>
    <w:rsid w:val="00E33525"/>
    <w:rsid w:val="00E4526B"/>
    <w:rsid w:val="00E461DF"/>
    <w:rsid w:val="00E62120"/>
    <w:rsid w:val="00E62D55"/>
    <w:rsid w:val="00E73DE8"/>
    <w:rsid w:val="00E74C50"/>
    <w:rsid w:val="00E76C4B"/>
    <w:rsid w:val="00E825AD"/>
    <w:rsid w:val="00E8366B"/>
    <w:rsid w:val="00E83A9B"/>
    <w:rsid w:val="00E87ACD"/>
    <w:rsid w:val="00E918CD"/>
    <w:rsid w:val="00E94ADB"/>
    <w:rsid w:val="00E952CD"/>
    <w:rsid w:val="00EA38DD"/>
    <w:rsid w:val="00EA3C6E"/>
    <w:rsid w:val="00EA4D67"/>
    <w:rsid w:val="00EA5774"/>
    <w:rsid w:val="00EB08C9"/>
    <w:rsid w:val="00EB615C"/>
    <w:rsid w:val="00EB788F"/>
    <w:rsid w:val="00EB7AB9"/>
    <w:rsid w:val="00EC35BC"/>
    <w:rsid w:val="00EC5962"/>
    <w:rsid w:val="00ED1192"/>
    <w:rsid w:val="00ED7F75"/>
    <w:rsid w:val="00EE18D6"/>
    <w:rsid w:val="00EE23A6"/>
    <w:rsid w:val="00EE66B8"/>
    <w:rsid w:val="00EE7AF0"/>
    <w:rsid w:val="00EF0B5F"/>
    <w:rsid w:val="00EF68A6"/>
    <w:rsid w:val="00EF7049"/>
    <w:rsid w:val="00F00123"/>
    <w:rsid w:val="00F02E92"/>
    <w:rsid w:val="00F03C1C"/>
    <w:rsid w:val="00F0573F"/>
    <w:rsid w:val="00F069D7"/>
    <w:rsid w:val="00F10898"/>
    <w:rsid w:val="00F118D9"/>
    <w:rsid w:val="00F15AC7"/>
    <w:rsid w:val="00F15F55"/>
    <w:rsid w:val="00F16511"/>
    <w:rsid w:val="00F20356"/>
    <w:rsid w:val="00F212B9"/>
    <w:rsid w:val="00F24373"/>
    <w:rsid w:val="00F300AB"/>
    <w:rsid w:val="00F3355C"/>
    <w:rsid w:val="00F35FE5"/>
    <w:rsid w:val="00F41109"/>
    <w:rsid w:val="00F43474"/>
    <w:rsid w:val="00F44082"/>
    <w:rsid w:val="00F47326"/>
    <w:rsid w:val="00F54464"/>
    <w:rsid w:val="00F54953"/>
    <w:rsid w:val="00F64DD7"/>
    <w:rsid w:val="00F67C1E"/>
    <w:rsid w:val="00F76074"/>
    <w:rsid w:val="00F76586"/>
    <w:rsid w:val="00F76D6C"/>
    <w:rsid w:val="00F812A2"/>
    <w:rsid w:val="00F83798"/>
    <w:rsid w:val="00F8707D"/>
    <w:rsid w:val="00F92D03"/>
    <w:rsid w:val="00FA132F"/>
    <w:rsid w:val="00FA6B21"/>
    <w:rsid w:val="00FA7370"/>
    <w:rsid w:val="00FB6161"/>
    <w:rsid w:val="00FC2A6C"/>
    <w:rsid w:val="00FC2FC8"/>
    <w:rsid w:val="00FC62E1"/>
    <w:rsid w:val="00FC6B4B"/>
    <w:rsid w:val="00FD2B66"/>
    <w:rsid w:val="00FD776B"/>
    <w:rsid w:val="00FE1A0C"/>
    <w:rsid w:val="00FE1ED8"/>
    <w:rsid w:val="00FE67A1"/>
    <w:rsid w:val="00FE7B54"/>
    <w:rsid w:val="00FF6988"/>
    <w:rsid w:val="0EE9669A"/>
    <w:rsid w:val="0F4F399A"/>
    <w:rsid w:val="144D6A47"/>
    <w:rsid w:val="37425604"/>
    <w:rsid w:val="37C576CF"/>
    <w:rsid w:val="3B9D3645"/>
    <w:rsid w:val="3CA159CB"/>
    <w:rsid w:val="455D620A"/>
    <w:rsid w:val="45EA73DE"/>
    <w:rsid w:val="4E26267D"/>
    <w:rsid w:val="57D34947"/>
    <w:rsid w:val="5DDE74CA"/>
    <w:rsid w:val="61712F95"/>
    <w:rsid w:val="6288637C"/>
    <w:rsid w:val="69172D6B"/>
    <w:rsid w:val="6AE60A69"/>
    <w:rsid w:val="6FF32604"/>
    <w:rsid w:val="7340101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text"/>
    <w:basedOn w:val="1"/>
    <w:link w:val="30"/>
    <w:unhideWhenUsed/>
    <w:qFormat/>
    <w:uiPriority w:val="99"/>
    <w:pPr>
      <w:jc w:val="left"/>
    </w:pPr>
  </w:style>
  <w:style w:type="paragraph" w:styleId="5">
    <w:name w:val="Body Text"/>
    <w:basedOn w:val="1"/>
    <w:link w:val="21"/>
    <w:qFormat/>
    <w:uiPriority w:val="0"/>
    <w:pPr>
      <w:spacing w:after="120"/>
    </w:pPr>
  </w:style>
  <w:style w:type="paragraph" w:styleId="6">
    <w:name w:val="Plain Text"/>
    <w:basedOn w:val="1"/>
    <w:link w:val="26"/>
    <w:qFormat/>
    <w:uiPriority w:val="0"/>
    <w:rPr>
      <w:rFonts w:ascii="宋体" w:hAnsi="Courier New"/>
      <w:szCs w:val="20"/>
    </w:rPr>
  </w:style>
  <w:style w:type="paragraph" w:styleId="7">
    <w:name w:val="Date"/>
    <w:basedOn w:val="1"/>
    <w:next w:val="1"/>
    <w:link w:val="29"/>
    <w:unhideWhenUsed/>
    <w:qFormat/>
    <w:uiPriority w:val="99"/>
    <w:pPr>
      <w:ind w:left="100" w:leftChars="2500"/>
    </w:pPr>
  </w:style>
  <w:style w:type="paragraph" w:styleId="8">
    <w:name w:val="Balloon Text"/>
    <w:basedOn w:val="1"/>
    <w:link w:val="31"/>
    <w:unhideWhenUsed/>
    <w:qFormat/>
    <w:uiPriority w:val="99"/>
    <w:rPr>
      <w:sz w:val="18"/>
      <w:szCs w:val="18"/>
    </w:rPr>
  </w:style>
  <w:style w:type="paragraph" w:styleId="9">
    <w:name w:val="footer"/>
    <w:basedOn w:val="1"/>
    <w:link w:val="25"/>
    <w:unhideWhenUsed/>
    <w:qFormat/>
    <w:uiPriority w:val="99"/>
    <w:pPr>
      <w:tabs>
        <w:tab w:val="center" w:pos="4153"/>
        <w:tab w:val="right" w:pos="8306"/>
      </w:tabs>
      <w:snapToGrid w:val="0"/>
      <w:jc w:val="left"/>
    </w:pPr>
    <w:rPr>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18"/>
    <w:qFormat/>
    <w:uiPriority w:val="0"/>
    <w:pPr>
      <w:snapToGrid w:val="0"/>
      <w:jc w:val="left"/>
    </w:pPr>
    <w:rPr>
      <w:sz w:val="18"/>
      <w:szCs w:val="18"/>
    </w:rPr>
  </w:style>
  <w:style w:type="character" w:styleId="13">
    <w:name w:val="annotation reference"/>
    <w:basedOn w:val="12"/>
    <w:unhideWhenUsed/>
    <w:qFormat/>
    <w:uiPriority w:val="99"/>
    <w:rPr>
      <w:sz w:val="21"/>
      <w:szCs w:val="21"/>
    </w:rPr>
  </w:style>
  <w:style w:type="character" w:styleId="14">
    <w:name w:val="footnote reference"/>
    <w:qFormat/>
    <w:uiPriority w:val="0"/>
    <w:rPr>
      <w:vertAlign w:val="superscript"/>
    </w:rPr>
  </w:style>
  <w:style w:type="character" w:customStyle="1" w:styleId="16">
    <w:name w:val="Heading 1 Char"/>
    <w:basedOn w:val="12"/>
    <w:link w:val="2"/>
    <w:qFormat/>
    <w:uiPriority w:val="0"/>
    <w:rPr>
      <w:rFonts w:ascii="Times New Roman" w:hAnsi="Times New Roman" w:eastAsia="宋体" w:cs="Times New Roman"/>
      <w:b/>
      <w:bCs/>
      <w:kern w:val="44"/>
      <w:sz w:val="44"/>
      <w:szCs w:val="44"/>
    </w:rPr>
  </w:style>
  <w:style w:type="paragraph" w:customStyle="1" w:styleId="17">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8">
    <w:name w:val="Footnote Text Char"/>
    <w:basedOn w:val="12"/>
    <w:link w:val="11"/>
    <w:qFormat/>
    <w:uiPriority w:val="0"/>
    <w:rPr>
      <w:rFonts w:ascii="Times New Roman" w:hAnsi="Times New Roman" w:eastAsia="宋体" w:cs="Times New Roman"/>
      <w:sz w:val="18"/>
      <w:szCs w:val="18"/>
    </w:rPr>
  </w:style>
  <w:style w:type="character" w:customStyle="1" w:styleId="19">
    <w:name w:val="Heading 2 Char"/>
    <w:basedOn w:val="12"/>
    <w:link w:val="3"/>
    <w:semiHidden/>
    <w:qFormat/>
    <w:uiPriority w:val="9"/>
    <w:rPr>
      <w:rFonts w:asciiTheme="majorHAnsi" w:hAnsiTheme="majorHAnsi" w:eastAsiaTheme="majorEastAsia" w:cstheme="majorBidi"/>
      <w:b/>
      <w:bCs/>
      <w:sz w:val="32"/>
      <w:szCs w:val="32"/>
    </w:rPr>
  </w:style>
  <w:style w:type="paragraph" w:customStyle="1" w:styleId="20">
    <w:name w:val="普通 (Web)"/>
    <w:qFormat/>
    <w:uiPriority w:val="0"/>
    <w:pPr>
      <w:spacing w:before="100" w:after="100"/>
    </w:pPr>
    <w:rPr>
      <w:rFonts w:ascii="宋体" w:hAnsi="Times New Roman" w:eastAsia="宋体" w:cs="Times New Roman"/>
      <w:sz w:val="24"/>
      <w:lang w:val="en-US" w:eastAsia="zh-CN" w:bidi="ar-SA"/>
    </w:rPr>
  </w:style>
  <w:style w:type="character" w:customStyle="1" w:styleId="21">
    <w:name w:val="Body Text Char"/>
    <w:basedOn w:val="12"/>
    <w:link w:val="5"/>
    <w:qFormat/>
    <w:uiPriority w:val="0"/>
    <w:rPr>
      <w:rFonts w:ascii="Times New Roman" w:hAnsi="Times New Roman" w:eastAsia="宋体" w:cs="Times New Roman"/>
      <w:szCs w:val="24"/>
    </w:rPr>
  </w:style>
  <w:style w:type="paragraph" w:customStyle="1" w:styleId="22">
    <w:name w:val="List Paragraph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3">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4">
    <w:name w:val="Header Char"/>
    <w:basedOn w:val="12"/>
    <w:link w:val="10"/>
    <w:qFormat/>
    <w:uiPriority w:val="99"/>
    <w:rPr>
      <w:rFonts w:ascii="Times New Roman" w:hAnsi="Times New Roman" w:eastAsia="宋体" w:cs="Times New Roman"/>
      <w:sz w:val="18"/>
      <w:szCs w:val="18"/>
    </w:rPr>
  </w:style>
  <w:style w:type="character" w:customStyle="1" w:styleId="25">
    <w:name w:val="Footer Char"/>
    <w:basedOn w:val="12"/>
    <w:link w:val="9"/>
    <w:qFormat/>
    <w:uiPriority w:val="99"/>
    <w:rPr>
      <w:rFonts w:ascii="Times New Roman" w:hAnsi="Times New Roman" w:eastAsia="宋体" w:cs="Times New Roman"/>
      <w:sz w:val="18"/>
      <w:szCs w:val="18"/>
    </w:rPr>
  </w:style>
  <w:style w:type="character" w:customStyle="1" w:styleId="26">
    <w:name w:val="Plain Text Char"/>
    <w:link w:val="6"/>
    <w:qFormat/>
    <w:uiPriority w:val="0"/>
    <w:rPr>
      <w:rFonts w:ascii="宋体" w:hAnsi="Courier New" w:eastAsia="宋体" w:cs="Times New Roman"/>
      <w:szCs w:val="20"/>
    </w:rPr>
  </w:style>
  <w:style w:type="character" w:customStyle="1" w:styleId="27">
    <w:name w:val="纯文本 Char1"/>
    <w:basedOn w:val="12"/>
    <w:semiHidden/>
    <w:qFormat/>
    <w:uiPriority w:val="99"/>
    <w:rPr>
      <w:rFonts w:ascii="宋体" w:hAnsi="Courier New" w:eastAsia="宋体" w:cs="Courier New"/>
      <w:szCs w:val="21"/>
    </w:rPr>
  </w:style>
  <w:style w:type="character" w:customStyle="1" w:styleId="28">
    <w:name w:val="high-light-bg"/>
    <w:qFormat/>
    <w:uiPriority w:val="0"/>
  </w:style>
  <w:style w:type="character" w:customStyle="1" w:styleId="29">
    <w:name w:val="Date Char"/>
    <w:basedOn w:val="12"/>
    <w:link w:val="7"/>
    <w:semiHidden/>
    <w:qFormat/>
    <w:uiPriority w:val="99"/>
    <w:rPr>
      <w:rFonts w:ascii="Times New Roman" w:hAnsi="Times New Roman" w:eastAsia="宋体" w:cs="Times New Roman"/>
      <w:szCs w:val="24"/>
    </w:rPr>
  </w:style>
  <w:style w:type="character" w:customStyle="1" w:styleId="30">
    <w:name w:val="Comment Text Char"/>
    <w:basedOn w:val="12"/>
    <w:link w:val="4"/>
    <w:semiHidden/>
    <w:qFormat/>
    <w:uiPriority w:val="99"/>
    <w:rPr>
      <w:rFonts w:ascii="Times New Roman" w:hAnsi="Times New Roman" w:eastAsia="宋体" w:cs="Times New Roman"/>
      <w:szCs w:val="24"/>
    </w:rPr>
  </w:style>
  <w:style w:type="character" w:customStyle="1" w:styleId="31">
    <w:name w:val="Balloon Text Char"/>
    <w:basedOn w:val="12"/>
    <w:link w:val="8"/>
    <w:semiHidden/>
    <w:qFormat/>
    <w:uiPriority w:val="99"/>
    <w:rPr>
      <w:rFonts w:ascii="Times New Roman" w:hAnsi="Times New Roman" w:eastAsia="宋体" w:cs="Times New Roman"/>
      <w:sz w:val="18"/>
      <w:szCs w:val="18"/>
    </w:rPr>
  </w:style>
  <w:style w:type="paragraph" w:customStyle="1" w:styleId="32">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3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E65E1-035C-4E0D-88D9-AB3E13939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644</Words>
  <Characters>3673</Characters>
  <Lines>30</Lines>
  <Paragraphs>8</Paragraphs>
  <ScaleCrop>false</ScaleCrop>
  <LinksUpToDate>false</LinksUpToDate>
  <CharactersWithSpaces>4309</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2017-03-20T03:32:00Z</dcterms:created>
  <dc:creator>qzy3472</dc:creator>
  <cp:lastModifiedBy>Administrator</cp:lastModifiedBy>
  <dcterms:modified xsi:type="dcterms:W3CDTF">2017-09-29T08:02:21Z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