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hAnsi="黑体" w:eastAsia="黑体"/>
          <w:b w:val="0"/>
          <w:bCs w:val="0"/>
          <w:sz w:val="32"/>
        </w:rPr>
      </w:pPr>
      <w:bookmarkStart w:id="0" w:name="_Toc152045772"/>
      <w:bookmarkStart w:id="1" w:name="_Toc152042554"/>
      <w:bookmarkStart w:id="2" w:name="_Toc144974834"/>
      <w:bookmarkStart w:id="3" w:name="_Toc357086141"/>
    </w:p>
    <w:bookmarkEnd w:id="0"/>
    <w:bookmarkEnd w:id="1"/>
    <w:bookmarkEnd w:id="2"/>
    <w:p>
      <w:pPr>
        <w:jc w:val="center"/>
        <w:rPr>
          <w:sz w:val="36"/>
          <w:szCs w:val="36"/>
        </w:rPr>
      </w:pPr>
      <w:r>
        <w:rPr>
          <w:rFonts w:hint="eastAsia"/>
          <w:sz w:val="36"/>
          <w:szCs w:val="36"/>
        </w:rPr>
        <w:t>设备购置技术标书审批表</w:t>
      </w:r>
    </w:p>
    <w:p>
      <w:pPr>
        <w:spacing w:line="320" w:lineRule="exact"/>
        <w:jc w:val="right"/>
        <w:rPr>
          <w:rFonts w:ascii="宋体" w:hAnsi="宋体" w:cs="宋体"/>
          <w:color w:val="000000"/>
          <w:sz w:val="28"/>
          <w:szCs w:val="28"/>
        </w:rPr>
      </w:pPr>
      <w:r>
        <w:rPr>
          <w:rFonts w:hint="eastAsia" w:ascii="宋体" w:hAnsi="宋体" w:cs="宋体"/>
          <w:color w:val="000000"/>
          <w:sz w:val="28"/>
          <w:szCs w:val="28"/>
        </w:rPr>
        <w:t>2018年5月2</w:t>
      </w:r>
      <w:r>
        <w:rPr>
          <w:rFonts w:hint="eastAsia" w:ascii="宋体" w:hAnsi="宋体" w:cs="宋体"/>
          <w:color w:val="000000"/>
          <w:sz w:val="28"/>
          <w:szCs w:val="28"/>
          <w:lang w:val="en-US" w:eastAsia="zh-CN"/>
        </w:rPr>
        <w:t>2</w:t>
      </w:r>
      <w:r>
        <w:rPr>
          <w:rFonts w:hint="eastAsia" w:ascii="宋体" w:hAnsi="宋体" w:cs="宋体"/>
          <w:color w:val="000000"/>
          <w:sz w:val="28"/>
          <w:szCs w:val="28"/>
        </w:rPr>
        <w:t>日</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746"/>
        <w:gridCol w:w="2131"/>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rPr>
                <w:rFonts w:ascii="Calibri" w:hAnsi="Calibri"/>
                <w:sz w:val="30"/>
                <w:szCs w:val="30"/>
              </w:rPr>
            </w:pPr>
            <w:r>
              <w:rPr>
                <w:rFonts w:hint="eastAsia" w:ascii="Calibri" w:hAnsi="Calibri"/>
                <w:sz w:val="30"/>
                <w:szCs w:val="30"/>
              </w:rPr>
              <w:t>设备名称</w:t>
            </w:r>
          </w:p>
        </w:tc>
        <w:tc>
          <w:tcPr>
            <w:tcW w:w="2746" w:type="dxa"/>
            <w:vAlign w:val="center"/>
          </w:tcPr>
          <w:p>
            <w:pPr>
              <w:spacing w:line="320" w:lineRule="exact"/>
              <w:jc w:val="center"/>
              <w:rPr>
                <w:rFonts w:ascii="Calibri" w:hAnsi="Calibri"/>
                <w:sz w:val="30"/>
                <w:szCs w:val="30"/>
              </w:rPr>
            </w:pPr>
            <w:r>
              <w:rPr>
                <w:rFonts w:hint="eastAsia" w:ascii="Calibri" w:hAnsi="Calibri"/>
                <w:sz w:val="30"/>
                <w:szCs w:val="30"/>
              </w:rPr>
              <w:t>国际交流中心上湾文体馆设施设备</w:t>
            </w:r>
          </w:p>
        </w:tc>
        <w:tc>
          <w:tcPr>
            <w:tcW w:w="2131" w:type="dxa"/>
            <w:vAlign w:val="center"/>
          </w:tcPr>
          <w:p>
            <w:pPr>
              <w:jc w:val="center"/>
              <w:rPr>
                <w:rFonts w:ascii="Calibri" w:hAnsi="Calibri"/>
                <w:sz w:val="30"/>
                <w:szCs w:val="30"/>
              </w:rPr>
            </w:pPr>
            <w:r>
              <w:rPr>
                <w:rFonts w:hint="eastAsia" w:ascii="Calibri" w:hAnsi="Calibri"/>
                <w:sz w:val="30"/>
                <w:szCs w:val="30"/>
              </w:rPr>
              <w:t>购置数量</w:t>
            </w:r>
          </w:p>
        </w:tc>
        <w:tc>
          <w:tcPr>
            <w:tcW w:w="2086" w:type="dxa"/>
            <w:vAlign w:val="center"/>
          </w:tcPr>
          <w:p>
            <w:pPr>
              <w:jc w:val="center"/>
              <w:rPr>
                <w:rFonts w:ascii="Calibri" w:hAnsi="Calibri"/>
                <w:sz w:val="30"/>
                <w:szCs w:val="30"/>
              </w:rPr>
            </w:pP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rPr>
                <w:rFonts w:ascii="Calibri" w:hAnsi="Calibri"/>
                <w:sz w:val="32"/>
                <w:szCs w:val="32"/>
              </w:rPr>
            </w:pPr>
            <w:r>
              <w:rPr>
                <w:rFonts w:hint="eastAsia" w:ascii="Calibri" w:hAnsi="Calibri"/>
                <w:sz w:val="30"/>
                <w:szCs w:val="30"/>
              </w:rPr>
              <w:t>计划来源</w:t>
            </w:r>
          </w:p>
        </w:tc>
        <w:tc>
          <w:tcPr>
            <w:tcW w:w="6963" w:type="dxa"/>
            <w:gridSpan w:val="3"/>
            <w:vAlign w:val="center"/>
          </w:tcPr>
          <w:p>
            <w:pPr>
              <w:jc w:val="center"/>
              <w:rPr>
                <w:rFonts w:ascii="Calibri" w:hAnsi="Calibri"/>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6" w:hRule="atLeast"/>
        </w:trPr>
        <w:tc>
          <w:tcPr>
            <w:tcW w:w="1559" w:type="dxa"/>
            <w:vAlign w:val="center"/>
          </w:tcPr>
          <w:p>
            <w:pPr>
              <w:jc w:val="center"/>
              <w:rPr>
                <w:rFonts w:ascii="Calibri" w:hAnsi="Calibri"/>
                <w:sz w:val="32"/>
                <w:szCs w:val="32"/>
              </w:rPr>
            </w:pPr>
            <w:r>
              <w:rPr>
                <w:rFonts w:hint="eastAsia"/>
                <w:sz w:val="30"/>
                <w:szCs w:val="30"/>
              </w:rPr>
              <w:t>主要参数</w:t>
            </w:r>
          </w:p>
        </w:tc>
        <w:tc>
          <w:tcPr>
            <w:tcW w:w="6963" w:type="dxa"/>
            <w:gridSpan w:val="3"/>
          </w:tcPr>
          <w:p>
            <w:pPr>
              <w:spacing w:line="360" w:lineRule="auto"/>
              <w:rPr>
                <w:rFonts w:ascii="宋体" w:hAnsi="宋体" w:cs="宋体"/>
                <w:sz w:val="24"/>
              </w:rPr>
            </w:pPr>
            <w:r>
              <w:rPr>
                <w:rFonts w:hint="eastAsia" w:ascii="宋体" w:hAnsi="宋体" w:cs="宋体"/>
                <w:sz w:val="24"/>
              </w:rPr>
              <w:t>LED屏品牌范围：利亚德、迈锐、巴科、彩易达、科伦特</w:t>
            </w:r>
          </w:p>
          <w:p>
            <w:pPr>
              <w:adjustRightInd w:val="0"/>
              <w:snapToGrid w:val="0"/>
              <w:rPr>
                <w:rFonts w:ascii="宋体" w:hAnsi="宋体" w:cs="宋体"/>
                <w:sz w:val="22"/>
                <w:szCs w:val="18"/>
              </w:rPr>
            </w:pPr>
            <w:r>
              <w:rPr>
                <w:rFonts w:hint="eastAsia" w:ascii="宋体" w:hAnsi="宋体" w:cs="宋体"/>
                <w:sz w:val="22"/>
                <w:szCs w:val="18"/>
              </w:rPr>
              <w:t>*1.</w:t>
            </w:r>
            <w:r>
              <w:rPr>
                <w:rFonts w:hint="eastAsia" w:ascii="宋体" w:hAnsi="宋体"/>
                <w:szCs w:val="21"/>
              </w:rPr>
              <w:t>像素间距（mm）3</w:t>
            </w:r>
          </w:p>
          <w:p>
            <w:pPr>
              <w:rPr>
                <w:rFonts w:ascii="宋体" w:hAnsi="宋体" w:cs="宋体"/>
                <w:sz w:val="24"/>
              </w:rPr>
            </w:pPr>
            <w:r>
              <w:rPr>
                <w:rFonts w:hint="eastAsia" w:ascii="宋体" w:hAnsi="宋体" w:cs="宋体"/>
                <w:sz w:val="22"/>
                <w:szCs w:val="18"/>
              </w:rPr>
              <w:t>*2.</w:t>
            </w:r>
            <w:r>
              <w:rPr>
                <w:rFonts w:hint="eastAsia" w:ascii="宋体" w:hAnsi="宋体" w:cs="宋体"/>
                <w:sz w:val="24"/>
              </w:rPr>
              <w:t>像素结构：屏幕选用表贴三合一全彩LED显示屏</w:t>
            </w:r>
          </w:p>
          <w:p>
            <w:pPr>
              <w:rPr>
                <w:rFonts w:ascii="宋体" w:hAnsi="宋体" w:cs="宋体"/>
                <w:sz w:val="24"/>
              </w:rPr>
            </w:pPr>
            <w:r>
              <w:rPr>
                <w:rFonts w:hint="eastAsia" w:ascii="宋体" w:hAnsi="宋体" w:cs="宋体"/>
                <w:sz w:val="22"/>
                <w:szCs w:val="18"/>
              </w:rPr>
              <w:t>*3.</w:t>
            </w:r>
            <w:r>
              <w:rPr>
                <w:rFonts w:hint="eastAsia" w:ascii="宋体" w:hAnsi="宋体" w:cs="宋体"/>
                <w:sz w:val="24"/>
              </w:rPr>
              <w:t>驱动方式：恒流驱动， 1/16扫 ；</w:t>
            </w:r>
          </w:p>
          <w:p>
            <w:pPr>
              <w:rPr>
                <w:rFonts w:ascii="宋体" w:hAnsi="宋体" w:cs="宋体"/>
                <w:sz w:val="24"/>
              </w:rPr>
            </w:pPr>
            <w:r>
              <w:rPr>
                <w:rFonts w:hint="eastAsia" w:ascii="宋体" w:hAnsi="宋体" w:cs="宋体"/>
                <w:sz w:val="22"/>
                <w:szCs w:val="18"/>
              </w:rPr>
              <w:t>*4.</w:t>
            </w:r>
            <w:r>
              <w:rPr>
                <w:rFonts w:hint="eastAsia" w:ascii="宋体" w:hAnsi="宋体" w:cs="宋体"/>
                <w:sz w:val="24"/>
              </w:rPr>
              <w:t>重量：≤25Kg/m2；</w:t>
            </w:r>
          </w:p>
          <w:p>
            <w:pPr>
              <w:rPr>
                <w:rFonts w:ascii="宋体" w:hAnsi="宋体" w:cs="宋体"/>
                <w:sz w:val="24"/>
              </w:rPr>
            </w:pPr>
            <w:r>
              <w:rPr>
                <w:rFonts w:hint="eastAsia" w:ascii="宋体" w:hAnsi="宋体" w:cs="宋体"/>
                <w:sz w:val="22"/>
                <w:szCs w:val="18"/>
              </w:rPr>
              <w:t>*5.</w:t>
            </w:r>
            <w:r>
              <w:rPr>
                <w:rFonts w:hint="eastAsia" w:ascii="宋体" w:hAnsi="宋体" w:cs="宋体"/>
                <w:sz w:val="24"/>
              </w:rPr>
              <w:t>平整度误差：≤0.1mm ；</w:t>
            </w:r>
          </w:p>
          <w:p>
            <w:pPr>
              <w:rPr>
                <w:rFonts w:ascii="宋体" w:hAnsi="宋体" w:cs="宋体"/>
                <w:sz w:val="24"/>
              </w:rPr>
            </w:pPr>
            <w:r>
              <w:rPr>
                <w:rFonts w:hint="eastAsia" w:ascii="宋体" w:hAnsi="宋体" w:cs="宋体"/>
                <w:sz w:val="22"/>
                <w:szCs w:val="18"/>
              </w:rPr>
              <w:t>*6.</w:t>
            </w:r>
            <w:r>
              <w:rPr>
                <w:rFonts w:hint="eastAsia" w:ascii="宋体" w:hAnsi="宋体" w:cs="宋体"/>
                <w:sz w:val="24"/>
              </w:rPr>
              <w:t>均匀性：整屏亮度均匀性≥97%，具有单点亮度校正功能；整屏色度均匀性±0.003Cx，Cy之内，具有单点色度校正功能；</w:t>
            </w:r>
          </w:p>
          <w:p>
            <w:pPr>
              <w:rPr>
                <w:rFonts w:ascii="宋体" w:hAnsi="宋体" w:cs="宋体"/>
                <w:sz w:val="24"/>
              </w:rPr>
            </w:pPr>
            <w:r>
              <w:rPr>
                <w:rFonts w:hint="eastAsia" w:ascii="宋体" w:hAnsi="宋体" w:cs="宋体"/>
                <w:sz w:val="22"/>
                <w:szCs w:val="18"/>
              </w:rPr>
              <w:t>*7.</w:t>
            </w:r>
            <w:r>
              <w:rPr>
                <w:rFonts w:hint="eastAsia" w:ascii="宋体" w:hAnsi="宋体" w:cs="宋体"/>
                <w:sz w:val="24"/>
              </w:rPr>
              <w:t>最佳视角：水平视角≥160度；</w:t>
            </w:r>
          </w:p>
          <w:p>
            <w:pPr>
              <w:rPr>
                <w:rFonts w:ascii="宋体" w:hAnsi="宋体" w:cs="宋体"/>
                <w:sz w:val="24"/>
              </w:rPr>
            </w:pPr>
            <w:r>
              <w:rPr>
                <w:rFonts w:hint="eastAsia" w:ascii="宋体" w:hAnsi="宋体" w:cs="宋体"/>
                <w:sz w:val="22"/>
                <w:szCs w:val="18"/>
              </w:rPr>
              <w:t>*8.</w:t>
            </w:r>
            <w:r>
              <w:rPr>
                <w:rFonts w:hint="eastAsia" w:ascii="宋体" w:hAnsi="宋体" w:cs="宋体"/>
                <w:sz w:val="24"/>
              </w:rPr>
              <w:t>白平衡亮度：≥1000～1500cd/m²</w:t>
            </w:r>
          </w:p>
          <w:p>
            <w:pPr>
              <w:rPr>
                <w:rFonts w:ascii="宋体" w:hAnsi="宋体" w:cs="宋体"/>
                <w:sz w:val="24"/>
              </w:rPr>
            </w:pPr>
            <w:r>
              <w:rPr>
                <w:rFonts w:hint="eastAsia" w:ascii="宋体" w:hAnsi="宋体" w:cs="宋体"/>
                <w:sz w:val="22"/>
                <w:szCs w:val="18"/>
              </w:rPr>
              <w:t>*9.</w:t>
            </w:r>
            <w:r>
              <w:rPr>
                <w:rFonts w:hint="eastAsia" w:ascii="宋体" w:hAnsi="宋体" w:cs="宋体"/>
                <w:sz w:val="24"/>
              </w:rPr>
              <w:t>色温：3200K-9300K（可调）</w:t>
            </w:r>
          </w:p>
          <w:p>
            <w:pPr>
              <w:rPr>
                <w:rFonts w:ascii="宋体" w:hAnsi="宋体" w:cs="宋体"/>
                <w:sz w:val="24"/>
              </w:rPr>
            </w:pPr>
            <w:r>
              <w:rPr>
                <w:rFonts w:hint="eastAsia" w:ascii="宋体" w:hAnsi="宋体" w:cs="宋体"/>
                <w:sz w:val="22"/>
                <w:szCs w:val="18"/>
              </w:rPr>
              <w:t>*10.</w:t>
            </w:r>
            <w:r>
              <w:rPr>
                <w:rFonts w:hint="eastAsia" w:ascii="宋体" w:hAnsi="宋体" w:cs="宋体"/>
                <w:sz w:val="24"/>
              </w:rPr>
              <w:t>刷新频率：≥1920Hz</w:t>
            </w:r>
          </w:p>
          <w:p>
            <w:pPr>
              <w:rPr>
                <w:rFonts w:ascii="宋体" w:hAnsi="宋体" w:cs="宋体"/>
                <w:sz w:val="24"/>
              </w:rPr>
            </w:pPr>
            <w:r>
              <w:rPr>
                <w:rFonts w:hint="eastAsia" w:ascii="宋体" w:hAnsi="宋体" w:cs="宋体"/>
                <w:sz w:val="22"/>
                <w:szCs w:val="18"/>
              </w:rPr>
              <w:t>*11.</w:t>
            </w:r>
            <w:r>
              <w:rPr>
                <w:rFonts w:hint="eastAsia" w:ascii="宋体" w:hAnsi="宋体" w:cs="宋体"/>
                <w:sz w:val="24"/>
              </w:rPr>
              <w:t>对比度：≥3000：1；</w:t>
            </w:r>
          </w:p>
          <w:p>
            <w:pPr>
              <w:rPr>
                <w:rFonts w:ascii="宋体" w:hAnsi="宋体" w:cs="宋体"/>
                <w:sz w:val="24"/>
              </w:rPr>
            </w:pPr>
            <w:r>
              <w:rPr>
                <w:rFonts w:hint="eastAsia" w:ascii="宋体" w:hAnsi="宋体" w:cs="宋体"/>
                <w:sz w:val="22"/>
                <w:szCs w:val="18"/>
              </w:rPr>
              <w:t>*12.</w:t>
            </w:r>
            <w:r>
              <w:rPr>
                <w:rFonts w:hint="eastAsia" w:ascii="宋体" w:hAnsi="宋体" w:cs="宋体"/>
                <w:sz w:val="24"/>
              </w:rPr>
              <w:t xml:space="preserve">最佳视距：3m-100m； </w:t>
            </w:r>
          </w:p>
          <w:p>
            <w:pPr>
              <w:rPr>
                <w:rFonts w:ascii="宋体" w:hAnsi="宋体" w:cs="宋体"/>
                <w:sz w:val="24"/>
              </w:rPr>
            </w:pPr>
            <w:r>
              <w:rPr>
                <w:rFonts w:hint="eastAsia" w:ascii="宋体" w:hAnsi="宋体" w:cs="宋体"/>
                <w:sz w:val="22"/>
                <w:szCs w:val="18"/>
              </w:rPr>
              <w:t>*13.</w:t>
            </w:r>
            <w:r>
              <w:rPr>
                <w:rFonts w:hint="eastAsia" w:ascii="宋体" w:hAnsi="宋体" w:cs="宋体"/>
                <w:sz w:val="24"/>
              </w:rPr>
              <w:t>平均无故障时间：≥1000小时；</w:t>
            </w:r>
          </w:p>
          <w:p>
            <w:pPr>
              <w:adjustRightInd w:val="0"/>
              <w:snapToGrid w:val="0"/>
              <w:rPr>
                <w:rFonts w:ascii="宋体" w:hAnsi="宋体"/>
                <w:szCs w:val="21"/>
              </w:rPr>
            </w:pPr>
            <w:r>
              <w:rPr>
                <w:rFonts w:hint="eastAsia" w:ascii="宋体" w:hAnsi="宋体" w:cs="宋体"/>
                <w:sz w:val="22"/>
                <w:szCs w:val="18"/>
              </w:rPr>
              <w:t>*14.</w:t>
            </w:r>
            <w:r>
              <w:rPr>
                <w:rFonts w:hint="eastAsia" w:ascii="宋体" w:hAnsi="宋体" w:cs="宋体"/>
                <w:sz w:val="24"/>
              </w:rPr>
              <w:t>寿命：≥100000小时；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59" w:type="dxa"/>
          </w:tcPr>
          <w:p>
            <w:pPr>
              <w:rPr>
                <w:rFonts w:ascii="Calibri" w:hAnsi="Calibri"/>
                <w:sz w:val="30"/>
                <w:szCs w:val="30"/>
              </w:rPr>
            </w:pPr>
            <w:r>
              <w:rPr>
                <w:rFonts w:hint="eastAsia" w:ascii="Calibri" w:hAnsi="Calibri"/>
                <w:sz w:val="30"/>
                <w:szCs w:val="30"/>
              </w:rPr>
              <w:t>项目提报单位</w:t>
            </w:r>
          </w:p>
        </w:tc>
        <w:tc>
          <w:tcPr>
            <w:tcW w:w="6963" w:type="dxa"/>
            <w:gridSpan w:val="3"/>
          </w:tcPr>
          <w:p>
            <w:pPr>
              <w:spacing w:line="32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trPr>
        <w:tc>
          <w:tcPr>
            <w:tcW w:w="1559" w:type="dxa"/>
          </w:tcPr>
          <w:p>
            <w:pPr>
              <w:rPr>
                <w:rFonts w:ascii="Calibri" w:hAnsi="Calibri"/>
                <w:sz w:val="30"/>
                <w:szCs w:val="30"/>
              </w:rPr>
            </w:pPr>
          </w:p>
          <w:p>
            <w:pPr>
              <w:rPr>
                <w:rFonts w:ascii="Calibri" w:hAnsi="Calibri"/>
                <w:sz w:val="30"/>
                <w:szCs w:val="30"/>
              </w:rPr>
            </w:pPr>
            <w:r>
              <w:rPr>
                <w:rFonts w:hint="eastAsia" w:ascii="Calibri" w:hAnsi="Calibri"/>
                <w:sz w:val="30"/>
                <w:szCs w:val="30"/>
              </w:rPr>
              <w:t>主管部门</w:t>
            </w:r>
          </w:p>
          <w:p>
            <w:pPr>
              <w:rPr>
                <w:rFonts w:ascii="Calibri" w:hAnsi="Calibri"/>
                <w:sz w:val="30"/>
                <w:szCs w:val="30"/>
              </w:rPr>
            </w:pPr>
          </w:p>
        </w:tc>
        <w:tc>
          <w:tcPr>
            <w:tcW w:w="6963" w:type="dxa"/>
            <w:gridSpan w:val="3"/>
          </w:tcPr>
          <w:p>
            <w:pPr>
              <w:spacing w:line="320" w:lineRule="exact"/>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6" w:hRule="atLeast"/>
        </w:trPr>
        <w:tc>
          <w:tcPr>
            <w:tcW w:w="1559" w:type="dxa"/>
            <w:vAlign w:val="center"/>
          </w:tcPr>
          <w:p>
            <w:pPr>
              <w:jc w:val="center"/>
              <w:rPr>
                <w:rFonts w:ascii="Calibri" w:hAnsi="Calibri"/>
                <w:sz w:val="30"/>
                <w:szCs w:val="30"/>
              </w:rPr>
            </w:pPr>
            <w:r>
              <w:rPr>
                <w:rFonts w:hint="eastAsia"/>
                <w:sz w:val="30"/>
                <w:szCs w:val="30"/>
              </w:rPr>
              <w:t>分管领导</w:t>
            </w:r>
          </w:p>
        </w:tc>
        <w:tc>
          <w:tcPr>
            <w:tcW w:w="6963" w:type="dxa"/>
            <w:gridSpan w:val="3"/>
          </w:tcPr>
          <w:p>
            <w:pPr>
              <w:spacing w:line="320" w:lineRule="exact"/>
              <w:rPr>
                <w:rFonts w:ascii="宋体" w:hAnsi="宋体" w:cs="宋体"/>
                <w:color w:val="000000"/>
                <w:sz w:val="28"/>
                <w:szCs w:val="28"/>
              </w:rPr>
            </w:pPr>
          </w:p>
        </w:tc>
      </w:tr>
    </w:tbl>
    <w:p/>
    <w:p>
      <w:pPr>
        <w:rPr>
          <w:rFonts w:ascii="黑体" w:hAnsi="黑体" w:eastAsia="黑体"/>
          <w:sz w:val="32"/>
        </w:rPr>
      </w:pPr>
      <w:r>
        <w:rPr>
          <w:rFonts w:ascii="黑体" w:hAnsi="黑体" w:eastAsia="黑体"/>
          <w:sz w:val="32"/>
        </w:rPr>
        <w:br w:type="page"/>
      </w:r>
    </w:p>
    <w:p>
      <w:pPr>
        <w:rPr>
          <w:rFonts w:ascii="黑体" w:hAnsi="黑体" w:eastAsia="黑体"/>
          <w:sz w:val="32"/>
        </w:rPr>
      </w:pPr>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r>
        <w:rPr>
          <w:rFonts w:ascii="黑体" w:hAnsi="黑体" w:eastAsia="黑体"/>
          <w:b/>
          <w:bCs/>
          <w:sz w:val="32"/>
        </w:rPr>
        <w:br w:type="page"/>
      </w:r>
    </w:p>
    <w:p>
      <w:pPr>
        <w:tabs>
          <w:tab w:val="left" w:pos="1057"/>
          <w:tab w:val="left" w:pos="2340"/>
          <w:tab w:val="center" w:pos="4776"/>
        </w:tabs>
        <w:spacing w:line="480" w:lineRule="auto"/>
        <w:jc w:val="left"/>
        <w:rPr>
          <w:rFonts w:ascii="黑体" w:hAnsi="黑体" w:eastAsia="黑体"/>
          <w:b/>
          <w:bCs/>
          <w:sz w:val="32"/>
        </w:rPr>
      </w:pPr>
    </w:p>
    <w:p>
      <w:pPr>
        <w:numPr>
          <w:ilvl w:val="0"/>
          <w:numId w:val="2"/>
        </w:numPr>
        <w:tabs>
          <w:tab w:val="left" w:pos="1057"/>
          <w:tab w:val="left" w:pos="2340"/>
          <w:tab w:val="center" w:pos="4776"/>
        </w:tabs>
        <w:spacing w:line="480" w:lineRule="auto"/>
        <w:jc w:val="center"/>
        <w:rPr>
          <w:rFonts w:ascii="黑体" w:hAnsi="黑体" w:eastAsia="黑体"/>
          <w:b/>
          <w:bCs/>
          <w:sz w:val="32"/>
        </w:rPr>
      </w:pPr>
      <w:r>
        <w:rPr>
          <w:rFonts w:hint="eastAsia" w:ascii="黑体" w:hAnsi="黑体" w:eastAsia="黑体"/>
          <w:b/>
          <w:bCs/>
          <w:sz w:val="32"/>
        </w:rPr>
        <w:t>供货范围、技术规格、参数与要求</w:t>
      </w:r>
    </w:p>
    <w:p>
      <w:pPr>
        <w:numPr>
          <w:ilvl w:val="0"/>
          <w:numId w:val="3"/>
        </w:numPr>
        <w:adjustRightInd w:val="0"/>
        <w:snapToGrid w:val="0"/>
        <w:spacing w:before="312" w:beforeLines="100" w:after="312" w:afterLines="100" w:line="360" w:lineRule="auto"/>
        <w:ind w:left="2998" w:leftChars="-5" w:hanging="3008" w:hangingChars="1070"/>
        <w:rPr>
          <w:b/>
          <w:sz w:val="28"/>
          <w:szCs w:val="28"/>
        </w:rPr>
      </w:pPr>
      <w:r>
        <w:rPr>
          <w:rFonts w:hint="eastAsia"/>
          <w:b/>
          <w:sz w:val="28"/>
          <w:szCs w:val="28"/>
        </w:rPr>
        <w:t>货物需求一览表</w:t>
      </w:r>
    </w:p>
    <w:tbl>
      <w:tblPr>
        <w:tblStyle w:val="10"/>
        <w:tblpPr w:leftFromText="180" w:rightFromText="180" w:vertAnchor="text" w:horzAnchor="page" w:tblpXSpec="center" w:tblpY="383"/>
        <w:tblW w:w="100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817"/>
        <w:gridCol w:w="1530"/>
        <w:gridCol w:w="615"/>
        <w:gridCol w:w="840"/>
        <w:gridCol w:w="1635"/>
        <w:gridCol w:w="159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817"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53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参考规格型号</w:t>
            </w:r>
          </w:p>
        </w:tc>
        <w:tc>
          <w:tcPr>
            <w:tcW w:w="61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84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1635" w:type="dxa"/>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交货时间</w:t>
            </w:r>
          </w:p>
        </w:tc>
        <w:tc>
          <w:tcPr>
            <w:tcW w:w="159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交货地点</w:t>
            </w:r>
          </w:p>
        </w:tc>
        <w:tc>
          <w:tcPr>
            <w:tcW w:w="128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817"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LED屏改造安装项目</w:t>
            </w:r>
          </w:p>
        </w:tc>
        <w:tc>
          <w:tcPr>
            <w:tcW w:w="1530" w:type="dxa"/>
            <w:vAlign w:val="center"/>
          </w:tcPr>
          <w:p>
            <w:pPr>
              <w:widowControl/>
              <w:jc w:val="center"/>
              <w:rPr>
                <w:rFonts w:ascii="宋体" w:hAnsi="宋体" w:cs="宋体"/>
                <w:color w:val="000000"/>
                <w:kern w:val="0"/>
                <w:sz w:val="18"/>
                <w:szCs w:val="18"/>
                <w:highlight w:val="yellow"/>
              </w:rPr>
            </w:pPr>
          </w:p>
        </w:tc>
        <w:tc>
          <w:tcPr>
            <w:tcW w:w="61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840" w:type="dxa"/>
            <w:vAlign w:val="center"/>
          </w:tcPr>
          <w:p>
            <w:pPr>
              <w:widowControl/>
              <w:jc w:val="center"/>
              <w:rPr>
                <w:rFonts w:ascii="宋体" w:hAnsi="宋体" w:cs="宋体"/>
                <w:b/>
                <w:bCs/>
                <w:color w:val="000000"/>
                <w:kern w:val="0"/>
                <w:szCs w:val="21"/>
              </w:rPr>
            </w:pPr>
            <w:r>
              <w:rPr>
                <w:rFonts w:hint="eastAsia" w:ascii="宋体" w:hAnsi="宋体" w:cs="宋体"/>
                <w:bCs/>
                <w:color w:val="000000"/>
                <w:kern w:val="0"/>
                <w:sz w:val="18"/>
                <w:szCs w:val="18"/>
              </w:rPr>
              <w:t>1</w:t>
            </w:r>
          </w:p>
        </w:tc>
        <w:tc>
          <w:tcPr>
            <w:tcW w:w="1635" w:type="dxa"/>
            <w:vAlign w:val="center"/>
          </w:tcPr>
          <w:p>
            <w:pPr>
              <w:widowControl/>
              <w:jc w:val="center"/>
              <w:rPr>
                <w:rFonts w:ascii="宋体" w:hAnsi="宋体" w:cs="宋体"/>
                <w:b/>
                <w:bCs/>
                <w:kern w:val="0"/>
                <w:szCs w:val="21"/>
              </w:rPr>
            </w:pPr>
          </w:p>
        </w:tc>
        <w:tc>
          <w:tcPr>
            <w:tcW w:w="1590" w:type="dxa"/>
            <w:vAlign w:val="center"/>
          </w:tcPr>
          <w:p>
            <w:pPr>
              <w:widowControl/>
              <w:jc w:val="center"/>
              <w:rPr>
                <w:rFonts w:ascii="宋体" w:hAnsi="宋体" w:cs="宋体"/>
                <w:b/>
                <w:bCs/>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p>
        </w:tc>
        <w:tc>
          <w:tcPr>
            <w:tcW w:w="181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每套包括</w:t>
            </w:r>
          </w:p>
        </w:tc>
        <w:tc>
          <w:tcPr>
            <w:tcW w:w="1530" w:type="dxa"/>
            <w:vAlign w:val="center"/>
          </w:tcPr>
          <w:p>
            <w:pPr>
              <w:widowControl/>
              <w:jc w:val="center"/>
              <w:rPr>
                <w:rFonts w:ascii="宋体" w:hAnsi="宋体" w:cs="宋体"/>
                <w:b/>
                <w:bCs/>
                <w:color w:val="000000"/>
                <w:kern w:val="0"/>
                <w:szCs w:val="21"/>
                <w:highlight w:val="yellow"/>
              </w:rPr>
            </w:pPr>
          </w:p>
        </w:tc>
        <w:tc>
          <w:tcPr>
            <w:tcW w:w="615" w:type="dxa"/>
            <w:vAlign w:val="center"/>
          </w:tcPr>
          <w:p>
            <w:pPr>
              <w:widowControl/>
              <w:jc w:val="center"/>
              <w:rPr>
                <w:rFonts w:ascii="宋体" w:hAnsi="宋体" w:cs="宋体"/>
                <w:b/>
                <w:bCs/>
                <w:color w:val="000000"/>
                <w:kern w:val="0"/>
                <w:szCs w:val="21"/>
              </w:rPr>
            </w:pPr>
          </w:p>
        </w:tc>
        <w:tc>
          <w:tcPr>
            <w:tcW w:w="840" w:type="dxa"/>
            <w:vAlign w:val="center"/>
          </w:tcPr>
          <w:p>
            <w:pPr>
              <w:widowControl/>
              <w:jc w:val="center"/>
              <w:rPr>
                <w:rFonts w:ascii="宋体" w:hAnsi="宋体" w:cs="宋体"/>
                <w:color w:val="000000"/>
                <w:kern w:val="0"/>
                <w:sz w:val="18"/>
                <w:szCs w:val="18"/>
              </w:rPr>
            </w:pPr>
          </w:p>
        </w:tc>
        <w:tc>
          <w:tcPr>
            <w:tcW w:w="1635" w:type="dxa"/>
            <w:vAlign w:val="center"/>
          </w:tcPr>
          <w:p>
            <w:pPr>
              <w:widowControl/>
              <w:jc w:val="center"/>
              <w:rPr>
                <w:rFonts w:ascii="宋体" w:hAnsi="宋体" w:cs="宋体"/>
                <w:b/>
                <w:bCs/>
                <w:kern w:val="0"/>
                <w:szCs w:val="21"/>
              </w:rPr>
            </w:pPr>
          </w:p>
        </w:tc>
        <w:tc>
          <w:tcPr>
            <w:tcW w:w="1590" w:type="dxa"/>
            <w:vAlign w:val="center"/>
          </w:tcPr>
          <w:p>
            <w:pPr>
              <w:widowControl/>
              <w:jc w:val="center"/>
              <w:textAlignment w:val="center"/>
              <w:rPr>
                <w:rFonts w:ascii="宋体" w:hAnsi="宋体" w:cs="宋体"/>
                <w:b/>
                <w:bCs/>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1</w:t>
            </w:r>
          </w:p>
        </w:tc>
        <w:tc>
          <w:tcPr>
            <w:tcW w:w="1817" w:type="dxa"/>
            <w:shd w:val="clear" w:color="auto" w:fill="auto"/>
            <w:vAlign w:val="center"/>
          </w:tcPr>
          <w:p>
            <w:pPr>
              <w:widowControl/>
              <w:jc w:val="center"/>
              <w:textAlignment w:val="center"/>
              <w:rPr>
                <w:rFonts w:ascii="宋体" w:hAnsi="宋体" w:cs="宋体"/>
                <w:bCs/>
                <w:kern w:val="0"/>
                <w:sz w:val="18"/>
                <w:szCs w:val="18"/>
              </w:rPr>
            </w:pPr>
            <w:r>
              <w:rPr>
                <w:rFonts w:hint="eastAsia" w:ascii="宋体" w:hAnsi="宋体" w:cs="宋体"/>
                <w:bCs/>
                <w:kern w:val="0"/>
                <w:sz w:val="18"/>
                <w:szCs w:val="18"/>
              </w:rPr>
              <w:t>LED屏</w:t>
            </w:r>
          </w:p>
        </w:tc>
        <w:tc>
          <w:tcPr>
            <w:tcW w:w="1530" w:type="dxa"/>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P3</w:t>
            </w:r>
          </w:p>
        </w:tc>
        <w:tc>
          <w:tcPr>
            <w:tcW w:w="615"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平米</w:t>
            </w:r>
          </w:p>
        </w:tc>
        <w:tc>
          <w:tcPr>
            <w:tcW w:w="840"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635" w:type="dxa"/>
            <w:vAlign w:val="center"/>
          </w:tcPr>
          <w:p>
            <w:pPr>
              <w:widowControl/>
              <w:jc w:val="center"/>
              <w:rPr>
                <w:rFonts w:ascii="宋体" w:hAnsi="宋体" w:cs="宋体"/>
                <w:bCs/>
                <w:kern w:val="0"/>
                <w:sz w:val="18"/>
                <w:szCs w:val="18"/>
              </w:rPr>
            </w:pPr>
          </w:p>
        </w:tc>
        <w:tc>
          <w:tcPr>
            <w:tcW w:w="1590" w:type="dxa"/>
            <w:vAlign w:val="center"/>
          </w:tcPr>
          <w:p>
            <w:pPr>
              <w:widowControl/>
              <w:jc w:val="center"/>
              <w:textAlignment w:val="center"/>
              <w:rPr>
                <w:rFonts w:ascii="宋体" w:hAnsi="宋体" w:cs="宋体"/>
                <w:kern w:val="0"/>
                <w:sz w:val="18"/>
                <w:szCs w:val="18"/>
              </w:rPr>
            </w:pPr>
          </w:p>
        </w:tc>
        <w:tc>
          <w:tcPr>
            <w:tcW w:w="1280" w:type="dxa"/>
            <w:vAlign w:val="center"/>
          </w:tcPr>
          <w:p>
            <w:pPr>
              <w:widowControl/>
              <w:jc w:val="center"/>
              <w:textAlignment w:val="center"/>
              <w:rPr>
                <w:rFonts w:ascii="宋体" w:hAnsi="宋体" w:cs="宋体"/>
                <w:bCs/>
                <w:kern w:val="0"/>
                <w:sz w:val="18"/>
                <w:szCs w:val="18"/>
              </w:rPr>
            </w:pPr>
          </w:p>
        </w:tc>
      </w:tr>
    </w:tbl>
    <w:p>
      <w:pPr>
        <w:spacing w:before="240" w:line="360" w:lineRule="auto"/>
        <w:jc w:val="center"/>
        <w:rPr>
          <w:rFonts w:ascii="宋体" w:hAnsi="宋体"/>
          <w:b/>
          <w:bCs/>
          <w:sz w:val="24"/>
        </w:rPr>
      </w:pPr>
      <w:r>
        <w:rPr>
          <w:rFonts w:hint="eastAsia" w:ascii="宋体" w:hAnsi="宋体"/>
          <w:b/>
          <w:bCs/>
          <w:sz w:val="24"/>
        </w:rPr>
        <w:br w:type="page"/>
      </w:r>
    </w:p>
    <w:p>
      <w:pPr>
        <w:spacing w:before="240" w:line="360" w:lineRule="auto"/>
        <w:jc w:val="center"/>
        <w:rPr>
          <w:rFonts w:ascii="宋体" w:hAnsi="宋体"/>
          <w:b/>
          <w:bCs/>
          <w:sz w:val="24"/>
        </w:rPr>
      </w:pPr>
      <w:r>
        <w:rPr>
          <w:rFonts w:hint="eastAsia" w:ascii="宋体" w:hAnsi="宋体"/>
          <w:b/>
          <w:bCs/>
          <w:sz w:val="24"/>
        </w:rPr>
        <w:t>分项报价表</w:t>
      </w:r>
    </w:p>
    <w:tbl>
      <w:tblPr>
        <w:tblStyle w:val="10"/>
        <w:tblW w:w="829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
        <w:gridCol w:w="2726"/>
        <w:gridCol w:w="865"/>
        <w:gridCol w:w="836"/>
        <w:gridCol w:w="1578"/>
        <w:gridCol w:w="13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序号</w:t>
            </w:r>
          </w:p>
        </w:tc>
        <w:tc>
          <w:tcPr>
            <w:tcW w:w="272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名称</w:t>
            </w:r>
          </w:p>
        </w:tc>
        <w:tc>
          <w:tcPr>
            <w:tcW w:w="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单位</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数量</w:t>
            </w:r>
          </w:p>
        </w:tc>
        <w:tc>
          <w:tcPr>
            <w:tcW w:w="1578"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单价（元）</w:t>
            </w:r>
          </w:p>
        </w:tc>
        <w:tc>
          <w:tcPr>
            <w:tcW w:w="1341"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Pr>
          <w:p>
            <w:pPr>
              <w:pStyle w:val="5"/>
              <w:jc w:val="center"/>
              <w:rPr>
                <w:rFonts w:hAnsi="宋体"/>
              </w:rPr>
            </w:pPr>
            <w:r>
              <w:rPr>
                <w:rFonts w:hint="eastAsia" w:hAnsi="宋体"/>
              </w:rPr>
              <w:t>1</w:t>
            </w:r>
          </w:p>
        </w:tc>
        <w:tc>
          <w:tcPr>
            <w:tcW w:w="2726" w:type="dxa"/>
            <w:shd w:val="clear" w:color="auto" w:fill="auto"/>
            <w:vAlign w:val="center"/>
          </w:tcPr>
          <w:p>
            <w:pPr>
              <w:widowControl/>
              <w:jc w:val="center"/>
              <w:textAlignment w:val="center"/>
              <w:rPr>
                <w:rFonts w:ascii="宋体" w:hAnsi="宋体" w:cs="宋体"/>
                <w:bCs/>
                <w:kern w:val="0"/>
                <w:sz w:val="18"/>
                <w:szCs w:val="18"/>
              </w:rPr>
            </w:pPr>
            <w:r>
              <w:rPr>
                <w:rFonts w:hint="eastAsia" w:ascii="宋体" w:hAnsi="宋体" w:cs="宋体"/>
                <w:bCs/>
                <w:kern w:val="0"/>
                <w:sz w:val="18"/>
                <w:szCs w:val="18"/>
              </w:rPr>
              <w:t>LED屏</w:t>
            </w:r>
          </w:p>
        </w:tc>
        <w:tc>
          <w:tcPr>
            <w:tcW w:w="865"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平米</w:t>
            </w:r>
          </w:p>
        </w:tc>
        <w:tc>
          <w:tcPr>
            <w:tcW w:w="836"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578" w:type="dxa"/>
          </w:tcPr>
          <w:p>
            <w:pPr>
              <w:pStyle w:val="5"/>
              <w:jc w:val="center"/>
              <w:rPr>
                <w:rFonts w:hAnsi="宋体"/>
              </w:rPr>
            </w:pPr>
          </w:p>
        </w:tc>
        <w:tc>
          <w:tcPr>
            <w:tcW w:w="1341" w:type="dxa"/>
          </w:tcPr>
          <w:p>
            <w:pPr>
              <w:pStyle w:val="5"/>
              <w:jc w:val="center"/>
              <w:rPr>
                <w:rFonts w:hAnsi="宋体"/>
              </w:rPr>
            </w:pPr>
          </w:p>
        </w:tc>
      </w:tr>
    </w:tbl>
    <w:p>
      <w:pPr>
        <w:tabs>
          <w:tab w:val="left" w:pos="7168"/>
        </w:tabs>
        <w:adjustRightInd w:val="0"/>
        <w:snapToGrid w:val="0"/>
        <w:spacing w:before="312" w:beforeLines="100" w:after="312" w:afterLines="100" w:line="360" w:lineRule="auto"/>
        <w:rPr>
          <w:b/>
          <w:szCs w:val="21"/>
        </w:rPr>
      </w:pPr>
      <w:r>
        <w:rPr>
          <w:b/>
          <w:szCs w:val="21"/>
        </w:rPr>
        <w:br w:type="page"/>
      </w:r>
    </w:p>
    <w:p>
      <w:pPr>
        <w:adjustRightInd w:val="0"/>
        <w:snapToGrid w:val="0"/>
        <w:spacing w:before="312" w:beforeLines="100" w:after="312" w:afterLines="100" w:line="360" w:lineRule="auto"/>
        <w:rPr>
          <w:b/>
          <w:sz w:val="28"/>
          <w:szCs w:val="28"/>
        </w:rPr>
      </w:pPr>
      <w:r>
        <w:rPr>
          <w:rFonts w:hint="eastAsia"/>
          <w:b/>
          <w:sz w:val="28"/>
          <w:szCs w:val="28"/>
        </w:rPr>
        <w:t>二、工作环境</w:t>
      </w:r>
    </w:p>
    <w:p>
      <w:pPr>
        <w:adjustRightInd w:val="0"/>
        <w:snapToGrid w:val="0"/>
        <w:spacing w:line="360" w:lineRule="auto"/>
        <w:ind w:left="699" w:leftChars="333"/>
        <w:rPr>
          <w:rFonts w:ascii="宋体" w:hAns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699" w:leftChars="333"/>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699" w:leftChars="333"/>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699" w:leftChars="333"/>
        <w:rPr>
          <w:rFonts w:ascii="宋体" w:hAnsi="宋体"/>
          <w:szCs w:val="21"/>
        </w:rPr>
      </w:pPr>
      <w:r>
        <w:rPr>
          <w:rFonts w:hint="eastAsia" w:ascii="宋体" w:hAnsi="宋体"/>
          <w:szCs w:val="21"/>
        </w:rPr>
        <w:t>环境相对湿度：</w:t>
      </w:r>
      <w:r>
        <w:rPr>
          <w:rFonts w:hint="eastAsia" w:ascii="宋体" w:hAnsi="宋体"/>
          <w:szCs w:val="21"/>
          <w:u w:val="single"/>
        </w:rPr>
        <w:t>95％</w:t>
      </w:r>
      <w:r>
        <w:rPr>
          <w:rFonts w:hint="eastAsia" w:ascii="宋体" w:hAnsi="宋体"/>
          <w:szCs w:val="21"/>
        </w:rPr>
        <w:t>。</w:t>
      </w:r>
    </w:p>
    <w:p>
      <w:pPr>
        <w:adjustRightInd w:val="0"/>
        <w:snapToGrid w:val="0"/>
        <w:spacing w:line="360" w:lineRule="auto"/>
        <w:ind w:left="699" w:leftChars="333"/>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699" w:leftChars="333"/>
        <w:rPr>
          <w:rFonts w:ascii="宋体" w:hAnsi="宋体"/>
          <w:szCs w:val="21"/>
        </w:rPr>
      </w:pPr>
      <w:r>
        <w:rPr>
          <w:rFonts w:hint="eastAsia" w:ascii="宋体" w:hAnsi="宋体"/>
          <w:szCs w:val="21"/>
        </w:rPr>
        <w:t>海拔高度：</w:t>
      </w:r>
      <w:r>
        <w:rPr>
          <w:rFonts w:hint="eastAsia" w:ascii="宋体" w:hAnsi="宋体"/>
          <w:szCs w:val="21"/>
          <w:u w:val="single"/>
        </w:rPr>
        <w:t>≤1400m</w:t>
      </w:r>
      <w:r>
        <w:rPr>
          <w:rFonts w:hint="eastAsia" w:ascii="宋体" w:hAnsi="宋体"/>
          <w:szCs w:val="21"/>
        </w:rPr>
        <w:t>。</w:t>
      </w:r>
    </w:p>
    <w:p>
      <w:pPr>
        <w:adjustRightInd w:val="0"/>
        <w:snapToGrid w:val="0"/>
        <w:spacing w:line="360" w:lineRule="auto"/>
        <w:ind w:left="699" w:leftChars="333"/>
        <w:rPr>
          <w:b/>
          <w:szCs w:val="21"/>
        </w:rPr>
      </w:pPr>
      <w:r>
        <w:rPr>
          <w:rFonts w:hint="eastAsia" w:ascii="宋体" w:hAnsi="宋体"/>
          <w:szCs w:val="21"/>
        </w:rPr>
        <w:t>安装地点：</w:t>
      </w:r>
      <w:r>
        <w:rPr>
          <w:rFonts w:hint="eastAsia" w:ascii="宋体" w:hAnsi="宋体" w:cs="宋体"/>
          <w:kern w:val="0"/>
          <w:szCs w:val="21"/>
          <w:u w:val="single"/>
        </w:rPr>
        <w:t>神东国际交流中心上湾文体馆</w:t>
      </w:r>
      <w:r>
        <w:rPr>
          <w:rFonts w:hint="eastAsia" w:ascii="宋体" w:hAnsi="宋体"/>
          <w:szCs w:val="21"/>
        </w:rPr>
        <w:t>。</w:t>
      </w:r>
    </w:p>
    <w:p>
      <w:pPr>
        <w:adjustRightInd w:val="0"/>
        <w:snapToGrid w:val="0"/>
        <w:spacing w:before="312" w:beforeLines="100" w:after="312" w:afterLines="100" w:line="360" w:lineRule="auto"/>
        <w:rPr>
          <w:b/>
          <w:color w:val="000000"/>
          <w:sz w:val="28"/>
          <w:szCs w:val="28"/>
        </w:rPr>
      </w:pPr>
      <w:r>
        <w:rPr>
          <w:rFonts w:hint="eastAsia"/>
          <w:b/>
          <w:sz w:val="28"/>
          <w:szCs w:val="28"/>
        </w:rPr>
        <w:t>三、</w:t>
      </w:r>
      <w:r>
        <w:rPr>
          <w:rFonts w:hint="eastAsia"/>
          <w:b/>
          <w:color w:val="000000"/>
          <w:sz w:val="28"/>
          <w:szCs w:val="28"/>
        </w:rPr>
        <w:t>技术参数及要求</w:t>
      </w:r>
    </w:p>
    <w:p>
      <w:pPr>
        <w:widowControl/>
        <w:spacing w:line="360" w:lineRule="auto"/>
        <w:jc w:val="left"/>
        <w:rPr>
          <w:rFonts w:ascii="宋体" w:hAnsi="宋体" w:cs="宋体"/>
          <w:bCs/>
          <w:color w:val="000000"/>
          <w:kern w:val="0"/>
          <w:szCs w:val="21"/>
        </w:rPr>
      </w:pPr>
    </w:p>
    <w:p>
      <w:pPr>
        <w:numPr>
          <w:ilvl w:val="0"/>
          <w:numId w:val="0"/>
        </w:numPr>
        <w:adjustRightInd w:val="0"/>
        <w:snapToGrid w:val="0"/>
        <w:spacing w:line="360" w:lineRule="auto"/>
        <w:rPr>
          <w:rFonts w:ascii="宋体" w:hAnsi="宋体"/>
          <w:b/>
          <w:bCs/>
          <w:sz w:val="24"/>
        </w:rPr>
      </w:pPr>
      <w:r>
        <w:rPr>
          <w:rFonts w:hint="eastAsia" w:ascii="宋体" w:hAnsi="宋体"/>
          <w:b/>
          <w:bCs/>
          <w:sz w:val="24"/>
          <w:lang w:val="en-US" w:eastAsia="zh-CN"/>
        </w:rPr>
        <w:t>1.</w:t>
      </w:r>
      <w:r>
        <w:rPr>
          <w:rFonts w:hint="eastAsia" w:ascii="宋体" w:hAnsi="宋体"/>
          <w:b/>
          <w:bCs/>
          <w:sz w:val="24"/>
        </w:rPr>
        <w:t>LED屏</w:t>
      </w:r>
    </w:p>
    <w:p>
      <w:pPr>
        <w:adjustRightInd w:val="0"/>
        <w:snapToGrid w:val="0"/>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.1</w:t>
      </w:r>
      <w:r>
        <w:rPr>
          <w:rFonts w:hint="eastAsia" w:ascii="宋体" w:hAnsi="宋体"/>
          <w:sz w:val="21"/>
          <w:szCs w:val="21"/>
        </w:rPr>
        <w:t>像素间距（mm）3</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.2像素结构：屏幕选用表贴三合一全彩LED显示屏</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.3驱动方式：恒流驱动， 1/16扫 ；</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.4重量：≤25Kg/m2；</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.5平整度误差：≤0.1mm ；</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.6均匀性：整屏亮度均匀性≥97%，具有单点亮度校正功能；整屏色度均匀性±0.003Cx，Cy之内，具有单点色度校正功能；</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.7最佳视角：水平视角≥160度；</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.8白平衡亮度：≥1000～1500cd/m²</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.9色温：3200K-9300K（可调）</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.10刷新频率：≥1920Hz</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.11对比度：≥3000：1；</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 xml:space="preserve">.12最佳视距：3m-100m； </w:t>
      </w:r>
    </w:p>
    <w:p>
      <w:pPr>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.13平均无故障时间：≥1000小时；</w:t>
      </w:r>
    </w:p>
    <w:p>
      <w:pPr>
        <w:adjustRightInd w:val="0"/>
        <w:snapToGrid w:val="0"/>
        <w:spacing w:line="360" w:lineRule="auto"/>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1</w:t>
      </w:r>
      <w:r>
        <w:rPr>
          <w:rFonts w:hint="eastAsia" w:ascii="宋体" w:hAnsi="宋体" w:cs="宋体"/>
          <w:sz w:val="21"/>
          <w:szCs w:val="21"/>
        </w:rPr>
        <w:t>.14寿命：≥100000小时；</w:t>
      </w:r>
    </w:p>
    <w:p>
      <w:pPr>
        <w:spacing w:line="500" w:lineRule="exact"/>
        <w:rPr>
          <w:rFonts w:ascii="宋体" w:hAnsi="宋体" w:cs="宋体"/>
          <w:b/>
          <w:bCs/>
          <w:color w:val="000000"/>
          <w:sz w:val="24"/>
        </w:rPr>
      </w:pPr>
      <w:bookmarkStart w:id="4" w:name="_Toc357086143"/>
      <w:bookmarkStart w:id="5" w:name="_Toc357086144"/>
      <w:bookmarkStart w:id="6" w:name="_Toc357086145"/>
      <w:r>
        <w:rPr>
          <w:rFonts w:hint="eastAsia" w:ascii="宋体" w:hAnsi="宋体" w:cs="宋体"/>
          <w:b/>
          <w:bCs/>
          <w:color w:val="000000"/>
          <w:sz w:val="24"/>
          <w:lang w:val="en-US" w:eastAsia="zh-CN"/>
        </w:rPr>
        <w:t>2</w:t>
      </w:r>
      <w:r>
        <w:rPr>
          <w:rFonts w:hint="eastAsia" w:ascii="宋体" w:hAnsi="宋体" w:cs="宋体"/>
          <w:b/>
          <w:bCs/>
          <w:color w:val="000000"/>
          <w:sz w:val="24"/>
        </w:rPr>
        <w:t>．安全技术要求</w:t>
      </w:r>
    </w:p>
    <w:p>
      <w:pPr>
        <w:adjustRightInd w:val="0"/>
        <w:snapToGrid w:val="0"/>
        <w:spacing w:line="360" w:lineRule="auto"/>
        <w:ind w:left="636" w:hanging="636" w:hangingChars="303"/>
        <w:rPr>
          <w:rFonts w:ascii="宋体" w:hAnsi="宋体"/>
          <w:szCs w:val="21"/>
        </w:rPr>
      </w:pPr>
      <w:r>
        <w:rPr>
          <w:rFonts w:hint="eastAsia" w:ascii="宋体" w:hAnsi="宋体"/>
          <w:szCs w:val="21"/>
          <w:lang w:val="en-US" w:eastAsia="zh-CN"/>
        </w:rPr>
        <w:t>2</w:t>
      </w:r>
      <w:r>
        <w:rPr>
          <w:rFonts w:hint="eastAsia" w:ascii="宋体" w:hAnsi="宋体"/>
          <w:szCs w:val="21"/>
        </w:rPr>
        <w:t>.1  卖方应对设备的安全性负责，在设计时应注意到整体和局部的安全性问题。</w:t>
      </w:r>
    </w:p>
    <w:p>
      <w:pPr>
        <w:adjustRightInd w:val="0"/>
        <w:snapToGrid w:val="0"/>
        <w:spacing w:line="360" w:lineRule="auto"/>
        <w:ind w:left="636" w:hanging="636" w:hangingChars="303"/>
        <w:rPr>
          <w:rFonts w:ascii="宋体" w:hAnsi="宋体"/>
          <w:szCs w:val="21"/>
        </w:rPr>
      </w:pPr>
      <w:r>
        <w:rPr>
          <w:rFonts w:hint="eastAsia" w:ascii="宋体" w:hAnsi="宋体"/>
          <w:szCs w:val="21"/>
          <w:lang w:val="en-US" w:eastAsia="zh-CN"/>
        </w:rPr>
        <w:t>2</w:t>
      </w:r>
      <w:r>
        <w:rPr>
          <w:rFonts w:hint="eastAsia" w:ascii="宋体" w:hAnsi="宋体"/>
          <w:szCs w:val="21"/>
        </w:rPr>
        <w:t>.2  电气系统所使用的电线和电缆为各种铜芯电线和电缆，必须具有耐高温、防火、机械强度高、安全可靠的特性。</w:t>
      </w:r>
    </w:p>
    <w:p>
      <w:pPr>
        <w:adjustRightInd w:val="0"/>
        <w:snapToGrid w:val="0"/>
        <w:spacing w:line="360" w:lineRule="auto"/>
        <w:ind w:left="636" w:hanging="636" w:hangingChars="303"/>
        <w:rPr>
          <w:rFonts w:ascii="宋体" w:hAnsi="宋体"/>
          <w:szCs w:val="21"/>
        </w:rPr>
      </w:pPr>
      <w:r>
        <w:rPr>
          <w:rFonts w:hint="eastAsia" w:ascii="宋体" w:hAnsi="宋体"/>
          <w:szCs w:val="21"/>
          <w:lang w:val="en-US" w:eastAsia="zh-CN"/>
        </w:rPr>
        <w:t>2</w:t>
      </w:r>
      <w:r>
        <w:rPr>
          <w:rFonts w:hint="eastAsia" w:ascii="宋体" w:hAnsi="宋体"/>
          <w:szCs w:val="21"/>
        </w:rPr>
        <w:t>.3  在使用过程中，防水、防电、防潮、防腐蚀。</w:t>
      </w:r>
    </w:p>
    <w:p>
      <w:pPr>
        <w:adjustRightInd w:val="0"/>
        <w:snapToGrid w:val="0"/>
        <w:spacing w:line="360" w:lineRule="auto"/>
        <w:ind w:left="636" w:hanging="636" w:hangingChars="303"/>
        <w:rPr>
          <w:rFonts w:ascii="宋体" w:hAnsi="宋体"/>
          <w:szCs w:val="21"/>
        </w:rPr>
      </w:pPr>
      <w:r>
        <w:rPr>
          <w:rFonts w:hint="eastAsia" w:ascii="宋体" w:hAnsi="宋体"/>
          <w:szCs w:val="21"/>
          <w:lang w:val="en-US" w:eastAsia="zh-CN"/>
        </w:rPr>
        <w:t>2</w:t>
      </w:r>
      <w:r>
        <w:rPr>
          <w:rFonts w:hint="eastAsia" w:ascii="宋体" w:hAnsi="宋体"/>
          <w:szCs w:val="21"/>
        </w:rPr>
        <w:t>.4  设备的噪音和振动应符合国家相关标准。</w:t>
      </w:r>
    </w:p>
    <w:p>
      <w:pPr>
        <w:spacing w:line="500" w:lineRule="exact"/>
        <w:rPr>
          <w:rFonts w:ascii="宋体" w:hAnsi="宋体" w:cs="宋体"/>
          <w:b/>
          <w:color w:val="000000"/>
          <w:sz w:val="24"/>
        </w:rPr>
      </w:pPr>
      <w:r>
        <w:rPr>
          <w:rFonts w:hint="eastAsia" w:ascii="宋体" w:hAnsi="宋体" w:cs="宋体"/>
          <w:b/>
          <w:color w:val="000000"/>
          <w:sz w:val="24"/>
          <w:lang w:val="en-US" w:eastAsia="zh-CN"/>
        </w:rPr>
        <w:t>3</w:t>
      </w:r>
      <w:r>
        <w:rPr>
          <w:rFonts w:hint="eastAsia" w:ascii="宋体" w:hAnsi="宋体" w:cs="宋体"/>
          <w:b/>
          <w:color w:val="000000"/>
          <w:sz w:val="24"/>
        </w:rPr>
        <w:t>. 招标人提出的特别技术要求</w:t>
      </w:r>
    </w:p>
    <w:p>
      <w:pPr>
        <w:widowControl/>
        <w:ind w:left="0" w:leftChars="0" w:hanging="10" w:firstLineChars="0"/>
        <w:jc w:val="left"/>
        <w:rPr>
          <w:rFonts w:ascii="宋体" w:hAnsi="宋体"/>
          <w:szCs w:val="21"/>
        </w:rPr>
      </w:pPr>
    </w:p>
    <w:p>
      <w:pPr>
        <w:adjustRightInd w:val="0"/>
        <w:snapToGrid w:val="0"/>
        <w:spacing w:line="360" w:lineRule="auto"/>
        <w:ind w:left="14" w:leftChars="0" w:hanging="14" w:hangingChars="7"/>
        <w:rPr>
          <w:rFonts w:hint="eastAsia"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1</w:t>
      </w:r>
      <w:r>
        <w:rPr>
          <w:rFonts w:hint="eastAsia" w:ascii="宋体" w:hAnsi="宋体" w:cs="宋体"/>
          <w:color w:val="000000"/>
          <w:kern w:val="0"/>
          <w:szCs w:val="21"/>
        </w:rPr>
        <w:t>为了完全满足使用单位的要求和标准，以及和现有设备兼容匹配，要求投标人在投标前要进行现场勘测和技术交流，出具本品牌的设计及方案。投标时应出具使用单位盖章的现场踏勘证明</w:t>
      </w:r>
      <w:r>
        <w:rPr>
          <w:rFonts w:hint="eastAsia" w:ascii="宋体" w:hAnsi="宋体"/>
          <w:szCs w:val="21"/>
        </w:rPr>
        <w:t>。</w:t>
      </w:r>
    </w:p>
    <w:p>
      <w:pPr>
        <w:spacing w:line="360" w:lineRule="auto"/>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2由于LED品产品质量参差不齐，故推荐LED屏品牌范围：利亚德、迈锐、巴科、彩易达、科伦特</w:t>
      </w:r>
    </w:p>
    <w:p>
      <w:pPr>
        <w:adjustRightInd w:val="0"/>
        <w:snapToGrid w:val="0"/>
        <w:spacing w:line="360" w:lineRule="auto"/>
        <w:rPr>
          <w:rFonts w:ascii="宋体" w:hAnsi="宋体"/>
          <w:szCs w:val="21"/>
        </w:rPr>
      </w:pP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3</w:t>
      </w:r>
      <w:r>
        <w:rPr>
          <w:rFonts w:hint="eastAsia" w:ascii="宋体" w:hAnsi="宋体"/>
          <w:szCs w:val="21"/>
        </w:rPr>
        <w:t xml:space="preserve"> 必须对所有技术条款逐条解释并满足使用环境。</w:t>
      </w:r>
    </w:p>
    <w:p>
      <w:pPr>
        <w:adjustRightInd w:val="0"/>
        <w:snapToGrid w:val="0"/>
        <w:spacing w:line="360" w:lineRule="auto"/>
        <w:ind w:left="0" w:leftChars="0" w:hanging="10" w:firstLineChars="0"/>
        <w:rPr>
          <w:rFonts w:ascii="宋体" w:hAnsi="宋体"/>
          <w:szCs w:val="21"/>
        </w:rPr>
      </w:pP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4</w:t>
      </w:r>
      <w:r>
        <w:rPr>
          <w:rFonts w:hint="eastAsia" w:ascii="宋体" w:hAnsi="宋体"/>
          <w:szCs w:val="21"/>
        </w:rPr>
        <w:t xml:space="preserve"> 未说明事项必须符合合同规定的要求和相关标准、中国国家标准、规范以及国际标准和双方认可的标准。</w:t>
      </w:r>
    </w:p>
    <w:p>
      <w:pPr>
        <w:adjustRightInd w:val="0"/>
        <w:snapToGrid w:val="0"/>
        <w:spacing w:line="360" w:lineRule="auto"/>
        <w:ind w:left="840" w:hanging="840" w:hangingChars="400"/>
        <w:rPr>
          <w:rFonts w:ascii="宋体" w:hAnsi="宋体"/>
          <w:szCs w:val="21"/>
        </w:rPr>
      </w:pP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5</w:t>
      </w:r>
      <w:r>
        <w:rPr>
          <w:rFonts w:hint="eastAsia" w:ascii="宋体" w:hAnsi="宋体"/>
          <w:szCs w:val="21"/>
        </w:rPr>
        <w:t xml:space="preserve">  上表分项报价合计价格与投标报价设备总价格必须一致。</w:t>
      </w:r>
    </w:p>
    <w:p>
      <w:pPr>
        <w:adjustRightInd w:val="0"/>
        <w:snapToGrid w:val="0"/>
        <w:spacing w:line="360" w:lineRule="auto"/>
        <w:ind w:left="840" w:hanging="840" w:hangingChars="400"/>
        <w:rPr>
          <w:rFonts w:ascii="宋体" w:hAnsi="宋体"/>
          <w:szCs w:val="21"/>
        </w:rPr>
      </w:pP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6</w:t>
      </w:r>
      <w:r>
        <w:rPr>
          <w:rFonts w:hint="eastAsia" w:ascii="宋体" w:hAnsi="宋体"/>
          <w:szCs w:val="21"/>
        </w:rPr>
        <w:t xml:space="preserve">  供货时和使用单位签订技术协议。</w:t>
      </w:r>
    </w:p>
    <w:p>
      <w:pPr>
        <w:spacing w:line="500" w:lineRule="exact"/>
        <w:rPr>
          <w:rFonts w:ascii="宋体" w:hAnsi="宋体" w:cs="宋体"/>
          <w:color w:val="000000"/>
          <w:szCs w:val="21"/>
        </w:rPr>
      </w:pPr>
    </w:p>
    <w:p>
      <w:pPr>
        <w:spacing w:line="500" w:lineRule="exact"/>
        <w:rPr>
          <w:rFonts w:ascii="宋体" w:hAnsi="宋体" w:cs="宋体"/>
          <w:b/>
          <w:color w:val="000000"/>
          <w:sz w:val="24"/>
        </w:rPr>
      </w:pPr>
      <w:r>
        <w:rPr>
          <w:rFonts w:hint="eastAsia" w:ascii="宋体" w:hAnsi="宋体" w:cs="宋体"/>
          <w:b/>
          <w:color w:val="000000"/>
          <w:sz w:val="24"/>
          <w:lang w:val="en-US" w:eastAsia="zh-CN"/>
        </w:rPr>
        <w:t>4</w:t>
      </w:r>
      <w:r>
        <w:rPr>
          <w:rFonts w:hint="eastAsia" w:ascii="宋体" w:hAnsi="宋体" w:cs="宋体"/>
          <w:b/>
          <w:color w:val="000000"/>
          <w:sz w:val="24"/>
        </w:rPr>
        <w:t>. 标准</w:t>
      </w:r>
    </w:p>
    <w:p>
      <w:pPr>
        <w:adjustRightInd w:val="0"/>
        <w:snapToGrid w:val="0"/>
        <w:spacing w:line="360" w:lineRule="auto"/>
        <w:ind w:left="840" w:hanging="840" w:hangingChars="400"/>
        <w:rPr>
          <w:rFonts w:ascii="宋体" w:hAnsi="宋体"/>
          <w:szCs w:val="21"/>
        </w:rPr>
      </w:pPr>
      <w:r>
        <w:rPr>
          <w:rFonts w:hint="eastAsia" w:ascii="宋体" w:hAnsi="宋体"/>
          <w:szCs w:val="21"/>
          <w:lang w:val="en-US" w:eastAsia="zh-CN"/>
        </w:rPr>
        <w:t>4</w:t>
      </w:r>
      <w:r>
        <w:rPr>
          <w:rFonts w:hint="eastAsia" w:ascii="宋体" w:hAnsi="宋体"/>
          <w:szCs w:val="21"/>
        </w:rPr>
        <w:t>.1   所供应的货物将按下列标准（推荐）进行设计和制造</w:t>
      </w:r>
    </w:p>
    <w:p>
      <w:pPr>
        <w:adjustRightInd w:val="0"/>
        <w:snapToGrid w:val="0"/>
        <w:spacing w:line="360" w:lineRule="auto"/>
        <w:ind w:left="840" w:leftChars="300" w:hanging="210" w:hangingChars="100"/>
        <w:rPr>
          <w:rFonts w:ascii="宋体" w:hAnsi="宋体"/>
          <w:szCs w:val="21"/>
        </w:rPr>
      </w:pPr>
      <w:r>
        <w:rPr>
          <w:rFonts w:hint="eastAsia" w:ascii="宋体" w:hAnsi="宋体"/>
          <w:szCs w:val="21"/>
        </w:rPr>
        <w:t>电器:     IEC标准/EN标准        机械:     ISO标准</w:t>
      </w:r>
    </w:p>
    <w:p>
      <w:pPr>
        <w:adjustRightInd w:val="0"/>
        <w:snapToGrid w:val="0"/>
        <w:spacing w:line="360" w:lineRule="auto"/>
        <w:ind w:left="840" w:hanging="840" w:hangingChars="400"/>
        <w:rPr>
          <w:rFonts w:ascii="宋体" w:hAnsi="宋体"/>
          <w:szCs w:val="21"/>
        </w:rPr>
      </w:pPr>
      <w:r>
        <w:rPr>
          <w:rFonts w:hint="eastAsia" w:ascii="宋体" w:hAnsi="宋体"/>
          <w:szCs w:val="21"/>
          <w:lang w:val="en-US" w:eastAsia="zh-CN"/>
        </w:rPr>
        <w:t>4</w:t>
      </w:r>
      <w:r>
        <w:rPr>
          <w:rFonts w:hint="eastAsia" w:ascii="宋体" w:hAnsi="宋体"/>
          <w:szCs w:val="21"/>
        </w:rPr>
        <w:t>.2   设备的设计与制造要求采用国际公制单位，个别部件采用英制单位应列出清单。</w:t>
      </w:r>
    </w:p>
    <w:p>
      <w:pPr>
        <w:adjustRightInd w:val="0"/>
        <w:snapToGrid w:val="0"/>
        <w:spacing w:line="360" w:lineRule="auto"/>
        <w:ind w:left="840" w:hanging="840" w:hangingChars="400"/>
        <w:rPr>
          <w:rFonts w:ascii="宋体" w:hAnsi="宋体"/>
          <w:szCs w:val="21"/>
        </w:rPr>
      </w:pPr>
      <w:r>
        <w:rPr>
          <w:rFonts w:hint="eastAsia" w:ascii="宋体" w:hAnsi="宋体"/>
          <w:szCs w:val="21"/>
          <w:lang w:val="en-US" w:eastAsia="zh-CN"/>
        </w:rPr>
        <w:t>4</w:t>
      </w:r>
      <w:r>
        <w:rPr>
          <w:rFonts w:hint="eastAsia" w:ascii="宋体" w:hAnsi="宋体"/>
          <w:szCs w:val="21"/>
        </w:rPr>
        <w:t>.3  上述标准均应为投标截止日时的最新有效版。</w:t>
      </w:r>
    </w:p>
    <w:p>
      <w:pPr>
        <w:spacing w:line="360" w:lineRule="auto"/>
        <w:ind w:firstLine="210" w:firstLineChars="100"/>
        <w:rPr>
          <w:rFonts w:ascii="宋体" w:hAnsi="宋体" w:cs="宋体"/>
          <w:color w:val="000000"/>
          <w:szCs w:val="21"/>
        </w:rPr>
      </w:pPr>
      <w:r>
        <w:rPr>
          <w:rFonts w:hint="eastAsia" w:ascii="宋体" w:hAnsi="宋体" w:cs="宋体"/>
          <w:color w:val="000000"/>
          <w:szCs w:val="21"/>
        </w:rPr>
        <w:br w:type="page"/>
      </w:r>
    </w:p>
    <w:bookmarkEnd w:id="4"/>
    <w:p>
      <w:pPr>
        <w:pStyle w:val="3"/>
        <w:jc w:val="center"/>
      </w:pPr>
      <w:r>
        <w:rPr>
          <w:rFonts w:hint="eastAsia" w:ascii="黑体" w:hAnsi="黑体" w:eastAsia="黑体"/>
          <w:szCs w:val="24"/>
        </w:rPr>
        <w:t>第二节 备件和工具</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cs="宋体"/>
          <w:szCs w:val="21"/>
        </w:rPr>
      </w:pPr>
      <w:r>
        <w:rPr>
          <w:rFonts w:hint="eastAsia" w:ascii="宋体" w:hAnsi="宋体" w:cs="宋体"/>
          <w:szCs w:val="21"/>
        </w:rPr>
        <w:t>11. 5年后在备件停止生产后，如果招标人要求，中标人应免费向招标人提供备件的蓝图、图纸和规格。</w:t>
      </w:r>
    </w:p>
    <w:p>
      <w:pPr>
        <w:pStyle w:val="20"/>
        <w:jc w:val="center"/>
        <w:rPr>
          <w:rFonts w:ascii="黑体" w:hAnsi="黑体" w:cs="Times New Roman"/>
          <w:b/>
          <w:bCs/>
          <w:sz w:val="32"/>
          <w:szCs w:val="24"/>
        </w:rPr>
      </w:pPr>
    </w:p>
    <w:p>
      <w:pPr>
        <w:pStyle w:val="20"/>
        <w:rPr>
          <w:rFonts w:ascii="黑体" w:hAnsi="黑体" w:cs="Times New Roman"/>
          <w:b/>
          <w:bCs/>
          <w:sz w:val="32"/>
          <w:szCs w:val="24"/>
        </w:rPr>
      </w:pPr>
      <w:r>
        <w:rPr>
          <w:rFonts w:ascii="黑体" w:hAnsi="黑体" w:cs="Times New Roman"/>
          <w:b/>
          <w:bCs/>
          <w:sz w:val="32"/>
          <w:szCs w:val="24"/>
        </w:rPr>
        <w:br w:type="page"/>
      </w:r>
    </w:p>
    <w:p>
      <w:pPr>
        <w:pStyle w:val="20"/>
        <w:rPr>
          <w:rFonts w:ascii="黑体" w:hAnsi="黑体" w:cs="Times New Roman"/>
          <w:b/>
          <w:bCs/>
          <w:sz w:val="32"/>
          <w:szCs w:val="24"/>
        </w:rPr>
      </w:pPr>
    </w:p>
    <w:p>
      <w:pPr>
        <w:pStyle w:val="20"/>
        <w:jc w:val="center"/>
        <w:rPr>
          <w:rFonts w:ascii="黑体" w:hAnsi="黑体" w:cs="Times New Roman"/>
          <w:b/>
          <w:bCs/>
          <w:sz w:val="32"/>
          <w:szCs w:val="24"/>
        </w:rPr>
      </w:pPr>
      <w:r>
        <w:rPr>
          <w:rFonts w:hint="eastAsia" w:ascii="黑体" w:hAnsi="黑体" w:cs="Times New Roman"/>
          <w:b/>
          <w:bCs/>
          <w:sz w:val="32"/>
          <w:szCs w:val="24"/>
        </w:rPr>
        <w:t>第三节 设备出厂前检验</w:t>
      </w:r>
      <w:bookmarkEnd w:id="5"/>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20"/>
        <w:jc w:val="center"/>
        <w:rPr>
          <w:rFonts w:ascii="黑体" w:hAnsi="黑体" w:cs="Times New Roman"/>
          <w:b/>
          <w:bCs/>
          <w:sz w:val="32"/>
          <w:szCs w:val="24"/>
        </w:rPr>
      </w:pPr>
    </w:p>
    <w:bookmarkEnd w:id="6"/>
    <w:p>
      <w:pPr>
        <w:adjustRightInd w:val="0"/>
        <w:snapToGrid w:val="0"/>
        <w:spacing w:line="360" w:lineRule="auto"/>
        <w:rPr>
          <w:rFonts w:ascii="宋体" w:hAnsi="宋体"/>
          <w:szCs w:val="21"/>
        </w:rPr>
      </w:pPr>
    </w:p>
    <w:p>
      <w:pPr>
        <w:adjustRightInd w:val="0"/>
        <w:snapToGrid w:val="0"/>
        <w:spacing w:before="156" w:beforeLines="50" w:line="360" w:lineRule="auto"/>
        <w:ind w:left="482" w:hanging="482" w:hangingChars="150"/>
        <w:jc w:val="center"/>
        <w:rPr>
          <w:rFonts w:ascii="黑体" w:hAnsi="黑体" w:eastAsia="黑体" w:cs="黑体"/>
          <w:b/>
          <w:bCs/>
          <w:sz w:val="32"/>
          <w:szCs w:val="32"/>
        </w:rPr>
      </w:pPr>
    </w:p>
    <w:p>
      <w:pPr>
        <w:adjustRightInd w:val="0"/>
        <w:snapToGrid w:val="0"/>
        <w:spacing w:before="156" w:beforeLines="50" w:line="360" w:lineRule="auto"/>
        <w:ind w:left="482" w:hanging="482" w:hangingChars="150"/>
        <w:jc w:val="center"/>
        <w:rPr>
          <w:rFonts w:ascii="黑体" w:hAnsi="黑体" w:eastAsia="黑体" w:cs="黑体"/>
          <w:b/>
          <w:bCs/>
          <w:sz w:val="32"/>
          <w:szCs w:val="32"/>
        </w:rPr>
      </w:pPr>
      <w:r>
        <w:rPr>
          <w:rFonts w:ascii="黑体" w:hAnsi="黑体" w:eastAsia="黑体" w:cs="黑体"/>
          <w:b/>
          <w:bCs/>
          <w:sz w:val="32"/>
          <w:szCs w:val="32"/>
        </w:rPr>
        <w:br w:type="page"/>
      </w:r>
    </w:p>
    <w:p>
      <w:pPr>
        <w:adjustRightInd w:val="0"/>
        <w:snapToGrid w:val="0"/>
        <w:spacing w:before="156" w:beforeLines="50" w:line="360" w:lineRule="auto"/>
        <w:ind w:left="482" w:hanging="482" w:hangingChars="150"/>
        <w:jc w:val="center"/>
        <w:rPr>
          <w:rFonts w:ascii="黑体" w:hAnsi="黑体" w:eastAsia="黑体" w:cs="黑体"/>
          <w:b/>
          <w:bCs/>
          <w:sz w:val="32"/>
          <w:szCs w:val="32"/>
        </w:rPr>
      </w:pPr>
    </w:p>
    <w:p>
      <w:pPr>
        <w:adjustRightInd w:val="0"/>
        <w:snapToGrid w:val="0"/>
        <w:spacing w:before="156" w:beforeLines="50" w:line="360" w:lineRule="auto"/>
        <w:ind w:left="482" w:hanging="482" w:hangingChars="150"/>
        <w:jc w:val="center"/>
        <w:rPr>
          <w:rFonts w:ascii="黑体" w:hAnsi="黑体" w:eastAsia="黑体" w:cs="黑体"/>
          <w:b/>
          <w:bCs/>
          <w:sz w:val="32"/>
          <w:szCs w:val="32"/>
        </w:rPr>
      </w:pPr>
      <w:r>
        <w:rPr>
          <w:rFonts w:hint="eastAsia" w:ascii="黑体" w:hAnsi="黑体" w:eastAsia="黑体" w:cs="黑体"/>
          <w:b/>
          <w:bCs/>
          <w:sz w:val="32"/>
          <w:szCs w:val="32"/>
        </w:rPr>
        <w:t>第四节 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420" w:leftChars="200" w:firstLine="105" w:firstLineChars="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420" w:leftChars="200" w:firstLine="105" w:firstLineChars="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420" w:leftChars="200" w:firstLine="105" w:firstLineChars="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420" w:leftChars="200" w:firstLine="105" w:firstLineChars="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420" w:leftChars="200" w:firstLine="105" w:firstLineChars="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20"/>
        <w:jc w:val="center"/>
      </w:pPr>
      <w:r>
        <w:rPr>
          <w:rFonts w:hint="eastAsia" w:ascii="宋体" w:hAnsi="宋体"/>
          <w:szCs w:val="21"/>
        </w:rPr>
        <w:br w:type="page"/>
      </w:r>
      <w:bookmarkStart w:id="7" w:name="_Toc357086146"/>
      <w:r>
        <w:rPr>
          <w:rFonts w:hint="eastAsia" w:ascii="黑体" w:hAnsi="黑体" w:cs="Times New Roman"/>
          <w:b/>
          <w:bCs/>
          <w:sz w:val="32"/>
          <w:szCs w:val="24"/>
        </w:rPr>
        <w:t>第五节 安装、检验、调试、试运行及验收</w:t>
      </w:r>
      <w:bookmarkEnd w:id="7"/>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8" w:name="_Toc357086147"/>
      <w:r>
        <w:rPr>
          <w:rFonts w:hint="eastAsia" w:ascii="宋体" w:hAnsi="宋体"/>
          <w:szCs w:val="21"/>
        </w:rPr>
        <w:t>1. 在该附录中：</w:t>
      </w:r>
    </w:p>
    <w:p>
      <w:pPr>
        <w:adjustRightInd w:val="0"/>
        <w:snapToGrid w:val="0"/>
        <w:spacing w:line="360" w:lineRule="auto"/>
        <w:ind w:left="420" w:left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left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left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left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left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20"/>
        <w:spacing w:before="0" w:line="240" w:lineRule="auto"/>
        <w:jc w:val="center"/>
        <w:rPr>
          <w:rFonts w:ascii="黑体" w:hAnsi="黑体" w:cs="Times New Roman"/>
          <w:b/>
          <w:bCs/>
          <w:sz w:val="32"/>
          <w:szCs w:val="24"/>
        </w:rPr>
      </w:pPr>
      <w:r>
        <w:rPr>
          <w:rFonts w:hint="eastAsia" w:ascii="黑体" w:hAnsi="黑体" w:cs="Times New Roman"/>
          <w:b/>
          <w:bCs/>
          <w:sz w:val="32"/>
          <w:szCs w:val="24"/>
        </w:rPr>
        <w:br w:type="page"/>
      </w:r>
    </w:p>
    <w:p>
      <w:pPr>
        <w:pStyle w:val="20"/>
        <w:spacing w:before="0" w:line="240" w:lineRule="auto"/>
        <w:jc w:val="center"/>
        <w:rPr>
          <w:rFonts w:ascii="黑体" w:hAnsi="黑体" w:cs="Times New Roman"/>
          <w:b/>
          <w:bCs/>
          <w:sz w:val="32"/>
          <w:szCs w:val="24"/>
        </w:rPr>
      </w:pPr>
    </w:p>
    <w:p>
      <w:pPr>
        <w:pStyle w:val="20"/>
        <w:spacing w:before="0" w:line="240" w:lineRule="auto"/>
        <w:jc w:val="center"/>
        <w:rPr>
          <w:rFonts w:ascii="黑体" w:hAnsi="黑体" w:cs="Times New Roman"/>
          <w:b/>
          <w:bCs/>
          <w:sz w:val="32"/>
          <w:szCs w:val="24"/>
        </w:rPr>
      </w:pPr>
      <w:r>
        <w:rPr>
          <w:rFonts w:hint="eastAsia" w:ascii="黑体" w:hAnsi="黑体" w:cs="Times New Roman"/>
          <w:b/>
          <w:bCs/>
          <w:sz w:val="32"/>
          <w:szCs w:val="24"/>
        </w:rPr>
        <w:t>第六节 质量保证</w:t>
      </w:r>
      <w:bookmarkEnd w:id="8"/>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16"/>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20"/>
        <w:numPr>
          <w:ilvl w:val="0"/>
          <w:numId w:val="4"/>
        </w:numPr>
        <w:jc w:val="center"/>
        <w:rPr>
          <w:rFonts w:ascii="黑体" w:hAnsi="黑体" w:cs="Times New Roman"/>
          <w:b/>
          <w:bCs/>
          <w:sz w:val="32"/>
          <w:szCs w:val="24"/>
        </w:rPr>
      </w:pPr>
      <w:r>
        <w:rPr>
          <w:rFonts w:hint="eastAsia" w:ascii="宋体" w:hAnsi="宋体"/>
          <w:szCs w:val="21"/>
        </w:rPr>
        <w:br w:type="page"/>
      </w:r>
      <w:bookmarkStart w:id="9" w:name="_Toc357086148"/>
      <w:r>
        <w:rPr>
          <w:rFonts w:hint="eastAsia" w:ascii="黑体" w:hAnsi="黑体" w:cs="Times New Roman"/>
          <w:b/>
          <w:bCs/>
          <w:sz w:val="32"/>
          <w:szCs w:val="24"/>
        </w:rPr>
        <w:t>技术资料和图纸</w:t>
      </w:r>
      <w:bookmarkEnd w:id="9"/>
    </w:p>
    <w:p>
      <w:pPr>
        <w:pStyle w:val="20"/>
        <w:rPr>
          <w:rFonts w:ascii="黑体" w:hAnsi="黑体" w:cs="Times New Roman"/>
          <w:b/>
          <w:bCs/>
          <w:sz w:val="32"/>
          <w:szCs w:val="24"/>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中标人要提供相关的技术资料及图纸。</w:t>
      </w:r>
    </w:p>
    <w:p>
      <w:pPr>
        <w:spacing w:line="360" w:lineRule="auto"/>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7"/>
      <w:numFmt w:val="chineseCounting"/>
      <w:suff w:val="space"/>
      <w:lvlText w:val="第%1节"/>
      <w:lvlJc w:val="left"/>
      <w:rPr>
        <w:rFonts w:hint="eastAsia"/>
      </w:rPr>
    </w:lvl>
  </w:abstractNum>
  <w:abstractNum w:abstractNumId="1">
    <w:nsid w:val="00000002"/>
    <w:multiLevelType w:val="singleLevel"/>
    <w:tmpl w:val="00000002"/>
    <w:lvl w:ilvl="0" w:tentative="0">
      <w:start w:val="1"/>
      <w:numFmt w:val="chineseCounting"/>
      <w:suff w:val="space"/>
      <w:lvlText w:val="第%1节"/>
      <w:lvlJc w:val="left"/>
    </w:lvl>
  </w:abstractNum>
  <w:abstractNum w:abstractNumId="2">
    <w:nsid w:val="00000003"/>
    <w:multiLevelType w:val="singleLevel"/>
    <w:tmpl w:val="00000003"/>
    <w:lvl w:ilvl="0" w:tentative="0">
      <w:start w:val="1"/>
      <w:numFmt w:val="chineseCounting"/>
      <w:suff w:val="nothing"/>
      <w:lvlText w:val="%1、"/>
      <w:lvlJc w:val="left"/>
    </w:lvl>
  </w:abstractNum>
  <w:abstractNum w:abstractNumId="3">
    <w:nsid w:val="00000004"/>
    <w:multiLevelType w:val="multilevel"/>
    <w:tmpl w:val="00000004"/>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14"/>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D16"/>
    <w:rsid w:val="002B0975"/>
    <w:rsid w:val="003D4067"/>
    <w:rsid w:val="00604E7A"/>
    <w:rsid w:val="00634B3D"/>
    <w:rsid w:val="00733562"/>
    <w:rsid w:val="00826AC2"/>
    <w:rsid w:val="0086130D"/>
    <w:rsid w:val="00877D16"/>
    <w:rsid w:val="00AA512A"/>
    <w:rsid w:val="00E9581C"/>
    <w:rsid w:val="00FE4028"/>
    <w:rsid w:val="03A04809"/>
    <w:rsid w:val="03D808D8"/>
    <w:rsid w:val="10A05AC1"/>
    <w:rsid w:val="175D5CE6"/>
    <w:rsid w:val="1C3A6E70"/>
    <w:rsid w:val="1E7E2B93"/>
    <w:rsid w:val="23F67587"/>
    <w:rsid w:val="25316F59"/>
    <w:rsid w:val="25590709"/>
    <w:rsid w:val="258108DC"/>
    <w:rsid w:val="25B67D1E"/>
    <w:rsid w:val="25F10D7C"/>
    <w:rsid w:val="42834F8F"/>
    <w:rsid w:val="43733E2F"/>
    <w:rsid w:val="4B6F41CD"/>
    <w:rsid w:val="4FA3086C"/>
    <w:rsid w:val="51857A60"/>
    <w:rsid w:val="53D563BF"/>
    <w:rsid w:val="5A8975F5"/>
    <w:rsid w:val="5C0B6100"/>
    <w:rsid w:val="5CE16AFE"/>
    <w:rsid w:val="68D037E4"/>
    <w:rsid w:val="6E4A5ADD"/>
    <w:rsid w:val="70AE6CB3"/>
    <w:rsid w:val="70E2183C"/>
    <w:rsid w:val="719007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99"/>
    <w:pPr>
      <w:ind w:firstLine="420" w:firstLineChars="200"/>
    </w:pPr>
  </w:style>
  <w:style w:type="paragraph" w:styleId="5">
    <w:name w:val="Plain Text"/>
    <w:basedOn w:val="1"/>
    <w:qFormat/>
    <w:uiPriority w:val="99"/>
    <w:rPr>
      <w:rFonts w:ascii="宋体" w:hAnsi="Courier New" w:cs="Courier New"/>
      <w:szCs w:val="21"/>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99"/>
    <w:rPr>
      <w:rFonts w:ascii="Times New Roman" w:hAnsi="Times New Roman" w:eastAsia="宋体" w:cs="Times New Roman"/>
      <w:color w:val="0000FF"/>
      <w:u w:val="single"/>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正文"/>
    <w:basedOn w:val="1"/>
    <w:link w:val="13"/>
    <w:qFormat/>
    <w:uiPriority w:val="0"/>
    <w:rPr>
      <w:rFonts w:ascii="宋体" w:hAnsi="宋体"/>
      <w:sz w:val="22"/>
    </w:rPr>
  </w:style>
  <w:style w:type="character" w:customStyle="1" w:styleId="13">
    <w:name w:val="*正文 Char"/>
    <w:link w:val="12"/>
    <w:qFormat/>
    <w:uiPriority w:val="0"/>
    <w:rPr>
      <w:rFonts w:ascii="宋体" w:hAnsi="宋体" w:eastAsia="宋体" w:cs="Times New Roman"/>
      <w:sz w:val="22"/>
      <w:szCs w:val="24"/>
    </w:rPr>
  </w:style>
  <w:style w:type="paragraph" w:customStyle="1" w:styleId="14">
    <w:name w:val="4级标题"/>
    <w:basedOn w:val="1"/>
    <w:qFormat/>
    <w:uiPriority w:val="0"/>
    <w:pPr>
      <w:keepLines/>
      <w:numPr>
        <w:ilvl w:val="3"/>
        <w:numId w:val="1"/>
      </w:numPr>
      <w:spacing w:line="360" w:lineRule="auto"/>
      <w:contextualSpacing/>
      <w:jc w:val="left"/>
      <w:outlineLvl w:val="3"/>
    </w:pPr>
    <w:rPr>
      <w:rFonts w:ascii="黑体" w:hAnsi="黑体" w:eastAsia="黑体"/>
      <w:kern w:val="0"/>
      <w:sz w:val="24"/>
      <w:lang w:eastAsia="en-US" w:bidi="en-US"/>
    </w:rPr>
  </w:style>
  <w:style w:type="paragraph" w:customStyle="1" w:styleId="15">
    <w:name w:val="普通 (Web)"/>
    <w:qFormat/>
    <w:uiPriority w:val="0"/>
    <w:pPr>
      <w:spacing w:before="100" w:after="100"/>
    </w:pPr>
    <w:rPr>
      <w:rFonts w:ascii="宋体" w:hAnsi="Times New Roman" w:eastAsia="宋体" w:cs="Times New Roman"/>
      <w:sz w:val="24"/>
      <w:lang w:val="en-US" w:eastAsia="zh-CN" w:bidi="ar-SA"/>
    </w:rPr>
  </w:style>
  <w:style w:type="paragraph" w:customStyle="1" w:styleId="16">
    <w:name w:val="列出段落1"/>
    <w:basedOn w:val="1"/>
    <w:qFormat/>
    <w:uiPriority w:val="34"/>
    <w:pPr>
      <w:ind w:firstLine="420" w:firstLineChars="200"/>
    </w:pPr>
  </w:style>
  <w:style w:type="character" w:customStyle="1" w:styleId="17">
    <w:name w:val="页眉 Char"/>
    <w:basedOn w:val="8"/>
    <w:link w:val="7"/>
    <w:qFormat/>
    <w:uiPriority w:val="99"/>
    <w:rPr>
      <w:rFonts w:ascii="Times New Roman" w:hAnsi="Times New Roman" w:eastAsia="宋体" w:cs="Times New Roman"/>
      <w:sz w:val="18"/>
      <w:szCs w:val="18"/>
    </w:rPr>
  </w:style>
  <w:style w:type="character" w:customStyle="1" w:styleId="18">
    <w:name w:val="页脚 Char"/>
    <w:basedOn w:val="8"/>
    <w:link w:val="6"/>
    <w:qFormat/>
    <w:uiPriority w:val="99"/>
    <w:rPr>
      <w:rFonts w:ascii="Times New Roman" w:hAnsi="Times New Roman" w:eastAsia="宋体" w:cs="Times New Roman"/>
      <w:sz w:val="18"/>
      <w:szCs w:val="18"/>
    </w:rPr>
  </w:style>
  <w:style w:type="paragraph" w:customStyle="1" w:styleId="19">
    <w:name w:val="p0"/>
    <w:basedOn w:val="1"/>
    <w:qFormat/>
    <w:uiPriority w:val="0"/>
    <w:pPr>
      <w:widowControl/>
    </w:pPr>
    <w:rPr>
      <w:kern w:val="0"/>
      <w:szCs w:val="21"/>
    </w:rPr>
  </w:style>
  <w:style w:type="paragraph" w:customStyle="1" w:styleId="2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21">
    <w:name w:val="Table Text"/>
    <w:qFormat/>
    <w:uiPriority w:val="0"/>
    <w:pPr>
      <w:tabs>
        <w:tab w:val="decimal" w:pos="0"/>
      </w:tabs>
    </w:pPr>
    <w:rPr>
      <w:rFonts w:ascii="Arial" w:hAnsi="Arial" w:eastAsia="宋体" w:cs="Times New Roman"/>
      <w:sz w:val="21"/>
      <w:szCs w:val="21"/>
      <w:lang w:val="en-US" w:eastAsia="zh-CN" w:bidi="ar-SA"/>
    </w:rPr>
  </w:style>
  <w:style w:type="character" w:customStyle="1" w:styleId="22">
    <w:name w:val="urtxtstd17"/>
    <w:basedOn w:val="8"/>
    <w:qFormat/>
    <w:uiPriority w:val="0"/>
    <w:rPr>
      <w:rFonts w:hint="default" w:ascii="Arial" w:hAnsi="Arial" w:cs="Arial"/>
      <w:sz w:val="17"/>
      <w:szCs w:val="17"/>
    </w:rPr>
  </w:style>
  <w:style w:type="paragraph" w:customStyle="1" w:styleId="23">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1480</Words>
  <Characters>8440</Characters>
  <Lines>70</Lines>
  <Paragraphs>19</Paragraphs>
  <TotalTime>0</TotalTime>
  <ScaleCrop>false</ScaleCrop>
  <LinksUpToDate>false</LinksUpToDate>
  <CharactersWithSpaces>9901</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2017-03-06T15:12:00Z</dcterms:created>
  <dc:creator>胡昌金</dc:creator>
  <cp:lastModifiedBy>008</cp:lastModifiedBy>
  <dcterms:modified xsi:type="dcterms:W3CDTF">2018-11-07T06:18:06Z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