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第一包：非金属托辊采购招标技术规范</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我公司新增矸电厂外出煤系统，其中管状带式输送机经过住宅区，为不影响居民正常生活，计划将经过住宅区的托辊更换为静音托辊，现购置一批非金属静音托辊，投标方需提供全新产品。</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2.1本技术规范的使用范围，适用于本次带式输送机的托辊的订货招标。</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2.2本技术规范书提出的是最低限度的技术要求，并未对一切技术细节作出规定，也未充分引述有关标准和规范的条件，中标方应保证提供符合本技术规范书的有关最高工业标准的优质产品。</w:t>
      </w:r>
    </w:p>
    <w:p>
      <w:pPr>
        <w:keepNext w:val="0"/>
        <w:keepLines w:val="0"/>
        <w:pageBreakBefore w:val="0"/>
        <w:widowControl w:val="0"/>
        <w:numPr>
          <w:ilvl w:val="0"/>
          <w:numId w:val="1"/>
        </w:numPr>
        <w:suppressLineNumbers w:val="0"/>
        <w:suppressAutoHyphens w:val="0"/>
        <w:kinsoku/>
        <w:wordWrap/>
        <w:overflowPunct/>
        <w:topLinePunct w:val="0"/>
        <w:autoSpaceDE/>
        <w:autoSpaceDN w:val="0"/>
        <w:bidi w:val="0"/>
        <w:adjustRightInd/>
        <w:snapToGrid/>
        <w:spacing w:beforeAutospacing="0" w:afterAutospacing="0" w:line="560" w:lineRule="exact"/>
        <w:ind w:right="0"/>
        <w:jc w:val="both"/>
        <w:textAlignment w:val="auto"/>
        <w:outlineLvl w:val="9"/>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投标人资质要求：</w:t>
      </w:r>
      <w:r>
        <w:rPr>
          <w:rFonts w:hint="eastAsia" w:ascii="仿宋_GB2312" w:hAnsi="仿宋_GB2312" w:eastAsia="仿宋_GB2312" w:cs="仿宋_GB2312"/>
          <w:b/>
          <w:sz w:val="24"/>
          <w:szCs w:val="24"/>
          <w:lang w:eastAsia="zh-CN"/>
        </w:rPr>
        <w:t>（详见招标公告）</w:t>
      </w:r>
    </w:p>
    <w:p>
      <w:pPr>
        <w:pageBreakBefore w:val="0"/>
        <w:numPr>
          <w:ilvl w:val="0"/>
          <w:numId w:val="0"/>
        </w:numPr>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4.气候条件</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5.工作环境</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管状带式输送机在露天使用。管状带式输送机管径为φ500,管状输送带带宽为1900mm,驱动功率为4×800kW，带速4.5m/s,输送机运量1700t/h,水平机长4146m，提升高度58.230m，高压变频启动，液压自动拉紧。</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*6.技术要求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6.1名称和数量</w:t>
      </w:r>
    </w:p>
    <w:tbl>
      <w:tblPr>
        <w:tblStyle w:val="7"/>
        <w:tblW w:w="83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36"/>
        <w:gridCol w:w="1180"/>
        <w:gridCol w:w="970"/>
        <w:gridCol w:w="3469"/>
        <w:gridCol w:w="591"/>
        <w:gridCol w:w="789"/>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0" w:hRule="atLeast"/>
          <w:jc w:val="center"/>
        </w:trPr>
        <w:tc>
          <w:tcPr>
            <w:tcW w:w="536"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序号</w:t>
            </w:r>
          </w:p>
        </w:tc>
        <w:tc>
          <w:tcPr>
            <w:tcW w:w="118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物料编码</w:t>
            </w:r>
          </w:p>
        </w:tc>
        <w:tc>
          <w:tcPr>
            <w:tcW w:w="97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kern w:val="0"/>
                <w:sz w:val="21"/>
                <w:szCs w:val="21"/>
                <w:u w:val="none"/>
                <w:lang w:val="en-US" w:eastAsia="zh-CN"/>
              </w:rPr>
            </w:pPr>
            <w:r>
              <w:rPr>
                <w:rFonts w:hint="eastAsia" w:ascii="仿宋_GB2312" w:hAnsi="仿宋_GB2312" w:eastAsia="仿宋_GB2312" w:cs="仿宋_GB2312"/>
                <w:b/>
                <w:bCs/>
                <w:i w:val="0"/>
                <w:color w:val="000000"/>
                <w:kern w:val="0"/>
                <w:sz w:val="21"/>
                <w:szCs w:val="21"/>
                <w:u w:val="none"/>
                <w:lang w:val="en-US" w:eastAsia="zh-CN"/>
              </w:rPr>
              <w:t>名称</w:t>
            </w:r>
          </w:p>
        </w:tc>
        <w:tc>
          <w:tcPr>
            <w:tcW w:w="3469"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规格型号</w:t>
            </w:r>
          </w:p>
        </w:tc>
        <w:tc>
          <w:tcPr>
            <w:tcW w:w="591"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数量</w:t>
            </w:r>
          </w:p>
        </w:tc>
        <w:tc>
          <w:tcPr>
            <w:tcW w:w="789"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rPr>
            </w:pPr>
            <w:r>
              <w:rPr>
                <w:rFonts w:hint="eastAsia" w:ascii="仿宋_GB2312" w:hAnsi="仿宋_GB2312" w:eastAsia="仿宋_GB2312" w:cs="仿宋_GB2312"/>
                <w:b/>
                <w:bCs/>
                <w:i w:val="0"/>
                <w:color w:val="000000"/>
                <w:kern w:val="0"/>
                <w:sz w:val="21"/>
                <w:szCs w:val="21"/>
                <w:u w:val="none"/>
                <w:lang w:val="en-US" w:eastAsia="zh-CN"/>
              </w:rPr>
              <w:t>计量单位</w:t>
            </w:r>
          </w:p>
        </w:tc>
        <w:tc>
          <w:tcPr>
            <w:tcW w:w="801"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1"/>
                <w:szCs w:val="21"/>
                <w:u w:val="none"/>
                <w:lang w:eastAsia="zh-CN"/>
              </w:rPr>
            </w:pPr>
            <w:r>
              <w:rPr>
                <w:rFonts w:hint="eastAsia" w:ascii="仿宋_GB2312" w:hAnsi="仿宋_GB2312" w:eastAsia="仿宋_GB2312" w:cs="仿宋_GB2312"/>
                <w:b/>
                <w:bCs/>
                <w:i w:val="0"/>
                <w:color w:val="000000"/>
                <w:sz w:val="21"/>
                <w:szCs w:val="21"/>
                <w:u w:val="none"/>
                <w:lang w:eastAsia="zh-CN"/>
              </w:rPr>
              <w:t>轴径φ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0" w:hRule="atLeast"/>
          <w:jc w:val="center"/>
        </w:trPr>
        <w:tc>
          <w:tcPr>
            <w:tcW w:w="53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w:t>
            </w:r>
          </w:p>
        </w:tc>
        <w:tc>
          <w:tcPr>
            <w:tcW w:w="11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11955813</w:t>
            </w:r>
          </w:p>
        </w:tc>
        <w:tc>
          <w:tcPr>
            <w:tcW w:w="97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非金属托辊</w:t>
            </w:r>
          </w:p>
        </w:tc>
        <w:tc>
          <w:tcPr>
            <w:tcW w:w="346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GPFJS159-314-305\L2=320\a=9\b=22</w:t>
            </w:r>
          </w:p>
        </w:tc>
        <w:tc>
          <w:tcPr>
            <w:tcW w:w="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2900</w:t>
            </w:r>
          </w:p>
        </w:tc>
        <w:tc>
          <w:tcPr>
            <w:tcW w:w="78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根</w:t>
            </w:r>
          </w:p>
        </w:tc>
        <w:tc>
          <w:tcPr>
            <w:tcW w:w="80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00" w:hRule="atLeast"/>
          <w:jc w:val="center"/>
        </w:trPr>
        <w:tc>
          <w:tcPr>
            <w:tcW w:w="53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2</w:t>
            </w:r>
          </w:p>
        </w:tc>
        <w:tc>
          <w:tcPr>
            <w:tcW w:w="11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11955814</w:t>
            </w:r>
          </w:p>
        </w:tc>
        <w:tc>
          <w:tcPr>
            <w:tcW w:w="97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非金属托辊</w:t>
            </w:r>
          </w:p>
        </w:tc>
        <w:tc>
          <w:tcPr>
            <w:tcW w:w="346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left"/>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000000"/>
                <w:kern w:val="0"/>
                <w:sz w:val="21"/>
                <w:szCs w:val="21"/>
                <w:u w:val="none"/>
                <w:lang w:val="en-US" w:eastAsia="zh-CN" w:bidi="ar"/>
              </w:rPr>
              <w:t>GPFJS159-314-306\L2=320\a=9\b=22</w:t>
            </w:r>
          </w:p>
        </w:tc>
        <w:tc>
          <w:tcPr>
            <w:tcW w:w="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1000</w:t>
            </w:r>
          </w:p>
        </w:tc>
        <w:tc>
          <w:tcPr>
            <w:tcW w:w="78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sz w:val="21"/>
                <w:szCs w:val="21"/>
                <w:u w:val="none"/>
                <w:lang w:eastAsia="zh-CN"/>
              </w:rPr>
              <w:t>根</w:t>
            </w:r>
          </w:p>
        </w:tc>
        <w:tc>
          <w:tcPr>
            <w:tcW w:w="80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bidi w:val="0"/>
              <w:snapToGrid/>
              <w:spacing w:beforeAutospacing="0" w:afterAutospacing="0" w:line="560" w:lineRule="exact"/>
              <w:jc w:val="center"/>
              <w:textAlignment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30</w:t>
            </w:r>
          </w:p>
        </w:tc>
      </w:tr>
    </w:tbl>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  托辊强度满足招标人现场工况下使用的要求。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6.2  托辊</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辊体</w:t>
      </w:r>
      <w:r>
        <w:rPr>
          <w:rFonts w:hint="eastAsia" w:ascii="仿宋_GB2312" w:hAnsi="仿宋_GB2312" w:eastAsia="仿宋_GB2312" w:cs="仿宋_GB2312"/>
          <w:color w:val="000000"/>
          <w:sz w:val="24"/>
          <w:szCs w:val="24"/>
          <w:lang w:val="en-US" w:eastAsia="zh-CN"/>
        </w:rPr>
        <w:t>选用非金属复合管材，并保证托辊辊体的机械强度。</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6.3  托辊轴承选</w:t>
      </w:r>
      <w:r>
        <w:rPr>
          <w:rFonts w:hint="eastAsia" w:ascii="仿宋_GB2312" w:hAnsi="仿宋_GB2312" w:eastAsia="仿宋_GB2312" w:cs="仿宋_GB2312"/>
          <w:color w:val="000000"/>
          <w:sz w:val="24"/>
          <w:szCs w:val="24"/>
          <w:highlight w:val="none"/>
          <w:lang w:val="en-US" w:eastAsia="zh-CN"/>
        </w:rPr>
        <w:t>用LYC、HRB、ZWZ品牌产品</w:t>
      </w:r>
      <w:r>
        <w:rPr>
          <w:rFonts w:hint="eastAsia" w:ascii="仿宋_GB2312" w:hAnsi="仿宋_GB2312" w:eastAsia="仿宋_GB2312" w:cs="仿宋_GB2312"/>
          <w:color w:val="000000"/>
          <w:sz w:val="24"/>
          <w:szCs w:val="24"/>
          <w:lang w:val="en-US" w:eastAsia="zh-CN"/>
        </w:rPr>
        <w:t>，或选用品质高于上述产品的进口品牌。轴承采用双密封、中重型系列托辊专用轴承。</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6.4  </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托辊采用冷拔钢轴。</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6.5  托辊采用冲</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压轴承座或更高装配工艺，轴承座材质选用</w:t>
      </w:r>
      <w:r>
        <w:rPr>
          <w:rFonts w:hint="eastAsia" w:ascii="仿宋_GB2312" w:hAnsi="仿宋_GB2312" w:eastAsia="仿宋_GB2312" w:cs="仿宋_GB2312"/>
          <w:color w:val="000000"/>
          <w:sz w:val="24"/>
          <w:szCs w:val="24"/>
          <w:lang w:val="en-US" w:eastAsia="zh-CN"/>
        </w:rPr>
        <w:t>复合材料。</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6.6  非接触迷宫密封，端盖与轴承座结合部位采用迷宫式设计，多重迷宫</w:t>
      </w:r>
      <w:r>
        <w:rPr>
          <w:rFonts w:hint="eastAsia" w:ascii="仿宋_GB2312" w:hAnsi="仿宋_GB2312" w:eastAsia="仿宋_GB2312" w:cs="仿宋_GB2312"/>
          <w:color w:val="000000"/>
          <w:sz w:val="24"/>
          <w:szCs w:val="24"/>
          <w:lang w:val="en-US" w:eastAsia="zh-CN"/>
        </w:rPr>
        <w:t>密封保护轴承不收污染，且防尘、防水。</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6.7  非金属托辊要求阻燃，阻燃性能满足MT113《煤矿井下用聚合物制品阻燃抗静电性通用试验方法和判定规则》规定。</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6.8  托辊轴向窜动要求：在500N轴向载荷作用下，轴向窜动值不得大于0.7mm。</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6.9  托辊使用寿命：托辊设计使用寿命不低于30000小时，在寿命期内损坏率不得超过10%。</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6.10  托辊的制作及其他性能要求需满足标准JB/T 10380-2013《圆管带式输送机》规定，如标准条款不一致或有更高标准时，取高标准执行。</w:t>
      </w:r>
    </w:p>
    <w:p>
      <w:pPr>
        <w:pageBreakBefore w:val="0"/>
        <w:widowControl w:val="0"/>
        <w:kinsoku/>
        <w:wordWrap/>
        <w:overflowPunct/>
        <w:topLinePunct w:val="0"/>
        <w:autoSpaceDE/>
        <w:bidi w:val="0"/>
        <w:adjustRightInd/>
        <w:snapToGrid/>
        <w:spacing w:beforeAutospacing="0" w:afterAutospacing="0" w:line="560" w:lineRule="exact"/>
        <w:ind w:left="0" w:leftChars="0" w:right="0" w:rightChars="0"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6.11  托辊装配好后，要进行出厂检测，性能检测项目有：防尘、防水、旋转阻力、轴向窜动、径向跳动、跌落强度、阻燃性能。性能检测要按JB/T 10380-2013规定进行检测，阻燃性能检测要满足MT113规定。</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6.12  托辊装箱包装，包装要牢固可靠，包装箱外注明托辊名称和规格，制造厂名陈和出厂年、月等字样。</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b/>
          <w:sz w:val="24"/>
          <w:szCs w:val="24"/>
          <w:lang w:val="en-US" w:eastAsia="zh-CN"/>
        </w:rPr>
      </w:pPr>
      <w:r>
        <w:rPr>
          <w:rFonts w:hint="eastAsia" w:ascii="仿宋_GB2312" w:hAnsi="仿宋_GB2312" w:eastAsia="仿宋_GB2312" w:cs="仿宋_GB2312"/>
          <w:b w:val="0"/>
          <w:bCs w:val="0"/>
          <w:color w:val="000000"/>
          <w:kern w:val="2"/>
          <w:sz w:val="24"/>
          <w:szCs w:val="24"/>
          <w:lang w:val="en-US" w:eastAsia="zh-CN" w:bidi="ar-SA"/>
        </w:rPr>
        <w:t>6.13  所有配件</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均需现场测绘，投标方保证所提供的配件符合现场使用要求。</w:t>
      </w:r>
      <w:r>
        <w:rPr>
          <w:rFonts w:hint="eastAsia" w:ascii="仿宋_GB2312" w:hAnsi="仿宋_GB2312" w:eastAsia="仿宋_GB2312" w:cs="仿宋_GB2312"/>
          <w:b/>
          <w:sz w:val="24"/>
          <w:szCs w:val="24"/>
          <w:lang w:val="en-US" w:eastAsia="zh-CN"/>
        </w:rPr>
        <w:t xml:space="preserve"> </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w:t>
      </w:r>
      <w:r>
        <w:rPr>
          <w:rFonts w:hint="eastAsia" w:ascii="仿宋_GB2312" w:hAnsi="仿宋_GB2312" w:eastAsia="仿宋_GB2312" w:cs="仿宋_GB2312"/>
          <w:b/>
          <w:sz w:val="24"/>
          <w:szCs w:val="24"/>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leftChars="0" w:right="0" w:rightChars="0" w:firstLine="480" w:firstLineChars="200"/>
        <w:jc w:val="both"/>
        <w:textAlignment w:val="auto"/>
        <w:outlineLvl w:val="9"/>
        <w:rPr>
          <w:rFonts w:hint="eastAsia" w:ascii="仿宋_GB2312" w:hAnsi="仿宋_GB2312" w:eastAsia="仿宋_GB2312" w:cs="仿宋_GB2312"/>
          <w:color w:val="000000"/>
          <w:sz w:val="24"/>
          <w:szCs w:val="24"/>
          <w:lang w:val="en-US" w:eastAsia="zh-CN"/>
        </w:rPr>
      </w:pPr>
      <w:bookmarkStart w:id="0" w:name="_Toc378349365"/>
      <w:bookmarkStart w:id="1" w:name="_Toc378238345"/>
      <w:r>
        <w:rPr>
          <w:rFonts w:hint="eastAsia" w:ascii="仿宋_GB2312" w:hAnsi="仿宋_GB2312" w:eastAsia="仿宋_GB2312" w:cs="仿宋_GB2312"/>
          <w:color w:val="000000"/>
          <w:sz w:val="24"/>
          <w:szCs w:val="24"/>
          <w:lang w:val="en-US" w:eastAsia="zh-CN"/>
        </w:rPr>
        <w:t>7.1 合同签订后1个月内。</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leftChars="0" w:right="0" w:rightChars="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7.2 托辊到货后，由投标方卸货到招标方指定地点，装、卸、运输费用由投标方承担。</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8.</w:t>
      </w:r>
      <w:bookmarkEnd w:id="0"/>
      <w:bookmarkEnd w:id="1"/>
      <w:r>
        <w:rPr>
          <w:rFonts w:hint="eastAsia" w:ascii="仿宋_GB2312" w:hAnsi="仿宋_GB2312" w:eastAsia="仿宋_GB2312" w:cs="仿宋_GB2312"/>
          <w:b/>
          <w:sz w:val="24"/>
          <w:szCs w:val="24"/>
        </w:rPr>
        <w:t>验收</w:t>
      </w:r>
      <w:r>
        <w:rPr>
          <w:rFonts w:hint="eastAsia" w:ascii="仿宋_GB2312" w:hAnsi="仿宋_GB2312" w:eastAsia="仿宋_GB2312" w:cs="仿宋_GB2312"/>
          <w:b/>
          <w:sz w:val="24"/>
          <w:szCs w:val="24"/>
          <w:lang w:eastAsia="zh-CN"/>
        </w:rPr>
        <w:t>、考核</w:t>
      </w:r>
      <w:r>
        <w:rPr>
          <w:rFonts w:hint="eastAsia" w:ascii="仿宋_GB2312" w:hAnsi="仿宋_GB2312" w:eastAsia="仿宋_GB2312" w:cs="仿宋_GB2312"/>
          <w:b/>
          <w:sz w:val="24"/>
          <w:szCs w:val="24"/>
        </w:rPr>
        <w:t>和质量保证</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560" w:lineRule="exact"/>
        <w:ind w:right="0" w:firstLine="480" w:firstLineChars="200"/>
        <w:jc w:val="both"/>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投标人必须提供下表所列技术资料(但不限于此)。</w:t>
      </w:r>
    </w:p>
    <w:tbl>
      <w:tblPr>
        <w:tblStyle w:val="7"/>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217"/>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217"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名称</w:t>
            </w:r>
          </w:p>
        </w:tc>
        <w:tc>
          <w:tcPr>
            <w:tcW w:w="3163"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p>
        </w:tc>
        <w:tc>
          <w:tcPr>
            <w:tcW w:w="3217"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合格证</w:t>
            </w:r>
          </w:p>
        </w:tc>
        <w:tc>
          <w:tcPr>
            <w:tcW w:w="3163" w:type="dxa"/>
            <w:vAlign w:val="top"/>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1</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3217"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样品</w:t>
            </w:r>
            <w:r>
              <w:rPr>
                <w:rFonts w:hint="eastAsia" w:ascii="仿宋_GB2312" w:hAnsi="仿宋_GB2312" w:eastAsia="仿宋_GB2312" w:cs="仿宋_GB2312"/>
                <w:sz w:val="24"/>
                <w:szCs w:val="24"/>
                <w:lang w:eastAsia="zh-CN"/>
              </w:rPr>
              <w:t>检测</w:t>
            </w:r>
            <w:r>
              <w:rPr>
                <w:rFonts w:hint="eastAsia" w:ascii="仿宋_GB2312" w:hAnsi="仿宋_GB2312" w:eastAsia="仿宋_GB2312" w:cs="仿宋_GB2312"/>
                <w:sz w:val="24"/>
                <w:szCs w:val="24"/>
              </w:rPr>
              <w:t>报告</w:t>
            </w:r>
          </w:p>
        </w:tc>
        <w:tc>
          <w:tcPr>
            <w:tcW w:w="3163" w:type="dxa"/>
            <w:vAlign w:val="top"/>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1</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3217"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轴承购销合同</w:t>
            </w:r>
          </w:p>
        </w:tc>
        <w:tc>
          <w:tcPr>
            <w:tcW w:w="3163" w:type="dxa"/>
            <w:vAlign w:val="top"/>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none"/>
                <w:lang w:val="en-US" w:eastAsia="zh-CN"/>
              </w:rPr>
              <w:t>1套</w:t>
            </w:r>
          </w:p>
        </w:tc>
      </w:tr>
    </w:tbl>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8.1 检测报告内容含6.11条所列所有检测项目。托辊阻燃性能检测，由投标方邀请双方认可有专业检测资质机构进行检测，并出具检测报告。检测样品由招标方随机抽取5根，检测所发生的一切费用由投标方承担。阻燃性能不满足</w:t>
      </w:r>
      <w:r>
        <w:rPr>
          <w:rFonts w:hint="eastAsia" w:ascii="仿宋_GB2312" w:hAnsi="仿宋_GB2312" w:eastAsia="仿宋_GB2312" w:cs="仿宋_GB2312"/>
          <w:color w:val="auto"/>
          <w:sz w:val="24"/>
          <w:szCs w:val="24"/>
          <w:lang w:val="en-US" w:eastAsia="zh-CN"/>
        </w:rPr>
        <w:t>MT113标准规定的，视为不合格产品。</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8.2 非金属托辊更换前，双方在距离管带机5米处找一点，对其进行噪音检测。在检测点向左向右延伸25米范围内更换非金属托辊，并在上次监测点对管带机噪音进行检测。两次噪音进行对比，要求更换非金属托辊后的噪音值较更换前降低不低于12dB。</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8.3 托辊到货后，招标方根据本技术要求条款及8.1、8.2要求进行验收。</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000000"/>
          <w:kern w:val="2"/>
          <w:sz w:val="24"/>
          <w:szCs w:val="24"/>
          <w:vertAlign w:val="baseline"/>
          <w:lang w:val="en-US" w:eastAsia="zh-CN" w:bidi="ar-SA"/>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8.4 质保期</w:t>
      </w:r>
      <w:r>
        <w:rPr>
          <w:rFonts w:hint="eastAsia" w:ascii="仿宋_GB2312" w:hAnsi="仿宋_GB2312" w:eastAsia="仿宋_GB2312" w:cs="仿宋_GB2312"/>
          <w:b w:val="0"/>
          <w:bCs w:val="0"/>
          <w:iCs/>
          <w:caps w:val="0"/>
          <w:smallCaps w:val="0"/>
          <w:color w:val="000000"/>
          <w:kern w:val="2"/>
          <w:sz w:val="24"/>
          <w:szCs w:val="24"/>
          <w:vertAlign w:val="baseline"/>
          <w:lang w:val="en-US" w:eastAsia="zh-CN" w:bidi="ar-SA"/>
        </w:rPr>
        <w:t>2年，从安装使用之日算起。</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000000"/>
          <w:kern w:val="2"/>
          <w:sz w:val="24"/>
          <w:szCs w:val="24"/>
          <w:vertAlign w:val="baseline"/>
          <w:lang w:val="en-US" w:eastAsia="zh-CN" w:bidi="ar-SA"/>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8.5 托辊在质保期内由投标方免费更换损坏产品。更换后新托辊质保期从安装之日重新开始计算。</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9.付款方式</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560" w:lineRule="exact"/>
        <w:ind w:right="0" w:firstLine="480" w:firstLineChars="200"/>
        <w:jc w:val="both"/>
        <w:textAlignment w:val="auto"/>
        <w:outlineLvl w:val="9"/>
        <w:rPr>
          <w:rFonts w:hint="eastAsia" w:ascii="仿宋_GB2312" w:hAnsi="仿宋_GB2312" w:eastAsia="仿宋_GB2312" w:cs="仿宋_GB2312"/>
          <w:b w:val="0"/>
          <w:bCs w:val="0"/>
          <w:iCs/>
          <w:caps w:val="0"/>
          <w:smallCaps w:val="0"/>
          <w:color w:val="FF0000"/>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货到验收合格后付90%的货款，质保期内无质量问题，付清剩余10%的货款。</w:t>
      </w:r>
      <w:r>
        <w:rPr>
          <w:rFonts w:hint="eastAsia" w:ascii="仿宋_GB2312" w:hAnsi="仿宋_GB2312" w:eastAsia="仿宋_GB2312" w:cs="仿宋_GB2312"/>
          <w:b w:val="0"/>
          <w:bCs w:val="0"/>
          <w:iCs/>
          <w:caps w:val="0"/>
          <w:smallCaps w:val="0"/>
          <w:color w:val="000000"/>
          <w:kern w:val="2"/>
          <w:sz w:val="24"/>
          <w:szCs w:val="24"/>
          <w:vertAlign w:val="baseline"/>
          <w:lang w:val="en-US" w:eastAsia="zh-CN"/>
        </w:rPr>
        <w:t>付款方根据资金</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周转情况部分或全部以银行承兑汇票方式结算。</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bookmarkStart w:id="2" w:name="_Toc378349364"/>
      <w:r>
        <w:rPr>
          <w:rFonts w:hint="eastAsia" w:ascii="仿宋_GB2312" w:hAnsi="仿宋_GB2312" w:eastAsia="仿宋_GB2312" w:cs="仿宋_GB2312"/>
          <w:b/>
          <w:sz w:val="24"/>
          <w:szCs w:val="24"/>
        </w:rPr>
        <w:t>1</w:t>
      </w:r>
      <w:bookmarkEnd w:id="2"/>
      <w:r>
        <w:rPr>
          <w:rFonts w:hint="eastAsia" w:ascii="仿宋_GB2312" w:hAnsi="仿宋_GB2312" w:eastAsia="仿宋_GB2312" w:cs="仿宋_GB2312"/>
          <w:b/>
          <w:sz w:val="24"/>
          <w:szCs w:val="24"/>
          <w:lang w:val="en-US" w:eastAsia="zh-CN"/>
        </w:rPr>
        <w:t>0</w:t>
      </w:r>
      <w:r>
        <w:rPr>
          <w:rFonts w:hint="eastAsia" w:ascii="仿宋_GB2312" w:hAnsi="仿宋_GB2312" w:eastAsia="仿宋_GB2312" w:cs="仿宋_GB2312"/>
          <w:b/>
          <w:sz w:val="24"/>
          <w:szCs w:val="24"/>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560" w:lineRule="exact"/>
        <w:ind w:right="0" w:firstLine="480" w:firstLineChars="200"/>
        <w:jc w:val="both"/>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10.1配件的装车运输由投标人负责。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560" w:lineRule="exact"/>
        <w:ind w:right="0" w:firstLine="480" w:firstLineChars="200"/>
        <w:jc w:val="both"/>
        <w:outlineLvl w:val="9"/>
        <w:rPr>
          <w:rFonts w:hint="eastAsia" w:ascii="仿宋_GB2312" w:hAnsi="仿宋_GB2312" w:eastAsia="仿宋_GB2312" w:cs="仿宋_GB2312"/>
          <w:sz w:val="24"/>
          <w:szCs w:val="24"/>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10.2配件的装车和运输首先应符合质量、技术及长途运输的要求。因装车、运输不当造成的配件损坏、丢失由投标人负责。</w:t>
      </w:r>
    </w:p>
    <w:p>
      <w:pPr>
        <w:pStyle w:val="4"/>
        <w:jc w:val="center"/>
        <w:rPr>
          <w:rFonts w:hint="eastAsia" w:ascii="仿宋_GB2312" w:hAnsi="仿宋_GB2312" w:eastAsia="仿宋_GB2312" w:cs="仿宋_GB2312"/>
          <w:b/>
          <w:bCs/>
          <w:sz w:val="28"/>
          <w:szCs w:val="28"/>
          <w:u w:val="none"/>
          <w:lang w:eastAsia="zh-CN"/>
        </w:rPr>
      </w:pPr>
      <w:r>
        <w:rPr>
          <w:rFonts w:hint="eastAsia" w:ascii="仿宋_GB2312" w:hAnsi="仿宋_GB2312" w:eastAsia="仿宋_GB2312" w:cs="仿宋_GB2312"/>
          <w:b/>
          <w:bCs w:val="0"/>
          <w:color w:val="auto"/>
          <w:kern w:val="2"/>
          <w:sz w:val="28"/>
          <w:szCs w:val="28"/>
          <w:lang w:val="en-US" w:eastAsia="zh-CN" w:bidi="ar-SA"/>
        </w:rPr>
        <w:br w:type="page"/>
      </w:r>
      <w:r>
        <w:rPr>
          <w:rFonts w:hint="eastAsia" w:ascii="仿宋_GB2312" w:hAnsi="仿宋_GB2312" w:eastAsia="仿宋_GB2312" w:cs="仿宋_GB2312"/>
          <w:b/>
          <w:bCs/>
          <w:kern w:val="2"/>
          <w:sz w:val="24"/>
          <w:szCs w:val="24"/>
          <w:lang w:val="en-US" w:eastAsia="zh-CN" w:bidi="ar-SA"/>
        </w:rPr>
        <w:t>第二包：</w:t>
      </w:r>
      <w:bookmarkStart w:id="3" w:name="_Toc60255444"/>
      <w:r>
        <w:rPr>
          <w:rFonts w:hint="eastAsia" w:ascii="仿宋_GB2312" w:hAnsi="仿宋_GB2312" w:eastAsia="仿宋_GB2312" w:cs="仿宋_GB2312"/>
          <w:b/>
          <w:bCs/>
          <w:kern w:val="2"/>
          <w:sz w:val="24"/>
          <w:szCs w:val="24"/>
          <w:lang w:val="en-US" w:eastAsia="zh-CN" w:bidi="ar-SA"/>
        </w:rPr>
        <w:t>货车闸瓦技术规范书</w:t>
      </w:r>
      <w:bookmarkEnd w:id="3"/>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pageBreakBefore w:val="0"/>
        <w:kinsoku/>
        <w:wordWrap/>
        <w:overflowPunct/>
        <w:topLinePunct w:val="0"/>
        <w:bidi w:val="0"/>
        <w:snapToGrid/>
        <w:spacing w:beforeAutospacing="0" w:afterAutospacing="0" w:line="560" w:lineRule="exact"/>
        <w:ind w:firstLine="360" w:firstLineChars="15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项目：低摩闸瓦，数量：</w:t>
      </w:r>
      <w:r>
        <w:rPr>
          <w:rFonts w:hint="eastAsia" w:ascii="仿宋_GB2312" w:hAnsi="仿宋_GB2312" w:eastAsia="仿宋_GB2312" w:cs="仿宋_GB2312"/>
          <w:sz w:val="24"/>
          <w:szCs w:val="24"/>
          <w:lang w:val="en-US" w:eastAsia="zh-CN"/>
        </w:rPr>
        <w:t>1000块</w:t>
      </w:r>
      <w:r>
        <w:rPr>
          <w:rFonts w:hint="eastAsia" w:ascii="仿宋_GB2312" w:hAnsi="仿宋_GB2312" w:eastAsia="仿宋_GB2312" w:cs="仿宋_GB2312"/>
          <w:sz w:val="24"/>
          <w:szCs w:val="24"/>
          <w:lang w:eastAsia="zh-CN"/>
        </w:rPr>
        <w:t>和</w:t>
      </w:r>
      <w:r>
        <w:rPr>
          <w:rFonts w:hint="eastAsia" w:ascii="仿宋_GB2312" w:hAnsi="仿宋_GB2312" w:eastAsia="仿宋_GB2312" w:cs="仿宋_GB2312"/>
          <w:sz w:val="24"/>
          <w:szCs w:val="24"/>
        </w:rPr>
        <w:t>高磨合成闸瓦</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t>数量：</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val="en-US"/>
        </w:rPr>
        <w:t>6</w:t>
      </w:r>
      <w:r>
        <w:rPr>
          <w:rFonts w:hint="eastAsia" w:ascii="仿宋_GB2312" w:hAnsi="仿宋_GB2312" w:eastAsia="仿宋_GB2312" w:cs="仿宋_GB2312"/>
          <w:sz w:val="24"/>
          <w:szCs w:val="24"/>
        </w:rPr>
        <w:t>000块</w:t>
      </w:r>
      <w:r>
        <w:rPr>
          <w:rFonts w:hint="eastAsia" w:ascii="仿宋_GB2312" w:hAnsi="仿宋_GB2312" w:eastAsia="仿宋_GB2312" w:cs="仿宋_GB2312"/>
          <w:sz w:val="24"/>
          <w:szCs w:val="24"/>
          <w:lang w:eastAsia="zh-CN"/>
        </w:rPr>
        <w:t>，共计</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项</w:t>
      </w:r>
      <w:r>
        <w:rPr>
          <w:rFonts w:hint="eastAsia" w:ascii="仿宋_GB2312" w:hAnsi="仿宋_GB2312" w:eastAsia="仿宋_GB2312" w:cs="仿宋_GB2312"/>
          <w:sz w:val="24"/>
          <w:szCs w:val="24"/>
        </w:rPr>
        <w:t>。本项目包含材料</w:t>
      </w:r>
      <w:r>
        <w:rPr>
          <w:rFonts w:hint="eastAsia" w:ascii="仿宋_GB2312" w:hAnsi="仿宋_GB2312" w:eastAsia="仿宋_GB2312" w:cs="仿宋_GB2312"/>
          <w:sz w:val="24"/>
          <w:szCs w:val="24"/>
          <w:lang w:eastAsia="zh-CN"/>
        </w:rPr>
        <w:t>费</w:t>
      </w:r>
      <w:r>
        <w:rPr>
          <w:rFonts w:hint="eastAsia" w:ascii="仿宋_GB2312" w:hAnsi="仿宋_GB2312" w:eastAsia="仿宋_GB2312" w:cs="仿宋_GB2312"/>
          <w:sz w:val="24"/>
          <w:szCs w:val="24"/>
        </w:rPr>
        <w:t>、运输</w:t>
      </w:r>
      <w:r>
        <w:rPr>
          <w:rFonts w:hint="eastAsia" w:ascii="仿宋_GB2312" w:hAnsi="仿宋_GB2312" w:eastAsia="仿宋_GB2312" w:cs="仿宋_GB2312"/>
          <w:sz w:val="24"/>
          <w:szCs w:val="24"/>
          <w:lang w:eastAsia="zh-CN"/>
        </w:rPr>
        <w:t>费</w:t>
      </w:r>
      <w:r>
        <w:rPr>
          <w:rFonts w:hint="eastAsia" w:ascii="仿宋_GB2312" w:hAnsi="仿宋_GB2312" w:eastAsia="仿宋_GB2312" w:cs="仿宋_GB2312"/>
          <w:sz w:val="24"/>
          <w:szCs w:val="24"/>
        </w:rPr>
        <w:t>、装卸</w:t>
      </w:r>
      <w:r>
        <w:rPr>
          <w:rFonts w:hint="eastAsia" w:ascii="仿宋_GB2312" w:hAnsi="仿宋_GB2312" w:eastAsia="仿宋_GB2312" w:cs="仿宋_GB2312"/>
          <w:sz w:val="24"/>
          <w:szCs w:val="24"/>
          <w:lang w:eastAsia="zh-CN"/>
        </w:rPr>
        <w:t>费</w:t>
      </w:r>
      <w:r>
        <w:rPr>
          <w:rFonts w:hint="eastAsia" w:ascii="仿宋_GB2312" w:hAnsi="仿宋_GB2312" w:eastAsia="仿宋_GB2312" w:cs="仿宋_GB2312"/>
          <w:sz w:val="24"/>
          <w:szCs w:val="24"/>
        </w:rPr>
        <w:t>、税金等费用。</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lang w:eastAsia="zh-CN"/>
        </w:rPr>
      </w:pPr>
      <w:r>
        <w:rPr>
          <w:rFonts w:hint="eastAsia" w:ascii="仿宋_GB2312" w:hAnsi="仿宋_GB2312" w:eastAsia="仿宋_GB2312" w:cs="仿宋_GB2312"/>
          <w:b/>
          <w:sz w:val="24"/>
          <w:szCs w:val="24"/>
        </w:rPr>
        <w:t>2．项目资质要求</w:t>
      </w:r>
      <w:r>
        <w:rPr>
          <w:rFonts w:hint="eastAsia" w:ascii="仿宋_GB2312" w:hAnsi="仿宋_GB2312" w:eastAsia="仿宋_GB2312" w:cs="仿宋_GB2312"/>
          <w:b/>
          <w:sz w:val="24"/>
          <w:szCs w:val="24"/>
          <w:lang w:eastAsia="zh-CN"/>
        </w:rPr>
        <w:t>（详见招标公告）</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3.技术要求</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3.1高磨合成闸瓦</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1.1</w:t>
      </w:r>
      <w:r>
        <w:rPr>
          <w:rFonts w:hint="eastAsia" w:ascii="仿宋_GB2312" w:hAnsi="仿宋_GB2312" w:eastAsia="仿宋_GB2312" w:cs="仿宋_GB2312"/>
          <w:sz w:val="24"/>
          <w:szCs w:val="24"/>
        </w:rPr>
        <w:t>要求A型高摩合成闸瓦适用于运行速度不大于120km/h的、符合通用货车技术条件的铁路货车使用。</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2要求按TB/T2403《铁道货车用合成闸瓦》和铁路总公司相关技术文件制造和检验。</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3要求高摩合成闸瓦的性能符合《运装货车[2002]11号文：铁路货车高摩擦系数合成闸瓦技术条件（暂行）》和《</w:t>
      </w:r>
      <w:r>
        <w:rPr>
          <w:rFonts w:hint="eastAsia" w:ascii="仿宋_GB2312" w:hAnsi="仿宋_GB2312" w:eastAsia="仿宋_GB2312" w:cs="仿宋_GB2312"/>
          <w:bCs/>
          <w:sz w:val="24"/>
          <w:szCs w:val="24"/>
        </w:rPr>
        <w:t>中国铁路总公司运输局关于高摩闸瓦瓦背改进图样的通知》</w:t>
      </w:r>
      <w:r>
        <w:rPr>
          <w:rFonts w:hint="eastAsia" w:ascii="仿宋_GB2312" w:hAnsi="仿宋_GB2312" w:eastAsia="仿宋_GB2312" w:cs="仿宋_GB2312"/>
          <w:sz w:val="24"/>
          <w:szCs w:val="24"/>
        </w:rPr>
        <w:t>（运辆货车电〔2016〕724号）规定的技术条件。</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4要求在闸瓦瓦背指定部位打印闸瓦型号、规格、闸瓦制造单位代号和制造年月等永久性标志。</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5要求在闸瓦瓦背牢固粘贴可追溯信息的二维码或电子标签等信息标签；信息标签不得高出瓦背外表面，且能保持闸瓦磨耗到限不脱落，磨耗到限仍能从标签中读取全部信息。</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6要求在闸瓦侧面压出磨耗限度标志或喷涂黄色限度标记，标记应明显、清楚、完整。</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7要求高摩合成闸瓦采用铁路总公司统一的A配方及生产工艺。</w:t>
      </w:r>
    </w:p>
    <w:p>
      <w:pPr>
        <w:pageBreakBefore w:val="0"/>
        <w:kinsoku/>
        <w:wordWrap/>
        <w:overflowPunct/>
        <w:topLinePunct w:val="0"/>
        <w:autoSpaceDE w:val="0"/>
        <w:autoSpaceDN w:val="0"/>
        <w:bidi w:val="0"/>
        <w:adjustRightInd w:val="0"/>
        <w:snapToGrid/>
        <w:spacing w:before="100" w:beforeAutospacing="0" w:after="100" w:afterAutospacing="0" w:line="560" w:lineRule="exact"/>
        <w:jc w:val="left"/>
        <w:rPr>
          <w:rFonts w:hint="eastAsia" w:ascii="仿宋_GB2312" w:hAnsi="仿宋_GB2312" w:eastAsia="仿宋_GB2312" w:cs="仿宋_GB2312"/>
          <w:kern w:val="0"/>
          <w:sz w:val="24"/>
          <w:szCs w:val="24"/>
          <w:lang w:bidi="ar-SA"/>
        </w:rPr>
      </w:pPr>
      <w:r>
        <w:rPr>
          <w:rFonts w:hint="eastAsia" w:ascii="仿宋_GB2312" w:hAnsi="仿宋_GB2312" w:eastAsia="仿宋_GB2312" w:cs="仿宋_GB2312"/>
          <w:kern w:val="0"/>
          <w:sz w:val="24"/>
          <w:szCs w:val="24"/>
          <w:lang w:bidi="ar-SA"/>
        </w:rPr>
        <w:t>3.</w:t>
      </w: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lang w:bidi="ar-SA"/>
        </w:rPr>
        <w:t>8闸瓦由瓦背和摩擦体组成，摩擦体由粘结材料、增强材料和摩擦材料组成。 闸瓦摩擦体不应有夹杂物，不应有起泡、鼓包、分层、疏松、翘曲等缺陷。摩擦体侧面不允许存在裂纹。</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9闸瓦外形尺寸（mm）：</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钢背外弧：R450</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闸瓦宽度：820-1</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闸瓦厚度：45</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瓦背采用Q235A钢板制造，钢板性能应符合GB/T700的规定。</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闸瓦由瓦背和摩擦体组成。摩擦体主要原材料为：酚醛树脂、丁腈橡胶、钢纤维、还原铁粉、石墨等。</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摩擦体性能分力学性能力学性能应符合：</w:t>
      </w:r>
    </w:p>
    <w:p>
      <w:pPr>
        <w:pageBreakBefore w:val="0"/>
        <w:tabs>
          <w:tab w:val="left" w:pos="426"/>
        </w:tabs>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性能            单位           指标</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密度            g/cm3         不超过标称值得±5%</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压缩强度        Mpa           ≥25</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冲击强度        kJ/m2         ≥2.0</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压缩模量        Mpa           ≤1.3*103</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洛氏硬度   （HRR）           ≤90</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吸水百分率                    ＜1.5%</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吸油百分率                    ＜1.5%</w:t>
      </w:r>
    </w:p>
    <w:p>
      <w:pPr>
        <w:keepNext w:val="0"/>
        <w:keepLines w:val="0"/>
        <w:pageBreakBefore w:val="0"/>
        <w:widowControl w:val="0"/>
        <w:kinsoku/>
        <w:wordWrap/>
        <w:overflowPunct/>
        <w:topLinePunct w:val="0"/>
        <w:autoSpaceDE w:val="0"/>
        <w:autoSpaceDN w:val="0"/>
        <w:bidi w:val="0"/>
        <w:adjustRightInd w:val="0"/>
        <w:snapToGrid/>
        <w:spacing w:before="100" w:beforeAutospacing="0" w:after="100" w:afterAutospacing="0" w:line="560" w:lineRule="exact"/>
        <w:jc w:val="left"/>
        <w:textAlignment w:val="auto"/>
        <w:outlineLvl w:val="9"/>
        <w:rPr>
          <w:rFonts w:hint="eastAsia" w:ascii="仿宋_GB2312" w:hAnsi="仿宋_GB2312" w:eastAsia="仿宋_GB2312" w:cs="仿宋_GB2312"/>
          <w:kern w:val="0"/>
          <w:sz w:val="24"/>
          <w:szCs w:val="24"/>
          <w:lang w:bidi="ar-SA"/>
        </w:rPr>
      </w:pPr>
      <w:r>
        <w:rPr>
          <w:rFonts w:hint="eastAsia" w:ascii="仿宋_GB2312" w:hAnsi="仿宋_GB2312" w:eastAsia="仿宋_GB2312" w:cs="仿宋_GB2312"/>
          <w:kern w:val="0"/>
          <w:sz w:val="24"/>
          <w:szCs w:val="24"/>
          <w:lang w:bidi="ar-SA"/>
        </w:rPr>
        <w:t>3.</w:t>
      </w: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lang w:bidi="ar-SA"/>
        </w:rPr>
        <w:t>10在常用制动时闸瓦不应产生持续刺耳的噪声。</w:t>
      </w:r>
    </w:p>
    <w:p>
      <w:pPr>
        <w:keepNext w:val="0"/>
        <w:keepLines w:val="0"/>
        <w:pageBreakBefore w:val="0"/>
        <w:widowControl w:val="0"/>
        <w:kinsoku/>
        <w:wordWrap/>
        <w:overflowPunct/>
        <w:topLinePunct w:val="0"/>
        <w:autoSpaceDE w:val="0"/>
        <w:autoSpaceDN w:val="0"/>
        <w:bidi w:val="0"/>
        <w:adjustRightInd w:val="0"/>
        <w:snapToGrid/>
        <w:spacing w:before="100" w:beforeAutospacing="0" w:after="100" w:afterAutospacing="0" w:line="560" w:lineRule="exact"/>
        <w:jc w:val="left"/>
        <w:textAlignment w:val="auto"/>
        <w:outlineLvl w:val="9"/>
        <w:rPr>
          <w:rFonts w:hint="eastAsia" w:ascii="仿宋_GB2312" w:hAnsi="仿宋_GB2312" w:eastAsia="仿宋_GB2312" w:cs="仿宋_GB2312"/>
          <w:b/>
          <w:bCs/>
          <w:kern w:val="0"/>
          <w:sz w:val="24"/>
          <w:szCs w:val="24"/>
          <w:lang w:bidi="ar-SA"/>
        </w:rPr>
      </w:pPr>
      <w:r>
        <w:rPr>
          <w:rFonts w:hint="eastAsia" w:ascii="仿宋_GB2312" w:hAnsi="仿宋_GB2312" w:eastAsia="仿宋_GB2312" w:cs="仿宋_GB2312"/>
          <w:b/>
          <w:bCs/>
          <w:kern w:val="0"/>
          <w:sz w:val="24"/>
          <w:szCs w:val="24"/>
          <w:lang w:val="en-US" w:eastAsia="zh-CN" w:bidi="ar-SA"/>
        </w:rPr>
        <w:t>3.2低</w:t>
      </w:r>
      <w:r>
        <w:rPr>
          <w:rFonts w:hint="eastAsia" w:ascii="仿宋_GB2312" w:hAnsi="仿宋_GB2312" w:eastAsia="仿宋_GB2312" w:cs="仿宋_GB2312"/>
          <w:b/>
          <w:bCs/>
          <w:kern w:val="0"/>
          <w:sz w:val="24"/>
          <w:szCs w:val="24"/>
          <w:lang w:bidi="ar-SA"/>
        </w:rPr>
        <w:t>摩闸瓦</w:t>
      </w:r>
    </w:p>
    <w:p>
      <w:pPr>
        <w:keepNext w:val="0"/>
        <w:keepLines w:val="0"/>
        <w:pageBreakBefore w:val="0"/>
        <w:widowControl w:val="0"/>
        <w:kinsoku/>
        <w:wordWrap/>
        <w:overflowPunct/>
        <w:topLinePunct w:val="0"/>
        <w:autoSpaceDE w:val="0"/>
        <w:autoSpaceDN w:val="0"/>
        <w:bidi w:val="0"/>
        <w:adjustRightInd w:val="0"/>
        <w:snapToGrid/>
        <w:spacing w:before="100" w:beforeAutospacing="0" w:after="100" w:afterAutospacing="0" w:line="560" w:lineRule="exact"/>
        <w:jc w:val="left"/>
        <w:textAlignment w:val="auto"/>
        <w:outlineLvl w:val="9"/>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3.2.1</w:t>
      </w:r>
      <w:r>
        <w:rPr>
          <w:rFonts w:hint="eastAsia" w:ascii="仿宋_GB2312" w:hAnsi="仿宋_GB2312" w:eastAsia="仿宋_GB2312" w:cs="仿宋_GB2312"/>
          <w:kern w:val="0"/>
          <w:sz w:val="24"/>
          <w:szCs w:val="24"/>
          <w:lang w:eastAsia="zh-CN" w:bidi="ar-SA"/>
        </w:rPr>
        <w:t>低摩闸瓦按照</w:t>
      </w:r>
      <w:r>
        <w:rPr>
          <w:rFonts w:hint="eastAsia" w:ascii="仿宋_GB2312" w:hAnsi="仿宋_GB2312" w:eastAsia="仿宋_GB2312" w:cs="仿宋_GB2312"/>
          <w:kern w:val="0"/>
          <w:sz w:val="24"/>
          <w:szCs w:val="24"/>
          <w:lang w:val="en-US" w:eastAsia="zh-CN" w:bidi="ar-SA"/>
        </w:rPr>
        <w:t>TB/T 2403-2010标准执行。</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4.服务要求</w:t>
      </w:r>
    </w:p>
    <w:p>
      <w:pPr>
        <w:pageBreakBefore w:val="0"/>
        <w:kinsoku/>
        <w:wordWrap/>
        <w:overflowPunct/>
        <w:topLinePunct w:val="0"/>
        <w:bidi w:val="0"/>
        <w:snapToGrid/>
        <w:spacing w:beforeAutospacing="0" w:afterAutospacing="0" w:line="560" w:lineRule="exact"/>
        <w:ind w:firstLine="624" w:firstLineChars="260"/>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质量保证期内所购闸瓦出现质量问题2小时内响应，24小时内免费负责更换。</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5.考核验收</w:t>
      </w:r>
    </w:p>
    <w:p>
      <w:pPr>
        <w:pageBreakBefore w:val="0"/>
        <w:kinsoku/>
        <w:wordWrap/>
        <w:overflowPunct/>
        <w:topLinePunct w:val="0"/>
        <w:bidi w:val="0"/>
        <w:snapToGrid/>
        <w:spacing w:beforeAutospacing="0" w:afterAutospacing="0" w:line="560" w:lineRule="exact"/>
        <w:ind w:firstLine="600" w:firstLineChars="2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闸瓦到货后后，将进行300块闸瓦的试装运行, 在试运行期间，无大的质量问题，试运行完成后双方对闸瓦进行验收，验收合格后进入质保期。</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6.质量保证</w:t>
      </w:r>
    </w:p>
    <w:p>
      <w:pPr>
        <w:pageBreakBefore w:val="0"/>
        <w:tabs>
          <w:tab w:val="left" w:pos="1460"/>
        </w:tabs>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质量保证期</w:t>
      </w:r>
      <w:r>
        <w:rPr>
          <w:rFonts w:hint="eastAsia" w:ascii="仿宋_GB2312" w:hAnsi="仿宋_GB2312" w:eastAsia="仿宋_GB2312" w:cs="仿宋_GB2312"/>
          <w:sz w:val="24"/>
          <w:szCs w:val="24"/>
          <w:lang w:eastAsia="zh-CN"/>
        </w:rPr>
        <w:t>从货到验收合格之日算起，</w:t>
      </w:r>
      <w:r>
        <w:rPr>
          <w:rFonts w:hint="eastAsia" w:ascii="仿宋_GB2312" w:hAnsi="仿宋_GB2312" w:eastAsia="仿宋_GB2312" w:cs="仿宋_GB2312"/>
          <w:sz w:val="24"/>
          <w:szCs w:val="24"/>
        </w:rPr>
        <w:t>质量保证期限</w:t>
      </w:r>
      <w:r>
        <w:rPr>
          <w:rFonts w:hint="eastAsia" w:ascii="仿宋_GB2312" w:hAnsi="仿宋_GB2312" w:eastAsia="仿宋_GB2312" w:cs="仿宋_GB2312"/>
          <w:sz w:val="24"/>
          <w:szCs w:val="24"/>
          <w:lang w:eastAsia="zh-CN"/>
        </w:rPr>
        <w:t>为</w:t>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个月</w:t>
      </w:r>
      <w:r>
        <w:rPr>
          <w:rFonts w:hint="eastAsia" w:ascii="仿宋_GB2312" w:hAnsi="仿宋_GB2312" w:eastAsia="仿宋_GB2312" w:cs="仿宋_GB2312"/>
          <w:sz w:val="24"/>
          <w:szCs w:val="24"/>
          <w:lang w:eastAsia="zh-CN"/>
        </w:rPr>
        <w:t>。</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7.交货日期</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交货时间：自</w:t>
      </w:r>
      <w:r>
        <w:rPr>
          <w:rFonts w:hint="eastAsia" w:ascii="仿宋_GB2312" w:hAnsi="仿宋_GB2312" w:eastAsia="仿宋_GB2312" w:cs="仿宋_GB2312"/>
          <w:sz w:val="24"/>
          <w:szCs w:val="24"/>
          <w:lang w:eastAsia="zh-CN"/>
        </w:rPr>
        <w:t>合同</w:t>
      </w:r>
      <w:r>
        <w:rPr>
          <w:rFonts w:hint="eastAsia" w:ascii="仿宋_GB2312" w:hAnsi="仿宋_GB2312" w:eastAsia="仿宋_GB2312" w:cs="仿宋_GB2312"/>
          <w:sz w:val="24"/>
          <w:szCs w:val="24"/>
        </w:rPr>
        <w:t>签订</w:t>
      </w:r>
      <w:r>
        <w:rPr>
          <w:rFonts w:hint="eastAsia" w:ascii="仿宋_GB2312" w:hAnsi="仿宋_GB2312" w:eastAsia="仿宋_GB2312" w:cs="仿宋_GB2312"/>
          <w:sz w:val="24"/>
          <w:szCs w:val="24"/>
          <w:lang w:eastAsia="zh-CN"/>
        </w:rPr>
        <w:t>之日</w:t>
      </w:r>
      <w:r>
        <w:rPr>
          <w:rFonts w:hint="eastAsia" w:ascii="仿宋_GB2312" w:hAnsi="仿宋_GB2312" w:eastAsia="仿宋_GB2312" w:cs="仿宋_GB2312"/>
          <w:sz w:val="24"/>
          <w:szCs w:val="24"/>
        </w:rPr>
        <w:t>起</w:t>
      </w:r>
      <w:r>
        <w:rPr>
          <w:rFonts w:hint="eastAsia" w:ascii="仿宋_GB2312" w:hAnsi="仿宋_GB2312" w:eastAsia="仿宋_GB2312" w:cs="仿宋_GB2312"/>
          <w:sz w:val="24"/>
          <w:szCs w:val="24"/>
          <w:lang w:val="en-US" w:eastAsia="zh-CN"/>
        </w:rPr>
        <w:t>30日</w:t>
      </w:r>
      <w:r>
        <w:rPr>
          <w:rFonts w:hint="eastAsia" w:ascii="仿宋_GB2312" w:hAnsi="仿宋_GB2312" w:eastAsia="仿宋_GB2312" w:cs="仿宋_GB2312"/>
          <w:sz w:val="24"/>
          <w:szCs w:val="24"/>
        </w:rPr>
        <w:t>内</w:t>
      </w:r>
      <w:r>
        <w:rPr>
          <w:rFonts w:hint="eastAsia" w:ascii="仿宋_GB2312" w:hAnsi="仿宋_GB2312" w:eastAsia="仿宋_GB2312" w:cs="仿宋_GB2312"/>
          <w:sz w:val="24"/>
          <w:szCs w:val="24"/>
          <w:lang w:eastAsia="zh-CN"/>
        </w:rPr>
        <w:t>开始供货，按使用单位实际需求，分批到货。</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交货地点：内蒙古准格尔旗薛家湾大准铁路公司车辆段（由使用方指定）。</w:t>
      </w:r>
    </w:p>
    <w:p>
      <w:pPr>
        <w:pageBreakBefore w:val="0"/>
        <w:numPr>
          <w:ilvl w:val="0"/>
          <w:numId w:val="2"/>
        </w:numPr>
        <w:kinsoku/>
        <w:wordWrap/>
        <w:overflowPunct/>
        <w:topLinePunct w:val="0"/>
        <w:bidi w:val="0"/>
        <w:snapToGrid/>
        <w:spacing w:beforeAutospacing="0" w:afterAutospacing="0" w:line="560" w:lineRule="exact"/>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付款方式</w:t>
      </w:r>
    </w:p>
    <w:p>
      <w:pPr>
        <w:pageBreakBefore w:val="0"/>
        <w:kinsoku/>
        <w:wordWrap/>
        <w:overflowPunct/>
        <w:topLinePunct w:val="0"/>
        <w:bidi w:val="0"/>
        <w:snapToGrid/>
        <w:spacing w:beforeAutospacing="0" w:afterAutospacing="0" w:line="560" w:lineRule="exact"/>
        <w:ind w:left="0" w:firstLine="480" w:firstLineChars="200"/>
        <w:rPr>
          <w:rFonts w:hint="eastAsia" w:ascii="仿宋_GB2312" w:hAnsi="仿宋_GB2312" w:eastAsia="仿宋_GB2312" w:cs="仿宋_GB2312"/>
          <w:sz w:val="24"/>
          <w:szCs w:val="24"/>
          <w:lang w:bidi="ar-SA"/>
        </w:rPr>
      </w:pPr>
      <w:r>
        <w:rPr>
          <w:rFonts w:hint="eastAsia" w:ascii="仿宋_GB2312" w:hAnsi="仿宋_GB2312" w:eastAsia="仿宋_GB2312" w:cs="仿宋_GB2312"/>
          <w:sz w:val="24"/>
          <w:szCs w:val="24"/>
          <w:lang w:eastAsia="zh-CN" w:bidi="ar-SA"/>
        </w:rPr>
        <w:t>按使用单位实际需求分批到货，分批结算，</w:t>
      </w:r>
      <w:r>
        <w:rPr>
          <w:rFonts w:hint="eastAsia" w:ascii="仿宋_GB2312" w:hAnsi="仿宋_GB2312" w:eastAsia="仿宋_GB2312" w:cs="仿宋_GB2312"/>
          <w:sz w:val="24"/>
          <w:szCs w:val="24"/>
          <w:lang w:bidi="ar-SA"/>
        </w:rPr>
        <w:t>验收</w:t>
      </w:r>
      <w:r>
        <w:rPr>
          <w:rFonts w:hint="eastAsia" w:ascii="仿宋_GB2312" w:hAnsi="仿宋_GB2312" w:eastAsia="仿宋_GB2312" w:cs="仿宋_GB2312"/>
          <w:sz w:val="24"/>
          <w:szCs w:val="24"/>
          <w:lang w:eastAsia="zh-CN" w:bidi="ar-SA"/>
        </w:rPr>
        <w:t>合格</w:t>
      </w:r>
      <w:r>
        <w:rPr>
          <w:rFonts w:hint="eastAsia" w:ascii="仿宋_GB2312" w:hAnsi="仿宋_GB2312" w:eastAsia="仿宋_GB2312" w:cs="仿宋_GB2312"/>
          <w:sz w:val="24"/>
          <w:szCs w:val="24"/>
          <w:lang w:bidi="ar-SA"/>
        </w:rPr>
        <w:t>后</w:t>
      </w:r>
      <w:r>
        <w:rPr>
          <w:rFonts w:hint="eastAsia" w:ascii="仿宋_GB2312" w:hAnsi="仿宋_GB2312" w:eastAsia="仿宋_GB2312" w:cs="仿宋_GB2312"/>
          <w:sz w:val="24"/>
          <w:szCs w:val="24"/>
          <w:lang w:eastAsia="zh-CN" w:bidi="ar-SA"/>
        </w:rPr>
        <w:t>付</w:t>
      </w:r>
      <w:r>
        <w:rPr>
          <w:rFonts w:hint="eastAsia" w:ascii="仿宋_GB2312" w:hAnsi="仿宋_GB2312" w:eastAsia="仿宋_GB2312" w:cs="仿宋_GB2312"/>
          <w:sz w:val="24"/>
          <w:szCs w:val="24"/>
          <w:lang w:bidi="ar-SA"/>
        </w:rPr>
        <w:t>90%</w:t>
      </w:r>
      <w:r>
        <w:rPr>
          <w:rFonts w:hint="eastAsia" w:ascii="仿宋_GB2312" w:hAnsi="仿宋_GB2312" w:eastAsia="仿宋_GB2312" w:cs="仿宋_GB2312"/>
          <w:sz w:val="24"/>
          <w:szCs w:val="24"/>
          <w:lang w:eastAsia="zh-CN" w:bidi="ar-SA"/>
        </w:rPr>
        <w:t>货款</w:t>
      </w:r>
      <w:r>
        <w:rPr>
          <w:rFonts w:hint="eastAsia" w:ascii="仿宋_GB2312" w:hAnsi="仿宋_GB2312" w:eastAsia="仿宋_GB2312" w:cs="仿宋_GB2312"/>
          <w:sz w:val="24"/>
          <w:szCs w:val="24"/>
          <w:lang w:bidi="ar-SA"/>
        </w:rPr>
        <w:t>，质保</w:t>
      </w:r>
      <w:r>
        <w:rPr>
          <w:rFonts w:hint="eastAsia" w:ascii="仿宋_GB2312" w:hAnsi="仿宋_GB2312" w:eastAsia="仿宋_GB2312" w:cs="仿宋_GB2312"/>
          <w:sz w:val="24"/>
          <w:szCs w:val="24"/>
          <w:lang w:eastAsia="zh-CN" w:bidi="ar-SA"/>
        </w:rPr>
        <w:t>期内无质量问题付</w:t>
      </w:r>
      <w:r>
        <w:rPr>
          <w:rFonts w:hint="eastAsia" w:ascii="仿宋_GB2312" w:hAnsi="仿宋_GB2312" w:eastAsia="仿宋_GB2312" w:cs="仿宋_GB2312"/>
          <w:sz w:val="24"/>
          <w:szCs w:val="24"/>
          <w:lang w:bidi="ar-SA"/>
        </w:rPr>
        <w:t>10%</w:t>
      </w:r>
      <w:r>
        <w:rPr>
          <w:rFonts w:hint="eastAsia" w:ascii="仿宋_GB2312" w:hAnsi="仿宋_GB2312" w:eastAsia="仿宋_GB2312" w:cs="仿宋_GB2312"/>
          <w:sz w:val="24"/>
          <w:szCs w:val="24"/>
          <w:lang w:eastAsia="zh-CN" w:bidi="ar-SA"/>
        </w:rPr>
        <w:t>货款。</w:t>
      </w:r>
      <w:r>
        <w:rPr>
          <w:rFonts w:hint="eastAsia" w:ascii="仿宋_GB2312" w:hAnsi="仿宋_GB2312" w:eastAsia="仿宋_GB2312" w:cs="仿宋_GB2312"/>
          <w:sz w:val="24"/>
          <w:szCs w:val="24"/>
          <w:lang w:bidi="ar-SA"/>
        </w:rPr>
        <w:t>付款方根据资金周转情况部分或全部以银行承兑汇票方式结算。</w:t>
      </w:r>
    </w:p>
    <w:p>
      <w:pPr>
        <w:pStyle w:val="4"/>
        <w:jc w:val="center"/>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br w:type="page"/>
      </w:r>
      <w:r>
        <w:rPr>
          <w:rFonts w:hint="eastAsia" w:ascii="仿宋_GB2312" w:hAnsi="仿宋_GB2312" w:eastAsia="仿宋_GB2312" w:cs="仿宋_GB2312"/>
          <w:b/>
          <w:bCs/>
          <w:kern w:val="2"/>
          <w:sz w:val="24"/>
          <w:szCs w:val="24"/>
          <w:lang w:val="en-US" w:eastAsia="zh-CN" w:bidi="ar-SA"/>
        </w:rPr>
        <w:t>第三包：普通托辊技术规范书</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我公司计划购置管状带式输送机用托辊，投标方需提供全新的配件。</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2.1本技术规范的使用范围，适用于本次带式输送机的托辊的订货招标。</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2.2本技术规范书提出的是最低限度的技术要求，并未对一切技术细节作出规定，也未充分引述有关标准和规范的条件，投标方应保证提供符合本技术规范书的有关最高工业标准的优质产品。</w:t>
      </w:r>
    </w:p>
    <w:p>
      <w:pPr>
        <w:keepNext w:val="0"/>
        <w:keepLines w:val="0"/>
        <w:pageBreakBefore w:val="0"/>
        <w:widowControl w:val="0"/>
        <w:numPr>
          <w:ilvl w:val="0"/>
          <w:numId w:val="3"/>
        </w:numPr>
        <w:suppressLineNumbers w:val="0"/>
        <w:suppressAutoHyphens w:val="0"/>
        <w:kinsoku/>
        <w:wordWrap/>
        <w:overflowPunct/>
        <w:topLinePunct w:val="0"/>
        <w:autoSpaceDE/>
        <w:autoSpaceDN w:val="0"/>
        <w:bidi w:val="0"/>
        <w:adjustRightInd/>
        <w:snapToGrid/>
        <w:spacing w:beforeAutospacing="0" w:afterAutospacing="0" w:line="560" w:lineRule="exact"/>
        <w:ind w:right="0"/>
        <w:jc w:val="both"/>
        <w:textAlignment w:val="auto"/>
        <w:outlineLvl w:val="9"/>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投标人资质</w:t>
      </w:r>
      <w:r>
        <w:rPr>
          <w:rFonts w:hint="eastAsia" w:ascii="仿宋_GB2312" w:hAnsi="仿宋_GB2312" w:eastAsia="仿宋_GB2312" w:cs="仿宋_GB2312"/>
          <w:b/>
          <w:color w:val="000000"/>
          <w:sz w:val="24"/>
          <w:szCs w:val="24"/>
          <w:lang w:val="en-US" w:eastAsia="zh-CN"/>
        </w:rPr>
        <w:t>及业绩</w:t>
      </w:r>
      <w:r>
        <w:rPr>
          <w:rFonts w:hint="eastAsia" w:ascii="仿宋_GB2312" w:hAnsi="仿宋_GB2312" w:eastAsia="仿宋_GB2312" w:cs="仿宋_GB2312"/>
          <w:b/>
          <w:color w:val="000000"/>
          <w:sz w:val="24"/>
          <w:szCs w:val="24"/>
        </w:rPr>
        <w:t>要求</w:t>
      </w:r>
      <w:r>
        <w:rPr>
          <w:rFonts w:hint="eastAsia" w:ascii="仿宋_GB2312" w:hAnsi="仿宋_GB2312" w:eastAsia="仿宋_GB2312" w:cs="仿宋_GB2312"/>
          <w:b/>
          <w:color w:val="000000"/>
          <w:sz w:val="24"/>
          <w:szCs w:val="24"/>
          <w:lang w:eastAsia="zh-CN"/>
        </w:rPr>
        <w:t>：（详见招标公告）</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4.气候条件</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5.工作环境</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管状带式输送机在露天使用。管状带式输送机管径为φ500,管状输送带带宽为1900mm,驱动功率为4×800kW，带速4.5m/s,输送机运量1700t/h,水平机长4146m，提升高度58.230m，高压变频启动，液压自动拉紧。</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*6.技术要求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6.1名称和数量</w:t>
      </w:r>
    </w:p>
    <w:tbl>
      <w:tblPr>
        <w:tblStyle w:val="7"/>
        <w:tblW w:w="7964" w:type="dxa"/>
        <w:jc w:val="center"/>
        <w:tblInd w:w="-1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59"/>
        <w:gridCol w:w="1341"/>
        <w:gridCol w:w="1380"/>
        <w:gridCol w:w="2605"/>
        <w:gridCol w:w="635"/>
        <w:gridCol w:w="724"/>
        <w:gridCol w:w="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459"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4"/>
                <w:szCs w:val="24"/>
                <w:u w:val="none"/>
              </w:rPr>
            </w:pPr>
            <w:r>
              <w:rPr>
                <w:rFonts w:hint="eastAsia" w:ascii="仿宋_GB2312" w:hAnsi="仿宋_GB2312" w:eastAsia="仿宋_GB2312" w:cs="仿宋_GB2312"/>
                <w:b/>
                <w:bCs/>
                <w:i w:val="0"/>
                <w:color w:val="000000"/>
                <w:kern w:val="0"/>
                <w:sz w:val="24"/>
                <w:szCs w:val="24"/>
                <w:u w:val="none"/>
                <w:lang w:val="en-US" w:eastAsia="zh-CN"/>
              </w:rPr>
              <w:t>序号</w:t>
            </w:r>
          </w:p>
        </w:tc>
        <w:tc>
          <w:tcPr>
            <w:tcW w:w="1341"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4"/>
                <w:szCs w:val="24"/>
                <w:u w:val="none"/>
              </w:rPr>
            </w:pPr>
            <w:r>
              <w:rPr>
                <w:rFonts w:hint="eastAsia" w:ascii="仿宋_GB2312" w:hAnsi="仿宋_GB2312" w:eastAsia="仿宋_GB2312" w:cs="仿宋_GB2312"/>
                <w:b/>
                <w:bCs/>
                <w:i w:val="0"/>
                <w:color w:val="000000"/>
                <w:kern w:val="0"/>
                <w:sz w:val="24"/>
                <w:szCs w:val="24"/>
                <w:u w:val="none"/>
                <w:lang w:val="en-US" w:eastAsia="zh-CN"/>
              </w:rPr>
              <w:t>物料编码</w:t>
            </w:r>
          </w:p>
        </w:tc>
        <w:tc>
          <w:tcPr>
            <w:tcW w:w="138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kern w:val="0"/>
                <w:sz w:val="24"/>
                <w:szCs w:val="24"/>
                <w:u w:val="none"/>
                <w:lang w:val="en-US" w:eastAsia="zh-CN"/>
              </w:rPr>
            </w:pPr>
            <w:r>
              <w:rPr>
                <w:rFonts w:hint="eastAsia" w:ascii="仿宋_GB2312" w:hAnsi="仿宋_GB2312" w:eastAsia="仿宋_GB2312" w:cs="仿宋_GB2312"/>
                <w:b/>
                <w:bCs/>
                <w:i w:val="0"/>
                <w:color w:val="000000"/>
                <w:kern w:val="0"/>
                <w:sz w:val="24"/>
                <w:szCs w:val="24"/>
                <w:u w:val="none"/>
                <w:lang w:val="en-US" w:eastAsia="zh-CN"/>
              </w:rPr>
              <w:t>名称</w:t>
            </w:r>
          </w:p>
        </w:tc>
        <w:tc>
          <w:tcPr>
            <w:tcW w:w="2605"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4"/>
                <w:szCs w:val="24"/>
                <w:u w:val="none"/>
              </w:rPr>
            </w:pPr>
            <w:r>
              <w:rPr>
                <w:rFonts w:hint="eastAsia" w:ascii="仿宋_GB2312" w:hAnsi="仿宋_GB2312" w:eastAsia="仿宋_GB2312" w:cs="仿宋_GB2312"/>
                <w:b/>
                <w:bCs/>
                <w:i w:val="0"/>
                <w:color w:val="000000"/>
                <w:kern w:val="0"/>
                <w:sz w:val="24"/>
                <w:szCs w:val="24"/>
                <w:u w:val="none"/>
                <w:lang w:val="en-US" w:eastAsia="zh-CN"/>
              </w:rPr>
              <w:t>规格型号</w:t>
            </w:r>
          </w:p>
        </w:tc>
        <w:tc>
          <w:tcPr>
            <w:tcW w:w="635"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b/>
                <w:bCs/>
                <w:i w:val="0"/>
                <w:color w:val="000000"/>
                <w:kern w:val="0"/>
                <w:sz w:val="24"/>
                <w:szCs w:val="24"/>
                <w:u w:val="none"/>
                <w:lang w:val="en-US" w:eastAsia="zh-CN"/>
              </w:rPr>
              <w:t>单位</w:t>
            </w:r>
          </w:p>
        </w:tc>
        <w:tc>
          <w:tcPr>
            <w:tcW w:w="724"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sz w:val="24"/>
                <w:szCs w:val="24"/>
                <w:u w:val="none"/>
              </w:rPr>
            </w:pPr>
            <w:r>
              <w:rPr>
                <w:rFonts w:hint="eastAsia" w:ascii="仿宋_GB2312" w:hAnsi="仿宋_GB2312" w:eastAsia="仿宋_GB2312" w:cs="仿宋_GB2312"/>
                <w:b/>
                <w:bCs/>
                <w:i w:val="0"/>
                <w:color w:val="000000"/>
                <w:kern w:val="0"/>
                <w:sz w:val="24"/>
                <w:szCs w:val="24"/>
                <w:u w:val="none"/>
                <w:lang w:val="en-US" w:eastAsia="zh-CN"/>
              </w:rPr>
              <w:t>数量</w:t>
            </w:r>
          </w:p>
        </w:tc>
        <w:tc>
          <w:tcPr>
            <w:tcW w:w="820"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b/>
                <w:bCs/>
                <w:i w:val="0"/>
                <w:color w:val="000000"/>
                <w:kern w:val="0"/>
                <w:sz w:val="24"/>
                <w:szCs w:val="24"/>
                <w:u w:val="none"/>
                <w:lang w:val="en-US" w:eastAsia="zh-CN"/>
              </w:rPr>
            </w:pPr>
            <w:r>
              <w:rPr>
                <w:rFonts w:hint="eastAsia" w:ascii="仿宋_GB2312" w:hAnsi="仿宋_GB2312" w:eastAsia="仿宋_GB2312" w:cs="仿宋_GB2312"/>
                <w:b/>
                <w:bCs/>
                <w:i w:val="0"/>
                <w:color w:val="000000"/>
                <w:kern w:val="0"/>
                <w:sz w:val="24"/>
                <w:szCs w:val="24"/>
                <w:u w:val="none"/>
                <w:lang w:val="en-US" w:eastAsia="zh-CN"/>
              </w:rPr>
              <w:t>轴径φ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7"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11955810</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普通托辊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GP159-314-305\L2=320\a=9\b=22</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000000"/>
                <w:kern w:val="0"/>
                <w:sz w:val="24"/>
                <w:szCs w:val="24"/>
                <w:u w:val="none"/>
                <w:lang w:val="en-US" w:eastAsia="zh-CN" w:bidi="ar"/>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16500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2</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11955809</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普通托辊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GP159-314-306\L2=320\a=9\b=22</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6500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1"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3</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11955901</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挡边立辊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φ133×400mm</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100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4"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4</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11284279</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缓冲托辊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GH159-710-306\L2=720\a=14\b=18</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80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2"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5</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11284442</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普通托辊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GP159-710-306\L2=720\a=10\b=22</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270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7"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6</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11955812</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普通托辊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GP159-2050-308\L2=2060\a=12\b=32</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5" w:hRule="atLeast"/>
          <w:jc w:val="center"/>
        </w:trPr>
        <w:tc>
          <w:tcPr>
            <w:tcW w:w="4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auto"/>
                <w:sz w:val="24"/>
                <w:szCs w:val="24"/>
                <w:u w:val="none"/>
                <w:lang w:val="en-US" w:eastAsia="zh-CN"/>
              </w:rPr>
            </w:pPr>
            <w:r>
              <w:rPr>
                <w:rFonts w:hint="eastAsia" w:ascii="仿宋_GB2312" w:hAnsi="仿宋_GB2312" w:eastAsia="仿宋_GB2312" w:cs="仿宋_GB2312"/>
                <w:i w:val="0"/>
                <w:color w:val="auto"/>
                <w:sz w:val="24"/>
                <w:szCs w:val="24"/>
                <w:u w:val="none"/>
                <w:lang w:val="en-US" w:eastAsia="zh-CN"/>
              </w:rPr>
              <w:t>7</w:t>
            </w:r>
          </w:p>
        </w:tc>
        <w:tc>
          <w:tcPr>
            <w:tcW w:w="134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11955811</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普通托辊</w:t>
            </w:r>
          </w:p>
        </w:tc>
        <w:tc>
          <w:tcPr>
            <w:tcW w:w="26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left"/>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000000"/>
                <w:kern w:val="0"/>
                <w:sz w:val="24"/>
                <w:szCs w:val="24"/>
                <w:u w:val="none"/>
                <w:lang w:val="en-US" w:eastAsia="zh-CN" w:bidi="ar"/>
              </w:rPr>
              <w:t>GP159-2050-306\L2=2060\a=10\b=22</w:t>
            </w:r>
          </w:p>
        </w:tc>
        <w:tc>
          <w:tcPr>
            <w:tcW w:w="6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color w:val="auto"/>
                <w:sz w:val="24"/>
                <w:szCs w:val="24"/>
                <w:u w:val="none"/>
                <w:lang w:eastAsia="zh-CN"/>
              </w:rPr>
              <w:t>根</w:t>
            </w:r>
          </w:p>
        </w:tc>
        <w:tc>
          <w:tcPr>
            <w:tcW w:w="7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bidi w:val="0"/>
              <w:snapToGrid/>
              <w:spacing w:beforeAutospacing="0" w:afterAutospacing="0" w:line="56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w:t>
            </w:r>
          </w:p>
        </w:tc>
      </w:tr>
    </w:tbl>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color w:val="000000"/>
          <w:sz w:val="24"/>
          <w:szCs w:val="24"/>
          <w:lang w:val="en-US" w:eastAsia="zh-CN"/>
        </w:rPr>
        <w:t xml:space="preserve">6.1  </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托辊轴承</w:t>
      </w:r>
      <w:r>
        <w:rPr>
          <w:rFonts w:hint="eastAsia" w:ascii="仿宋_GB2312" w:hAnsi="仿宋_GB2312" w:eastAsia="仿宋_GB2312" w:cs="仿宋_GB2312"/>
          <w:color w:val="000000"/>
          <w:sz w:val="24"/>
          <w:szCs w:val="24"/>
          <w:lang w:val="en-US" w:eastAsia="zh-CN"/>
        </w:rPr>
        <w:t>选用LYC、HRB、ZWZ品牌产品，或选用品质高于上述产品的进口品牌，</w:t>
      </w:r>
      <w:r>
        <w:rPr>
          <w:rFonts w:hint="eastAsia" w:ascii="仿宋_GB2312" w:hAnsi="仿宋_GB2312" w:eastAsia="仿宋_GB2312" w:cs="仿宋_GB2312"/>
          <w:b w:val="0"/>
          <w:bCs w:val="0"/>
          <w:iCs/>
          <w:caps w:val="0"/>
          <w:smallCaps w:val="0"/>
          <w:color w:val="000000"/>
          <w:kern w:val="2"/>
          <w:sz w:val="24"/>
          <w:szCs w:val="24"/>
          <w:vertAlign w:val="baseline"/>
          <w:lang w:val="en-US" w:eastAsia="zh-CN"/>
        </w:rPr>
        <w:t>采用大游隙、双密封、中重型系列托辊专用轴承，冲压轴承座，非接触迷宫密封，托辊轴</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采用冷拔钢轴。辊体采用高精度的托辊专用高频焊管，</w:t>
      </w:r>
      <w:r>
        <w:rPr>
          <w:rFonts w:hint="eastAsia" w:ascii="仿宋_GB2312" w:hAnsi="仿宋_GB2312" w:eastAsia="仿宋_GB2312" w:cs="仿宋_GB2312"/>
          <w:color w:val="000000"/>
          <w:sz w:val="24"/>
          <w:szCs w:val="24"/>
          <w:lang w:val="en-US" w:eastAsia="zh-CN"/>
        </w:rPr>
        <w:t>厚度不低于5mm；</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轴承座采用冲压轴承座，厚度不小于4.5mm，辊体与轴承座采用CO</w:t>
      </w:r>
      <w:r>
        <w:rPr>
          <w:rFonts w:hint="eastAsia" w:ascii="仿宋_GB2312" w:hAnsi="仿宋_GB2312" w:eastAsia="仿宋_GB2312" w:cs="仿宋_GB2312"/>
          <w:b w:val="0"/>
          <w:bCs w:val="0"/>
          <w:iCs/>
          <w:caps w:val="0"/>
          <w:smallCaps w:val="0"/>
          <w:color w:val="auto"/>
          <w:kern w:val="2"/>
          <w:sz w:val="24"/>
          <w:szCs w:val="24"/>
          <w:vertAlign w:val="subscript"/>
          <w:lang w:val="en-US" w:eastAsia="zh-CN"/>
        </w:rPr>
        <w:t>2</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气体保护焊焊接。</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6.2  托辊轴向窜动要求：在500N轴向载荷作用下，轴向窜动值不得大于0.7mm。</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6.3  托辊使用寿命：托辊使用寿命不低于30000小时，在寿命期内损坏率不得超过10%。</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b w:val="0"/>
          <w:bCs w:val="0"/>
          <w:color w:val="000000"/>
          <w:kern w:val="2"/>
          <w:sz w:val="24"/>
          <w:szCs w:val="24"/>
          <w:lang w:val="en-US" w:eastAsia="zh-CN" w:bidi="ar-SA"/>
        </w:rPr>
      </w:pPr>
      <w:r>
        <w:rPr>
          <w:rFonts w:hint="eastAsia" w:ascii="仿宋_GB2312" w:hAnsi="仿宋_GB2312" w:eastAsia="仿宋_GB2312" w:cs="仿宋_GB2312"/>
          <w:b w:val="0"/>
          <w:bCs w:val="0"/>
          <w:color w:val="000000"/>
          <w:kern w:val="2"/>
          <w:sz w:val="24"/>
          <w:szCs w:val="24"/>
          <w:lang w:val="en-US" w:eastAsia="zh-CN" w:bidi="ar-SA"/>
        </w:rPr>
        <w:t>6.4  缓冲托辊胶圈要求阻燃，</w:t>
      </w:r>
      <w:r>
        <w:rPr>
          <w:rFonts w:hint="eastAsia" w:ascii="仿宋_GB2312" w:hAnsi="仿宋_GB2312" w:eastAsia="仿宋_GB2312" w:cs="仿宋_GB2312"/>
          <w:color w:val="000000"/>
          <w:sz w:val="24"/>
          <w:szCs w:val="24"/>
          <w:lang w:val="en-US" w:eastAsia="zh-CN"/>
        </w:rPr>
        <w:t>阻燃性能满足MT113《煤矿井下用聚合物制品阻燃抗静电性通用试验方法和判定规则》规定。</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right="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6.5  托辊的制作及其他性能要求需满足标准JB/T 10380-2013《圆管带式输送机》规定，如标准条款不一致或有更高标准时，取高标准执行。</w:t>
      </w:r>
    </w:p>
    <w:p>
      <w:pPr>
        <w:pageBreakBefore w:val="0"/>
        <w:widowControl w:val="0"/>
        <w:kinsoku/>
        <w:wordWrap/>
        <w:overflowPunct/>
        <w:topLinePunct w:val="0"/>
        <w:autoSpaceDE/>
        <w:bidi w:val="0"/>
        <w:adjustRightInd/>
        <w:snapToGrid/>
        <w:spacing w:beforeAutospacing="0" w:afterAutospacing="0" w:line="560" w:lineRule="exact"/>
        <w:ind w:left="0" w:leftChars="0" w:right="0" w:rightChars="0"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6.6  托辊装配好后，要进行出厂检测，性能检测项目有：防尘、防水、旋转阻力、轴向窜动、径向跳动、跌落强度。性能检测要按JB/T 10380-2013规定进行检测。</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leftChars="0" w:right="0" w:rightChars="0" w:firstLine="480" w:firstLineChars="200"/>
        <w:jc w:val="both"/>
        <w:textAlignment w:val="auto"/>
        <w:outlineLvl w:val="9"/>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sz w:val="24"/>
          <w:szCs w:val="24"/>
          <w:lang w:val="en-US" w:eastAsia="zh-CN"/>
        </w:rPr>
        <w:t>6.7  托辊喷涂颜色为黑色；托辊装箱包装，包装要牢固可靠，包装箱外注明托辊名称和规格，制造厂</w:t>
      </w:r>
      <w:r>
        <w:rPr>
          <w:rFonts w:hint="eastAsia" w:ascii="仿宋_GB2312" w:hAnsi="仿宋_GB2312" w:eastAsia="仿宋_GB2312" w:cs="仿宋_GB2312"/>
          <w:color w:val="000000"/>
          <w:kern w:val="2"/>
          <w:sz w:val="24"/>
          <w:szCs w:val="24"/>
          <w:lang w:val="en-US" w:eastAsia="zh-CN" w:bidi="ar-SA"/>
        </w:rPr>
        <w:t>名陈和出厂年、月等字样。</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leftChars="0" w:right="0" w:rightChars="0" w:firstLine="480" w:firstLineChars="200"/>
        <w:jc w:val="both"/>
        <w:textAlignment w:val="auto"/>
        <w:outlineLvl w:val="9"/>
        <w:rPr>
          <w:rFonts w:hint="eastAsia" w:ascii="仿宋_GB2312" w:hAnsi="仿宋_GB2312" w:eastAsia="仿宋_GB2312" w:cs="仿宋_GB2312"/>
          <w:b/>
          <w:sz w:val="24"/>
          <w:szCs w:val="24"/>
          <w:lang w:val="en-US" w:eastAsia="zh-CN"/>
        </w:rPr>
      </w:pPr>
      <w:r>
        <w:rPr>
          <w:rFonts w:hint="eastAsia" w:ascii="仿宋_GB2312" w:hAnsi="仿宋_GB2312" w:eastAsia="仿宋_GB2312" w:cs="仿宋_GB2312"/>
          <w:b w:val="0"/>
          <w:bCs w:val="0"/>
          <w:color w:val="000000"/>
          <w:kern w:val="2"/>
          <w:sz w:val="24"/>
          <w:szCs w:val="24"/>
          <w:lang w:val="en-US" w:eastAsia="zh-CN" w:bidi="ar-SA"/>
        </w:rPr>
        <w:t>6.8  所有配件</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均需现场测绘，投标方保证所提供的配件符合现场使用要求。</w:t>
      </w:r>
      <w:r>
        <w:rPr>
          <w:rFonts w:hint="eastAsia" w:ascii="仿宋_GB2312" w:hAnsi="仿宋_GB2312" w:eastAsia="仿宋_GB2312" w:cs="仿宋_GB2312"/>
          <w:b/>
          <w:sz w:val="24"/>
          <w:szCs w:val="24"/>
          <w:lang w:val="en-US" w:eastAsia="zh-CN"/>
        </w:rPr>
        <w:t xml:space="preserve"> </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w:t>
      </w:r>
      <w:r>
        <w:rPr>
          <w:rFonts w:hint="eastAsia" w:ascii="仿宋_GB2312" w:hAnsi="仿宋_GB2312" w:eastAsia="仿宋_GB2312" w:cs="仿宋_GB2312"/>
          <w:b/>
          <w:sz w:val="24"/>
          <w:szCs w:val="24"/>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left="0" w:leftChars="0" w:right="0" w:rightChars="0" w:firstLine="480" w:firstLineChars="200"/>
        <w:jc w:val="both"/>
        <w:textAlignment w:val="auto"/>
        <w:outlineLvl w:val="9"/>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7.1 合同签订后1个月内。</w:t>
      </w:r>
    </w:p>
    <w:p>
      <w:pPr>
        <w:pageBreakBefore w:val="0"/>
        <w:kinsoku/>
        <w:wordWrap/>
        <w:overflowPunct/>
        <w:topLinePunct w:val="0"/>
        <w:autoSpaceDE/>
        <w:bidi w:val="0"/>
        <w:snapToGrid/>
        <w:spacing w:beforeAutospacing="0" w:afterAutospacing="0" w:line="560" w:lineRule="exact"/>
        <w:ind w:firstLine="480" w:firstLineChars="200"/>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7.2 托辊到货后，由投标方卸货到招标方指定地点，装、卸、运输费用由投标方承担。</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8.验收和质量保证</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right="0" w:firstLine="480" w:firstLineChars="200"/>
        <w:jc w:val="both"/>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投标人必须提供下表所列技术资料(但不限于此)。</w:t>
      </w:r>
    </w:p>
    <w:tbl>
      <w:tblPr>
        <w:tblStyle w:val="7"/>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217"/>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217"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名称</w:t>
            </w:r>
          </w:p>
        </w:tc>
        <w:tc>
          <w:tcPr>
            <w:tcW w:w="3163"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p>
        </w:tc>
        <w:tc>
          <w:tcPr>
            <w:tcW w:w="3217"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合格证</w:t>
            </w:r>
          </w:p>
        </w:tc>
        <w:tc>
          <w:tcPr>
            <w:tcW w:w="3163" w:type="dxa"/>
            <w:vAlign w:val="top"/>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u w:val="none"/>
              </w:rPr>
            </w:pP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none"/>
                <w:lang w:val="en-US" w:eastAsia="zh-CN"/>
              </w:rPr>
              <w:t>1</w:t>
            </w:r>
            <w:r>
              <w:rPr>
                <w:rFonts w:hint="eastAsia" w:ascii="仿宋_GB2312" w:hAnsi="仿宋_GB2312" w:eastAsia="仿宋_GB2312" w:cs="仿宋_GB2312"/>
                <w:sz w:val="24"/>
                <w:szCs w:val="24"/>
                <w:u w:val="none"/>
              </w:rPr>
              <w:t xml:space="preserve"> 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3217"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样品</w:t>
            </w:r>
            <w:r>
              <w:rPr>
                <w:rFonts w:hint="eastAsia" w:ascii="仿宋_GB2312" w:hAnsi="仿宋_GB2312" w:eastAsia="仿宋_GB2312" w:cs="仿宋_GB2312"/>
                <w:sz w:val="24"/>
                <w:szCs w:val="24"/>
                <w:lang w:eastAsia="zh-CN"/>
              </w:rPr>
              <w:t>检测</w:t>
            </w:r>
            <w:r>
              <w:rPr>
                <w:rFonts w:hint="eastAsia" w:ascii="仿宋_GB2312" w:hAnsi="仿宋_GB2312" w:eastAsia="仿宋_GB2312" w:cs="仿宋_GB2312"/>
                <w:sz w:val="24"/>
                <w:szCs w:val="24"/>
              </w:rPr>
              <w:t>报告</w:t>
            </w:r>
          </w:p>
        </w:tc>
        <w:tc>
          <w:tcPr>
            <w:tcW w:w="3163" w:type="dxa"/>
            <w:vAlign w:val="top"/>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u w:val="none"/>
              </w:rPr>
            </w:pP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none"/>
                <w:lang w:val="en-US" w:eastAsia="zh-CN"/>
              </w:rPr>
              <w:t>1</w:t>
            </w:r>
            <w:r>
              <w:rPr>
                <w:rFonts w:hint="eastAsia" w:ascii="仿宋_GB2312" w:hAnsi="仿宋_GB2312" w:eastAsia="仿宋_GB2312" w:cs="仿宋_GB2312"/>
                <w:sz w:val="24"/>
                <w:szCs w:val="24"/>
                <w:u w:val="none"/>
              </w:rPr>
              <w:t xml:space="preserve"> 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3217" w:type="dxa"/>
            <w:vAlign w:val="center"/>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轴承购销合同</w:t>
            </w:r>
          </w:p>
        </w:tc>
        <w:tc>
          <w:tcPr>
            <w:tcW w:w="3163" w:type="dxa"/>
            <w:vAlign w:val="top"/>
          </w:tcPr>
          <w:p>
            <w:pPr>
              <w:pageBreakBefore w:val="0"/>
              <w:kinsoku/>
              <w:wordWrap/>
              <w:overflowPunct/>
              <w:topLinePunct w:val="0"/>
              <w:autoSpaceDE/>
              <w:bidi w:val="0"/>
              <w:snapToGrid/>
              <w:spacing w:beforeAutospacing="0" w:afterAutospacing="0" w:line="560" w:lineRule="exact"/>
              <w:jc w:val="center"/>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sz w:val="24"/>
                <w:szCs w:val="24"/>
                <w:u w:val="none"/>
                <w:lang w:val="en-US" w:eastAsia="zh-CN"/>
              </w:rPr>
              <w:t>1套</w:t>
            </w:r>
          </w:p>
        </w:tc>
      </w:tr>
    </w:tbl>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8.1 检测报告内容含6.6条所列所有检测项目。</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8.2 托辊到货后，招标方根据技术要求及投标方提供的检测报告组织验收。</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8.3 质保期2年，从安装使用之日算起。</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jc w:val="left"/>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8.4 托辊在质保期内由投标方免费更换损坏产品。质保期内损坏率超出5%视为产品质量不合格。</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9.付款方式</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right="0" w:firstLine="480" w:firstLineChars="200"/>
        <w:jc w:val="both"/>
        <w:outlineLvl w:val="9"/>
        <w:rPr>
          <w:rFonts w:hint="eastAsia" w:ascii="仿宋_GB2312" w:hAnsi="仿宋_GB2312" w:eastAsia="仿宋_GB2312" w:cs="仿宋_GB2312"/>
          <w:b w:val="0"/>
          <w:bCs w:val="0"/>
          <w:iCs/>
          <w:caps w:val="0"/>
          <w:smallCaps w:val="0"/>
          <w:color w:val="FF0000"/>
          <w:kern w:val="2"/>
          <w:sz w:val="24"/>
          <w:szCs w:val="24"/>
          <w:vertAlign w:val="baseline"/>
          <w:lang w:val="en-US" w:eastAsia="zh-CN"/>
        </w:rPr>
      </w:pPr>
      <w:r>
        <w:rPr>
          <w:rFonts w:hint="eastAsia" w:ascii="仿宋_GB2312" w:hAnsi="仿宋_GB2312" w:eastAsia="仿宋_GB2312" w:cs="仿宋_GB2312"/>
          <w:b w:val="0"/>
          <w:bCs w:val="0"/>
          <w:iCs/>
          <w:caps w:val="0"/>
          <w:smallCaps w:val="0"/>
          <w:color w:val="000000"/>
          <w:kern w:val="2"/>
          <w:sz w:val="24"/>
          <w:szCs w:val="24"/>
          <w:vertAlign w:val="baseline"/>
          <w:lang w:val="en-US" w:eastAsia="zh-CN"/>
        </w:rPr>
        <w:t>9.1 付款方根据资金</w:t>
      </w:r>
      <w:r>
        <w:rPr>
          <w:rFonts w:hint="eastAsia" w:ascii="仿宋_GB2312" w:hAnsi="仿宋_GB2312" w:eastAsia="仿宋_GB2312" w:cs="仿宋_GB2312"/>
          <w:b w:val="0"/>
          <w:bCs w:val="0"/>
          <w:iCs/>
          <w:caps w:val="0"/>
          <w:smallCaps w:val="0"/>
          <w:color w:val="auto"/>
          <w:kern w:val="2"/>
          <w:sz w:val="24"/>
          <w:szCs w:val="24"/>
          <w:vertAlign w:val="baseline"/>
          <w:lang w:val="en-US" w:eastAsia="zh-CN"/>
        </w:rPr>
        <w:t>周转情况部分或全部以银行承兑汇票方式结算。货到验收合格后付90%的货款，质保期内无质量问题，付清剩余10%的货款。</w:t>
      </w:r>
    </w:p>
    <w:p>
      <w:pPr>
        <w:pageBreakBefore w:val="0"/>
        <w:kinsoku/>
        <w:wordWrap/>
        <w:overflowPunct/>
        <w:topLinePunct w:val="0"/>
        <w:autoSpaceDE/>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w:t>
      </w:r>
      <w:r>
        <w:rPr>
          <w:rFonts w:hint="eastAsia" w:ascii="仿宋_GB2312" w:hAnsi="仿宋_GB2312" w:eastAsia="仿宋_GB2312" w:cs="仿宋_GB2312"/>
          <w:b/>
          <w:sz w:val="24"/>
          <w:szCs w:val="24"/>
          <w:lang w:val="en-US" w:eastAsia="zh-CN"/>
        </w:rPr>
        <w:t>0</w:t>
      </w:r>
      <w:r>
        <w:rPr>
          <w:rFonts w:hint="eastAsia" w:ascii="仿宋_GB2312" w:hAnsi="仿宋_GB2312" w:eastAsia="仿宋_GB2312" w:cs="仿宋_GB2312"/>
          <w:b/>
          <w:sz w:val="24"/>
          <w:szCs w:val="24"/>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right="0" w:firstLine="480" w:firstLineChars="200"/>
        <w:jc w:val="both"/>
        <w:textAlignment w:val="auto"/>
        <w:outlineLvl w:val="9"/>
        <w:rPr>
          <w:rFonts w:hint="eastAsia" w:ascii="仿宋_GB2312" w:hAnsi="仿宋_GB2312" w:eastAsia="仿宋_GB2312" w:cs="仿宋_GB2312"/>
          <w:b w:val="0"/>
          <w:bCs w:val="0"/>
          <w:iCs/>
          <w:caps w:val="0"/>
          <w:smallCaps w:val="0"/>
          <w:color w:val="auto"/>
          <w:kern w:val="2"/>
          <w:sz w:val="24"/>
          <w:szCs w:val="24"/>
          <w:vertAlign w:val="baseline"/>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10.1配件的装车运输由投标人负责。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60" w:lineRule="exact"/>
        <w:ind w:right="0" w:firstLine="480" w:firstLineChars="200"/>
        <w:jc w:val="both"/>
        <w:textAlignment w:val="auto"/>
        <w:outlineLvl w:val="9"/>
        <w:rPr>
          <w:rFonts w:hint="eastAsia"/>
          <w:lang w:val="en-US" w:eastAsia="zh-CN"/>
        </w:rPr>
      </w:pPr>
      <w:r>
        <w:rPr>
          <w:rFonts w:hint="eastAsia" w:ascii="仿宋_GB2312" w:hAnsi="仿宋_GB2312" w:eastAsia="仿宋_GB2312" w:cs="仿宋_GB2312"/>
          <w:b w:val="0"/>
          <w:bCs w:val="0"/>
          <w:iCs/>
          <w:caps w:val="0"/>
          <w:smallCaps w:val="0"/>
          <w:color w:val="auto"/>
          <w:kern w:val="2"/>
          <w:sz w:val="24"/>
          <w:szCs w:val="24"/>
          <w:vertAlign w:val="baseline"/>
          <w:lang w:val="en-US" w:eastAsia="zh-CN"/>
        </w:rPr>
        <w:t>10.2配件的装车和运输首先应符合质量、技术及长途运输的要求。因装车、运输不当造成的配件损坏、丢失由投标人负责。</w:t>
      </w:r>
    </w:p>
    <w:p>
      <w:pPr>
        <w:pStyle w:val="4"/>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val="0"/>
          <w:color w:val="auto"/>
          <w:kern w:val="2"/>
          <w:sz w:val="28"/>
          <w:szCs w:val="28"/>
          <w:lang w:val="en-US" w:eastAsia="zh-CN" w:bidi="ar-SA"/>
        </w:rPr>
        <w:br w:type="page"/>
      </w:r>
      <w:bookmarkStart w:id="4" w:name="_Toc2563"/>
      <w:r>
        <w:rPr>
          <w:rFonts w:hint="eastAsia" w:ascii="仿宋_GB2312" w:hAnsi="仿宋_GB2312" w:eastAsia="仿宋_GB2312" w:cs="仿宋_GB2312"/>
          <w:b/>
          <w:bCs/>
          <w:kern w:val="2"/>
          <w:sz w:val="24"/>
          <w:szCs w:val="24"/>
          <w:lang w:val="en-US" w:eastAsia="zh-CN" w:bidi="ar-SA"/>
        </w:rPr>
        <w:t>第四包：肖家沙墕二水氯化钙防冻粉等化工品</w:t>
      </w:r>
      <w:bookmarkEnd w:id="4"/>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1.项目简述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我公司计划采购二水氯化钙防冻粉等材料</w:t>
      </w:r>
      <w:r>
        <w:rPr>
          <w:rFonts w:hint="eastAsia" w:ascii="仿宋_GB2312" w:hAnsi="仿宋_GB2312" w:eastAsia="仿宋_GB2312" w:cs="仿宋_GB2312"/>
          <w:bCs/>
          <w:sz w:val="24"/>
          <w:szCs w:val="24"/>
          <w:u w:val="single"/>
        </w:rPr>
        <w:t xml:space="preserve"> 3 </w:t>
      </w:r>
      <w:r>
        <w:rPr>
          <w:rFonts w:hint="eastAsia" w:ascii="仿宋_GB2312" w:hAnsi="仿宋_GB2312" w:eastAsia="仿宋_GB2312" w:cs="仿宋_GB2312"/>
          <w:bCs/>
          <w:sz w:val="24"/>
          <w:szCs w:val="24"/>
        </w:rPr>
        <w:t>项，用于</w:t>
      </w:r>
      <w:r>
        <w:rPr>
          <w:rFonts w:hint="eastAsia" w:ascii="仿宋_GB2312" w:hAnsi="仿宋_GB2312" w:eastAsia="仿宋_GB2312" w:cs="仿宋_GB2312"/>
          <w:bCs/>
          <w:sz w:val="24"/>
          <w:szCs w:val="24"/>
          <w:u w:val="single"/>
        </w:rPr>
        <w:t xml:space="preserve"> 准能肖家沙墕煤炭集运有限责任公司肖家集运站</w:t>
      </w:r>
      <w:r>
        <w:rPr>
          <w:rFonts w:hint="eastAsia" w:ascii="仿宋_GB2312" w:hAnsi="仿宋_GB2312" w:eastAsia="仿宋_GB2312" w:cs="仿宋_GB2312"/>
          <w:bCs/>
          <w:sz w:val="24"/>
          <w:szCs w:val="24"/>
        </w:rPr>
        <w:t>项目，投标方需提供</w:t>
      </w:r>
      <w:r>
        <w:rPr>
          <w:rFonts w:hint="eastAsia" w:ascii="仿宋_GB2312" w:hAnsi="仿宋_GB2312" w:eastAsia="仿宋_GB2312" w:cs="仿宋_GB2312"/>
          <w:bCs/>
          <w:sz w:val="24"/>
          <w:szCs w:val="24"/>
          <w:lang w:eastAsia="zh-CN"/>
        </w:rPr>
        <w:t>近期</w:t>
      </w:r>
      <w:r>
        <w:rPr>
          <w:rFonts w:hint="eastAsia" w:ascii="仿宋_GB2312" w:hAnsi="仿宋_GB2312" w:eastAsia="仿宋_GB2312" w:cs="仿宋_GB2312"/>
          <w:bCs/>
          <w:sz w:val="24"/>
          <w:szCs w:val="24"/>
        </w:rPr>
        <w:t>的符合</w:t>
      </w:r>
      <w:r>
        <w:rPr>
          <w:rFonts w:hint="eastAsia" w:ascii="仿宋_GB2312" w:hAnsi="仿宋_GB2312" w:eastAsia="仿宋_GB2312" w:cs="仿宋_GB2312"/>
          <w:bCs/>
          <w:sz w:val="24"/>
          <w:szCs w:val="24"/>
          <w:lang w:eastAsia="zh-CN"/>
        </w:rPr>
        <w:t>现场</w:t>
      </w:r>
      <w:r>
        <w:rPr>
          <w:rFonts w:hint="eastAsia" w:ascii="仿宋_GB2312" w:hAnsi="仿宋_GB2312" w:eastAsia="仿宋_GB2312" w:cs="仿宋_GB2312"/>
          <w:bCs/>
          <w:sz w:val="24"/>
          <w:szCs w:val="24"/>
        </w:rPr>
        <w:t>使用要求的</w:t>
      </w:r>
      <w:r>
        <w:rPr>
          <w:rFonts w:hint="eastAsia" w:ascii="仿宋_GB2312" w:hAnsi="仿宋_GB2312" w:eastAsia="仿宋_GB2312" w:cs="仿宋_GB2312"/>
          <w:bCs/>
          <w:sz w:val="24"/>
          <w:szCs w:val="24"/>
          <w:lang w:eastAsia="zh-CN"/>
        </w:rPr>
        <w:t>化工品</w:t>
      </w:r>
      <w:r>
        <w:rPr>
          <w:rFonts w:hint="eastAsia" w:ascii="仿宋_GB2312" w:hAnsi="仿宋_GB2312" w:eastAsia="仿宋_GB2312" w:cs="仿宋_GB2312"/>
          <w:bCs/>
          <w:sz w:val="24"/>
          <w:szCs w:val="24"/>
        </w:rPr>
        <w:t>。</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2.总则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2.1本技术规范的使用范围，适用于 准能肖家沙墕煤炭集运有限责任公司肖家集运站项目材料的订货招标。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0"/>
        </w:numPr>
        <w:kinsoku/>
        <w:wordWrap/>
        <w:overflowPunct/>
        <w:topLinePunct w:val="0"/>
        <w:bidi w:val="0"/>
        <w:snapToGrid/>
        <w:spacing w:beforeAutospacing="0" w:afterAutospacing="0" w:line="560" w:lineRule="exact"/>
        <w:jc w:val="lef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3.投标人资质要求：</w:t>
      </w:r>
      <w:r>
        <w:rPr>
          <w:rFonts w:hint="eastAsia" w:ascii="仿宋_GB2312" w:hAnsi="仿宋_GB2312" w:eastAsia="仿宋_GB2312" w:cs="仿宋_GB2312"/>
          <w:b/>
          <w:sz w:val="24"/>
          <w:szCs w:val="24"/>
          <w:lang w:val="en-US" w:eastAsia="zh-CN"/>
        </w:rPr>
        <w:t>（详见招标公告）</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4.气候条件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5.工作环境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标的物在准能肖家沙墕煤炭集运有限责任公司肖家集运站现场使用，（两矿数据，若有必要进行保留，地形标高（开采地点）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numPr>
          <w:ilvl w:val="0"/>
          <w:numId w:val="0"/>
        </w:numPr>
        <w:kinsoku/>
        <w:wordWrap/>
        <w:overflowPunct/>
        <w:topLinePunct w:val="0"/>
        <w:autoSpaceDE w:val="0"/>
        <w:autoSpaceDN w:val="0"/>
        <w:bidi w:val="0"/>
        <w:adjustRightInd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*6.</w:t>
      </w:r>
      <w:r>
        <w:rPr>
          <w:rFonts w:hint="eastAsia" w:ascii="仿宋_GB2312" w:hAnsi="仿宋_GB2312" w:eastAsia="仿宋_GB2312" w:cs="仿宋_GB2312"/>
          <w:b/>
          <w:sz w:val="24"/>
          <w:szCs w:val="24"/>
        </w:rPr>
        <w:t>技术要求</w:t>
      </w:r>
    </w:p>
    <w:p>
      <w:pPr>
        <w:pageBreakBefore w:val="0"/>
        <w:kinsoku/>
        <w:wordWrap/>
        <w:overflowPunct/>
        <w:topLinePunct w:val="0"/>
        <w:autoSpaceDE w:val="0"/>
        <w:autoSpaceDN w:val="0"/>
        <w:bidi w:val="0"/>
        <w:adjustRightInd w:val="0"/>
        <w:snapToGrid/>
        <w:spacing w:beforeAutospacing="0" w:afterAutospacing="0" w:line="560" w:lineRule="exact"/>
        <w:ind w:firstLine="240" w:firstLineChars="1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6.1材料名称和数量</w:t>
      </w:r>
    </w:p>
    <w:tbl>
      <w:tblPr>
        <w:tblStyle w:val="7"/>
        <w:tblpPr w:leftFromText="180" w:rightFromText="180" w:vertAnchor="text" w:horzAnchor="margin" w:tblpXSpec="center" w:tblpY="153"/>
        <w:tblW w:w="9116" w:type="dxa"/>
        <w:tblInd w:w="0" w:type="dxa"/>
        <w:tblLayout w:type="fixed"/>
        <w:tblCellMar>
          <w:top w:w="0" w:type="dxa"/>
          <w:left w:w="108" w:type="dxa"/>
          <w:bottom w:w="0" w:type="dxa"/>
          <w:right w:w="108" w:type="dxa"/>
        </w:tblCellMar>
      </w:tblPr>
      <w:tblGrid>
        <w:gridCol w:w="750"/>
        <w:gridCol w:w="1297"/>
        <w:gridCol w:w="1276"/>
        <w:gridCol w:w="800"/>
        <w:gridCol w:w="763"/>
        <w:gridCol w:w="1465"/>
        <w:gridCol w:w="1358"/>
        <w:gridCol w:w="1407"/>
      </w:tblGrid>
      <w:tr>
        <w:tblPrEx>
          <w:tblLayout w:type="fixed"/>
          <w:tblCellMar>
            <w:top w:w="0" w:type="dxa"/>
            <w:left w:w="108" w:type="dxa"/>
            <w:bottom w:w="0" w:type="dxa"/>
            <w:right w:w="108" w:type="dxa"/>
          </w:tblCellMar>
        </w:tblPrEx>
        <w:trPr>
          <w:trHeight w:val="487" w:hRule="atLeast"/>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单位</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数量</w:t>
            </w:r>
          </w:p>
        </w:tc>
        <w:tc>
          <w:tcPr>
            <w:tcW w:w="146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交货期</w:t>
            </w:r>
          </w:p>
        </w:tc>
        <w:tc>
          <w:tcPr>
            <w:tcW w:w="135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备注</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二水氯化钙防冻粉</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钙含量≥74%</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吨</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2700</w:t>
            </w:r>
          </w:p>
        </w:tc>
        <w:tc>
          <w:tcPr>
            <w:tcW w:w="146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2018年10月1日前</w:t>
            </w:r>
          </w:p>
        </w:tc>
        <w:tc>
          <w:tcPr>
            <w:tcW w:w="135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lef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含运费和装卸费</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软水剂</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磷酸三钠有效成分＞85%</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吨</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0.6</w:t>
            </w:r>
          </w:p>
        </w:tc>
        <w:tc>
          <w:tcPr>
            <w:tcW w:w="146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2018年9月1日前</w:t>
            </w:r>
          </w:p>
        </w:tc>
        <w:tc>
          <w:tcPr>
            <w:tcW w:w="135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lef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含运费和装卸费</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固体氢氧化钠</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含量≥95%</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吨</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6</w:t>
            </w:r>
          </w:p>
        </w:tc>
        <w:tc>
          <w:tcPr>
            <w:tcW w:w="1465"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2018年9月1日前</w:t>
            </w:r>
          </w:p>
        </w:tc>
        <w:tc>
          <w:tcPr>
            <w:tcW w:w="135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beforeAutospacing="0" w:afterAutospacing="0" w:line="560" w:lineRule="exact"/>
              <w:jc w:val="lef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含运费和装卸费</w:t>
            </w:r>
          </w:p>
        </w:tc>
      </w:tr>
    </w:tbl>
    <w:p>
      <w:pPr>
        <w:pageBreakBefore w:val="0"/>
        <w:kinsoku/>
        <w:wordWrap/>
        <w:overflowPunct/>
        <w:topLinePunct w:val="0"/>
        <w:bidi w:val="0"/>
        <w:snapToGrid/>
        <w:spacing w:beforeAutospacing="0" w:afterAutospacing="0" w:line="560" w:lineRule="exac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特别说明：</w:t>
      </w:r>
    </w:p>
    <w:p>
      <w:pPr>
        <w:pageBreakBefore w:val="0"/>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6.1.2二水氯化钙防冻粉的技术指标必须满足以下条件：外观白色片状，钙含量≥74%，水不溶物含量≤0.1%，50kg/袋，碱度≤0.2%， 硫酸盐 ≤0.1%，镁及碱金属氯化物 ≤5.0%，PH8-10；</w:t>
      </w:r>
    </w:p>
    <w:p>
      <w:pPr>
        <w:pageBreakBefore w:val="0"/>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6.1.3软水剂的技术指标必须满足以下条件：产品必须为磷酸三钠无机盐软水剂，白色小颗粒状粉末，可溶于冷水，有效成分大于85%；</w:t>
      </w:r>
    </w:p>
    <w:p>
      <w:pPr>
        <w:pageBreakBefore w:val="0"/>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6.1.4提供氢氧化钠MSDS安全技术说明书；</w:t>
      </w:r>
    </w:p>
    <w:p>
      <w:pPr>
        <w:pageBreakBefore w:val="0"/>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6.1.5氢氧化钠的技术指标必须满足以下条件：含量≥95%，白色半透明的片状，密度2.130g/cm³，熔点318.4℃，沸点1390℃，水溶性 109 g (20 ℃)，闪点 176-178℃。</w:t>
      </w:r>
    </w:p>
    <w:p>
      <w:pPr>
        <w:pageBreakBefore w:val="0"/>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6.2  投标人所提供的</w:t>
      </w:r>
      <w:r>
        <w:rPr>
          <w:rFonts w:hint="eastAsia" w:ascii="仿宋_GB2312" w:hAnsi="仿宋_GB2312" w:eastAsia="仿宋_GB2312" w:cs="仿宋_GB2312"/>
          <w:b w:val="0"/>
          <w:bCs/>
          <w:sz w:val="24"/>
          <w:szCs w:val="24"/>
          <w:u w:val="single"/>
        </w:rPr>
        <w:t xml:space="preserve">  材料  </w:t>
      </w:r>
      <w:r>
        <w:rPr>
          <w:rFonts w:hint="eastAsia" w:ascii="仿宋_GB2312" w:hAnsi="仿宋_GB2312" w:eastAsia="仿宋_GB2312" w:cs="仿宋_GB2312"/>
          <w:b w:val="0"/>
          <w:bCs/>
          <w:sz w:val="24"/>
          <w:szCs w:val="24"/>
        </w:rPr>
        <w:t>须符合现场使用要求，每批次均有出厂检测合格证明，包装有生产厂名、产品名称、等级、批号、净重、生产时间等字样。</w:t>
      </w:r>
    </w:p>
    <w:p>
      <w:pPr>
        <w:pageBreakBefore w:val="0"/>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6.3</w:t>
      </w:r>
      <w:r>
        <w:rPr>
          <w:rFonts w:hint="eastAsia" w:ascii="仿宋_GB2312" w:hAnsi="仿宋_GB2312" w:eastAsia="仿宋_GB2312" w:cs="仿宋_GB2312"/>
          <w:b w:val="0"/>
          <w:bCs/>
          <w:sz w:val="24"/>
          <w:szCs w:val="24"/>
          <w:lang w:eastAsia="zh-CN"/>
        </w:rPr>
        <w:t>到货后</w:t>
      </w:r>
      <w:r>
        <w:rPr>
          <w:rFonts w:hint="eastAsia" w:ascii="仿宋_GB2312" w:hAnsi="仿宋_GB2312" w:eastAsia="仿宋_GB2312" w:cs="仿宋_GB2312"/>
          <w:b w:val="0"/>
          <w:bCs/>
          <w:sz w:val="24"/>
          <w:szCs w:val="24"/>
        </w:rPr>
        <w:t>投标人所提供的  材料  须经过  相关  认证的检验部门检验，并提供检验合格报告（须在有效期内）。</w:t>
      </w:r>
    </w:p>
    <w:p>
      <w:pPr>
        <w:pageBreakBefore w:val="0"/>
        <w:tabs>
          <w:tab w:val="left" w:pos="1260"/>
        </w:tabs>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6.4投标人要详细描述</w:t>
      </w:r>
      <w:r>
        <w:rPr>
          <w:rFonts w:hint="eastAsia" w:ascii="仿宋_GB2312" w:hAnsi="仿宋_GB2312" w:eastAsia="仿宋_GB2312" w:cs="仿宋_GB2312"/>
          <w:b w:val="0"/>
          <w:bCs/>
          <w:sz w:val="24"/>
          <w:szCs w:val="24"/>
          <w:u w:val="single"/>
        </w:rPr>
        <w:t xml:space="preserve">  材料  </w:t>
      </w:r>
      <w:r>
        <w:rPr>
          <w:rFonts w:hint="eastAsia" w:ascii="仿宋_GB2312" w:hAnsi="仿宋_GB2312" w:eastAsia="仿宋_GB2312" w:cs="仿宋_GB2312"/>
          <w:b w:val="0"/>
          <w:bCs/>
          <w:sz w:val="24"/>
          <w:szCs w:val="24"/>
        </w:rPr>
        <w:t>的组成成分、性能、材料的配置过程和质量配比比例、每使用说明、工作原理、注意事项等内容（如有必要）。</w:t>
      </w:r>
    </w:p>
    <w:p>
      <w:pPr>
        <w:pageBreakBefore w:val="0"/>
        <w:tabs>
          <w:tab w:val="left" w:pos="1260"/>
        </w:tabs>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6.5</w:t>
      </w:r>
      <w:r>
        <w:rPr>
          <w:rFonts w:hint="eastAsia" w:ascii="仿宋_GB2312" w:hAnsi="仿宋_GB2312" w:eastAsia="仿宋_GB2312" w:cs="仿宋_GB2312"/>
          <w:b w:val="0"/>
          <w:bCs/>
          <w:sz w:val="24"/>
          <w:szCs w:val="24"/>
          <w:u w:val="single"/>
        </w:rPr>
        <w:t xml:space="preserve">  投标材料  </w:t>
      </w:r>
      <w:r>
        <w:rPr>
          <w:rFonts w:hint="eastAsia" w:ascii="仿宋_GB2312" w:hAnsi="仿宋_GB2312" w:eastAsia="仿宋_GB2312" w:cs="仿宋_GB2312"/>
          <w:b w:val="0"/>
          <w:bCs/>
          <w:sz w:val="24"/>
          <w:szCs w:val="24"/>
        </w:rPr>
        <w:t>无毒无害、无污染、无腐蚀性、不可燃烧并且可以生物降解、对土壤、植被和地下水没有伤害，干燥后与粉尘颗粒粘结在一起，不会造成二次污染，不影响煤炭的热值。</w:t>
      </w:r>
    </w:p>
    <w:p>
      <w:pPr>
        <w:pageBreakBefore w:val="0"/>
        <w:tabs>
          <w:tab w:val="left" w:pos="1260"/>
        </w:tabs>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6.6投标人中标后，对标的物的外包装要有免费回收义务。</w:t>
      </w:r>
    </w:p>
    <w:p>
      <w:pPr>
        <w:pageBreakBefore w:val="0"/>
        <w:tabs>
          <w:tab w:val="left" w:pos="1260"/>
        </w:tabs>
        <w:kinsoku/>
        <w:wordWrap/>
        <w:overflowPunct/>
        <w:topLinePunct w:val="0"/>
        <w:bidi w:val="0"/>
        <w:snapToGrid/>
        <w:spacing w:beforeAutospacing="0" w:afterAutospacing="0" w:line="560" w:lineRule="exact"/>
        <w:ind w:firstLine="240" w:firstLineChars="1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6.7技术要求与供货商所执行的标准发生矛盾时，按较高标准执行。</w:t>
      </w:r>
    </w:p>
    <w:p>
      <w:pPr>
        <w:pageBreakBefore w:val="0"/>
        <w:kinsoku/>
        <w:wordWrap/>
        <w:overflowPunct/>
        <w:topLinePunct w:val="0"/>
        <w:autoSpaceDE w:val="0"/>
        <w:autoSpaceDN w:val="0"/>
        <w:bidi w:val="0"/>
        <w:adjustRightInd w:val="0"/>
        <w:snapToGrid/>
        <w:spacing w:beforeAutospacing="0" w:afterAutospacing="0" w:line="560" w:lineRule="exac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*7.供货范围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color w:val="FF0000"/>
          <w:sz w:val="24"/>
          <w:szCs w:val="24"/>
        </w:rPr>
      </w:pPr>
      <w:r>
        <w:rPr>
          <w:rFonts w:hint="eastAsia" w:ascii="仿宋_GB2312" w:hAnsi="仿宋_GB2312" w:eastAsia="仿宋_GB2312" w:cs="仿宋_GB2312"/>
          <w:sz w:val="24"/>
          <w:szCs w:val="24"/>
        </w:rPr>
        <w:t>符合规范、质量合格、满足本招标各项技术要求的</w:t>
      </w:r>
      <w:r>
        <w:rPr>
          <w:rFonts w:hint="eastAsia" w:ascii="仿宋_GB2312" w:hAnsi="仿宋_GB2312" w:eastAsia="仿宋_GB2312" w:cs="仿宋_GB2312"/>
          <w:sz w:val="24"/>
          <w:szCs w:val="24"/>
          <w:u w:val="single"/>
        </w:rPr>
        <w:t xml:space="preserve"> 材料 </w:t>
      </w:r>
      <w:r>
        <w:rPr>
          <w:rFonts w:hint="eastAsia" w:ascii="仿宋_GB2312" w:hAnsi="仿宋_GB2312" w:eastAsia="仿宋_GB2312" w:cs="仿宋_GB2312"/>
          <w:sz w:val="24"/>
          <w:szCs w:val="24"/>
        </w:rPr>
        <w:t>，按需求数量的产品。按照招标人需求分批供货，投标人负责将标的物运输到招标人指定地点。</w:t>
      </w:r>
    </w:p>
    <w:p>
      <w:pPr>
        <w:pageBreakBefore w:val="0"/>
        <w:kinsoku/>
        <w:wordWrap/>
        <w:overflowPunct/>
        <w:topLinePunct w:val="0"/>
        <w:autoSpaceDE w:val="0"/>
        <w:autoSpaceDN w:val="0"/>
        <w:bidi w:val="0"/>
        <w:adjustRightInd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*8.技术资料及交货时间</w:t>
      </w:r>
    </w:p>
    <w:p>
      <w:pPr>
        <w:pageBreakBefore w:val="0"/>
        <w:tabs>
          <w:tab w:val="left" w:pos="945"/>
        </w:tabs>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投标人必须提供下表所列技术资料(但不限于此)，并按下表要求时间交货。</w:t>
      </w:r>
    </w:p>
    <w:tbl>
      <w:tblPr>
        <w:tblStyle w:val="7"/>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686"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名称</w:t>
            </w:r>
          </w:p>
        </w:tc>
        <w:tc>
          <w:tcPr>
            <w:tcW w:w="2694"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686"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使用说明书</w:t>
            </w:r>
          </w:p>
        </w:tc>
        <w:tc>
          <w:tcPr>
            <w:tcW w:w="2694"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686" w:type="dxa"/>
            <w:vAlign w:val="center"/>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测试报告或检验合格证</w:t>
            </w:r>
          </w:p>
        </w:tc>
        <w:tc>
          <w:tcPr>
            <w:tcW w:w="2694" w:type="dxa"/>
            <w:vAlign w:val="top"/>
          </w:tcPr>
          <w:p>
            <w:pPr>
              <w:pageBreakBefore w:val="0"/>
              <w:kinsoku/>
              <w:wordWrap/>
              <w:overflowPunct/>
              <w:topLinePunct w:val="0"/>
              <w:bidi w:val="0"/>
              <w:snapToGrid/>
              <w:spacing w:beforeAutospacing="0" w:afterAutospacing="0" w:line="5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1套/批次</w:t>
            </w:r>
          </w:p>
        </w:tc>
      </w:tr>
    </w:tbl>
    <w:p>
      <w:pPr>
        <w:pageBreakBefore w:val="0"/>
        <w:numPr>
          <w:ilvl w:val="1"/>
          <w:numId w:val="2"/>
        </w:numPr>
        <w:kinsoku/>
        <w:wordWrap/>
        <w:overflowPunct/>
        <w:topLinePunct w:val="0"/>
        <w:autoSpaceDE w:val="0"/>
        <w:autoSpaceDN w:val="0"/>
        <w:bidi w:val="0"/>
        <w:adjustRightInd w:val="0"/>
        <w:snapToGrid/>
        <w:spacing w:beforeAutospacing="0" w:afterAutospacing="0" w:line="560" w:lineRule="exact"/>
        <w:ind w:left="562" w:leftChars="0" w:firstLine="0" w:firstLineChars="0"/>
        <w:rPr>
          <w:rFonts w:hint="eastAsia"/>
          <w:sz w:val="24"/>
          <w:szCs w:val="24"/>
        </w:rPr>
      </w:pPr>
      <w:r>
        <w:rPr>
          <w:rFonts w:hint="eastAsia" w:ascii="仿宋_GB2312" w:hAnsi="仿宋_GB2312" w:eastAsia="仿宋_GB2312" w:cs="仿宋_GB2312"/>
          <w:sz w:val="24"/>
          <w:szCs w:val="24"/>
        </w:rPr>
        <w:t>使用说明书要求有标的物的组成成分、性能、溶液的配置过程和质量配比比例、使用说明、注意事项等内容。</w:t>
      </w:r>
    </w:p>
    <w:p>
      <w:pPr>
        <w:pageBreakBefore w:val="0"/>
        <w:numPr>
          <w:ilvl w:val="1"/>
          <w:numId w:val="2"/>
        </w:numPr>
        <w:kinsoku/>
        <w:wordWrap/>
        <w:overflowPunct/>
        <w:topLinePunct w:val="0"/>
        <w:autoSpaceDE w:val="0"/>
        <w:autoSpaceDN w:val="0"/>
        <w:bidi w:val="0"/>
        <w:adjustRightInd w:val="0"/>
        <w:snapToGrid/>
        <w:spacing w:beforeAutospacing="0" w:afterAutospacing="0" w:line="560" w:lineRule="exact"/>
        <w:ind w:left="562" w:leftChars="0" w:firstLine="0" w:firstLineChars="0"/>
        <w:rPr>
          <w:rFonts w:hint="eastAsia"/>
          <w:sz w:val="24"/>
          <w:szCs w:val="24"/>
        </w:rPr>
      </w:pPr>
      <w:r>
        <w:rPr>
          <w:rFonts w:hint="eastAsia" w:ascii="仿宋_GB2312" w:hAnsi="仿宋_GB2312" w:eastAsia="仿宋_GB2312" w:cs="仿宋_GB2312"/>
          <w:sz w:val="24"/>
          <w:szCs w:val="24"/>
        </w:rPr>
        <w:t>交货时间：自</w:t>
      </w:r>
      <w:r>
        <w:rPr>
          <w:rFonts w:hint="eastAsia" w:ascii="仿宋_GB2312" w:hAnsi="仿宋_GB2312" w:eastAsia="仿宋_GB2312" w:cs="仿宋_GB2312"/>
          <w:sz w:val="24"/>
          <w:szCs w:val="24"/>
          <w:lang w:eastAsia="zh-CN"/>
        </w:rPr>
        <w:t>合同</w:t>
      </w:r>
      <w:r>
        <w:rPr>
          <w:rFonts w:hint="eastAsia" w:ascii="仿宋_GB2312" w:hAnsi="仿宋_GB2312" w:eastAsia="仿宋_GB2312" w:cs="仿宋_GB2312"/>
          <w:sz w:val="24"/>
          <w:szCs w:val="24"/>
        </w:rPr>
        <w:t>签订</w:t>
      </w:r>
      <w:r>
        <w:rPr>
          <w:rFonts w:hint="eastAsia" w:ascii="仿宋_GB2312" w:hAnsi="仿宋_GB2312" w:eastAsia="仿宋_GB2312" w:cs="仿宋_GB2312"/>
          <w:sz w:val="24"/>
          <w:szCs w:val="24"/>
          <w:lang w:eastAsia="zh-CN"/>
        </w:rPr>
        <w:t>之日</w:t>
      </w:r>
      <w:r>
        <w:rPr>
          <w:rFonts w:hint="eastAsia" w:ascii="仿宋_GB2312" w:hAnsi="仿宋_GB2312" w:eastAsia="仿宋_GB2312" w:cs="仿宋_GB2312"/>
          <w:sz w:val="24"/>
          <w:szCs w:val="24"/>
        </w:rPr>
        <w:t>起</w:t>
      </w:r>
      <w:r>
        <w:rPr>
          <w:rFonts w:hint="eastAsia" w:ascii="仿宋_GB2312" w:hAnsi="仿宋_GB2312" w:eastAsia="仿宋_GB2312" w:cs="仿宋_GB2312"/>
          <w:sz w:val="24"/>
          <w:szCs w:val="24"/>
          <w:lang w:val="en-US" w:eastAsia="zh-CN"/>
        </w:rPr>
        <w:t>30日</w:t>
      </w:r>
      <w:r>
        <w:rPr>
          <w:rFonts w:hint="eastAsia" w:ascii="仿宋_GB2312" w:hAnsi="仿宋_GB2312" w:eastAsia="仿宋_GB2312" w:cs="仿宋_GB2312"/>
          <w:sz w:val="24"/>
          <w:szCs w:val="24"/>
        </w:rPr>
        <w:t>内</w:t>
      </w:r>
      <w:r>
        <w:rPr>
          <w:rFonts w:hint="eastAsia" w:ascii="仿宋_GB2312" w:hAnsi="仿宋_GB2312" w:eastAsia="仿宋_GB2312" w:cs="仿宋_GB2312"/>
          <w:sz w:val="24"/>
          <w:szCs w:val="24"/>
          <w:lang w:eastAsia="zh-CN"/>
        </w:rPr>
        <w:t>开始供货，按使用单位实际需求，分批到货。</w:t>
      </w:r>
    </w:p>
    <w:p>
      <w:pPr>
        <w:pageBreakBefore w:val="0"/>
        <w:kinsoku/>
        <w:wordWrap/>
        <w:overflowPunct/>
        <w:topLinePunct w:val="0"/>
        <w:autoSpaceDE w:val="0"/>
        <w:autoSpaceDN w:val="0"/>
        <w:bidi w:val="0"/>
        <w:adjustRightInd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 xml:space="preserve"> *9.质量保证</w:t>
      </w:r>
    </w:p>
    <w:p>
      <w:pPr>
        <w:pageBreakBefore w:val="0"/>
        <w:kinsoku/>
        <w:wordWrap/>
        <w:overflowPunct/>
        <w:topLinePunct w:val="0"/>
        <w:bidi w:val="0"/>
        <w:snapToGrid/>
        <w:spacing w:beforeAutospacing="0" w:afterAutospacing="0"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要求投标人提供近</w:t>
      </w:r>
      <w:r>
        <w:rPr>
          <w:rFonts w:hint="eastAsia" w:ascii="仿宋_GB2312" w:hAnsi="仿宋_GB2312" w:eastAsia="仿宋_GB2312" w:cs="仿宋_GB2312"/>
          <w:sz w:val="24"/>
          <w:szCs w:val="24"/>
          <w:u w:val="single"/>
        </w:rPr>
        <w:t xml:space="preserve"> 2 </w:t>
      </w:r>
      <w:r>
        <w:rPr>
          <w:rFonts w:hint="eastAsia" w:ascii="仿宋_GB2312" w:hAnsi="仿宋_GB2312" w:eastAsia="仿宋_GB2312" w:cs="仿宋_GB2312"/>
          <w:sz w:val="24"/>
          <w:szCs w:val="24"/>
        </w:rPr>
        <w:t>个月内生产的产品，保质期不得低于半年，质量保证期为半年。</w:t>
      </w:r>
    </w:p>
    <w:p>
      <w:pPr>
        <w:pageBreakBefore w:val="0"/>
        <w:kinsoku/>
        <w:wordWrap/>
        <w:overflowPunct/>
        <w:topLinePunct w:val="0"/>
        <w:autoSpaceDE w:val="0"/>
        <w:autoSpaceDN w:val="0"/>
        <w:bidi w:val="0"/>
        <w:adjustRightInd w:val="0"/>
        <w:snapToGrid/>
        <w:spacing w:beforeAutospacing="0" w:afterAutospacing="0"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*10.考核、验收、结算方式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10.1招标人对</w:t>
      </w:r>
      <w:r>
        <w:rPr>
          <w:rFonts w:hint="eastAsia" w:ascii="仿宋_GB2312" w:hAnsi="仿宋_GB2312" w:eastAsia="仿宋_GB2312" w:cs="仿宋_GB2312"/>
          <w:sz w:val="24"/>
          <w:szCs w:val="24"/>
          <w:u w:val="single"/>
        </w:rPr>
        <w:t xml:space="preserve"> 材料 </w:t>
      </w:r>
      <w:r>
        <w:rPr>
          <w:rFonts w:hint="eastAsia" w:ascii="仿宋_GB2312" w:hAnsi="仿宋_GB2312" w:eastAsia="仿宋_GB2312" w:cs="仿宋_GB2312"/>
          <w:sz w:val="24"/>
          <w:szCs w:val="24"/>
        </w:rPr>
        <w:t>使用效果考核验收。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sz w:val="24"/>
          <w:szCs w:val="24"/>
        </w:rPr>
        <w:t>10.2标的物按投标人要求使用后，招标人按照本技术要求对标的物的使用效果进行不定期检查和考核。</w:t>
      </w:r>
      <w:r>
        <w:rPr>
          <w:rFonts w:hint="eastAsia" w:ascii="仿宋_GB2312" w:hAnsi="仿宋_GB2312" w:eastAsia="仿宋_GB2312" w:cs="仿宋_GB2312"/>
          <w:b w:val="0"/>
          <w:bCs w:val="0"/>
          <w:sz w:val="24"/>
          <w:szCs w:val="24"/>
        </w:rPr>
        <w:t>同一批次产品出现一次检查或反馈信息不合格情况，该批次产品视为不合格产品。对于不合格产品，投标人必须在招标人要求的时间内更换（对于年需求量和分批供货的材料进行要求）。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10.3验收标准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验收标准为合同规定的要求和相关标准，国家标准、规范以及国际标准和双方认可的其它标准。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10.4 </w:t>
      </w:r>
      <w:r>
        <w:rPr>
          <w:rFonts w:hint="eastAsia" w:ascii="仿宋_GB2312" w:hAnsi="仿宋_GB2312" w:eastAsia="仿宋_GB2312" w:cs="仿宋_GB2312"/>
          <w:bCs/>
          <w:sz w:val="24"/>
          <w:szCs w:val="24"/>
        </w:rPr>
        <w:t>合同有效期及</w:t>
      </w:r>
      <w:r>
        <w:rPr>
          <w:rFonts w:hint="eastAsia" w:ascii="仿宋_GB2312" w:hAnsi="仿宋_GB2312" w:eastAsia="仿宋_GB2312" w:cs="仿宋_GB2312"/>
          <w:sz w:val="24"/>
          <w:szCs w:val="24"/>
        </w:rPr>
        <w:t>结算方式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合同有效期为自合同签订之日，在材料用量完毕，合同自然终止。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供货：按照招标人需求分批供货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结算：根据使用单位实际需求，分批结算；招标人根据资金周转情况可部分或全部以银行承兑汇票方式结算。（对于年需求量和分批供货的材料进行要求）。</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tentative="0">
      <w:start w:val="3"/>
      <w:numFmt w:val="decimal"/>
      <w:suff w:val="nothing"/>
      <w:lvlText w:val="%1."/>
      <w:lvlJc w:val="left"/>
    </w:lvl>
  </w:abstractNum>
  <w:abstractNum w:abstractNumId="1">
    <w:nsid w:val="5BBC5803"/>
    <w:multiLevelType w:val="singleLevel"/>
    <w:tmpl w:val="5BBC5803"/>
    <w:lvl w:ilvl="0" w:tentative="0">
      <w:start w:val="3"/>
      <w:numFmt w:val="decimal"/>
      <w:suff w:val="nothing"/>
      <w:lvlText w:val="%1."/>
      <w:lvlJc w:val="left"/>
    </w:lvl>
  </w:abstractNum>
  <w:abstractNum w:abstractNumId="2">
    <w:nsid w:val="5BD803CB"/>
    <w:multiLevelType w:val="multilevel"/>
    <w:tmpl w:val="5BD803CB"/>
    <w:lvl w:ilvl="0" w:tentative="0">
      <w:start w:val="8"/>
      <w:numFmt w:val="decimal"/>
      <w:suff w:val="nothing"/>
      <w:lvlText w:val="%1."/>
      <w:lvlJc w:val="left"/>
    </w:lvl>
    <w:lvl w:ilvl="1" w:tentative="0">
      <w:start w:val="1"/>
      <w:numFmt w:val="decimal"/>
      <w:suff w:val="space"/>
      <w:lvlText w:val="%1.%2"/>
      <w:lvlJc w:val="left"/>
      <w:pPr>
        <w:ind w:left="562" w:firstLine="0"/>
      </w:pPr>
      <w:rPr>
        <w:rFonts w:hint="default"/>
      </w:rPr>
    </w:lvl>
    <w:lvl w:ilvl="2" w:tentative="0">
      <w:start w:val="1"/>
      <w:numFmt w:val="decimal"/>
      <w:suff w:val="space"/>
      <w:lvlText w:val="%1.%2.%3"/>
      <w:lvlJc w:val="left"/>
      <w:pPr>
        <w:ind w:left="562" w:firstLine="0"/>
      </w:pPr>
      <w:rPr>
        <w:rFonts w:hint="default"/>
      </w:rPr>
    </w:lvl>
    <w:lvl w:ilvl="3" w:tentative="0">
      <w:start w:val="1"/>
      <w:numFmt w:val="decimal"/>
      <w:suff w:val="space"/>
      <w:lvlText w:val="%1.%2.%3.%4"/>
      <w:lvlJc w:val="left"/>
      <w:pPr>
        <w:ind w:left="562" w:firstLine="0"/>
      </w:pPr>
      <w:rPr>
        <w:rFonts w:hint="default"/>
      </w:rPr>
    </w:lvl>
    <w:lvl w:ilvl="4" w:tentative="0">
      <w:start w:val="1"/>
      <w:numFmt w:val="decimal"/>
      <w:suff w:val="space"/>
      <w:lvlText w:val="%1.%2.%3.%4.%5"/>
      <w:lvlJc w:val="left"/>
      <w:pPr>
        <w:ind w:left="562" w:firstLine="0"/>
      </w:pPr>
      <w:rPr>
        <w:rFonts w:hint="default"/>
      </w:rPr>
    </w:lvl>
    <w:lvl w:ilvl="5" w:tentative="0">
      <w:start w:val="1"/>
      <w:numFmt w:val="decimal"/>
      <w:suff w:val="space"/>
      <w:lvlText w:val="%1.%2.%3.%4.%5.%6"/>
      <w:lvlJc w:val="left"/>
      <w:pPr>
        <w:ind w:left="562" w:firstLine="0"/>
      </w:pPr>
      <w:rPr>
        <w:rFonts w:hint="default"/>
      </w:rPr>
    </w:lvl>
    <w:lvl w:ilvl="6" w:tentative="0">
      <w:start w:val="1"/>
      <w:numFmt w:val="decimal"/>
      <w:suff w:val="space"/>
      <w:lvlText w:val="%1.%2.%3.%4.%5.%6.%7"/>
      <w:lvlJc w:val="left"/>
      <w:pPr>
        <w:ind w:left="562" w:firstLine="0"/>
      </w:pPr>
      <w:rPr>
        <w:rFonts w:hint="default"/>
      </w:rPr>
    </w:lvl>
    <w:lvl w:ilvl="7" w:tentative="0">
      <w:start w:val="1"/>
      <w:numFmt w:val="decimal"/>
      <w:suff w:val="space"/>
      <w:lvlText w:val="%1.%2.%3.%4.%5.%6.%7.%8"/>
      <w:lvlJc w:val="left"/>
      <w:pPr>
        <w:ind w:left="562" w:firstLine="0"/>
      </w:pPr>
      <w:rPr>
        <w:rFonts w:hint="default"/>
      </w:rPr>
    </w:lvl>
    <w:lvl w:ilvl="8" w:tentative="0">
      <w:start w:val="1"/>
      <w:numFmt w:val="decimal"/>
      <w:suff w:val="space"/>
      <w:lvlText w:val="%1.%2.%3.%4.%5.%6.%7.%8.%9"/>
      <w:lvlJc w:val="left"/>
      <w:pPr>
        <w:ind w:left="562"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1354FA"/>
    <w:rsid w:val="3313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customStyle="1" w:styleId="2">
    <w:name w:val="p0"/>
    <w:next w:val="3"/>
    <w:uiPriority w:val="0"/>
    <w:rPr>
      <w:rFonts w:ascii="Times New Roman" w:hAnsi="Times New Roman" w:eastAsia="宋体" w:cs="Times New Roman"/>
      <w:sz w:val="21"/>
      <w:szCs w:val="21"/>
      <w:lang w:val="en-US" w:eastAsia="zh-CN" w:bidi="ar-SA"/>
    </w:rPr>
  </w:style>
  <w:style w:type="paragraph" w:styleId="3">
    <w:name w:val="Balloon Text"/>
    <w:basedOn w:val="1"/>
    <w:uiPriority w:val="0"/>
    <w:rPr>
      <w:rFonts w:ascii="宋体" w:cs="Arial"/>
      <w:sz w:val="18"/>
      <w:szCs w:val="18"/>
      <w:lang w:bidi="ar-SA"/>
    </w:rPr>
  </w:style>
  <w:style w:type="paragraph" w:styleId="5">
    <w:name w:val="Body Text Indent"/>
    <w:basedOn w:val="1"/>
    <w:uiPriority w:val="0"/>
    <w:pPr>
      <w:ind w:firstLine="444"/>
    </w:pPr>
    <w:rPr>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2018-12-12T10:20:00Z</dcterms:created>
  <dc:creator>Administrator</dc:creator>
  <cp:lastModifiedBy>Administrator</cp:lastModifiedBy>
  <dcterms:modified xsi:type="dcterms:W3CDTF">2018-12-12T10:20:43Z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