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hint="eastAsia" w:ascii="仿宋" w:hAnsi="仿宋" w:eastAsia="仿宋"/>
          <w:b/>
          <w:bCs/>
          <w:sz w:val="28"/>
          <w:szCs w:val="28"/>
        </w:rPr>
      </w:pPr>
      <w:bookmarkStart w:id="0" w:name="_Toc356204538"/>
      <w:bookmarkStart w:id="1" w:name="_Toc357082526"/>
    </w:p>
    <w:p>
      <w:pPr>
        <w:tabs>
          <w:tab w:val="left" w:pos="2340"/>
        </w:tabs>
        <w:spacing w:line="480" w:lineRule="auto"/>
        <w:jc w:val="center"/>
        <w:rPr>
          <w:rFonts w:hint="eastAsia" w:ascii="宋体" w:hAnsi="宋体" w:eastAsia="宋体" w:cs="宋体"/>
          <w:b/>
          <w:bCs/>
          <w:sz w:val="28"/>
          <w:szCs w:val="28"/>
        </w:rPr>
      </w:pPr>
      <w:r>
        <w:rPr>
          <w:rFonts w:hint="eastAsia" w:ascii="宋体" w:hAnsi="宋体" w:eastAsia="宋体" w:cs="宋体"/>
          <w:b/>
          <w:bCs/>
          <w:sz w:val="28"/>
          <w:szCs w:val="28"/>
        </w:rPr>
        <w:t>设备技术要求</w:t>
      </w:r>
    </w:p>
    <w:p>
      <w:pPr>
        <w:tabs>
          <w:tab w:val="left" w:pos="2340"/>
        </w:tabs>
        <w:spacing w:line="480" w:lineRule="auto"/>
        <w:jc w:val="center"/>
        <w:rPr>
          <w:rFonts w:hint="eastAsia" w:ascii="宋体" w:hAnsi="宋体" w:eastAsia="宋体" w:cs="宋体"/>
          <w:b/>
          <w:bCs/>
          <w:sz w:val="28"/>
          <w:szCs w:val="28"/>
        </w:rPr>
      </w:pP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第一节  供货范围、技术规格、参数与要求</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第二节  备件和工具</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第三节  设备出厂前检验</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第四节  技术服务</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第五节  安装、检验、调试、试运行及验收</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第六节  质量保证</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第七节  技术资料和图纸</w:t>
      </w:r>
    </w:p>
    <w:p>
      <w:pPr>
        <w:tabs>
          <w:tab w:val="left" w:pos="2340"/>
        </w:tabs>
        <w:spacing w:line="480" w:lineRule="auto"/>
        <w:ind w:left="630" w:leftChars="300" w:firstLine="210" w:firstLineChars="100"/>
        <w:jc w:val="left"/>
        <w:rPr>
          <w:rFonts w:hint="eastAsia" w:ascii="宋体"/>
          <w:sz w:val="21"/>
          <w:szCs w:val="21"/>
        </w:rPr>
      </w:pPr>
      <w:r>
        <w:rPr>
          <w:rFonts w:hint="eastAsia" w:ascii="宋体" w:hAnsi="宋体" w:cs="宋体"/>
          <w:sz w:val="21"/>
          <w:szCs w:val="21"/>
          <w:lang w:eastAsia="zh-CN"/>
        </w:rPr>
        <w:t>第八节</w:t>
      </w:r>
      <w:r>
        <w:rPr>
          <w:rFonts w:hint="eastAsia" w:ascii="宋体" w:hAnsi="宋体" w:cs="宋体"/>
          <w:sz w:val="21"/>
          <w:szCs w:val="21"/>
          <w:lang w:val="en-US" w:eastAsia="zh-CN"/>
        </w:rPr>
        <w:t xml:space="preserve">  </w:t>
      </w:r>
      <w:r>
        <w:rPr>
          <w:rFonts w:hint="eastAsia" w:ascii="宋体" w:hAnsi="宋体" w:eastAsia="宋体" w:cs="宋体"/>
          <w:sz w:val="21"/>
          <w:szCs w:val="21"/>
        </w:rPr>
        <w:t>设计和制造标准</w:t>
      </w:r>
    </w:p>
    <w:p>
      <w:pPr>
        <w:pStyle w:val="16"/>
        <w:jc w:val="center"/>
      </w:pPr>
    </w:p>
    <w:p/>
    <w:p>
      <w:pPr>
        <w:pStyle w:val="16"/>
        <w:jc w:val="center"/>
      </w:pPr>
    </w:p>
    <w:p>
      <w:pPr>
        <w:spacing w:line="360" w:lineRule="auto"/>
        <w:jc w:val="center"/>
        <w:outlineLvl w:val="1"/>
        <w:rPr>
          <w:rFonts w:hint="eastAsia" w:ascii="仿宋" w:hAnsi="仿宋" w:eastAsia="仿宋" w:cs="仿宋"/>
          <w:b/>
          <w:spacing w:val="15"/>
          <w:sz w:val="30"/>
          <w:szCs w:val="30"/>
        </w:rPr>
      </w:pPr>
      <w:r>
        <w:br w:type="page"/>
      </w:r>
      <w:bookmarkEnd w:id="0"/>
      <w:bookmarkEnd w:id="1"/>
      <w:r>
        <w:rPr>
          <w:rFonts w:hint="eastAsia" w:ascii="仿宋" w:hAnsi="仿宋" w:eastAsia="仿宋" w:cs="仿宋"/>
          <w:b/>
          <w:spacing w:val="15"/>
          <w:sz w:val="30"/>
          <w:szCs w:val="30"/>
        </w:rPr>
        <w:t>技术要求</w:t>
      </w:r>
    </w:p>
    <w:p>
      <w:pPr>
        <w:spacing w:line="360" w:lineRule="exact"/>
        <w:ind w:firstLine="585" w:firstLineChars="208"/>
        <w:jc w:val="center"/>
        <w:rPr>
          <w:rFonts w:hint="eastAsia" w:ascii="宋体" w:hAnsi="宋体"/>
          <w:b/>
          <w:bCs/>
          <w:color w:val="000000"/>
          <w:sz w:val="28"/>
          <w:szCs w:val="28"/>
        </w:rPr>
      </w:pPr>
      <w:r>
        <w:rPr>
          <w:rFonts w:hint="eastAsia" w:ascii="宋体" w:hAnsi="宋体"/>
          <w:b/>
          <w:bCs/>
          <w:color w:val="000000"/>
          <w:sz w:val="28"/>
          <w:szCs w:val="28"/>
        </w:rPr>
        <w:t>第一节供货范围、技术规格、参数与要求</w:t>
      </w:r>
    </w:p>
    <w:p>
      <w:pPr>
        <w:spacing w:line="360" w:lineRule="exact"/>
        <w:ind w:firstLine="585" w:firstLineChars="208"/>
        <w:jc w:val="center"/>
        <w:rPr>
          <w:rFonts w:hint="eastAsia" w:ascii="宋体" w:hAnsi="宋体"/>
          <w:b/>
          <w:bCs/>
          <w:color w:val="000000"/>
          <w:sz w:val="28"/>
          <w:szCs w:val="28"/>
        </w:rPr>
      </w:pPr>
    </w:p>
    <w:p>
      <w:pPr>
        <w:numPr>
          <w:ilvl w:val="0"/>
          <w:numId w:val="1"/>
        </w:numPr>
        <w:spacing w:line="360" w:lineRule="exact"/>
        <w:ind w:firstLine="439" w:firstLineChars="208"/>
        <w:jc w:val="center"/>
        <w:rPr>
          <w:rFonts w:hint="eastAsia" w:ascii="宋体" w:hAnsi="宋体"/>
          <w:b/>
          <w:bCs/>
          <w:color w:val="000000"/>
          <w:szCs w:val="21"/>
        </w:rPr>
      </w:pPr>
      <w:r>
        <w:rPr>
          <w:rFonts w:hint="eastAsia" w:ascii="宋体" w:hAnsi="宋体"/>
          <w:b/>
          <w:bCs/>
          <w:color w:val="000000"/>
          <w:szCs w:val="21"/>
        </w:rPr>
        <w:t>货物需求一览表</w:t>
      </w:r>
    </w:p>
    <w:p>
      <w:pPr>
        <w:spacing w:line="360" w:lineRule="exact"/>
        <w:ind w:firstLine="436" w:firstLineChars="208"/>
        <w:rPr>
          <w:rFonts w:hint="eastAsia" w:ascii="宋体" w:hAnsi="宋体"/>
          <w:color w:val="000000"/>
          <w:szCs w:val="21"/>
        </w:rPr>
      </w:pPr>
    </w:p>
    <w:tbl>
      <w:tblPr>
        <w:tblStyle w:val="15"/>
        <w:tblW w:w="9517" w:type="dxa"/>
        <w:jc w:val="center"/>
        <w:tblInd w:w="-6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4"/>
        <w:gridCol w:w="2698"/>
        <w:gridCol w:w="912"/>
        <w:gridCol w:w="1064"/>
        <w:gridCol w:w="912"/>
        <w:gridCol w:w="1367"/>
        <w:gridCol w:w="106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3" w:hRule="atLeast"/>
          <w:jc w:val="center"/>
        </w:trPr>
        <w:tc>
          <w:tcPr>
            <w:tcW w:w="4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序号</w:t>
            </w:r>
          </w:p>
        </w:tc>
        <w:tc>
          <w:tcPr>
            <w:tcW w:w="269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r>
              <w:rPr>
                <w:rFonts w:hint="eastAsia" w:ascii="宋体" w:hAnsi="宋体"/>
                <w:color w:val="000000"/>
                <w:sz w:val="21"/>
                <w:szCs w:val="21"/>
              </w:rPr>
              <w:t>名称</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jc w:val="both"/>
              <w:rPr>
                <w:rFonts w:hint="eastAsia" w:ascii="宋体" w:hAnsi="宋体"/>
                <w:color w:val="000000"/>
                <w:sz w:val="21"/>
                <w:szCs w:val="21"/>
              </w:rPr>
            </w:pPr>
            <w:r>
              <w:rPr>
                <w:rFonts w:hint="eastAsia" w:ascii="宋体" w:hAnsi="宋体"/>
                <w:color w:val="000000"/>
                <w:sz w:val="21"/>
                <w:szCs w:val="21"/>
                <w:lang w:eastAsia="zh-CN"/>
              </w:rPr>
              <w:t>参考</w:t>
            </w:r>
            <w:r>
              <w:rPr>
                <w:rFonts w:hint="eastAsia" w:ascii="宋体" w:hAnsi="宋体"/>
                <w:color w:val="000000"/>
                <w:sz w:val="21"/>
                <w:szCs w:val="21"/>
              </w:rPr>
              <w:t>型号</w:t>
            </w:r>
          </w:p>
        </w:tc>
        <w:tc>
          <w:tcPr>
            <w:tcW w:w="106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r>
              <w:rPr>
                <w:rFonts w:hint="eastAsia" w:ascii="宋体" w:hAnsi="宋体"/>
                <w:color w:val="000000"/>
                <w:sz w:val="21"/>
                <w:szCs w:val="21"/>
              </w:rPr>
              <w:t>单位</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数量</w:t>
            </w:r>
          </w:p>
        </w:tc>
        <w:tc>
          <w:tcPr>
            <w:tcW w:w="13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交货时间</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交货地点</w:t>
            </w:r>
          </w:p>
        </w:tc>
        <w:tc>
          <w:tcPr>
            <w:tcW w:w="10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210" w:firstLineChars="100"/>
              <w:jc w:val="both"/>
              <w:rPr>
                <w:rFonts w:hint="eastAsia" w:ascii="宋体" w:hAnsi="宋体"/>
                <w:color w:val="000000"/>
                <w:sz w:val="21"/>
                <w:szCs w:val="21"/>
              </w:rPr>
            </w:pPr>
            <w:r>
              <w:rPr>
                <w:rFonts w:hint="eastAsia" w:ascii="宋体" w:hAnsi="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4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p>
        </w:tc>
        <w:tc>
          <w:tcPr>
            <w:tcW w:w="269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b w:val="0"/>
                <w:bCs/>
                <w:sz w:val="21"/>
                <w:szCs w:val="21"/>
                <w:lang w:val="en-US" w:eastAsia="zh-CN"/>
              </w:rPr>
              <w:t>斗山1.5吨电瓶前移式</w:t>
            </w:r>
            <w:r>
              <w:rPr>
                <w:rFonts w:hint="eastAsia" w:ascii="宋体" w:hAnsi="宋体"/>
                <w:b w:val="0"/>
                <w:bCs/>
                <w:sz w:val="21"/>
                <w:szCs w:val="21"/>
              </w:rPr>
              <w:t>叉车</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s="宋体"/>
                <w:kern w:val="0"/>
                <w:sz w:val="21"/>
                <w:szCs w:val="21"/>
                <w:lang w:val="en-US" w:eastAsia="zh-CN"/>
              </w:rPr>
              <w:t>BR15S</w:t>
            </w:r>
          </w:p>
        </w:tc>
        <w:tc>
          <w:tcPr>
            <w:tcW w:w="106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r>
              <w:rPr>
                <w:rFonts w:hint="eastAsia" w:ascii="宋体" w:hAnsi="宋体"/>
                <w:color w:val="000000"/>
                <w:sz w:val="21"/>
                <w:szCs w:val="21"/>
              </w:rPr>
              <w:t>台</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eastAsia="宋体"/>
                <w:color w:val="000000"/>
                <w:sz w:val="21"/>
                <w:szCs w:val="21"/>
                <w:lang w:eastAsia="zh-CN"/>
              </w:rPr>
            </w:pPr>
          </w:p>
        </w:tc>
        <w:tc>
          <w:tcPr>
            <w:tcW w:w="13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olor w:val="000000"/>
                <w:sz w:val="21"/>
                <w:szCs w:val="21"/>
                <w:lang w:val="en-US" w:eastAsia="zh-CN"/>
              </w:rPr>
            </w:pPr>
          </w:p>
        </w:tc>
        <w:tc>
          <w:tcPr>
            <w:tcW w:w="10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4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2</w:t>
            </w:r>
          </w:p>
        </w:tc>
        <w:tc>
          <w:tcPr>
            <w:tcW w:w="269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随机附件及工具</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c>
          <w:tcPr>
            <w:tcW w:w="106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r>
              <w:rPr>
                <w:rFonts w:hint="eastAsia" w:ascii="宋体" w:hAnsi="宋体"/>
                <w:color w:val="000000"/>
                <w:sz w:val="21"/>
                <w:szCs w:val="21"/>
              </w:rPr>
              <w:t>套/台</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color w:val="000000"/>
                <w:sz w:val="21"/>
                <w:szCs w:val="21"/>
              </w:rPr>
            </w:pPr>
            <w:r>
              <w:rPr>
                <w:rFonts w:hint="eastAsia" w:ascii="宋体" w:hAnsi="宋体"/>
                <w:color w:val="000000"/>
                <w:sz w:val="21"/>
                <w:szCs w:val="21"/>
              </w:rPr>
              <w:t>1</w:t>
            </w:r>
          </w:p>
        </w:tc>
        <w:tc>
          <w:tcPr>
            <w:tcW w:w="136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c>
          <w:tcPr>
            <w:tcW w:w="10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4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3</w:t>
            </w:r>
          </w:p>
        </w:tc>
        <w:tc>
          <w:tcPr>
            <w:tcW w:w="269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备件手册、使用说明书</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c>
          <w:tcPr>
            <w:tcW w:w="106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r>
              <w:rPr>
                <w:rFonts w:hint="eastAsia" w:ascii="宋体" w:hAnsi="宋体"/>
                <w:color w:val="000000"/>
                <w:sz w:val="21"/>
                <w:szCs w:val="21"/>
              </w:rPr>
              <w:t>套/台</w:t>
            </w:r>
          </w:p>
        </w:tc>
        <w:tc>
          <w:tcPr>
            <w:tcW w:w="91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eastAsia="宋体"/>
                <w:color w:val="000000"/>
                <w:sz w:val="21"/>
                <w:szCs w:val="21"/>
                <w:lang w:eastAsia="zh-CN"/>
              </w:rPr>
            </w:pPr>
            <w:r>
              <w:rPr>
                <w:rFonts w:hint="eastAsia" w:ascii="宋体" w:hAnsi="宋体"/>
                <w:color w:val="000000"/>
                <w:sz w:val="21"/>
                <w:szCs w:val="21"/>
                <w:lang w:val="en-US" w:eastAsia="zh-CN"/>
              </w:rPr>
              <w:t>6</w:t>
            </w:r>
          </w:p>
        </w:tc>
        <w:tc>
          <w:tcPr>
            <w:tcW w:w="136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c>
          <w:tcPr>
            <w:tcW w:w="10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color w:val="000000"/>
                <w:sz w:val="21"/>
                <w:szCs w:val="21"/>
              </w:rPr>
            </w:pPr>
          </w:p>
        </w:tc>
      </w:tr>
    </w:tbl>
    <w:p>
      <w:pPr>
        <w:spacing w:line="360" w:lineRule="exact"/>
        <w:ind w:firstLine="439" w:firstLineChars="208"/>
        <w:jc w:val="center"/>
        <w:rPr>
          <w:rFonts w:hint="eastAsia" w:ascii="宋体" w:hAnsi="宋体"/>
          <w:color w:val="000000"/>
          <w:szCs w:val="21"/>
        </w:rPr>
      </w:pPr>
      <w:r>
        <w:rPr>
          <w:rFonts w:hint="eastAsia" w:ascii="宋体" w:hAnsi="宋体"/>
          <w:b/>
          <w:bCs/>
          <w:color w:val="000000"/>
          <w:szCs w:val="21"/>
        </w:rPr>
        <w:t>分项报价表</w:t>
      </w:r>
    </w:p>
    <w:tbl>
      <w:tblPr>
        <w:tblStyle w:val="15"/>
        <w:tblW w:w="9400" w:type="dxa"/>
        <w:jc w:val="center"/>
        <w:tblInd w:w="-8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520"/>
        <w:gridCol w:w="1079"/>
        <w:gridCol w:w="1800"/>
        <w:gridCol w:w="143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520"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名称</w:t>
            </w:r>
          </w:p>
        </w:tc>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单位</w:t>
            </w:r>
          </w:p>
        </w:tc>
        <w:tc>
          <w:tcPr>
            <w:tcW w:w="1800"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w:t>
            </w:r>
          </w:p>
        </w:tc>
        <w:tc>
          <w:tcPr>
            <w:tcW w:w="1438"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单价（元）</w:t>
            </w:r>
          </w:p>
        </w:tc>
        <w:tc>
          <w:tcPr>
            <w:tcW w:w="1484"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520"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叉车</w:t>
            </w:r>
          </w:p>
        </w:tc>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台</w:t>
            </w:r>
          </w:p>
        </w:tc>
        <w:tc>
          <w:tcPr>
            <w:tcW w:w="1800" w:type="dxa"/>
            <w:vAlign w:val="center"/>
          </w:tcPr>
          <w:p>
            <w:pPr>
              <w:spacing w:line="360" w:lineRule="exact"/>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2</w:t>
            </w:r>
          </w:p>
        </w:tc>
        <w:tc>
          <w:tcPr>
            <w:tcW w:w="1438" w:type="dxa"/>
            <w:vAlign w:val="center"/>
          </w:tcPr>
          <w:p>
            <w:pPr>
              <w:spacing w:line="360" w:lineRule="exact"/>
              <w:jc w:val="center"/>
              <w:rPr>
                <w:rFonts w:hint="eastAsia" w:ascii="宋体" w:hAnsi="宋体" w:eastAsia="宋体" w:cs="宋体"/>
                <w:color w:val="000000"/>
                <w:sz w:val="21"/>
                <w:szCs w:val="21"/>
              </w:rPr>
            </w:pPr>
          </w:p>
        </w:tc>
        <w:tc>
          <w:tcPr>
            <w:tcW w:w="1484" w:type="dxa"/>
            <w:vAlign w:val="center"/>
          </w:tcPr>
          <w:p>
            <w:pPr>
              <w:spacing w:line="360" w:lineRule="exact"/>
              <w:jc w:val="center"/>
              <w:rPr>
                <w:rFonts w:hint="eastAsia" w:ascii="宋体" w:hAnsi="宋体" w:eastAsia="宋体" w:cs="宋体"/>
                <w:color w:val="000000"/>
                <w:sz w:val="21"/>
                <w:szCs w:val="21"/>
              </w:rPr>
            </w:pPr>
            <w:bookmarkStart w:id="7" w:name="_GoBack"/>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p>
        </w:tc>
        <w:tc>
          <w:tcPr>
            <w:tcW w:w="2520"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每台包括：</w:t>
            </w:r>
          </w:p>
        </w:tc>
        <w:tc>
          <w:tcPr>
            <w:tcW w:w="1079" w:type="dxa"/>
            <w:vAlign w:val="center"/>
          </w:tcPr>
          <w:p>
            <w:pPr>
              <w:spacing w:line="360" w:lineRule="exact"/>
              <w:jc w:val="center"/>
              <w:rPr>
                <w:rFonts w:hint="eastAsia" w:ascii="宋体" w:hAnsi="宋体" w:eastAsia="宋体" w:cs="宋体"/>
                <w:color w:val="000000"/>
                <w:sz w:val="21"/>
                <w:szCs w:val="21"/>
              </w:rPr>
            </w:pPr>
          </w:p>
        </w:tc>
        <w:tc>
          <w:tcPr>
            <w:tcW w:w="1800" w:type="dxa"/>
            <w:vAlign w:val="center"/>
          </w:tcPr>
          <w:p>
            <w:pPr>
              <w:spacing w:line="360" w:lineRule="exact"/>
              <w:jc w:val="center"/>
              <w:rPr>
                <w:rFonts w:hint="eastAsia" w:ascii="宋体" w:hAnsi="宋体" w:eastAsia="宋体" w:cs="宋体"/>
                <w:color w:val="000000"/>
                <w:sz w:val="21"/>
                <w:szCs w:val="21"/>
              </w:rPr>
            </w:pPr>
          </w:p>
        </w:tc>
        <w:tc>
          <w:tcPr>
            <w:tcW w:w="1438" w:type="dxa"/>
            <w:vAlign w:val="center"/>
          </w:tcPr>
          <w:p>
            <w:pPr>
              <w:spacing w:line="360" w:lineRule="exact"/>
              <w:jc w:val="center"/>
              <w:rPr>
                <w:rFonts w:hint="eastAsia" w:ascii="宋体" w:hAnsi="宋体" w:eastAsia="宋体" w:cs="宋体"/>
                <w:color w:val="000000"/>
                <w:sz w:val="21"/>
                <w:szCs w:val="21"/>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轮胎总成</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套（4个）</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2</w:t>
            </w:r>
          </w:p>
        </w:tc>
        <w:tc>
          <w:tcPr>
            <w:tcW w:w="2520" w:type="dxa"/>
            <w:vAlign w:val="center"/>
          </w:tcPr>
          <w:p>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sz w:val="21"/>
                <w:szCs w:val="21"/>
              </w:rPr>
              <w:t>驱动电机</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3</w:t>
            </w:r>
          </w:p>
        </w:tc>
        <w:tc>
          <w:tcPr>
            <w:tcW w:w="2520" w:type="dxa"/>
            <w:vAlign w:val="center"/>
          </w:tcPr>
          <w:p>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sz w:val="21"/>
                <w:szCs w:val="21"/>
              </w:rPr>
              <w:t>转向电机</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4</w:t>
            </w:r>
          </w:p>
        </w:tc>
        <w:tc>
          <w:tcPr>
            <w:tcW w:w="2520" w:type="dxa"/>
            <w:vAlign w:val="center"/>
          </w:tcPr>
          <w:p>
            <w:pPr>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sz w:val="21"/>
                <w:szCs w:val="21"/>
              </w:rPr>
              <w:t>提升电机</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5</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牵引蓄电池</w:t>
            </w:r>
          </w:p>
        </w:tc>
        <w:tc>
          <w:tcPr>
            <w:tcW w:w="1079" w:type="dxa"/>
            <w:vAlign w:val="center"/>
          </w:tcPr>
          <w:p>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6</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散热系统</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7</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行车控制器</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8</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操作踏板</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9</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操作手柄</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r>
              <w:rPr>
                <w:rFonts w:hint="eastAsia" w:ascii="宋体" w:hAnsi="宋体" w:eastAsia="宋体" w:cs="宋体"/>
                <w:color w:val="000000"/>
                <w:sz w:val="21"/>
                <w:szCs w:val="21"/>
                <w:lang w:val="en-US" w:eastAsia="zh-CN"/>
              </w:rPr>
              <w:t>0</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驾驶室</w:t>
            </w:r>
            <w:r>
              <w:rPr>
                <w:rFonts w:hint="eastAsia" w:ascii="宋体" w:hAnsi="宋体" w:eastAsia="宋体" w:cs="宋体"/>
                <w:b/>
                <w:sz w:val="21"/>
                <w:szCs w:val="21"/>
              </w:rPr>
              <w:t>（配的是护顶架</w:t>
            </w:r>
            <w:r>
              <w:rPr>
                <w:rFonts w:hint="eastAsia" w:ascii="宋体" w:hAnsi="宋体" w:eastAsia="宋体" w:cs="宋体"/>
                <w:sz w:val="21"/>
                <w:szCs w:val="21"/>
              </w:rPr>
              <w:t>，</w:t>
            </w:r>
            <w:r>
              <w:rPr>
                <w:rFonts w:hint="eastAsia" w:ascii="宋体" w:hAnsi="宋体" w:eastAsia="宋体" w:cs="宋体"/>
                <w:b/>
                <w:color w:val="000000"/>
                <w:sz w:val="21"/>
                <w:szCs w:val="21"/>
              </w:rPr>
              <w:t>和车为一整体</w:t>
            </w:r>
            <w:r>
              <w:rPr>
                <w:rFonts w:hint="eastAsia" w:ascii="宋体" w:hAnsi="宋体" w:eastAsia="宋体" w:cs="宋体"/>
                <w:b/>
                <w:sz w:val="21"/>
                <w:szCs w:val="21"/>
              </w:rPr>
              <w:t>)</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件</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r>
              <w:rPr>
                <w:rFonts w:hint="eastAsia" w:ascii="宋体" w:hAnsi="宋体" w:eastAsia="宋体" w:cs="宋体"/>
                <w:color w:val="000000"/>
                <w:sz w:val="21"/>
                <w:szCs w:val="21"/>
                <w:lang w:val="en-US" w:eastAsia="zh-CN"/>
              </w:rPr>
              <w:t>1</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各类仪表总成</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r>
              <w:rPr>
                <w:rFonts w:hint="eastAsia" w:ascii="宋体" w:hAnsi="宋体" w:eastAsia="宋体" w:cs="宋体"/>
                <w:color w:val="000000"/>
                <w:sz w:val="21"/>
                <w:szCs w:val="21"/>
                <w:lang w:val="en-US" w:eastAsia="zh-CN"/>
              </w:rPr>
              <w:t>2</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方向机</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r>
              <w:rPr>
                <w:rFonts w:hint="eastAsia" w:ascii="宋体" w:hAnsi="宋体" w:eastAsia="宋体" w:cs="宋体"/>
                <w:color w:val="000000"/>
                <w:sz w:val="21"/>
                <w:szCs w:val="21"/>
                <w:lang w:val="en-US" w:eastAsia="zh-CN"/>
              </w:rPr>
              <w:t>3</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行车光电警示灯</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1.1</w:t>
            </w:r>
            <w:r>
              <w:rPr>
                <w:rFonts w:hint="eastAsia" w:ascii="宋体" w:hAnsi="宋体" w:eastAsia="宋体" w:cs="宋体"/>
                <w:color w:val="000000"/>
                <w:sz w:val="21"/>
                <w:szCs w:val="21"/>
                <w:lang w:val="en-US" w:eastAsia="zh-CN"/>
              </w:rPr>
              <w:t>4</w:t>
            </w:r>
          </w:p>
        </w:tc>
        <w:tc>
          <w:tcPr>
            <w:tcW w:w="2520" w:type="dxa"/>
            <w:vAlign w:val="center"/>
          </w:tcPr>
          <w:p>
            <w:pPr>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sz w:val="21"/>
                <w:szCs w:val="21"/>
              </w:rPr>
              <w:t>挡货架</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件</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15</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起升门架</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65</w:t>
            </w:r>
            <w:r>
              <w:rPr>
                <w:rFonts w:hint="eastAsia" w:ascii="宋体" w:hAnsi="宋体" w:eastAsia="宋体" w:cs="宋体"/>
                <w:color w:val="auto"/>
                <w:sz w:val="21"/>
                <w:szCs w:val="21"/>
              </w:rPr>
              <w:t>00MM）</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套</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16</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货叉架</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件</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9" w:type="dxa"/>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17</w:t>
            </w:r>
          </w:p>
        </w:tc>
        <w:tc>
          <w:tcPr>
            <w:tcW w:w="252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充电机</w:t>
            </w:r>
          </w:p>
        </w:tc>
        <w:tc>
          <w:tcPr>
            <w:tcW w:w="1079"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件</w:t>
            </w:r>
          </w:p>
        </w:tc>
        <w:tc>
          <w:tcPr>
            <w:tcW w:w="1800" w:type="dxa"/>
            <w:vAlign w:val="center"/>
          </w:tcPr>
          <w:p>
            <w:pPr>
              <w:spacing w:line="360" w:lineRule="auto"/>
              <w:jc w:val="center"/>
              <w:rPr>
                <w:rFonts w:hint="eastAsia" w:ascii="宋体" w:hAnsi="宋体" w:eastAsia="宋体" w:cs="宋体"/>
                <w:color w:val="000000"/>
                <w:sz w:val="21"/>
                <w:szCs w:val="21"/>
              </w:rPr>
            </w:pPr>
            <w:r>
              <w:rPr>
                <w:rFonts w:hint="eastAsia" w:ascii="宋体" w:hAnsi="宋体" w:eastAsia="宋体" w:cs="宋体"/>
                <w:sz w:val="21"/>
                <w:szCs w:val="21"/>
              </w:rPr>
              <w:t>1</w:t>
            </w:r>
          </w:p>
        </w:tc>
        <w:tc>
          <w:tcPr>
            <w:tcW w:w="1438" w:type="dxa"/>
            <w:vAlign w:val="center"/>
          </w:tcPr>
          <w:p>
            <w:pPr>
              <w:spacing w:line="360" w:lineRule="exact"/>
              <w:jc w:val="center"/>
              <w:rPr>
                <w:rFonts w:hint="eastAsia" w:ascii="宋体" w:hAnsi="宋体" w:eastAsia="宋体" w:cs="宋体"/>
                <w:color w:val="000000"/>
                <w:sz w:val="21"/>
                <w:szCs w:val="21"/>
                <w:lang w:val="en-US" w:eastAsia="zh-CN"/>
              </w:rPr>
            </w:pPr>
          </w:p>
        </w:tc>
        <w:tc>
          <w:tcPr>
            <w:tcW w:w="1484" w:type="dxa"/>
            <w:vAlign w:val="center"/>
          </w:tcPr>
          <w:p>
            <w:pPr>
              <w:spacing w:line="360" w:lineRule="exact"/>
              <w:jc w:val="center"/>
              <w:rPr>
                <w:rFonts w:hint="eastAsia" w:ascii="宋体" w:hAnsi="宋体" w:eastAsia="宋体" w:cs="宋体"/>
                <w:color w:val="000000"/>
                <w:sz w:val="21"/>
                <w:szCs w:val="21"/>
              </w:rPr>
            </w:pPr>
          </w:p>
        </w:tc>
      </w:tr>
    </w:tbl>
    <w:p>
      <w:pPr>
        <w:adjustRightInd w:val="0"/>
        <w:snapToGrid w:val="0"/>
        <w:spacing w:before="156" w:beforeLines="50" w:line="360" w:lineRule="auto"/>
        <w:ind w:left="315" w:hanging="316" w:hangingChars="150"/>
        <w:rPr>
          <w:rFonts w:hint="eastAsia" w:ascii="宋体" w:hAnsi="宋体"/>
          <w:b/>
          <w:bCs/>
          <w:szCs w:val="21"/>
        </w:rPr>
      </w:pPr>
      <w:r>
        <w:rPr>
          <w:rFonts w:hint="eastAsia" w:ascii="宋体" w:hAnsi="宋体"/>
          <w:b/>
          <w:bCs/>
          <w:szCs w:val="21"/>
        </w:rPr>
        <w:t>二、设备工作环境</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1、周围环境温度不高于+40℃；不低于-20℃。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2、设备安装场所海拔高度不超过1200米。</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3、周围空气相对湿度不大于95%（在25℃时）</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4、供给电源：动力电源：AC380V±10%，三相四线制50Hz</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5、室内使用。</w:t>
      </w:r>
    </w:p>
    <w:p>
      <w:pPr>
        <w:adjustRightInd w:val="0"/>
        <w:snapToGrid w:val="0"/>
        <w:spacing w:before="156" w:beforeLines="50" w:line="360" w:lineRule="auto"/>
        <w:ind w:left="315" w:hanging="316" w:hangingChars="150"/>
        <w:rPr>
          <w:rFonts w:hint="eastAsia" w:ascii="宋体" w:hAnsi="宋体"/>
          <w:b/>
          <w:bCs/>
          <w:szCs w:val="21"/>
        </w:rPr>
      </w:pPr>
      <w:r>
        <w:rPr>
          <w:rFonts w:hint="eastAsia" w:ascii="宋体" w:hAnsi="宋体"/>
          <w:b/>
          <w:bCs/>
          <w:szCs w:val="21"/>
        </w:rPr>
        <w:t>三、技术参数及要求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技术性能指标</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rPr>
        <w:t>1.5吨电动前移式叉车</w:t>
      </w:r>
      <w:r>
        <w:rPr>
          <w:rFonts w:hint="eastAsia" w:ascii="宋体" w:hAnsi="宋体"/>
          <w:szCs w:val="21"/>
          <w:u w:val="single"/>
        </w:rPr>
        <w:t>（起升高度</w:t>
      </w:r>
      <w:r>
        <w:rPr>
          <w:rFonts w:hint="eastAsia" w:ascii="宋体" w:hAnsi="宋体"/>
          <w:szCs w:val="21"/>
          <w:u w:val="single"/>
          <w:lang w:val="en-US" w:eastAsia="zh-CN"/>
        </w:rPr>
        <w:t>6500MM</w:t>
      </w:r>
      <w:r>
        <w:rPr>
          <w:rFonts w:hint="eastAsia" w:ascii="宋体" w:hAnsi="宋体"/>
          <w:szCs w:val="21"/>
          <w:u w:val="single"/>
        </w:rPr>
        <w:t>）</w:t>
      </w:r>
      <w:r>
        <w:rPr>
          <w:rFonts w:hint="eastAsia" w:ascii="宋体" w:hAnsi="宋体"/>
          <w:szCs w:val="21"/>
          <w:lang w:eastAsia="zh-CN"/>
        </w:rPr>
        <w:t>；</w:t>
      </w:r>
      <w:r>
        <w:rPr>
          <w:rFonts w:hint="eastAsia" w:ascii="宋体" w:hAnsi="宋体"/>
          <w:szCs w:val="21"/>
          <w:lang w:val="en-US" w:eastAsia="zh-CN"/>
        </w:rPr>
        <w:t xml:space="preserve"> 推荐型号：</w:t>
      </w:r>
      <w:r>
        <w:rPr>
          <w:rFonts w:hint="eastAsia" w:ascii="宋体" w:hAnsi="宋体"/>
          <w:szCs w:val="21"/>
          <w:u w:val="single"/>
          <w:lang w:val="en-US" w:eastAsia="zh-CN"/>
        </w:rPr>
        <w:t>BR15S。</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 xml:space="preserve">1、承载力： </w:t>
      </w:r>
      <w:r>
        <w:rPr>
          <w:rFonts w:hint="eastAsia" w:ascii="宋体" w:hAnsi="宋体"/>
          <w:szCs w:val="21"/>
          <w:u w:val="single"/>
        </w:rPr>
        <w:t>1500kg。</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2、载荷中心：</w:t>
      </w:r>
      <w:r>
        <w:rPr>
          <w:rFonts w:hint="eastAsia" w:ascii="宋体" w:hAnsi="宋体"/>
          <w:szCs w:val="21"/>
          <w:u w:val="single"/>
        </w:rPr>
        <w:t>500mm。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3、带电池自重（kg）：</w:t>
      </w:r>
      <w:r>
        <w:rPr>
          <w:rFonts w:hint="eastAsia" w:ascii="宋体" w:hAnsi="宋体"/>
          <w:szCs w:val="21"/>
          <w:u w:val="single"/>
        </w:rPr>
        <w:t>2365。</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4、动力形式：蓄电池。</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5、提升高度：不小于</w:t>
      </w:r>
      <w:r>
        <w:rPr>
          <w:rFonts w:hint="eastAsia" w:ascii="宋体" w:hAnsi="宋体"/>
          <w:szCs w:val="21"/>
          <w:u w:val="single"/>
          <w:lang w:val="en-US" w:eastAsia="zh-CN"/>
        </w:rPr>
        <w:t>6500</w:t>
      </w:r>
      <w:r>
        <w:rPr>
          <w:rFonts w:hint="eastAsia" w:ascii="宋体" w:hAnsi="宋体"/>
          <w:szCs w:val="21"/>
          <w:u w:val="single"/>
        </w:rPr>
        <w:t>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6、自由提升高度：不小于</w:t>
      </w:r>
      <w:r>
        <w:rPr>
          <w:rFonts w:hint="eastAsia" w:ascii="宋体" w:hAnsi="宋体"/>
          <w:szCs w:val="21"/>
          <w:u w:val="single"/>
          <w:lang w:val="en-US" w:eastAsia="zh-CN"/>
        </w:rPr>
        <w:t>1890</w:t>
      </w:r>
      <w:r>
        <w:rPr>
          <w:rFonts w:hint="eastAsia" w:ascii="宋体" w:hAnsi="宋体"/>
          <w:szCs w:val="21"/>
          <w:u w:val="single"/>
        </w:rPr>
        <w:t>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7、护顶架高度（mm）：</w:t>
      </w:r>
      <w:r>
        <w:rPr>
          <w:rFonts w:hint="eastAsia" w:ascii="宋体" w:hAnsi="宋体"/>
          <w:szCs w:val="21"/>
          <w:u w:val="single"/>
        </w:rPr>
        <w:t>2</w:t>
      </w:r>
      <w:r>
        <w:rPr>
          <w:rFonts w:hint="eastAsia" w:ascii="宋体" w:hAnsi="宋体"/>
          <w:szCs w:val="21"/>
          <w:u w:val="single"/>
          <w:lang w:val="en-US" w:eastAsia="zh-CN"/>
        </w:rPr>
        <w:t>300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8、门架缩回高度（mm）：</w:t>
      </w:r>
      <w:r>
        <w:rPr>
          <w:rFonts w:hint="eastAsia" w:ascii="宋体" w:hAnsi="宋体"/>
          <w:szCs w:val="21"/>
          <w:u w:val="single"/>
          <w:lang w:val="en-US" w:eastAsia="zh-CN"/>
        </w:rPr>
        <w:t>2795.</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9、车体宽度（mm）：</w:t>
      </w:r>
      <w:r>
        <w:rPr>
          <w:rFonts w:hint="eastAsia" w:ascii="宋体" w:hAnsi="宋体"/>
          <w:szCs w:val="21"/>
          <w:u w:val="single"/>
        </w:rPr>
        <w:t>1070。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10、车体长度（不含货叉）</w:t>
      </w:r>
      <w:r>
        <w:rPr>
          <w:rFonts w:hint="eastAsia" w:ascii="宋体" w:hAnsi="宋体"/>
          <w:szCs w:val="21"/>
          <w:u w:val="single"/>
        </w:rPr>
        <w:t>（mm）：</w:t>
      </w:r>
      <w:r>
        <w:rPr>
          <w:rFonts w:hint="eastAsia" w:ascii="宋体" w:hAnsi="宋体"/>
          <w:szCs w:val="21"/>
          <w:u w:val="single"/>
          <w:lang w:val="en-US" w:eastAsia="zh-CN"/>
        </w:rPr>
        <w:t>1740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11、行驶 满载/空载km/h：</w:t>
      </w:r>
      <w:r>
        <w:rPr>
          <w:rFonts w:hint="eastAsia" w:ascii="宋体" w:hAnsi="宋体"/>
          <w:szCs w:val="21"/>
          <w:u w:val="single"/>
        </w:rPr>
        <w:t>不小于12/12。</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12、起升 满载/空载mm/s：</w:t>
      </w:r>
      <w:r>
        <w:rPr>
          <w:rFonts w:hint="eastAsia" w:ascii="宋体" w:hAnsi="宋体"/>
          <w:szCs w:val="21"/>
          <w:u w:val="single"/>
        </w:rPr>
        <w:t>不小于400/500。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13、下降 满载/空载mm/s：</w:t>
      </w:r>
      <w:r>
        <w:rPr>
          <w:rFonts w:hint="eastAsia" w:ascii="宋体" w:hAnsi="宋体"/>
          <w:szCs w:val="21"/>
          <w:u w:val="single"/>
        </w:rPr>
        <w:t>不小于500/500。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14、门架倾角（前/后）：</w:t>
      </w:r>
      <w:r>
        <w:rPr>
          <w:rFonts w:hint="eastAsia" w:ascii="宋体" w:hAnsi="宋体"/>
          <w:szCs w:val="21"/>
          <w:u w:val="single"/>
        </w:rPr>
        <w:t>3/5°</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15、货叉架（mm）：</w:t>
      </w:r>
      <w:r>
        <w:rPr>
          <w:rFonts w:hint="eastAsia" w:ascii="宋体" w:hAnsi="宋体"/>
          <w:szCs w:val="21"/>
          <w:u w:val="single"/>
        </w:rPr>
        <w:t>ISO级别</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16、货叉长度</w:t>
      </w:r>
      <w:r>
        <w:rPr>
          <w:rFonts w:hint="eastAsia" w:ascii="宋体" w:hAnsi="宋体"/>
          <w:szCs w:val="21"/>
          <w:u w:val="single"/>
        </w:rPr>
        <w:t>：900mm。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17、转弯半径不大于</w:t>
      </w:r>
      <w:r>
        <w:rPr>
          <w:rFonts w:hint="eastAsia" w:ascii="宋体" w:hAnsi="宋体"/>
          <w:szCs w:val="21"/>
          <w:u w:val="single"/>
        </w:rPr>
        <w:t>1620mm。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19、驱动电机（交流）：</w:t>
      </w:r>
      <w:r>
        <w:rPr>
          <w:rFonts w:hint="eastAsia" w:ascii="宋体" w:hAnsi="宋体"/>
          <w:szCs w:val="21"/>
          <w:u w:val="single"/>
        </w:rPr>
        <w:t xml:space="preserve"> 5.3KW；</w:t>
      </w:r>
      <w:r>
        <w:rPr>
          <w:rFonts w:hint="eastAsia" w:ascii="宋体" w:hAnsi="宋体"/>
          <w:szCs w:val="21"/>
        </w:rPr>
        <w:t xml:space="preserve">  液压电机（交流）：</w:t>
      </w:r>
      <w:r>
        <w:rPr>
          <w:rFonts w:hint="eastAsia" w:ascii="宋体" w:hAnsi="宋体"/>
          <w:szCs w:val="21"/>
          <w:u w:val="single"/>
        </w:rPr>
        <w:t>12KW</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20、蓄电池电压/容量：</w:t>
      </w:r>
      <w:r>
        <w:rPr>
          <w:rFonts w:hint="eastAsia" w:ascii="宋体" w:hAnsi="宋体"/>
          <w:szCs w:val="21"/>
          <w:u w:val="single"/>
        </w:rPr>
        <w:t>不小于48V/300Ah</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 xml:space="preserve">21、蓄电池寿命(充放电次数): </w:t>
      </w:r>
      <w:r>
        <w:rPr>
          <w:rFonts w:hint="eastAsia" w:ascii="宋体" w:hAnsi="宋体"/>
          <w:szCs w:val="21"/>
          <w:u w:val="single"/>
        </w:rPr>
        <w:t>≥1500次</w:t>
      </w:r>
    </w:p>
    <w:p>
      <w:pPr>
        <w:adjustRightInd w:val="0"/>
        <w:snapToGrid w:val="0"/>
        <w:spacing w:before="156" w:beforeLines="50" w:line="360" w:lineRule="auto"/>
        <w:ind w:left="315" w:hanging="315" w:hangingChars="150"/>
        <w:rPr>
          <w:rFonts w:hint="eastAsia" w:ascii="宋体" w:hAnsi="宋体" w:eastAsia="宋体"/>
          <w:szCs w:val="21"/>
          <w:lang w:eastAsia="zh-CN"/>
        </w:rPr>
      </w:pPr>
      <w:r>
        <w:rPr>
          <w:rFonts w:hint="eastAsia" w:ascii="宋体" w:hAnsi="宋体"/>
          <w:szCs w:val="21"/>
          <w:lang w:val="en-US" w:eastAsia="zh-CN"/>
        </w:rPr>
        <w:t>1.</w:t>
      </w:r>
      <w:r>
        <w:rPr>
          <w:rFonts w:hint="eastAsia" w:ascii="宋体" w:hAnsi="宋体"/>
          <w:szCs w:val="21"/>
        </w:rPr>
        <w:t>22、操作形式</w:t>
      </w:r>
      <w:r>
        <w:rPr>
          <w:rFonts w:hint="eastAsia" w:ascii="宋体" w:hAnsi="宋体"/>
          <w:szCs w:val="21"/>
          <w:u w:val="single"/>
        </w:rPr>
        <w:t>：站驾式</w:t>
      </w:r>
      <w:r>
        <w:rPr>
          <w:rFonts w:hint="eastAsia" w:ascii="宋体" w:hAnsi="宋体"/>
          <w:szCs w:val="21"/>
          <w:u w:val="single"/>
          <w:lang w:eastAsia="zh-CN"/>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23、转向系统：</w:t>
      </w:r>
      <w:r>
        <w:rPr>
          <w:rFonts w:hint="eastAsia" w:ascii="宋体" w:hAnsi="宋体"/>
          <w:szCs w:val="21"/>
          <w:u w:val="single"/>
        </w:rPr>
        <w:t>采用</w:t>
      </w:r>
      <w:r>
        <w:rPr>
          <w:rFonts w:hint="eastAsia" w:ascii="宋体" w:hAnsi="宋体"/>
          <w:szCs w:val="21"/>
          <w:u w:val="single"/>
          <w:lang w:val="en-US" w:eastAsia="zh-CN"/>
        </w:rPr>
        <w:t>EPS</w:t>
      </w:r>
      <w:r>
        <w:rPr>
          <w:rFonts w:hint="eastAsia" w:ascii="宋体" w:hAnsi="宋体"/>
          <w:szCs w:val="21"/>
          <w:u w:val="single"/>
        </w:rPr>
        <w:t>电子助力转向系统。</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24、叉车轮胎：</w:t>
      </w:r>
      <w:r>
        <w:rPr>
          <w:rFonts w:hint="eastAsia" w:ascii="宋体" w:hAnsi="宋体"/>
          <w:szCs w:val="21"/>
          <w:u w:val="single"/>
        </w:rPr>
        <w:t>全车采用实心聚氨酯轮胎。</w:t>
      </w:r>
    </w:p>
    <w:p>
      <w:pPr>
        <w:adjustRightInd w:val="0"/>
        <w:snapToGrid w:val="0"/>
        <w:spacing w:before="156" w:beforeLines="50" w:line="360" w:lineRule="auto"/>
        <w:ind w:left="315" w:hanging="315" w:hangingChars="150"/>
        <w:rPr>
          <w:rFonts w:hint="eastAsia" w:ascii="宋体" w:hAnsi="宋体" w:eastAsia="宋体"/>
          <w:szCs w:val="21"/>
          <w:lang w:val="en-US" w:eastAsia="zh-CN"/>
        </w:rPr>
      </w:pPr>
      <w:r>
        <w:rPr>
          <w:rFonts w:hint="eastAsia" w:ascii="宋体" w:hAnsi="宋体"/>
          <w:szCs w:val="21"/>
          <w:lang w:val="en-US" w:eastAsia="zh-CN"/>
        </w:rPr>
        <w:t>1.</w:t>
      </w:r>
      <w:r>
        <w:rPr>
          <w:rFonts w:hint="eastAsia" w:ascii="宋体" w:hAnsi="宋体"/>
          <w:szCs w:val="21"/>
        </w:rPr>
        <w:t>25、仪表盘显示功能：</w:t>
      </w:r>
      <w:r>
        <w:rPr>
          <w:rFonts w:hint="eastAsia" w:ascii="宋体" w:hAnsi="宋体"/>
          <w:szCs w:val="21"/>
          <w:u w:val="single"/>
        </w:rPr>
        <w:t xml:space="preserve">转向轮位置显示，小时计，剩余电量显示，故障代码显示等 </w:t>
      </w:r>
      <w:r>
        <w:rPr>
          <w:rFonts w:hint="eastAsia" w:ascii="宋体" w:hAnsi="宋体"/>
          <w:szCs w:val="21"/>
          <w:u w:val="single"/>
          <w:lang w:eastAsia="zh-CN"/>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26、充电机：</w:t>
      </w:r>
      <w:r>
        <w:rPr>
          <w:rFonts w:hint="eastAsia" w:ascii="宋体" w:hAnsi="宋体"/>
          <w:szCs w:val="21"/>
          <w:u w:val="single"/>
        </w:rPr>
        <w:t>全自动充电机，具备自动脱硫充电和平衡充电功能。</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27、带</w:t>
      </w:r>
      <w:r>
        <w:rPr>
          <w:rFonts w:hint="eastAsia" w:ascii="宋体" w:hAnsi="宋体"/>
          <w:szCs w:val="21"/>
          <w:lang w:val="en-US" w:eastAsia="zh-CN"/>
        </w:rPr>
        <w:t>全液压</w:t>
      </w:r>
      <w:r>
        <w:rPr>
          <w:rFonts w:hint="eastAsia" w:ascii="宋体" w:hAnsi="宋体"/>
          <w:szCs w:val="21"/>
        </w:rPr>
        <w:t>侧移器，倒车蜂鸣器。</w:t>
      </w:r>
      <w:r>
        <w:rPr>
          <w:rFonts w:hint="eastAsia" w:ascii="宋体" w:hAnsi="宋体"/>
          <w:szCs w:val="21"/>
          <w:lang w:val="en-US" w:eastAsia="zh-CN"/>
        </w:rPr>
        <w:t>ACT主动控制，AC控制器，免维护电机，大容量蓄电池，下降自锁功能。</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28、配备行车光电警示灯装置。</w:t>
      </w:r>
    </w:p>
    <w:p>
      <w:pPr>
        <w:adjustRightInd w:val="0"/>
        <w:snapToGrid w:val="0"/>
        <w:spacing w:before="156" w:beforeLines="50" w:line="360" w:lineRule="auto"/>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29、自动减速功能：前移，上升始末端自动减速功能。</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1.30、</w:t>
      </w:r>
      <w:r>
        <w:rPr>
          <w:rFonts w:hint="eastAsia" w:ascii="宋体" w:hAnsi="宋体"/>
          <w:szCs w:val="21"/>
        </w:rPr>
        <w:t>门架：采用高强度美国JJ钢材</w:t>
      </w:r>
      <w:r>
        <w:rPr>
          <w:rFonts w:hint="eastAsia" w:ascii="宋体" w:hAnsi="宋体"/>
          <w:szCs w:val="21"/>
          <w:lang w:val="en-US" w:eastAsia="zh-CN"/>
        </w:rPr>
        <w:t>,,采用FFT三级全自由提升门架，</w:t>
      </w:r>
      <w:r>
        <w:rPr>
          <w:rFonts w:hint="eastAsia" w:ascii="宋体" w:hAnsi="宋体"/>
          <w:szCs w:val="21"/>
        </w:rPr>
        <w:t>缩回高度为</w:t>
      </w:r>
      <w:r>
        <w:rPr>
          <w:rFonts w:hint="eastAsia" w:ascii="宋体" w:hAnsi="宋体"/>
          <w:szCs w:val="21"/>
          <w:lang w:val="en-US" w:eastAsia="zh-CN"/>
        </w:rPr>
        <w:t>2795</w:t>
      </w:r>
      <w:r>
        <w:rPr>
          <w:rFonts w:hint="eastAsia" w:ascii="宋体" w:hAnsi="宋体"/>
          <w:szCs w:val="21"/>
        </w:rPr>
        <w:t xml:space="preserve"> mm</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lang w:val="en-US" w:eastAsia="zh-CN"/>
        </w:rPr>
        <w:t>1.31、下降自锁功能：在无操作或关机状态下，门架下降会自动锁定，充分保证作业安全。</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lang w:val="en-US" w:eastAsia="zh-CN"/>
        </w:rPr>
        <w:t>1.32、当操作者离开叉车，刹车自动启动，不用拉手刹。</w:t>
      </w:r>
    </w:p>
    <w:p>
      <w:pPr>
        <w:adjustRightInd w:val="0"/>
        <w:snapToGrid w:val="0"/>
        <w:spacing w:before="156" w:beforeLines="50" w:line="360" w:lineRule="auto"/>
        <w:ind w:left="315" w:hanging="315" w:hangingChars="150"/>
        <w:rPr>
          <w:rFonts w:hint="eastAsia" w:ascii="宋体" w:hAnsi="宋体"/>
          <w:b w:val="0"/>
          <w:bCs w:val="0"/>
          <w:szCs w:val="21"/>
        </w:rPr>
      </w:pPr>
      <w:r>
        <w:rPr>
          <w:rFonts w:hint="eastAsia" w:ascii="宋体" w:hAnsi="宋体"/>
          <w:b w:val="0"/>
          <w:bCs w:val="0"/>
          <w:szCs w:val="21"/>
        </w:rPr>
        <w:t>2. 技术性能要求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2.1 设备使用前应取得产品质量合格证明。</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2.2 应装有齐全、可靠的电气和机械防护装置，应有短路保护、失压保护等保护措施且所有保护符合国家安全要求。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2.3 主要零部件材料应符合起重机相关标准的要求。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2.4 方向盘控制要求：静压转向系统。</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 xml:space="preserve"> </w:t>
      </w:r>
      <w:r>
        <w:rPr>
          <w:rFonts w:hint="eastAsia" w:ascii="宋体" w:hAnsi="宋体"/>
          <w:szCs w:val="21"/>
        </w:rPr>
        <w:t>2.</w:t>
      </w:r>
      <w:r>
        <w:rPr>
          <w:rFonts w:hint="eastAsia" w:ascii="宋体" w:hAnsi="宋体"/>
          <w:szCs w:val="21"/>
          <w:lang w:val="en-US" w:eastAsia="zh-CN"/>
        </w:rPr>
        <w:t>5</w:t>
      </w:r>
      <w:r>
        <w:rPr>
          <w:rFonts w:hint="eastAsia" w:ascii="宋体" w:hAnsi="宋体"/>
          <w:szCs w:val="21"/>
        </w:rPr>
        <w:t xml:space="preserve"> 叉车座椅要求：可前后调整，同时司机离开座椅即切断行驶及门架升降功能。</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w:t>
      </w:r>
      <w:r>
        <w:rPr>
          <w:rFonts w:hint="eastAsia" w:ascii="宋体" w:hAnsi="宋体"/>
          <w:szCs w:val="21"/>
          <w:lang w:val="en-US" w:eastAsia="zh-CN"/>
        </w:rPr>
        <w:t>6</w:t>
      </w:r>
      <w:r>
        <w:rPr>
          <w:rFonts w:hint="eastAsia" w:ascii="宋体" w:hAnsi="宋体"/>
          <w:szCs w:val="21"/>
        </w:rPr>
        <w:t xml:space="preserve"> 仪表盘</w:t>
      </w:r>
      <w:r>
        <w:rPr>
          <w:rFonts w:hint="eastAsia" w:ascii="宋体" w:hAnsi="宋体"/>
          <w:szCs w:val="21"/>
          <w:lang w:val="en-US" w:eastAsia="zh-CN"/>
        </w:rPr>
        <w:t xml:space="preserve">要求：LED指示器和7段数字图形液晶显示器为驾驶人员提供所有所需信息的详细资料，包括运行状态、自我诊断和可编程设置。4个显示按钮实现四个功率模式的选择：高性能模式、标准模式、节能模式和安全限速模式 </w:t>
      </w:r>
      <w:r>
        <w:rPr>
          <w:rFonts w:hint="eastAsia" w:ascii="宋体" w:hAnsi="宋体"/>
          <w:szCs w:val="21"/>
        </w:rPr>
        <w:t>2.</w:t>
      </w:r>
      <w:r>
        <w:rPr>
          <w:rFonts w:hint="eastAsia" w:ascii="宋体" w:hAnsi="宋体"/>
          <w:szCs w:val="21"/>
          <w:lang w:val="en-US" w:eastAsia="zh-CN"/>
        </w:rPr>
        <w:t>7</w:t>
      </w:r>
      <w:r>
        <w:rPr>
          <w:rFonts w:hint="eastAsia" w:ascii="宋体" w:hAnsi="宋体"/>
          <w:szCs w:val="21"/>
        </w:rPr>
        <w:t>、宽视野护顶架。</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w:t>
      </w:r>
      <w:r>
        <w:rPr>
          <w:rFonts w:hint="eastAsia" w:ascii="宋体" w:hAnsi="宋体"/>
          <w:szCs w:val="21"/>
          <w:lang w:val="en-US" w:eastAsia="zh-CN"/>
        </w:rPr>
        <w:t>8</w:t>
      </w:r>
      <w:r>
        <w:rPr>
          <w:rFonts w:hint="eastAsia" w:ascii="宋体" w:hAnsi="宋体"/>
          <w:szCs w:val="21"/>
        </w:rPr>
        <w:t>设备到货应随机提供产品合格证。</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2.</w:t>
      </w:r>
      <w:r>
        <w:rPr>
          <w:rFonts w:hint="eastAsia" w:ascii="宋体" w:hAnsi="宋体"/>
          <w:szCs w:val="21"/>
          <w:lang w:val="en-US" w:eastAsia="zh-CN"/>
        </w:rPr>
        <w:t>9</w:t>
      </w:r>
      <w:r>
        <w:rPr>
          <w:rFonts w:hint="eastAsia" w:ascii="宋体" w:hAnsi="宋体"/>
          <w:szCs w:val="21"/>
        </w:rPr>
        <w:t xml:space="preserve"> 保质期：1年或者1000工作小时，以先到者为准。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2.1</w:t>
      </w:r>
      <w:r>
        <w:rPr>
          <w:rFonts w:hint="eastAsia" w:ascii="宋体" w:hAnsi="宋体"/>
          <w:szCs w:val="21"/>
          <w:lang w:val="en-US" w:eastAsia="zh-CN"/>
        </w:rPr>
        <w:t>0</w:t>
      </w:r>
      <w:r>
        <w:rPr>
          <w:rFonts w:hint="eastAsia" w:ascii="宋体" w:hAnsi="宋体"/>
          <w:szCs w:val="21"/>
        </w:rPr>
        <w:t xml:space="preserve"> 使用寿命：10年。</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3．安全技术要求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3.1、车身油漆：车身喷涂防眩目面漆。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w:t>
      </w:r>
      <w:r>
        <w:rPr>
          <w:rFonts w:hint="eastAsia" w:ascii="宋体" w:hAnsi="宋体"/>
          <w:szCs w:val="21"/>
        </w:rPr>
        <w:t>3.2、座椅安全开关：司机离开座椅，叉车停止所有操作动作。</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3.3、行车光电警示灯及倒车报警提示音。</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3.4、配备1台灭火器。</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3.5 卖方应对设备的安全性负责，在设计时应注意到整体和局部的安全性问题。</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3.6 护顶架、挡货架须安全有效。</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3.7 两根起升链条张紧度应均匀，不得扭曲变形，端部连接牢靠，链条的节距不得超过原长度的4%，否则应更换链条。链轮转动应灵活。</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3.8 门架材料采用高强度美国JJ钢材，门架不得有变形和焊缝脱焊现象，内外门架的滚动间隙应调整合理，不得大于1.5mm，链轮转动应灵活，滚轮及轴应无裂纹、缺陷。轮槽磨损量不得大于原尺寸的10%。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3.9 起升油缸与门架联接部位应牢靠，倾斜油缸与门架、车架的铰接应牢靠、灵活，配合间隙不得过大。油缸应密封良好，无裂纹，工作平稳。在额定载荷下，24小时货叉下沉量不得大于20mm,倾角不得大于0.5º。</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3.10 货叉架不得有严重变形，焊缝脱焊现象。货叉表面不得有裂纹、焊缝开焊现象。货叉根部不得大于93º，厚度不得低于原尺寸的90%。左右货叉尖的高度不得超过货叉水平长度的3%。货叉定位应可靠，货叉挂钩的支承面、定位面不得有明显缺陷，货叉与货叉架的配合间隙不应过大，且移动平顺。</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3.11 液压系统管路接头牢靠、无渗漏与其他机件不磨碰，橡胶软管不得老化，变质现象。</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3.12 液压系统中的传动部件在额定载荷、额定速度范围内不应出现爬行、停滞和明显的冲动现象。</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3.13 多路换向阀壳体无裂纹、渗漏；工作性能应良好可靠；安全阀操作灵敏。</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3.14 调整螺栓的螺帽应安全牢固。操作手柄定位准确、可靠，不得应震动而变位。</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3.15 设备的噪音和振动应符合国家相关标准。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3.16 叉车要尽量采用各种阻燃材料从本质上来预防火灾的发生</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4.招标人提出的特别技术要求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4.1 必须对所有技术条款逐条解释并满足使用环境。</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4.2 标书中未提及的技术要求必须符合国家的相关要求。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4.3上表分项报价合计价格与投标报价设备总价格必须一致。</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lang w:val="en-US" w:eastAsia="zh-CN"/>
        </w:rPr>
        <w:t>* 4.4 办理特种设备检验及注册。</w:t>
      </w:r>
    </w:p>
    <w:p>
      <w:pPr>
        <w:spacing w:line="360" w:lineRule="exact"/>
        <w:ind w:firstLine="499" w:firstLineChars="208"/>
        <w:rPr>
          <w:rFonts w:hint="eastAsia" w:ascii="宋体" w:hAnsi="宋体"/>
          <w:color w:val="000000"/>
          <w:sz w:val="24"/>
          <w:szCs w:val="24"/>
        </w:rPr>
      </w:pPr>
    </w:p>
    <w:p>
      <w:pPr>
        <w:pStyle w:val="16"/>
        <w:jc w:val="center"/>
      </w:pPr>
      <w:r>
        <w:rPr>
          <w:rFonts w:hint="eastAsia" w:ascii="黑体" w:hAnsi="黑体" w:cs="Times New Roman"/>
          <w:b/>
          <w:bCs/>
          <w:sz w:val="32"/>
          <w:szCs w:val="24"/>
        </w:rPr>
        <w:t>第二节 备件和工具</w:t>
      </w:r>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6"/>
        <w:adjustRightInd w:val="0"/>
        <w:snapToGrid w:val="0"/>
        <w:spacing w:before="156" w:beforeLines="50" w:line="360" w:lineRule="auto"/>
        <w:rPr>
          <w:rFonts w:ascii="宋体" w:hAnsi="宋体"/>
          <w:szCs w:val="21"/>
        </w:rPr>
      </w:pPr>
    </w:p>
    <w:p>
      <w:pPr>
        <w:pStyle w:val="16"/>
        <w:jc w:val="center"/>
      </w:pPr>
      <w:bookmarkStart w:id="2" w:name="_Toc357086346"/>
      <w:r>
        <w:rPr>
          <w:rFonts w:hint="eastAsia" w:ascii="黑体" w:hAnsi="黑体" w:cs="Times New Roman"/>
          <w:b/>
          <w:bCs/>
          <w:sz w:val="32"/>
          <w:szCs w:val="24"/>
        </w:rPr>
        <w:t>第三节 设备出厂前检验</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3" w:name="_Toc357086347"/>
      <w:r>
        <w:rPr>
          <w:rFonts w:hint="eastAsia" w:ascii="黑体" w:hAnsi="黑体" w:cs="Times New Roman"/>
          <w:b/>
          <w:bCs/>
          <w:sz w:val="32"/>
          <w:szCs w:val="24"/>
        </w:rPr>
        <w:t>第四节 技术服务</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156"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4" w:name="_Toc357086348"/>
      <w:r>
        <w:rPr>
          <w:rFonts w:hint="eastAsia" w:ascii="黑体" w:hAnsi="黑体" w:cs="Times New Roman"/>
          <w:b/>
          <w:bCs/>
          <w:sz w:val="32"/>
          <w:szCs w:val="24"/>
        </w:rPr>
        <w:t>第五节 安装、检验、调试、试运行及验收</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4、配套检修工具，配齐设备安装所需的所有调整垫铁（要求可调整垫铁）、垫块及调整螺栓。</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5、厂家负责提前提供设备安装基础图。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w:t>
      </w:r>
      <w:r>
        <w:rPr>
          <w:rFonts w:ascii="宋体" w:hAnsi="宋体"/>
          <w:szCs w:val="21"/>
        </w:rPr>
        <w:t>设备的组装、空载试验、带载试验、试运行、</w:t>
      </w:r>
      <w:r>
        <w:rPr>
          <w:rFonts w:hint="eastAsia" w:ascii="宋体" w:hAnsi="宋体"/>
          <w:szCs w:val="21"/>
        </w:rPr>
        <w:t>所用的试件有供货方提供。</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7、调试所用润滑油、润滑脂有供货方提供。</w:t>
      </w: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5" w:name="_Toc357086349"/>
      <w:r>
        <w:rPr>
          <w:rFonts w:hint="eastAsia" w:ascii="黑体" w:hAnsi="黑体" w:cs="Times New Roman"/>
          <w:b/>
          <w:bCs/>
          <w:sz w:val="32"/>
          <w:szCs w:val="24"/>
        </w:rPr>
        <w:t>第六节 质量保证</w:t>
      </w:r>
      <w:bookmarkEnd w:id="5"/>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6"/>
        <w:jc w:val="center"/>
      </w:pPr>
      <w:r>
        <w:rPr>
          <w:rFonts w:hint="eastAsia" w:ascii="宋体" w:hAnsi="宋体"/>
          <w:szCs w:val="21"/>
        </w:rPr>
        <w:br w:type="page"/>
      </w:r>
      <w:bookmarkStart w:id="6" w:name="_Toc357086350"/>
      <w:r>
        <w:rPr>
          <w:rFonts w:hint="eastAsia" w:ascii="黑体" w:hAnsi="黑体" w:cs="Times New Roman"/>
          <w:b/>
          <w:bCs/>
          <w:sz w:val="32"/>
          <w:szCs w:val="24"/>
        </w:rPr>
        <w:t>第七节 技术资料和图纸</w:t>
      </w:r>
      <w:bookmarkEnd w:id="6"/>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w:t>
      </w:r>
      <w:r>
        <w:rPr>
          <w:rFonts w:hint="eastAsia" w:ascii="宋体" w:hAnsi="宋体"/>
          <w:szCs w:val="21"/>
          <w:u w:val="single"/>
        </w:rPr>
        <w:t xml:space="preserve"> 6 </w:t>
      </w:r>
      <w:r>
        <w:rPr>
          <w:rFonts w:hint="eastAsia" w:ascii="宋体" w:hAnsi="宋体"/>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line="360" w:lineRule="auto"/>
        <w:rPr>
          <w:rFonts w:ascii="宋体" w:hAnsi="宋体"/>
          <w:spacing w:val="-5"/>
          <w:kern w:val="0"/>
          <w:szCs w:val="21"/>
        </w:rPr>
      </w:pPr>
    </w:p>
    <w:p>
      <w:pPr>
        <w:adjustRightInd w:val="0"/>
        <w:snapToGrid w:val="0"/>
        <w:spacing w:line="360" w:lineRule="auto"/>
        <w:rPr>
          <w:rFonts w:ascii="宋体" w:hAnsi="宋体"/>
          <w:spacing w:val="-5"/>
          <w:kern w:val="0"/>
          <w:szCs w:val="21"/>
        </w:rPr>
      </w:pPr>
    </w:p>
    <w:p>
      <w:pPr>
        <w:tabs>
          <w:tab w:val="left" w:pos="2340"/>
        </w:tabs>
        <w:spacing w:line="480" w:lineRule="auto"/>
        <w:ind w:left="630" w:leftChars="300" w:firstLine="321" w:firstLineChars="100"/>
        <w:jc w:val="left"/>
        <w:rPr>
          <w:rFonts w:hint="eastAsia" w:ascii="黑体" w:hAnsi="黑体" w:eastAsia="黑体" w:cs="Times New Roman"/>
          <w:b/>
          <w:bCs/>
          <w:kern w:val="0"/>
          <w:sz w:val="32"/>
          <w:szCs w:val="24"/>
          <w:lang w:val="en-US" w:eastAsia="zh-CN" w:bidi="ar-SA"/>
        </w:rPr>
      </w:pPr>
    </w:p>
    <w:p>
      <w:pPr>
        <w:tabs>
          <w:tab w:val="left" w:pos="2340"/>
        </w:tabs>
        <w:spacing w:line="480" w:lineRule="auto"/>
        <w:ind w:left="630" w:leftChars="300" w:firstLine="321" w:firstLineChars="100"/>
        <w:jc w:val="left"/>
        <w:rPr>
          <w:rFonts w:hint="eastAsia" w:ascii="黑体" w:hAnsi="黑体" w:eastAsia="黑体" w:cs="Times New Roman"/>
          <w:b/>
          <w:bCs/>
          <w:kern w:val="0"/>
          <w:sz w:val="32"/>
          <w:szCs w:val="24"/>
          <w:lang w:val="en-US" w:eastAsia="zh-CN" w:bidi="ar-SA"/>
        </w:rPr>
      </w:pPr>
    </w:p>
    <w:p>
      <w:pPr>
        <w:numPr>
          <w:ilvl w:val="0"/>
          <w:numId w:val="2"/>
        </w:numPr>
        <w:tabs>
          <w:tab w:val="left" w:pos="2340"/>
        </w:tabs>
        <w:spacing w:line="480" w:lineRule="auto"/>
        <w:ind w:left="630" w:leftChars="300" w:firstLine="321" w:firstLineChars="100"/>
        <w:jc w:val="center"/>
        <w:rPr>
          <w:rFonts w:hint="eastAsia" w:ascii="黑体" w:hAnsi="黑体" w:eastAsia="黑体" w:cs="Times New Roman"/>
          <w:b/>
          <w:bCs/>
          <w:kern w:val="0"/>
          <w:sz w:val="32"/>
          <w:szCs w:val="24"/>
          <w:lang w:val="en-US" w:eastAsia="zh-CN" w:bidi="ar-SA"/>
        </w:rPr>
      </w:pPr>
      <w:r>
        <w:rPr>
          <w:rFonts w:hint="eastAsia" w:ascii="黑体" w:hAnsi="黑体" w:eastAsia="黑体" w:cs="Times New Roman"/>
          <w:b/>
          <w:bCs/>
          <w:kern w:val="0"/>
          <w:sz w:val="32"/>
          <w:szCs w:val="24"/>
          <w:lang w:val="en-US" w:eastAsia="zh-CN" w:bidi="ar-SA"/>
        </w:rPr>
        <w:t>设计和制造标准</w:t>
      </w:r>
    </w:p>
    <w:p>
      <w:pPr>
        <w:pStyle w:val="17"/>
        <w:tabs>
          <w:tab w:val="left" w:pos="1290"/>
          <w:tab w:val="left" w:pos="1680"/>
        </w:tabs>
        <w:adjustRightInd w:val="0"/>
        <w:snapToGrid w:val="0"/>
        <w:spacing w:beforeLines="50" w:after="0" w:line="360" w:lineRule="auto"/>
        <w:ind w:left="283" w:hanging="283" w:hangingChars="135"/>
        <w:rPr>
          <w:rFonts w:hint="eastAsia" w:ascii="黑体" w:hAnsi="黑体" w:eastAsia="黑体" w:cs="Times New Roman"/>
          <w:b/>
          <w:bCs/>
          <w:kern w:val="0"/>
          <w:sz w:val="32"/>
          <w:szCs w:val="24"/>
          <w:lang w:val="en-US" w:eastAsia="zh-CN" w:bidi="ar-SA"/>
        </w:rPr>
      </w:pP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机械：ISO标准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GB3811-83起重机设计规范；</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GB6067-85起重机械安全规程；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GB5905-86起重机械试验规范和程序；</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98/37EEC  欧盟有关机械法律的指令 </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EN1726-1  欧盟工业车辆强制性标准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89/336/EEC欧盟电磁兼容性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ENL2895    欧盟工业车辆强制性标准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12000/14/EC欧盟有关噪声释放法规</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GB/T19002  中国工程机械国家标准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IS09001: 2000国际标准化组织标准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GBTl2467-90焊接质量保证一般原则；</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GB985-80气焊、手工电弧焊及气体保护焊焊缝坡口的基本形式与尺寸；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GB986-80埋弧焊焊缝坡口的基本形式与尺寸；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JB/JQ4000.3-86焊接通用技术条件；</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CB3323-87  钢熔化焊对接接头射线照相和质量分级；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JB/T4730-94压力容器无损检测；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GB9286-88  色漆和清漆漆膜的划格试验；</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GB8923-88  涂装前钢材表面锈蚀等级和除锈等级；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JB4315  起重机电控设备标准；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GB4208-84  外壳防护等级的分类；</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GB12602-90起重机械超载保护装置安全技术规范。</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GB6067-85  起重机械安全规程；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GBTl2467-90焊接质量保证一般原则；</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GB985-80    气焊、手工电弧焊及气体保护焊焊缝坡口的基本形式与尺寸；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GB986-80    埋弧焊焊缝坡口的基本形式与尺寸；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JB/JQ4000. 3-86  焊接通用技术条件：</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GB3323-87  钢熔化焊对接接头射线照相和质量分级：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JB/T4730-94压力容器无损检测；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GB9286-88  色漆和清漆漆膜的划格试验；</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GB8923-88  涂装前钢材表面锈蚀等级和除锈等级；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若货物原产国的国家标准或目前使用的企业标准高于上述标准，同样适用。</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电器：IEC标准/EN标准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机械：ISO标准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若货物原产国的国家标准或目前使用的企业标准高于上述标准，同样适用。</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设备的设计与制造要求采用国际公制单位，个别部件采用英制单位应列出清单。</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上述标准均应为投标截止日时的最新有效版。</w:t>
      </w:r>
    </w:p>
    <w:p>
      <w:pPr>
        <w:spacing w:line="360" w:lineRule="auto"/>
        <w:rPr>
          <w:rFonts w:ascii="仿宋" w:hAnsi="仿宋" w:eastAsia="仿宋"/>
          <w:sz w:val="24"/>
        </w:rPr>
      </w:pPr>
      <w:r>
        <w:rPr>
          <w:rFonts w:hint="eastAsia" w:ascii="宋体" w:hAnsi="宋体" w:eastAsia="宋体" w:cs="宋体"/>
          <w:color w:val="000000"/>
          <w:sz w:val="21"/>
          <w:szCs w:val="21"/>
        </w:rPr>
        <w:t>有效版。</w:t>
      </w:r>
    </w:p>
    <w:p>
      <w:pPr>
        <w:spacing w:line="360" w:lineRule="auto"/>
        <w:rPr>
          <w:rFonts w:ascii="仿宋" w:hAnsi="仿宋" w:eastAsia="仿宋"/>
          <w:sz w:val="24"/>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AEA3B"/>
    <w:multiLevelType w:val="singleLevel"/>
    <w:tmpl w:val="10EAEA3B"/>
    <w:lvl w:ilvl="0" w:tentative="0">
      <w:start w:val="8"/>
      <w:numFmt w:val="chineseCounting"/>
      <w:suff w:val="space"/>
      <w:lvlText w:val="第%1节"/>
      <w:lvlJc w:val="left"/>
      <w:rPr>
        <w:rFonts w:hint="eastAsia"/>
      </w:rPr>
    </w:lvl>
  </w:abstractNum>
  <w:abstractNum w:abstractNumId="1">
    <w:nsid w:val="29617D31"/>
    <w:multiLevelType w:val="singleLevel"/>
    <w:tmpl w:val="29617D3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3281"/>
    <w:rsid w:val="00015381"/>
    <w:rsid w:val="00026E8B"/>
    <w:rsid w:val="00030C5C"/>
    <w:rsid w:val="00034491"/>
    <w:rsid w:val="000349FF"/>
    <w:rsid w:val="00040FAA"/>
    <w:rsid w:val="00045A4A"/>
    <w:rsid w:val="00046387"/>
    <w:rsid w:val="00046393"/>
    <w:rsid w:val="00060DA9"/>
    <w:rsid w:val="00061FFC"/>
    <w:rsid w:val="00062A06"/>
    <w:rsid w:val="00074BAA"/>
    <w:rsid w:val="0008777B"/>
    <w:rsid w:val="000919ED"/>
    <w:rsid w:val="00097BBE"/>
    <w:rsid w:val="000B4A8F"/>
    <w:rsid w:val="000C002E"/>
    <w:rsid w:val="000D5B51"/>
    <w:rsid w:val="000F7B2D"/>
    <w:rsid w:val="0010350A"/>
    <w:rsid w:val="001310B9"/>
    <w:rsid w:val="00134206"/>
    <w:rsid w:val="00142DC8"/>
    <w:rsid w:val="00151CC7"/>
    <w:rsid w:val="00152AAB"/>
    <w:rsid w:val="00152D9A"/>
    <w:rsid w:val="0015579C"/>
    <w:rsid w:val="00155A24"/>
    <w:rsid w:val="00156431"/>
    <w:rsid w:val="001608A6"/>
    <w:rsid w:val="00162CD6"/>
    <w:rsid w:val="001714A2"/>
    <w:rsid w:val="0017236C"/>
    <w:rsid w:val="00173B13"/>
    <w:rsid w:val="00174859"/>
    <w:rsid w:val="00175505"/>
    <w:rsid w:val="001803C1"/>
    <w:rsid w:val="001A1EEB"/>
    <w:rsid w:val="001C2A35"/>
    <w:rsid w:val="001D231F"/>
    <w:rsid w:val="001F5595"/>
    <w:rsid w:val="0020043E"/>
    <w:rsid w:val="00205A97"/>
    <w:rsid w:val="00207B07"/>
    <w:rsid w:val="00207DB2"/>
    <w:rsid w:val="0021131F"/>
    <w:rsid w:val="00213B0F"/>
    <w:rsid w:val="0023207D"/>
    <w:rsid w:val="0023500D"/>
    <w:rsid w:val="0024361C"/>
    <w:rsid w:val="00247066"/>
    <w:rsid w:val="00254199"/>
    <w:rsid w:val="002557C5"/>
    <w:rsid w:val="002633A5"/>
    <w:rsid w:val="00264D5A"/>
    <w:rsid w:val="0027133A"/>
    <w:rsid w:val="002744A6"/>
    <w:rsid w:val="00275B86"/>
    <w:rsid w:val="00276946"/>
    <w:rsid w:val="00284BB6"/>
    <w:rsid w:val="002902C1"/>
    <w:rsid w:val="00292D0F"/>
    <w:rsid w:val="002A0807"/>
    <w:rsid w:val="002A7675"/>
    <w:rsid w:val="002B1E52"/>
    <w:rsid w:val="002B5148"/>
    <w:rsid w:val="002C2B1B"/>
    <w:rsid w:val="002C75B6"/>
    <w:rsid w:val="002D5779"/>
    <w:rsid w:val="002D5BFD"/>
    <w:rsid w:val="002E17F4"/>
    <w:rsid w:val="002E4385"/>
    <w:rsid w:val="0030306D"/>
    <w:rsid w:val="003133E1"/>
    <w:rsid w:val="00315A14"/>
    <w:rsid w:val="00324547"/>
    <w:rsid w:val="00324AED"/>
    <w:rsid w:val="00327C2C"/>
    <w:rsid w:val="003370AA"/>
    <w:rsid w:val="00340D51"/>
    <w:rsid w:val="003417A1"/>
    <w:rsid w:val="00343D04"/>
    <w:rsid w:val="0034597B"/>
    <w:rsid w:val="00352FC9"/>
    <w:rsid w:val="003538D6"/>
    <w:rsid w:val="00355943"/>
    <w:rsid w:val="0035699D"/>
    <w:rsid w:val="0036001B"/>
    <w:rsid w:val="003708D1"/>
    <w:rsid w:val="00386656"/>
    <w:rsid w:val="00397872"/>
    <w:rsid w:val="003A31FB"/>
    <w:rsid w:val="003A43AD"/>
    <w:rsid w:val="003B3F9D"/>
    <w:rsid w:val="003C1462"/>
    <w:rsid w:val="003D0832"/>
    <w:rsid w:val="003D621C"/>
    <w:rsid w:val="003E5F20"/>
    <w:rsid w:val="003E75F1"/>
    <w:rsid w:val="003F38A7"/>
    <w:rsid w:val="004010AF"/>
    <w:rsid w:val="004021E7"/>
    <w:rsid w:val="00405B14"/>
    <w:rsid w:val="00413602"/>
    <w:rsid w:val="00415933"/>
    <w:rsid w:val="004171CC"/>
    <w:rsid w:val="0042104A"/>
    <w:rsid w:val="00424C95"/>
    <w:rsid w:val="00433399"/>
    <w:rsid w:val="0044291A"/>
    <w:rsid w:val="004513FD"/>
    <w:rsid w:val="00462545"/>
    <w:rsid w:val="0046284D"/>
    <w:rsid w:val="00481D87"/>
    <w:rsid w:val="004954E0"/>
    <w:rsid w:val="004A5487"/>
    <w:rsid w:val="004B6539"/>
    <w:rsid w:val="004C2832"/>
    <w:rsid w:val="004D4587"/>
    <w:rsid w:val="004E0346"/>
    <w:rsid w:val="004E5B57"/>
    <w:rsid w:val="004F5D0C"/>
    <w:rsid w:val="00501850"/>
    <w:rsid w:val="00502BE3"/>
    <w:rsid w:val="0050670E"/>
    <w:rsid w:val="005210D7"/>
    <w:rsid w:val="005210E1"/>
    <w:rsid w:val="00522FE4"/>
    <w:rsid w:val="005245F4"/>
    <w:rsid w:val="00524A09"/>
    <w:rsid w:val="00526241"/>
    <w:rsid w:val="005357F0"/>
    <w:rsid w:val="00560408"/>
    <w:rsid w:val="00564646"/>
    <w:rsid w:val="0057357C"/>
    <w:rsid w:val="0058609D"/>
    <w:rsid w:val="00590E5E"/>
    <w:rsid w:val="00595E43"/>
    <w:rsid w:val="00596F47"/>
    <w:rsid w:val="00597692"/>
    <w:rsid w:val="005A6A5C"/>
    <w:rsid w:val="005B7C05"/>
    <w:rsid w:val="005C1073"/>
    <w:rsid w:val="005C2EC1"/>
    <w:rsid w:val="005C3259"/>
    <w:rsid w:val="005C342E"/>
    <w:rsid w:val="005D117A"/>
    <w:rsid w:val="005D4DD3"/>
    <w:rsid w:val="005E1806"/>
    <w:rsid w:val="005E2C8D"/>
    <w:rsid w:val="005E35A2"/>
    <w:rsid w:val="005E7A41"/>
    <w:rsid w:val="005F05C5"/>
    <w:rsid w:val="005F6C66"/>
    <w:rsid w:val="00604F0E"/>
    <w:rsid w:val="00607817"/>
    <w:rsid w:val="006118E4"/>
    <w:rsid w:val="00616668"/>
    <w:rsid w:val="006243C7"/>
    <w:rsid w:val="00635E5F"/>
    <w:rsid w:val="00644CBA"/>
    <w:rsid w:val="0064539F"/>
    <w:rsid w:val="00665A02"/>
    <w:rsid w:val="00665D70"/>
    <w:rsid w:val="00671C1F"/>
    <w:rsid w:val="00673DB7"/>
    <w:rsid w:val="00674855"/>
    <w:rsid w:val="00680B0F"/>
    <w:rsid w:val="0068763C"/>
    <w:rsid w:val="00695B06"/>
    <w:rsid w:val="006A0E1D"/>
    <w:rsid w:val="006A1896"/>
    <w:rsid w:val="006B3D97"/>
    <w:rsid w:val="006C2B88"/>
    <w:rsid w:val="006C3017"/>
    <w:rsid w:val="006C3ED5"/>
    <w:rsid w:val="006D365C"/>
    <w:rsid w:val="006E2EFD"/>
    <w:rsid w:val="006E52DC"/>
    <w:rsid w:val="006F7261"/>
    <w:rsid w:val="00724E95"/>
    <w:rsid w:val="0072646E"/>
    <w:rsid w:val="0073246F"/>
    <w:rsid w:val="00734DF3"/>
    <w:rsid w:val="00735070"/>
    <w:rsid w:val="007404F7"/>
    <w:rsid w:val="0074278F"/>
    <w:rsid w:val="00765FB3"/>
    <w:rsid w:val="00782F74"/>
    <w:rsid w:val="00786E22"/>
    <w:rsid w:val="00790A71"/>
    <w:rsid w:val="007961CF"/>
    <w:rsid w:val="00796B6E"/>
    <w:rsid w:val="007A37E8"/>
    <w:rsid w:val="007A5778"/>
    <w:rsid w:val="007F0CF7"/>
    <w:rsid w:val="007F5815"/>
    <w:rsid w:val="007F6555"/>
    <w:rsid w:val="0080693E"/>
    <w:rsid w:val="00807102"/>
    <w:rsid w:val="008156D9"/>
    <w:rsid w:val="00826F56"/>
    <w:rsid w:val="0083250C"/>
    <w:rsid w:val="00843418"/>
    <w:rsid w:val="00845825"/>
    <w:rsid w:val="00852959"/>
    <w:rsid w:val="00853966"/>
    <w:rsid w:val="00863A34"/>
    <w:rsid w:val="00877DB3"/>
    <w:rsid w:val="00881676"/>
    <w:rsid w:val="00882500"/>
    <w:rsid w:val="0088601A"/>
    <w:rsid w:val="00890998"/>
    <w:rsid w:val="00891B7E"/>
    <w:rsid w:val="00897BC6"/>
    <w:rsid w:val="008A2F0D"/>
    <w:rsid w:val="008B5D3A"/>
    <w:rsid w:val="008C2E31"/>
    <w:rsid w:val="008D648D"/>
    <w:rsid w:val="008E4684"/>
    <w:rsid w:val="00905422"/>
    <w:rsid w:val="009054B3"/>
    <w:rsid w:val="0091060D"/>
    <w:rsid w:val="0092369C"/>
    <w:rsid w:val="009269DC"/>
    <w:rsid w:val="00940A84"/>
    <w:rsid w:val="00943FA8"/>
    <w:rsid w:val="00947716"/>
    <w:rsid w:val="00947E03"/>
    <w:rsid w:val="00955583"/>
    <w:rsid w:val="009555FC"/>
    <w:rsid w:val="00977779"/>
    <w:rsid w:val="00986153"/>
    <w:rsid w:val="00992860"/>
    <w:rsid w:val="00993163"/>
    <w:rsid w:val="009933CD"/>
    <w:rsid w:val="00996A9F"/>
    <w:rsid w:val="009A1731"/>
    <w:rsid w:val="009B52B4"/>
    <w:rsid w:val="009B7AFD"/>
    <w:rsid w:val="009C560A"/>
    <w:rsid w:val="009D05E6"/>
    <w:rsid w:val="009D16D9"/>
    <w:rsid w:val="009D4F7B"/>
    <w:rsid w:val="009F0088"/>
    <w:rsid w:val="009F01EC"/>
    <w:rsid w:val="009F700A"/>
    <w:rsid w:val="00A0156C"/>
    <w:rsid w:val="00A04165"/>
    <w:rsid w:val="00A069C4"/>
    <w:rsid w:val="00A1147B"/>
    <w:rsid w:val="00A116B9"/>
    <w:rsid w:val="00A1200E"/>
    <w:rsid w:val="00A12475"/>
    <w:rsid w:val="00A14213"/>
    <w:rsid w:val="00A1799B"/>
    <w:rsid w:val="00A2367D"/>
    <w:rsid w:val="00A25B21"/>
    <w:rsid w:val="00A30913"/>
    <w:rsid w:val="00A313B3"/>
    <w:rsid w:val="00A34545"/>
    <w:rsid w:val="00A36918"/>
    <w:rsid w:val="00A37FAA"/>
    <w:rsid w:val="00A6162C"/>
    <w:rsid w:val="00A61C2E"/>
    <w:rsid w:val="00A678FB"/>
    <w:rsid w:val="00A67AA5"/>
    <w:rsid w:val="00A8273B"/>
    <w:rsid w:val="00A86189"/>
    <w:rsid w:val="00A90896"/>
    <w:rsid w:val="00A9110C"/>
    <w:rsid w:val="00AA1072"/>
    <w:rsid w:val="00AA563E"/>
    <w:rsid w:val="00AB2145"/>
    <w:rsid w:val="00AB7D21"/>
    <w:rsid w:val="00AB7E73"/>
    <w:rsid w:val="00AC3394"/>
    <w:rsid w:val="00AD68D8"/>
    <w:rsid w:val="00AE2322"/>
    <w:rsid w:val="00AE3F1F"/>
    <w:rsid w:val="00AE66AF"/>
    <w:rsid w:val="00AF260A"/>
    <w:rsid w:val="00AF3575"/>
    <w:rsid w:val="00B031C1"/>
    <w:rsid w:val="00B03A0D"/>
    <w:rsid w:val="00B045D4"/>
    <w:rsid w:val="00B10346"/>
    <w:rsid w:val="00B15920"/>
    <w:rsid w:val="00B1737F"/>
    <w:rsid w:val="00B24159"/>
    <w:rsid w:val="00B246C9"/>
    <w:rsid w:val="00B30220"/>
    <w:rsid w:val="00B335EE"/>
    <w:rsid w:val="00B363E6"/>
    <w:rsid w:val="00B42553"/>
    <w:rsid w:val="00B45AE6"/>
    <w:rsid w:val="00B479F5"/>
    <w:rsid w:val="00B54F72"/>
    <w:rsid w:val="00B615D0"/>
    <w:rsid w:val="00B619FB"/>
    <w:rsid w:val="00B6712E"/>
    <w:rsid w:val="00B73000"/>
    <w:rsid w:val="00B81CAE"/>
    <w:rsid w:val="00B8459D"/>
    <w:rsid w:val="00B84856"/>
    <w:rsid w:val="00B93EF8"/>
    <w:rsid w:val="00BA3369"/>
    <w:rsid w:val="00BA3D62"/>
    <w:rsid w:val="00BB0EEE"/>
    <w:rsid w:val="00BB3B5C"/>
    <w:rsid w:val="00BC195C"/>
    <w:rsid w:val="00BC1A1D"/>
    <w:rsid w:val="00BC7C25"/>
    <w:rsid w:val="00BD126A"/>
    <w:rsid w:val="00BD3068"/>
    <w:rsid w:val="00BD4827"/>
    <w:rsid w:val="00BE03C3"/>
    <w:rsid w:val="00BF1B41"/>
    <w:rsid w:val="00C005E2"/>
    <w:rsid w:val="00C04844"/>
    <w:rsid w:val="00C20266"/>
    <w:rsid w:val="00C2200A"/>
    <w:rsid w:val="00C22C5C"/>
    <w:rsid w:val="00C23908"/>
    <w:rsid w:val="00C3204C"/>
    <w:rsid w:val="00C4115D"/>
    <w:rsid w:val="00C46F8A"/>
    <w:rsid w:val="00C53DAE"/>
    <w:rsid w:val="00C56484"/>
    <w:rsid w:val="00C56E68"/>
    <w:rsid w:val="00C61510"/>
    <w:rsid w:val="00C61BEE"/>
    <w:rsid w:val="00C655FD"/>
    <w:rsid w:val="00C70D96"/>
    <w:rsid w:val="00C765C3"/>
    <w:rsid w:val="00C82F57"/>
    <w:rsid w:val="00C843CA"/>
    <w:rsid w:val="00C8649F"/>
    <w:rsid w:val="00C87C9F"/>
    <w:rsid w:val="00C904D9"/>
    <w:rsid w:val="00C945CD"/>
    <w:rsid w:val="00C9562B"/>
    <w:rsid w:val="00CA1942"/>
    <w:rsid w:val="00CA2AAB"/>
    <w:rsid w:val="00CA4400"/>
    <w:rsid w:val="00CA6ADA"/>
    <w:rsid w:val="00CB68B2"/>
    <w:rsid w:val="00CB7A68"/>
    <w:rsid w:val="00CC186D"/>
    <w:rsid w:val="00CD5D1D"/>
    <w:rsid w:val="00CE2302"/>
    <w:rsid w:val="00CF3036"/>
    <w:rsid w:val="00D04856"/>
    <w:rsid w:val="00D10234"/>
    <w:rsid w:val="00D15AFD"/>
    <w:rsid w:val="00D27921"/>
    <w:rsid w:val="00D32F26"/>
    <w:rsid w:val="00D33006"/>
    <w:rsid w:val="00D43F0D"/>
    <w:rsid w:val="00D45A07"/>
    <w:rsid w:val="00D50A55"/>
    <w:rsid w:val="00D5435C"/>
    <w:rsid w:val="00D62122"/>
    <w:rsid w:val="00D621FB"/>
    <w:rsid w:val="00D93117"/>
    <w:rsid w:val="00D95D3F"/>
    <w:rsid w:val="00DA4732"/>
    <w:rsid w:val="00DA6DBC"/>
    <w:rsid w:val="00DA7EB8"/>
    <w:rsid w:val="00DB2C8C"/>
    <w:rsid w:val="00DC0302"/>
    <w:rsid w:val="00DC0DF1"/>
    <w:rsid w:val="00DC42CF"/>
    <w:rsid w:val="00DD144E"/>
    <w:rsid w:val="00DD1B16"/>
    <w:rsid w:val="00DD3D57"/>
    <w:rsid w:val="00DD3E50"/>
    <w:rsid w:val="00DD705D"/>
    <w:rsid w:val="00DE1BDB"/>
    <w:rsid w:val="00DE243A"/>
    <w:rsid w:val="00DE4B38"/>
    <w:rsid w:val="00DF5811"/>
    <w:rsid w:val="00DF6AC4"/>
    <w:rsid w:val="00E00421"/>
    <w:rsid w:val="00E050EF"/>
    <w:rsid w:val="00E12326"/>
    <w:rsid w:val="00E12EBD"/>
    <w:rsid w:val="00E17E02"/>
    <w:rsid w:val="00E33525"/>
    <w:rsid w:val="00E4526B"/>
    <w:rsid w:val="00E461DF"/>
    <w:rsid w:val="00E467B6"/>
    <w:rsid w:val="00E467E1"/>
    <w:rsid w:val="00E62120"/>
    <w:rsid w:val="00E70FE5"/>
    <w:rsid w:val="00E71C65"/>
    <w:rsid w:val="00E73DE8"/>
    <w:rsid w:val="00E74C50"/>
    <w:rsid w:val="00E8366B"/>
    <w:rsid w:val="00E906CD"/>
    <w:rsid w:val="00E93ACA"/>
    <w:rsid w:val="00EA3C6E"/>
    <w:rsid w:val="00EB08C9"/>
    <w:rsid w:val="00EB7AB9"/>
    <w:rsid w:val="00EC239A"/>
    <w:rsid w:val="00EC35BC"/>
    <w:rsid w:val="00EC3729"/>
    <w:rsid w:val="00EC5962"/>
    <w:rsid w:val="00ED1B2D"/>
    <w:rsid w:val="00EE23A6"/>
    <w:rsid w:val="00EE66B8"/>
    <w:rsid w:val="00EF2439"/>
    <w:rsid w:val="00F01E3F"/>
    <w:rsid w:val="00F02491"/>
    <w:rsid w:val="00F02E92"/>
    <w:rsid w:val="00F02EC9"/>
    <w:rsid w:val="00F124E8"/>
    <w:rsid w:val="00F15AC7"/>
    <w:rsid w:val="00F16511"/>
    <w:rsid w:val="00F24373"/>
    <w:rsid w:val="00F25227"/>
    <w:rsid w:val="00F3355C"/>
    <w:rsid w:val="00F411D9"/>
    <w:rsid w:val="00F43474"/>
    <w:rsid w:val="00F54464"/>
    <w:rsid w:val="00F54953"/>
    <w:rsid w:val="00F719AB"/>
    <w:rsid w:val="00F71F70"/>
    <w:rsid w:val="00F75F7C"/>
    <w:rsid w:val="00F76074"/>
    <w:rsid w:val="00F76586"/>
    <w:rsid w:val="00F805B3"/>
    <w:rsid w:val="00F878F9"/>
    <w:rsid w:val="00F92D03"/>
    <w:rsid w:val="00F962A7"/>
    <w:rsid w:val="00FA20BE"/>
    <w:rsid w:val="00FA6B21"/>
    <w:rsid w:val="00FB3542"/>
    <w:rsid w:val="00FB531E"/>
    <w:rsid w:val="00FC6B4B"/>
    <w:rsid w:val="00FD40FE"/>
    <w:rsid w:val="00FD4129"/>
    <w:rsid w:val="00FD776B"/>
    <w:rsid w:val="00FE056A"/>
    <w:rsid w:val="00FE5241"/>
    <w:rsid w:val="00FF6988"/>
    <w:rsid w:val="03DB239E"/>
    <w:rsid w:val="071612DB"/>
    <w:rsid w:val="0A680D7F"/>
    <w:rsid w:val="0B0E0BCB"/>
    <w:rsid w:val="0D6B4F0B"/>
    <w:rsid w:val="10741BD3"/>
    <w:rsid w:val="115A5B08"/>
    <w:rsid w:val="11E574CF"/>
    <w:rsid w:val="133255C8"/>
    <w:rsid w:val="13434039"/>
    <w:rsid w:val="13FC22FE"/>
    <w:rsid w:val="16970264"/>
    <w:rsid w:val="19CC27CF"/>
    <w:rsid w:val="1A22237F"/>
    <w:rsid w:val="1AEB3B03"/>
    <w:rsid w:val="1B0E73D6"/>
    <w:rsid w:val="1F35516F"/>
    <w:rsid w:val="205A0499"/>
    <w:rsid w:val="22224794"/>
    <w:rsid w:val="222905A5"/>
    <w:rsid w:val="2256081B"/>
    <w:rsid w:val="233F3FAD"/>
    <w:rsid w:val="256F1117"/>
    <w:rsid w:val="2C3A5D02"/>
    <w:rsid w:val="2D254106"/>
    <w:rsid w:val="2FE012AD"/>
    <w:rsid w:val="30900F5D"/>
    <w:rsid w:val="31132B60"/>
    <w:rsid w:val="336553E3"/>
    <w:rsid w:val="33A767B0"/>
    <w:rsid w:val="36412364"/>
    <w:rsid w:val="3A3969BC"/>
    <w:rsid w:val="3B2376D1"/>
    <w:rsid w:val="3C9A5934"/>
    <w:rsid w:val="3CAE796B"/>
    <w:rsid w:val="3F2A1BFA"/>
    <w:rsid w:val="3FAF3FE3"/>
    <w:rsid w:val="404845D0"/>
    <w:rsid w:val="41136B89"/>
    <w:rsid w:val="41AE489B"/>
    <w:rsid w:val="42DA09F3"/>
    <w:rsid w:val="46250DE7"/>
    <w:rsid w:val="466C10DE"/>
    <w:rsid w:val="48080E6F"/>
    <w:rsid w:val="48E35749"/>
    <w:rsid w:val="4A6E40B3"/>
    <w:rsid w:val="4ED86395"/>
    <w:rsid w:val="4F5E2538"/>
    <w:rsid w:val="5644028B"/>
    <w:rsid w:val="5829254F"/>
    <w:rsid w:val="5A1F627F"/>
    <w:rsid w:val="5ACA3741"/>
    <w:rsid w:val="5ADE1C47"/>
    <w:rsid w:val="5C9850E2"/>
    <w:rsid w:val="60F729F6"/>
    <w:rsid w:val="640A4004"/>
    <w:rsid w:val="64E902F9"/>
    <w:rsid w:val="6513445D"/>
    <w:rsid w:val="663D0895"/>
    <w:rsid w:val="68F842BE"/>
    <w:rsid w:val="695542B4"/>
    <w:rsid w:val="6ADA468C"/>
    <w:rsid w:val="6B8B4135"/>
    <w:rsid w:val="73DB0652"/>
    <w:rsid w:val="752078DA"/>
    <w:rsid w:val="76762EEB"/>
    <w:rsid w:val="7A1A2C8C"/>
    <w:rsid w:val="7A5D2AE0"/>
    <w:rsid w:val="7A5E5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8"/>
    <w:unhideWhenUsed/>
    <w:qFormat/>
    <w:uiPriority w:val="0"/>
    <w:rPr>
      <w:b/>
      <w:bCs/>
      <w:kern w:val="2"/>
      <w:sz w:val="21"/>
    </w:rPr>
  </w:style>
  <w:style w:type="paragraph" w:styleId="5">
    <w:name w:val="annotation text"/>
    <w:basedOn w:val="1"/>
    <w:link w:val="26"/>
    <w:qFormat/>
    <w:uiPriority w:val="0"/>
    <w:pPr>
      <w:jc w:val="left"/>
    </w:pPr>
    <w:rPr>
      <w:kern w:val="0"/>
      <w:sz w:val="20"/>
    </w:rPr>
  </w:style>
  <w:style w:type="paragraph" w:styleId="6">
    <w:name w:val="Body Text"/>
    <w:basedOn w:val="1"/>
    <w:link w:val="23"/>
    <w:qFormat/>
    <w:uiPriority w:val="0"/>
    <w:pPr>
      <w:spacing w:after="120"/>
    </w:pPr>
    <w:rPr>
      <w:kern w:val="0"/>
      <w:sz w:val="20"/>
    </w:rPr>
  </w:style>
  <w:style w:type="paragraph" w:styleId="7">
    <w:name w:val="Plain Text"/>
    <w:basedOn w:val="1"/>
    <w:unhideWhenUsed/>
    <w:qFormat/>
    <w:uiPriority w:val="0"/>
    <w:rPr>
      <w:rFonts w:ascii="宋体"/>
    </w:rPr>
  </w:style>
  <w:style w:type="paragraph" w:styleId="8">
    <w:name w:val="Balloon Text"/>
    <w:basedOn w:val="1"/>
    <w:link w:val="27"/>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qFormat/>
    <w:uiPriority w:val="0"/>
    <w:pPr>
      <w:snapToGrid w:val="0"/>
      <w:jc w:val="left"/>
    </w:pPr>
    <w:rPr>
      <w:kern w:val="0"/>
      <w:sz w:val="18"/>
      <w:szCs w:val="18"/>
    </w:rPr>
  </w:style>
  <w:style w:type="character" w:styleId="13">
    <w:name w:val="annotation reference"/>
    <w:qFormat/>
    <w:uiPriority w:val="0"/>
    <w:rPr>
      <w:sz w:val="21"/>
      <w:szCs w:val="21"/>
    </w:rPr>
  </w:style>
  <w:style w:type="character" w:styleId="14">
    <w:name w:val="footnote reference"/>
    <w:qFormat/>
    <w:uiPriority w:val="0"/>
    <w:rPr>
      <w:vertAlign w:val="superscript"/>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7">
    <w:name w:val="普通 (Web)"/>
    <w:qFormat/>
    <w:uiPriority w:val="0"/>
    <w:pPr>
      <w:spacing w:before="100" w:after="100"/>
    </w:pPr>
    <w:rPr>
      <w:rFonts w:ascii="宋体" w:hAnsi="Times New Roman" w:eastAsia="宋体" w:cs="Times New Roman"/>
      <w:sz w:val="24"/>
      <w:lang w:val="en-US" w:eastAsia="zh-CN" w:bidi="ar-SA"/>
    </w:rPr>
  </w:style>
  <w:style w:type="paragraph" w:customStyle="1" w:styleId="18">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0">
    <w:name w:val="标题 1 Char"/>
    <w:link w:val="2"/>
    <w:qFormat/>
    <w:uiPriority w:val="0"/>
    <w:rPr>
      <w:rFonts w:ascii="Times New Roman" w:hAnsi="Times New Roman" w:eastAsia="宋体" w:cs="Times New Roman"/>
      <w:b/>
      <w:bCs/>
      <w:kern w:val="44"/>
      <w:sz w:val="44"/>
      <w:szCs w:val="44"/>
    </w:rPr>
  </w:style>
  <w:style w:type="character" w:customStyle="1" w:styleId="21">
    <w:name w:val="脚注文本 Char"/>
    <w:link w:val="11"/>
    <w:qFormat/>
    <w:uiPriority w:val="0"/>
    <w:rPr>
      <w:rFonts w:ascii="Times New Roman" w:hAnsi="Times New Roman" w:eastAsia="宋体" w:cs="Times New Roman"/>
      <w:sz w:val="18"/>
      <w:szCs w:val="18"/>
    </w:rPr>
  </w:style>
  <w:style w:type="character" w:customStyle="1" w:styleId="22">
    <w:name w:val="标题 2 Char"/>
    <w:link w:val="3"/>
    <w:semiHidden/>
    <w:qFormat/>
    <w:uiPriority w:val="9"/>
    <w:rPr>
      <w:rFonts w:ascii="Cambria" w:hAnsi="Cambria" w:eastAsia="宋体" w:cs="黑体"/>
      <w:b/>
      <w:bCs/>
      <w:sz w:val="32"/>
      <w:szCs w:val="32"/>
    </w:rPr>
  </w:style>
  <w:style w:type="character" w:customStyle="1" w:styleId="23">
    <w:name w:val="正文文本 Char"/>
    <w:link w:val="6"/>
    <w:qFormat/>
    <w:uiPriority w:val="0"/>
    <w:rPr>
      <w:rFonts w:ascii="Times New Roman" w:hAnsi="Times New Roman" w:eastAsia="宋体" w:cs="Times New Roman"/>
      <w:szCs w:val="24"/>
    </w:rPr>
  </w:style>
  <w:style w:type="character" w:customStyle="1" w:styleId="24">
    <w:name w:val="页眉 Char"/>
    <w:link w:val="10"/>
    <w:qFormat/>
    <w:uiPriority w:val="99"/>
    <w:rPr>
      <w:rFonts w:ascii="Times New Roman" w:hAnsi="Times New Roman" w:eastAsia="宋体" w:cs="Times New Roman"/>
      <w:sz w:val="18"/>
      <w:szCs w:val="18"/>
    </w:rPr>
  </w:style>
  <w:style w:type="character" w:customStyle="1" w:styleId="25">
    <w:name w:val="页脚 Char"/>
    <w:link w:val="9"/>
    <w:qFormat/>
    <w:uiPriority w:val="99"/>
    <w:rPr>
      <w:rFonts w:ascii="Times New Roman" w:hAnsi="Times New Roman" w:eastAsia="宋体" w:cs="Times New Roman"/>
      <w:sz w:val="18"/>
      <w:szCs w:val="18"/>
    </w:rPr>
  </w:style>
  <w:style w:type="character" w:customStyle="1" w:styleId="26">
    <w:name w:val="批注文字 Char"/>
    <w:link w:val="5"/>
    <w:qFormat/>
    <w:uiPriority w:val="0"/>
    <w:rPr>
      <w:rFonts w:ascii="Times New Roman" w:hAnsi="Times New Roman" w:eastAsia="宋体" w:cs="Times New Roman"/>
      <w:szCs w:val="24"/>
    </w:rPr>
  </w:style>
  <w:style w:type="character" w:customStyle="1" w:styleId="27">
    <w:name w:val="批注框文本 Char"/>
    <w:link w:val="8"/>
    <w:semiHidden/>
    <w:qFormat/>
    <w:uiPriority w:val="99"/>
    <w:rPr>
      <w:rFonts w:ascii="Times New Roman" w:hAnsi="Times New Roman" w:eastAsia="宋体" w:cs="Times New Roman"/>
      <w:sz w:val="18"/>
      <w:szCs w:val="18"/>
    </w:rPr>
  </w:style>
  <w:style w:type="character" w:customStyle="1" w:styleId="28">
    <w:name w:val="批注主题 Char"/>
    <w:link w:val="4"/>
    <w:semiHidden/>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1037</Words>
  <Characters>5913</Characters>
  <Lines>49</Lines>
  <Paragraphs>13</Paragraphs>
  <TotalTime>9</TotalTime>
  <ScaleCrop>false</ScaleCrop>
  <LinksUpToDate>false</LinksUpToDate>
  <CharactersWithSpaces>6937</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2014-04-15T06:32:00Z</dcterms:created>
  <dc:creator>qzy3472</dc:creator>
  <cp:lastModifiedBy>%E6%AD%A6%E6%99%8B%E9%BE%99</cp:lastModifiedBy>
  <cp:lastPrinted>2017-06-05T07:45:00Z</cp:lastPrinted>
  <dcterms:modified xsi:type="dcterms:W3CDTF">2019-03-15T06:58:03Z</dcterms:modified>
  <dc:title>设备技术要求</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