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hint="eastAsia" w:ascii="宋体" w:hAnsi="宋体" w:eastAsia="宋体" w:cs="宋体"/>
          <w:b/>
          <w:bCs/>
          <w:sz w:val="28"/>
          <w:szCs w:val="28"/>
        </w:rPr>
      </w:pPr>
      <w:bookmarkStart w:id="0" w:name="_Toc357082526"/>
      <w:bookmarkStart w:id="1" w:name="_Toc356204538"/>
      <w:r>
        <w:rPr>
          <w:rFonts w:hint="eastAsia" w:ascii="宋体" w:hAnsi="宋体" w:eastAsia="宋体" w:cs="宋体"/>
          <w:b/>
          <w:bCs/>
          <w:sz w:val="28"/>
          <w:szCs w:val="28"/>
        </w:rPr>
        <w:t>设备技术要求</w:t>
      </w:r>
    </w:p>
    <w:p>
      <w:pPr>
        <w:tabs>
          <w:tab w:val="left" w:pos="2340"/>
        </w:tabs>
        <w:spacing w:line="480" w:lineRule="auto"/>
        <w:jc w:val="center"/>
        <w:rPr>
          <w:rFonts w:hint="eastAsia" w:ascii="宋体" w:hAnsi="宋体" w:eastAsia="宋体" w:cs="宋体"/>
          <w:b/>
          <w:bCs/>
          <w:sz w:val="28"/>
          <w:szCs w:val="28"/>
        </w:rPr>
      </w:pP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第一节  供货范围、技术规格、参数与要求</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第二节  备件和工具</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第三节  设备出厂前检验</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第四节  技术服务</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第五节  安装、检验、调试、试运行及验收</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第六节  质量保证</w:t>
      </w:r>
    </w:p>
    <w:p>
      <w:pPr>
        <w:tabs>
          <w:tab w:val="left" w:pos="2340"/>
        </w:tabs>
        <w:spacing w:line="480" w:lineRule="auto"/>
        <w:ind w:left="630" w:leftChars="300" w:firstLine="210" w:firstLineChars="100"/>
        <w:jc w:val="left"/>
        <w:rPr>
          <w:rFonts w:hint="eastAsia" w:ascii="宋体" w:hAnsi="宋体" w:eastAsia="宋体" w:cs="宋体"/>
          <w:sz w:val="21"/>
          <w:szCs w:val="21"/>
        </w:rPr>
      </w:pPr>
      <w:r>
        <w:rPr>
          <w:rFonts w:hint="eastAsia" w:ascii="宋体" w:hAnsi="宋体" w:eastAsia="宋体" w:cs="宋体"/>
          <w:sz w:val="21"/>
          <w:szCs w:val="21"/>
        </w:rPr>
        <w:t>第七节  技术资料和图纸</w:t>
      </w:r>
    </w:p>
    <w:p>
      <w:pPr>
        <w:tabs>
          <w:tab w:val="left" w:pos="2340"/>
        </w:tabs>
        <w:spacing w:line="480" w:lineRule="auto"/>
        <w:ind w:left="630" w:leftChars="300" w:firstLine="210" w:firstLineChars="100"/>
        <w:jc w:val="left"/>
        <w:rPr>
          <w:rFonts w:hint="eastAsia" w:ascii="宋体"/>
          <w:sz w:val="21"/>
          <w:szCs w:val="21"/>
        </w:rPr>
      </w:pPr>
      <w:r>
        <w:rPr>
          <w:rFonts w:hint="eastAsia" w:ascii="宋体" w:hAnsi="宋体" w:cs="宋体"/>
          <w:sz w:val="21"/>
          <w:szCs w:val="21"/>
          <w:lang w:eastAsia="zh-CN"/>
        </w:rPr>
        <w:t>第八节</w:t>
      </w:r>
      <w:r>
        <w:rPr>
          <w:rFonts w:hint="eastAsia" w:ascii="宋体" w:hAnsi="宋体" w:cs="宋体"/>
          <w:sz w:val="21"/>
          <w:szCs w:val="21"/>
          <w:lang w:val="en-US" w:eastAsia="zh-CN"/>
        </w:rPr>
        <w:t xml:space="preserve">  </w:t>
      </w:r>
      <w:r>
        <w:rPr>
          <w:rFonts w:hint="eastAsia" w:ascii="宋体" w:hAnsi="宋体" w:eastAsia="宋体" w:cs="宋体"/>
          <w:sz w:val="21"/>
          <w:szCs w:val="21"/>
        </w:rPr>
        <w:t>设计和制造标准</w:t>
      </w:r>
    </w:p>
    <w:p>
      <w:pPr>
        <w:pStyle w:val="16"/>
        <w:jc w:val="center"/>
      </w:pPr>
    </w:p>
    <w:p/>
    <w:p>
      <w:pPr>
        <w:pStyle w:val="16"/>
        <w:jc w:val="center"/>
      </w:pPr>
    </w:p>
    <w:p>
      <w:pPr>
        <w:spacing w:line="360" w:lineRule="auto"/>
        <w:jc w:val="center"/>
        <w:outlineLvl w:val="1"/>
        <w:rPr>
          <w:rFonts w:hint="eastAsia" w:ascii="仿宋" w:hAnsi="仿宋" w:eastAsia="仿宋" w:cs="仿宋"/>
          <w:b/>
          <w:spacing w:val="15"/>
          <w:sz w:val="30"/>
          <w:szCs w:val="30"/>
        </w:rPr>
      </w:pPr>
      <w:r>
        <w:br w:type="page"/>
      </w:r>
      <w:bookmarkEnd w:id="0"/>
      <w:bookmarkEnd w:id="1"/>
      <w:r>
        <w:rPr>
          <w:rFonts w:hint="eastAsia" w:ascii="仿宋" w:hAnsi="仿宋" w:eastAsia="仿宋" w:cs="仿宋"/>
          <w:b/>
          <w:spacing w:val="15"/>
          <w:sz w:val="30"/>
          <w:szCs w:val="30"/>
        </w:rPr>
        <w:t>技术要求</w:t>
      </w:r>
    </w:p>
    <w:p>
      <w:pPr>
        <w:spacing w:line="360" w:lineRule="exact"/>
        <w:ind w:firstLine="585" w:firstLineChars="208"/>
        <w:jc w:val="center"/>
        <w:rPr>
          <w:rFonts w:hint="eastAsia" w:ascii="宋体" w:hAnsi="宋体"/>
          <w:b/>
          <w:bCs/>
          <w:color w:val="000000"/>
          <w:sz w:val="28"/>
          <w:szCs w:val="28"/>
        </w:rPr>
      </w:pPr>
      <w:r>
        <w:rPr>
          <w:rFonts w:hint="eastAsia" w:ascii="宋体" w:hAnsi="宋体"/>
          <w:b/>
          <w:bCs/>
          <w:color w:val="000000"/>
          <w:sz w:val="28"/>
          <w:szCs w:val="28"/>
        </w:rPr>
        <w:t>第一节供货范围、技术规格、参数与要求</w:t>
      </w:r>
    </w:p>
    <w:p>
      <w:pPr>
        <w:spacing w:line="360" w:lineRule="exact"/>
        <w:ind w:firstLine="585" w:firstLineChars="208"/>
        <w:jc w:val="center"/>
        <w:rPr>
          <w:rFonts w:hint="eastAsia" w:ascii="宋体" w:hAnsi="宋体"/>
          <w:b/>
          <w:bCs/>
          <w:color w:val="000000"/>
          <w:sz w:val="28"/>
          <w:szCs w:val="28"/>
        </w:rPr>
      </w:pPr>
    </w:p>
    <w:p>
      <w:pPr>
        <w:numPr>
          <w:ilvl w:val="0"/>
          <w:numId w:val="1"/>
        </w:numPr>
        <w:spacing w:line="360" w:lineRule="exact"/>
        <w:ind w:firstLine="439" w:firstLineChars="208"/>
        <w:jc w:val="center"/>
        <w:rPr>
          <w:rFonts w:hint="eastAsia" w:ascii="宋体" w:hAnsi="宋体"/>
          <w:b/>
          <w:bCs/>
          <w:color w:val="000000"/>
          <w:szCs w:val="21"/>
        </w:rPr>
      </w:pPr>
      <w:r>
        <w:rPr>
          <w:rFonts w:hint="eastAsia" w:ascii="宋体" w:hAnsi="宋体"/>
          <w:b/>
          <w:bCs/>
          <w:color w:val="000000"/>
          <w:szCs w:val="21"/>
        </w:rPr>
        <w:t>货物需求一览表</w:t>
      </w:r>
    </w:p>
    <w:p>
      <w:pPr>
        <w:spacing w:line="360" w:lineRule="exact"/>
        <w:ind w:firstLine="436" w:firstLineChars="208"/>
        <w:rPr>
          <w:rFonts w:hint="eastAsia" w:ascii="宋体" w:hAnsi="宋体"/>
          <w:color w:val="000000"/>
          <w:szCs w:val="21"/>
        </w:rPr>
      </w:pPr>
    </w:p>
    <w:tbl>
      <w:tblPr>
        <w:tblStyle w:val="15"/>
        <w:tblW w:w="9492" w:type="dxa"/>
        <w:jc w:val="center"/>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6"/>
        <w:gridCol w:w="2578"/>
        <w:gridCol w:w="910"/>
        <w:gridCol w:w="1061"/>
        <w:gridCol w:w="910"/>
        <w:gridCol w:w="1364"/>
        <w:gridCol w:w="1062"/>
        <w:gridCol w:w="1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33"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257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名称</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cs="宋体"/>
                <w:color w:val="000000"/>
                <w:sz w:val="21"/>
                <w:szCs w:val="21"/>
                <w:lang w:eastAsia="zh-CN"/>
              </w:rPr>
              <w:t>参考</w:t>
            </w:r>
            <w:bookmarkStart w:id="7" w:name="_GoBack"/>
            <w:bookmarkEnd w:id="7"/>
            <w:r>
              <w:rPr>
                <w:rFonts w:hint="eastAsia" w:ascii="宋体" w:hAnsi="宋体" w:eastAsia="宋体" w:cs="宋体"/>
                <w:color w:val="000000"/>
                <w:sz w:val="21"/>
                <w:szCs w:val="21"/>
              </w:rPr>
              <w:t>型号</w:t>
            </w:r>
          </w:p>
        </w:tc>
        <w:tc>
          <w:tcPr>
            <w:tcW w:w="106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单位</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w:t>
            </w:r>
          </w:p>
        </w:tc>
        <w:tc>
          <w:tcPr>
            <w:tcW w:w="136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交货时间</w:t>
            </w:r>
          </w:p>
        </w:tc>
        <w:tc>
          <w:tcPr>
            <w:tcW w:w="106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交货地点</w:t>
            </w:r>
          </w:p>
        </w:tc>
        <w:tc>
          <w:tcPr>
            <w:tcW w:w="10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257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eastAsia="宋体" w:cs="宋体"/>
                <w:b w:val="0"/>
                <w:bCs/>
                <w:sz w:val="21"/>
                <w:szCs w:val="21"/>
                <w:lang w:val="en-US" w:eastAsia="zh-CN"/>
              </w:rPr>
            </w:pPr>
            <w:r>
              <w:rPr>
                <w:rFonts w:hint="eastAsia" w:ascii="宋体" w:hAnsi="宋体" w:eastAsia="宋体" w:cs="宋体"/>
                <w:b w:val="0"/>
                <w:bCs/>
                <w:kern w:val="0"/>
                <w:sz w:val="21"/>
                <w:szCs w:val="21"/>
                <w:lang w:val="en-US" w:eastAsia="zh-CN"/>
              </w:rPr>
              <w:t>电动升降搬运车</w:t>
            </w:r>
          </w:p>
          <w:p>
            <w:pPr>
              <w:spacing w:line="360" w:lineRule="exact"/>
              <w:jc w:val="center"/>
              <w:rPr>
                <w:rFonts w:hint="eastAsia" w:ascii="宋体" w:hAnsi="宋体" w:eastAsia="宋体" w:cs="宋体"/>
                <w:color w:val="000000"/>
                <w:sz w:val="21"/>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BWS20</w:t>
            </w:r>
          </w:p>
        </w:tc>
        <w:tc>
          <w:tcPr>
            <w:tcW w:w="106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台</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s="宋体"/>
                <w:color w:val="000000"/>
                <w:sz w:val="21"/>
                <w:szCs w:val="21"/>
                <w:lang w:eastAsia="zh-CN"/>
              </w:rPr>
            </w:pPr>
          </w:p>
        </w:tc>
        <w:tc>
          <w:tcPr>
            <w:tcW w:w="136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p>
        </w:tc>
        <w:tc>
          <w:tcPr>
            <w:tcW w:w="10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257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随机附件及工具</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6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套/台</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3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257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color w:val="000000"/>
                <w:sz w:val="21"/>
                <w:szCs w:val="21"/>
              </w:rPr>
            </w:pPr>
            <w:r>
              <w:rPr>
                <w:rFonts w:hint="eastAsia" w:ascii="宋体" w:hAnsi="宋体" w:eastAsia="宋体" w:cs="宋体"/>
                <w:color w:val="000000"/>
                <w:sz w:val="21"/>
                <w:szCs w:val="21"/>
              </w:rPr>
              <w:t>备件手册、使用说明书</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6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r>
              <w:rPr>
                <w:rFonts w:hint="eastAsia" w:ascii="宋体" w:hAnsi="宋体" w:eastAsia="宋体" w:cs="宋体"/>
                <w:color w:val="000000"/>
                <w:sz w:val="21"/>
                <w:szCs w:val="21"/>
              </w:rPr>
              <w:t>套/台</w:t>
            </w:r>
          </w:p>
        </w:tc>
        <w:tc>
          <w:tcPr>
            <w:tcW w:w="910"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both"/>
              <w:rPr>
                <w:rFonts w:hint="eastAsia" w:ascii="宋体" w:hAnsi="宋体" w:eastAsia="宋体" w:cs="宋体"/>
                <w:color w:val="000000"/>
                <w:sz w:val="21"/>
                <w:szCs w:val="21"/>
                <w:lang w:eastAsia="zh-CN"/>
              </w:rPr>
            </w:pPr>
            <w:r>
              <w:rPr>
                <w:rFonts w:hint="eastAsia" w:ascii="宋体" w:hAnsi="宋体" w:cs="宋体"/>
                <w:color w:val="000000"/>
                <w:sz w:val="21"/>
                <w:szCs w:val="21"/>
                <w:lang w:val="en-US" w:eastAsia="zh-CN"/>
              </w:rPr>
              <w:t>6</w:t>
            </w:r>
          </w:p>
        </w:tc>
        <w:tc>
          <w:tcPr>
            <w:tcW w:w="1364"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62"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c>
          <w:tcPr>
            <w:tcW w:w="1001"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36" w:firstLineChars="208"/>
              <w:jc w:val="center"/>
              <w:rPr>
                <w:rFonts w:hint="eastAsia" w:ascii="宋体" w:hAnsi="宋体" w:eastAsia="宋体" w:cs="宋体"/>
                <w:color w:val="000000"/>
                <w:sz w:val="21"/>
                <w:szCs w:val="21"/>
              </w:rPr>
            </w:pPr>
          </w:p>
        </w:tc>
      </w:tr>
    </w:tbl>
    <w:p>
      <w:pPr>
        <w:spacing w:line="360" w:lineRule="exact"/>
        <w:ind w:firstLine="439" w:firstLineChars="208"/>
        <w:jc w:val="center"/>
        <w:rPr>
          <w:rFonts w:hint="eastAsia" w:ascii="宋体" w:hAnsi="宋体"/>
          <w:b/>
          <w:bCs/>
          <w:color w:val="000000"/>
          <w:szCs w:val="21"/>
        </w:rPr>
      </w:pPr>
      <w:r>
        <w:rPr>
          <w:rFonts w:hint="eastAsia" w:ascii="宋体" w:hAnsi="宋体"/>
          <w:b/>
          <w:bCs/>
          <w:color w:val="000000"/>
          <w:szCs w:val="21"/>
        </w:rPr>
        <w:t>分项报价表</w:t>
      </w:r>
    </w:p>
    <w:tbl>
      <w:tblPr>
        <w:tblStyle w:val="15"/>
        <w:tblW w:w="9363" w:type="dxa"/>
        <w:jc w:val="center"/>
        <w:tblInd w:w="-8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2511"/>
        <w:gridCol w:w="1075"/>
        <w:gridCol w:w="1792"/>
        <w:gridCol w:w="1433"/>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序号</w:t>
            </w:r>
          </w:p>
        </w:tc>
        <w:tc>
          <w:tcPr>
            <w:tcW w:w="2511"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名称</w:t>
            </w:r>
          </w:p>
        </w:tc>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单位</w:t>
            </w:r>
          </w:p>
        </w:tc>
        <w:tc>
          <w:tcPr>
            <w:tcW w:w="1792"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数量</w:t>
            </w:r>
          </w:p>
        </w:tc>
        <w:tc>
          <w:tcPr>
            <w:tcW w:w="1433"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单价（元）</w:t>
            </w:r>
          </w:p>
        </w:tc>
        <w:tc>
          <w:tcPr>
            <w:tcW w:w="1477"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p>
        </w:tc>
        <w:tc>
          <w:tcPr>
            <w:tcW w:w="2511"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lang w:val="en-US" w:eastAsia="zh-CN"/>
              </w:rPr>
              <w:t>全电动托盘堆垛车</w:t>
            </w:r>
          </w:p>
        </w:tc>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台</w:t>
            </w:r>
          </w:p>
        </w:tc>
        <w:tc>
          <w:tcPr>
            <w:tcW w:w="1792" w:type="dxa"/>
            <w:vAlign w:val="center"/>
          </w:tcPr>
          <w:p>
            <w:pPr>
              <w:spacing w:line="360" w:lineRule="exact"/>
              <w:jc w:val="center"/>
              <w:rPr>
                <w:rFonts w:hint="eastAsia" w:ascii="宋体" w:hAnsi="宋体" w:eastAsia="宋体"/>
                <w:color w:val="000000"/>
                <w:sz w:val="21"/>
                <w:szCs w:val="21"/>
                <w:lang w:eastAsia="zh-CN"/>
              </w:rPr>
            </w:pPr>
            <w:r>
              <w:rPr>
                <w:rFonts w:hint="eastAsia" w:ascii="宋体" w:hAnsi="宋体"/>
                <w:color w:val="000000"/>
                <w:sz w:val="21"/>
                <w:szCs w:val="21"/>
                <w:lang w:val="en-US" w:eastAsia="zh-CN"/>
              </w:rPr>
              <w:t>3</w:t>
            </w:r>
          </w:p>
        </w:tc>
        <w:tc>
          <w:tcPr>
            <w:tcW w:w="1433" w:type="dxa"/>
            <w:vAlign w:val="center"/>
          </w:tcPr>
          <w:p>
            <w:pPr>
              <w:spacing w:line="360" w:lineRule="exact"/>
              <w:jc w:val="center"/>
              <w:rPr>
                <w:rFonts w:hint="eastAsia" w:ascii="宋体" w:hAnsi="宋体"/>
                <w:color w:val="000000"/>
                <w:sz w:val="21"/>
                <w:szCs w:val="21"/>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p>
        </w:tc>
        <w:tc>
          <w:tcPr>
            <w:tcW w:w="2511"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每台包括：</w:t>
            </w:r>
          </w:p>
        </w:tc>
        <w:tc>
          <w:tcPr>
            <w:tcW w:w="1075" w:type="dxa"/>
            <w:vAlign w:val="center"/>
          </w:tcPr>
          <w:p>
            <w:pPr>
              <w:spacing w:line="360" w:lineRule="exact"/>
              <w:jc w:val="center"/>
              <w:rPr>
                <w:rFonts w:hint="eastAsia" w:ascii="宋体" w:hAnsi="宋体"/>
                <w:color w:val="000000"/>
                <w:sz w:val="21"/>
                <w:szCs w:val="21"/>
              </w:rPr>
            </w:pPr>
          </w:p>
        </w:tc>
        <w:tc>
          <w:tcPr>
            <w:tcW w:w="1792" w:type="dxa"/>
            <w:vAlign w:val="center"/>
          </w:tcPr>
          <w:p>
            <w:pPr>
              <w:spacing w:line="360" w:lineRule="exact"/>
              <w:jc w:val="center"/>
              <w:rPr>
                <w:rFonts w:hint="eastAsia" w:ascii="宋体" w:hAnsi="宋体"/>
                <w:color w:val="000000"/>
                <w:sz w:val="21"/>
                <w:szCs w:val="21"/>
              </w:rPr>
            </w:pPr>
          </w:p>
        </w:tc>
        <w:tc>
          <w:tcPr>
            <w:tcW w:w="1433" w:type="dxa"/>
            <w:vAlign w:val="center"/>
          </w:tcPr>
          <w:p>
            <w:pPr>
              <w:spacing w:line="360" w:lineRule="exact"/>
              <w:jc w:val="center"/>
              <w:rPr>
                <w:rFonts w:hint="eastAsia" w:ascii="宋体" w:hAnsi="宋体"/>
                <w:color w:val="000000"/>
                <w:sz w:val="21"/>
                <w:szCs w:val="21"/>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1.1</w:t>
            </w:r>
          </w:p>
        </w:tc>
        <w:tc>
          <w:tcPr>
            <w:tcW w:w="2511" w:type="dxa"/>
            <w:vAlign w:val="center"/>
          </w:tcPr>
          <w:p>
            <w:pPr>
              <w:spacing w:line="360" w:lineRule="auto"/>
              <w:jc w:val="center"/>
              <w:rPr>
                <w:rFonts w:hint="eastAsia" w:ascii="宋体" w:hAnsi="宋体"/>
                <w:color w:val="000000"/>
                <w:sz w:val="21"/>
                <w:szCs w:val="21"/>
              </w:rPr>
            </w:pPr>
            <w:r>
              <w:rPr>
                <w:rFonts w:hint="eastAsia"/>
                <w:color w:val="000000"/>
                <w:sz w:val="21"/>
                <w:szCs w:val="21"/>
              </w:rPr>
              <w:t>轮胎总成</w:t>
            </w:r>
          </w:p>
        </w:tc>
        <w:tc>
          <w:tcPr>
            <w:tcW w:w="1075"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套（</w:t>
            </w:r>
            <w:r>
              <w:rPr>
                <w:rFonts w:hint="eastAsia" w:ascii="宋体" w:hAnsi="宋体"/>
                <w:color w:val="000000"/>
                <w:sz w:val="21"/>
                <w:szCs w:val="21"/>
                <w:lang w:val="en-US" w:eastAsia="zh-CN"/>
              </w:rPr>
              <w:t>5</w:t>
            </w:r>
            <w:r>
              <w:rPr>
                <w:rFonts w:hint="eastAsia" w:ascii="宋体" w:hAnsi="宋体"/>
                <w:color w:val="000000"/>
                <w:sz w:val="21"/>
                <w:szCs w:val="21"/>
              </w:rPr>
              <w:t>个）</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2</w:t>
            </w:r>
          </w:p>
        </w:tc>
        <w:tc>
          <w:tcPr>
            <w:tcW w:w="2511" w:type="dxa"/>
            <w:vAlign w:val="center"/>
          </w:tcPr>
          <w:p>
            <w:pPr>
              <w:spacing w:line="360" w:lineRule="auto"/>
              <w:jc w:val="center"/>
              <w:rPr>
                <w:rFonts w:hint="eastAsia" w:ascii="宋体" w:hAnsi="宋体" w:eastAsia="宋体"/>
                <w:color w:val="000000"/>
                <w:sz w:val="21"/>
                <w:szCs w:val="21"/>
                <w:lang w:eastAsia="zh-CN"/>
              </w:rPr>
            </w:pPr>
            <w:r>
              <w:rPr>
                <w:rFonts w:hint="eastAsia" w:ascii="宋体" w:cs="宋体"/>
                <w:sz w:val="21"/>
                <w:szCs w:val="21"/>
              </w:rPr>
              <w:t>驱动电机</w:t>
            </w:r>
          </w:p>
        </w:tc>
        <w:tc>
          <w:tcPr>
            <w:tcW w:w="1075"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2</w:t>
            </w:r>
          </w:p>
        </w:tc>
        <w:tc>
          <w:tcPr>
            <w:tcW w:w="2511" w:type="dxa"/>
            <w:vAlign w:val="center"/>
          </w:tcPr>
          <w:p>
            <w:pPr>
              <w:spacing w:line="360" w:lineRule="auto"/>
              <w:jc w:val="center"/>
              <w:rPr>
                <w:rFonts w:hint="eastAsia" w:ascii="宋体" w:hAnsi="宋体" w:eastAsia="宋体"/>
                <w:color w:val="000000"/>
                <w:sz w:val="21"/>
                <w:szCs w:val="21"/>
                <w:lang w:val="en-US" w:eastAsia="zh-CN"/>
              </w:rPr>
            </w:pPr>
            <w:r>
              <w:rPr>
                <w:rFonts w:hint="eastAsia" w:ascii="宋体" w:cs="宋体"/>
                <w:sz w:val="21"/>
                <w:szCs w:val="21"/>
              </w:rPr>
              <w:t>提升电机</w:t>
            </w:r>
          </w:p>
        </w:tc>
        <w:tc>
          <w:tcPr>
            <w:tcW w:w="1075"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4</w:t>
            </w:r>
          </w:p>
        </w:tc>
        <w:tc>
          <w:tcPr>
            <w:tcW w:w="2511" w:type="dxa"/>
            <w:vAlign w:val="center"/>
          </w:tcPr>
          <w:p>
            <w:pPr>
              <w:spacing w:line="360" w:lineRule="auto"/>
              <w:jc w:val="center"/>
              <w:rPr>
                <w:rFonts w:hint="eastAsia" w:ascii="宋体" w:hAnsi="宋体"/>
                <w:color w:val="000000"/>
                <w:sz w:val="21"/>
                <w:szCs w:val="21"/>
              </w:rPr>
            </w:pPr>
            <w:r>
              <w:rPr>
                <w:rFonts w:hint="eastAsia" w:ascii="宋体" w:cs="宋体"/>
                <w:sz w:val="21"/>
                <w:szCs w:val="21"/>
              </w:rPr>
              <w:t>牵引蓄电池</w:t>
            </w:r>
          </w:p>
        </w:tc>
        <w:tc>
          <w:tcPr>
            <w:tcW w:w="1075" w:type="dxa"/>
            <w:vAlign w:val="center"/>
          </w:tcPr>
          <w:p>
            <w:pPr>
              <w:spacing w:line="360" w:lineRule="auto"/>
              <w:jc w:val="center"/>
              <w:rPr>
                <w:rFonts w:hint="eastAsia" w:ascii="宋体" w:hAnsi="宋体" w:eastAsia="宋体"/>
                <w:color w:val="000000"/>
                <w:sz w:val="21"/>
                <w:szCs w:val="21"/>
                <w:lang w:eastAsia="zh-CN"/>
              </w:rPr>
            </w:pPr>
            <w:r>
              <w:rPr>
                <w:rFonts w:hint="eastAsia" w:ascii="宋体" w:hAnsi="宋体"/>
                <w:color w:val="000000"/>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7</w:t>
            </w:r>
          </w:p>
        </w:tc>
        <w:tc>
          <w:tcPr>
            <w:tcW w:w="2511" w:type="dxa"/>
            <w:vAlign w:val="center"/>
          </w:tcPr>
          <w:p>
            <w:pPr>
              <w:spacing w:line="360" w:lineRule="auto"/>
              <w:jc w:val="center"/>
              <w:rPr>
                <w:rFonts w:hint="eastAsia" w:ascii="宋体" w:hAnsi="宋体"/>
                <w:color w:val="000000"/>
                <w:sz w:val="21"/>
                <w:szCs w:val="21"/>
              </w:rPr>
            </w:pPr>
            <w:r>
              <w:rPr>
                <w:rFonts w:hint="eastAsia" w:ascii="宋体" w:cs="宋体"/>
                <w:sz w:val="21"/>
                <w:szCs w:val="21"/>
              </w:rPr>
              <w:t>行车控制器</w:t>
            </w:r>
          </w:p>
        </w:tc>
        <w:tc>
          <w:tcPr>
            <w:tcW w:w="1075"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6</w:t>
            </w:r>
          </w:p>
        </w:tc>
        <w:tc>
          <w:tcPr>
            <w:tcW w:w="2511" w:type="dxa"/>
            <w:vAlign w:val="center"/>
          </w:tcPr>
          <w:p>
            <w:pPr>
              <w:spacing w:line="360" w:lineRule="auto"/>
              <w:jc w:val="center"/>
              <w:rPr>
                <w:rFonts w:hint="eastAsia" w:ascii="宋体" w:hAnsi="宋体"/>
                <w:color w:val="000000"/>
                <w:sz w:val="21"/>
                <w:szCs w:val="21"/>
              </w:rPr>
            </w:pPr>
            <w:r>
              <w:rPr>
                <w:rFonts w:hint="eastAsia" w:ascii="宋体" w:cs="宋体"/>
                <w:sz w:val="21"/>
                <w:szCs w:val="21"/>
              </w:rPr>
              <w:t>操作手柄</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cs="宋体"/>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eastAsia="宋体"/>
                <w:color w:val="000000"/>
                <w:sz w:val="21"/>
                <w:szCs w:val="21"/>
                <w:lang w:eastAsia="zh-CN"/>
              </w:rPr>
            </w:pPr>
            <w:r>
              <w:rPr>
                <w:rFonts w:hint="eastAsia" w:ascii="宋体" w:hAnsi="宋体"/>
                <w:color w:val="000000"/>
                <w:sz w:val="21"/>
                <w:szCs w:val="21"/>
              </w:rPr>
              <w:t>1.</w:t>
            </w:r>
            <w:r>
              <w:rPr>
                <w:rFonts w:hint="eastAsia" w:ascii="宋体" w:hAnsi="宋体"/>
                <w:color w:val="000000"/>
                <w:sz w:val="21"/>
                <w:szCs w:val="21"/>
                <w:lang w:val="en-US" w:eastAsia="zh-CN"/>
              </w:rPr>
              <w:t>7</w:t>
            </w:r>
          </w:p>
        </w:tc>
        <w:tc>
          <w:tcPr>
            <w:tcW w:w="2511" w:type="dxa"/>
            <w:vAlign w:val="center"/>
          </w:tcPr>
          <w:p>
            <w:pPr>
              <w:spacing w:line="360" w:lineRule="auto"/>
              <w:jc w:val="center"/>
              <w:rPr>
                <w:rFonts w:hint="eastAsia" w:ascii="宋体" w:hAnsi="宋体"/>
                <w:color w:val="000000"/>
                <w:sz w:val="21"/>
                <w:szCs w:val="21"/>
              </w:rPr>
            </w:pPr>
            <w:r>
              <w:rPr>
                <w:rFonts w:hint="eastAsia" w:ascii="宋体" w:cs="宋体"/>
                <w:sz w:val="21"/>
                <w:szCs w:val="21"/>
              </w:rPr>
              <w:t>各类仪表总成</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cs="宋体"/>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eastAsia="宋体"/>
                <w:color w:val="000000"/>
                <w:sz w:val="21"/>
                <w:szCs w:val="21"/>
                <w:lang w:eastAsia="zh-CN"/>
              </w:rPr>
            </w:pPr>
            <w:r>
              <w:rPr>
                <w:rFonts w:hint="eastAsia" w:ascii="宋体" w:hAnsi="宋体"/>
                <w:color w:val="000000"/>
                <w:sz w:val="21"/>
                <w:szCs w:val="21"/>
              </w:rPr>
              <w:t>1.</w:t>
            </w:r>
            <w:r>
              <w:rPr>
                <w:rFonts w:hint="eastAsia" w:ascii="宋体" w:hAnsi="宋体"/>
                <w:color w:val="000000"/>
                <w:sz w:val="21"/>
                <w:szCs w:val="21"/>
                <w:lang w:val="en-US" w:eastAsia="zh-CN"/>
              </w:rPr>
              <w:t>8</w:t>
            </w:r>
          </w:p>
        </w:tc>
        <w:tc>
          <w:tcPr>
            <w:tcW w:w="2511" w:type="dxa"/>
            <w:vAlign w:val="center"/>
          </w:tcPr>
          <w:p>
            <w:pPr>
              <w:spacing w:line="360" w:lineRule="auto"/>
              <w:jc w:val="center"/>
              <w:rPr>
                <w:rFonts w:hint="eastAsia" w:ascii="宋体" w:hAnsi="宋体" w:eastAsia="宋体"/>
                <w:color w:val="000000"/>
                <w:sz w:val="21"/>
                <w:szCs w:val="21"/>
                <w:lang w:eastAsia="zh-CN"/>
              </w:rPr>
            </w:pPr>
            <w:r>
              <w:rPr>
                <w:rFonts w:hint="eastAsia" w:ascii="宋体" w:cs="宋体"/>
                <w:sz w:val="21"/>
                <w:szCs w:val="21"/>
              </w:rPr>
              <w:t>挡货架</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件</w:t>
            </w:r>
          </w:p>
        </w:tc>
        <w:tc>
          <w:tcPr>
            <w:tcW w:w="1792" w:type="dxa"/>
            <w:vAlign w:val="center"/>
          </w:tcPr>
          <w:p>
            <w:pPr>
              <w:spacing w:line="360" w:lineRule="auto"/>
              <w:jc w:val="center"/>
              <w:rPr>
                <w:rFonts w:hint="eastAsia" w:ascii="宋体" w:hAnsi="宋体"/>
                <w:color w:val="000000"/>
                <w:sz w:val="21"/>
                <w:szCs w:val="21"/>
              </w:rPr>
            </w:pPr>
            <w:r>
              <w:rPr>
                <w:rFonts w:hint="eastAsia" w:ascii="宋体" w:cs="宋体"/>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9</w:t>
            </w:r>
          </w:p>
        </w:tc>
        <w:tc>
          <w:tcPr>
            <w:tcW w:w="2511" w:type="dxa"/>
            <w:vAlign w:val="center"/>
          </w:tcPr>
          <w:p>
            <w:pPr>
              <w:spacing w:line="360" w:lineRule="auto"/>
              <w:jc w:val="center"/>
              <w:rPr>
                <w:rFonts w:hint="eastAsia" w:ascii="宋体" w:hAnsi="宋体"/>
                <w:color w:val="000000"/>
                <w:sz w:val="21"/>
                <w:szCs w:val="21"/>
              </w:rPr>
            </w:pPr>
            <w:r>
              <w:rPr>
                <w:rFonts w:hint="eastAsia" w:ascii="宋体" w:cs="宋体"/>
                <w:sz w:val="21"/>
                <w:szCs w:val="21"/>
              </w:rPr>
              <w:t>起升门架</w:t>
            </w:r>
            <w:r>
              <w:rPr>
                <w:rFonts w:hint="eastAsia" w:ascii="宋体" w:cs="宋体"/>
                <w:color w:val="auto"/>
                <w:sz w:val="21"/>
                <w:szCs w:val="21"/>
              </w:rPr>
              <w:t>（</w:t>
            </w:r>
            <w:r>
              <w:rPr>
                <w:rFonts w:hint="eastAsia" w:ascii="宋体" w:cs="宋体"/>
                <w:color w:val="auto"/>
                <w:sz w:val="21"/>
                <w:szCs w:val="21"/>
                <w:lang w:val="en-US" w:eastAsia="zh-CN"/>
              </w:rPr>
              <w:t>55</w:t>
            </w:r>
            <w:r>
              <w:rPr>
                <w:rFonts w:hint="eastAsia" w:ascii="宋体" w:cs="宋体"/>
                <w:color w:val="auto"/>
                <w:sz w:val="21"/>
                <w:szCs w:val="21"/>
              </w:rPr>
              <w:t>00MM）</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套</w:t>
            </w:r>
          </w:p>
        </w:tc>
        <w:tc>
          <w:tcPr>
            <w:tcW w:w="1792" w:type="dxa"/>
            <w:vAlign w:val="center"/>
          </w:tcPr>
          <w:p>
            <w:pPr>
              <w:spacing w:line="360" w:lineRule="auto"/>
              <w:jc w:val="center"/>
              <w:rPr>
                <w:rFonts w:hint="eastAsia" w:ascii="宋体" w:hAnsi="宋体"/>
                <w:color w:val="000000"/>
                <w:sz w:val="21"/>
                <w:szCs w:val="21"/>
              </w:rPr>
            </w:pPr>
            <w:r>
              <w:rPr>
                <w:rFonts w:hint="eastAsia" w:ascii="宋体" w:cs="宋体"/>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10</w:t>
            </w:r>
          </w:p>
        </w:tc>
        <w:tc>
          <w:tcPr>
            <w:tcW w:w="2511" w:type="dxa"/>
            <w:vAlign w:val="center"/>
          </w:tcPr>
          <w:p>
            <w:pPr>
              <w:spacing w:line="360" w:lineRule="auto"/>
              <w:jc w:val="center"/>
              <w:rPr>
                <w:rFonts w:hint="eastAsia" w:ascii="宋体" w:hAnsi="宋体"/>
                <w:color w:val="000000"/>
                <w:sz w:val="21"/>
                <w:szCs w:val="21"/>
              </w:rPr>
            </w:pPr>
            <w:r>
              <w:rPr>
                <w:rFonts w:hint="eastAsia" w:ascii="宋体" w:hAnsi="宋体" w:cs="宋体"/>
                <w:color w:val="000000"/>
                <w:sz w:val="21"/>
                <w:szCs w:val="21"/>
              </w:rPr>
              <w:t>货叉架</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件</w:t>
            </w:r>
          </w:p>
        </w:tc>
        <w:tc>
          <w:tcPr>
            <w:tcW w:w="1792" w:type="dxa"/>
            <w:vAlign w:val="center"/>
          </w:tcPr>
          <w:p>
            <w:pPr>
              <w:spacing w:line="360" w:lineRule="auto"/>
              <w:jc w:val="center"/>
              <w:rPr>
                <w:rFonts w:hint="eastAsia" w:ascii="宋体" w:hAnsi="宋体"/>
                <w:color w:val="000000"/>
                <w:sz w:val="21"/>
                <w:szCs w:val="21"/>
              </w:rPr>
            </w:pPr>
            <w:r>
              <w:rPr>
                <w:rFonts w:hint="eastAsia" w:ascii="宋体" w:hAnsi="宋体"/>
                <w:color w:val="000000"/>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1075" w:type="dxa"/>
            <w:vAlign w:val="center"/>
          </w:tcPr>
          <w:p>
            <w:pPr>
              <w:spacing w:line="360" w:lineRule="exact"/>
              <w:jc w:val="center"/>
              <w:rPr>
                <w:rFonts w:hint="eastAsia" w:ascii="宋体" w:hAnsi="宋体"/>
                <w:color w:val="000000"/>
                <w:sz w:val="21"/>
                <w:szCs w:val="21"/>
              </w:rPr>
            </w:pPr>
            <w:r>
              <w:rPr>
                <w:rFonts w:hint="eastAsia" w:ascii="宋体" w:hAnsi="宋体"/>
                <w:color w:val="000000"/>
                <w:sz w:val="21"/>
                <w:szCs w:val="21"/>
              </w:rPr>
              <w:t>1.</w:t>
            </w:r>
            <w:r>
              <w:rPr>
                <w:rFonts w:hint="eastAsia" w:ascii="宋体" w:hAnsi="宋体"/>
                <w:color w:val="000000"/>
                <w:sz w:val="21"/>
                <w:szCs w:val="21"/>
                <w:lang w:val="en-US" w:eastAsia="zh-CN"/>
              </w:rPr>
              <w:t>11</w:t>
            </w:r>
          </w:p>
        </w:tc>
        <w:tc>
          <w:tcPr>
            <w:tcW w:w="2511" w:type="dxa"/>
            <w:vAlign w:val="center"/>
          </w:tcPr>
          <w:p>
            <w:pPr>
              <w:spacing w:line="360" w:lineRule="auto"/>
              <w:jc w:val="center"/>
              <w:rPr>
                <w:rFonts w:hint="eastAsia" w:ascii="宋体" w:hAnsi="宋体"/>
                <w:color w:val="000000"/>
                <w:sz w:val="21"/>
                <w:szCs w:val="21"/>
              </w:rPr>
            </w:pPr>
            <w:r>
              <w:rPr>
                <w:rFonts w:hint="eastAsia" w:ascii="宋体" w:hAnsi="宋体" w:cs="宋体"/>
                <w:color w:val="000000"/>
                <w:sz w:val="21"/>
                <w:szCs w:val="21"/>
              </w:rPr>
              <w:t>充电机</w:t>
            </w:r>
          </w:p>
        </w:tc>
        <w:tc>
          <w:tcPr>
            <w:tcW w:w="1075" w:type="dxa"/>
            <w:vAlign w:val="center"/>
          </w:tcPr>
          <w:p>
            <w:pPr>
              <w:spacing w:line="360" w:lineRule="auto"/>
              <w:jc w:val="center"/>
              <w:rPr>
                <w:rFonts w:hint="eastAsia" w:ascii="宋体" w:hAnsi="宋体"/>
                <w:color w:val="000000"/>
                <w:sz w:val="21"/>
                <w:szCs w:val="21"/>
              </w:rPr>
            </w:pPr>
            <w:r>
              <w:rPr>
                <w:rFonts w:hint="eastAsia" w:ascii="宋体" w:cs="宋体"/>
                <w:sz w:val="21"/>
                <w:szCs w:val="21"/>
              </w:rPr>
              <w:t>件</w:t>
            </w:r>
          </w:p>
        </w:tc>
        <w:tc>
          <w:tcPr>
            <w:tcW w:w="1792" w:type="dxa"/>
            <w:vAlign w:val="center"/>
          </w:tcPr>
          <w:p>
            <w:pPr>
              <w:spacing w:line="360" w:lineRule="auto"/>
              <w:jc w:val="center"/>
              <w:rPr>
                <w:rFonts w:hint="eastAsia" w:ascii="宋体" w:hAnsi="宋体"/>
                <w:color w:val="000000"/>
                <w:sz w:val="21"/>
                <w:szCs w:val="21"/>
              </w:rPr>
            </w:pPr>
            <w:r>
              <w:rPr>
                <w:rFonts w:hint="eastAsia" w:ascii="宋体" w:cs="宋体"/>
                <w:sz w:val="21"/>
                <w:szCs w:val="21"/>
              </w:rPr>
              <w:t>1</w:t>
            </w:r>
          </w:p>
        </w:tc>
        <w:tc>
          <w:tcPr>
            <w:tcW w:w="1433" w:type="dxa"/>
            <w:vAlign w:val="center"/>
          </w:tcPr>
          <w:p>
            <w:pPr>
              <w:spacing w:line="360" w:lineRule="exact"/>
              <w:jc w:val="center"/>
              <w:rPr>
                <w:rFonts w:hint="eastAsia" w:ascii="宋体" w:hAnsi="宋体" w:eastAsia="宋体"/>
                <w:color w:val="000000"/>
                <w:sz w:val="21"/>
                <w:szCs w:val="21"/>
                <w:lang w:val="en-US" w:eastAsia="zh-CN"/>
              </w:rPr>
            </w:pPr>
          </w:p>
        </w:tc>
        <w:tc>
          <w:tcPr>
            <w:tcW w:w="1477" w:type="dxa"/>
            <w:vAlign w:val="center"/>
          </w:tcPr>
          <w:p>
            <w:pPr>
              <w:spacing w:line="360" w:lineRule="exact"/>
              <w:jc w:val="center"/>
              <w:rPr>
                <w:rFonts w:hint="eastAsia" w:ascii="宋体" w:hAnsi="宋体"/>
                <w:color w:val="000000"/>
                <w:sz w:val="21"/>
                <w:szCs w:val="21"/>
              </w:rPr>
            </w:pPr>
          </w:p>
        </w:tc>
      </w:tr>
    </w:tbl>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二、设备工作环境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1、周围环境温度不高于+40℃；不低于-20℃。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2、设备安装场所海拔高度不超过1200米。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3、周围空气相对湿度不大于95%（在25℃时）</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4、供给电源：动力电源：AC380V±10%，三相四线制50Hz</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5、室内使用。</w:t>
      </w:r>
    </w:p>
    <w:p>
      <w:pPr>
        <w:adjustRightInd w:val="0"/>
        <w:snapToGrid w:val="0"/>
        <w:spacing w:before="156" w:beforeLines="50" w:line="360" w:lineRule="auto"/>
        <w:ind w:left="315" w:hanging="316" w:hangingChars="150"/>
        <w:rPr>
          <w:rFonts w:hint="eastAsia" w:ascii="宋体" w:hAnsi="宋体"/>
          <w:b/>
          <w:bCs/>
          <w:szCs w:val="21"/>
        </w:rPr>
      </w:pPr>
      <w:r>
        <w:rPr>
          <w:rFonts w:hint="eastAsia" w:ascii="宋体" w:hAnsi="宋体"/>
          <w:b/>
          <w:bCs/>
          <w:szCs w:val="21"/>
        </w:rPr>
        <w:t>三、技术参数及要求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技术性能指标</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 xml:space="preserve"> 斗山2</w:t>
      </w:r>
      <w:r>
        <w:rPr>
          <w:rFonts w:hint="eastAsia" w:ascii="宋体" w:hAnsi="宋体"/>
          <w:szCs w:val="21"/>
        </w:rPr>
        <w:t>吨</w:t>
      </w:r>
      <w:r>
        <w:rPr>
          <w:rFonts w:hint="eastAsia" w:ascii="宋体" w:hAnsi="宋体"/>
          <w:szCs w:val="21"/>
          <w:lang w:val="en-US" w:eastAsia="zh-CN"/>
        </w:rPr>
        <w:t>全电动升降搬运车</w:t>
      </w:r>
      <w:r>
        <w:rPr>
          <w:rFonts w:hint="eastAsia" w:ascii="宋体" w:hAnsi="宋体"/>
          <w:szCs w:val="21"/>
          <w:u w:val="single"/>
        </w:rPr>
        <w:t>（起升高度</w:t>
      </w:r>
      <w:r>
        <w:rPr>
          <w:rFonts w:hint="eastAsia" w:ascii="宋体" w:hAnsi="宋体"/>
          <w:szCs w:val="21"/>
          <w:u w:val="single"/>
          <w:lang w:val="en-US" w:eastAsia="zh-CN"/>
        </w:rPr>
        <w:t>5500MM</w:t>
      </w:r>
      <w:r>
        <w:rPr>
          <w:rFonts w:hint="eastAsia" w:ascii="宋体" w:hAnsi="宋体"/>
          <w:szCs w:val="21"/>
          <w:u w:val="single"/>
        </w:rPr>
        <w:t>）</w:t>
      </w:r>
      <w:r>
        <w:rPr>
          <w:rFonts w:hint="eastAsia" w:ascii="宋体" w:hAnsi="宋体"/>
          <w:szCs w:val="21"/>
          <w:lang w:eastAsia="zh-CN"/>
        </w:rPr>
        <w:t>；推荐</w:t>
      </w:r>
      <w:r>
        <w:rPr>
          <w:rFonts w:hint="eastAsia" w:ascii="宋体" w:hAnsi="宋体"/>
          <w:szCs w:val="21"/>
          <w:lang w:val="en-US" w:eastAsia="zh-CN"/>
        </w:rPr>
        <w:t>型号：</w:t>
      </w:r>
      <w:r>
        <w:rPr>
          <w:rFonts w:hint="eastAsia" w:ascii="宋体" w:hAnsi="宋体"/>
          <w:szCs w:val="21"/>
          <w:u w:val="single"/>
          <w:lang w:val="en-US" w:eastAsia="zh-CN"/>
        </w:rPr>
        <w:t>BWS20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 xml:space="preserve">1、承载力： </w:t>
      </w:r>
      <w:r>
        <w:rPr>
          <w:rFonts w:hint="eastAsia" w:ascii="宋体" w:hAnsi="宋体"/>
          <w:szCs w:val="21"/>
          <w:u w:val="single"/>
          <w:lang w:val="en-US" w:eastAsia="zh-CN"/>
        </w:rPr>
        <w:t>20</w:t>
      </w:r>
      <w:r>
        <w:rPr>
          <w:rFonts w:hint="eastAsia" w:ascii="宋体" w:hAnsi="宋体"/>
          <w:szCs w:val="21"/>
          <w:u w:val="single"/>
        </w:rPr>
        <w:t>00kg。</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2、载荷中心：</w:t>
      </w:r>
      <w:r>
        <w:rPr>
          <w:rFonts w:hint="eastAsia" w:ascii="宋体" w:hAnsi="宋体"/>
          <w:szCs w:val="21"/>
          <w:u w:val="single"/>
          <w:lang w:val="en-US" w:eastAsia="zh-CN"/>
        </w:rPr>
        <w:t>6</w:t>
      </w:r>
      <w:r>
        <w:rPr>
          <w:rFonts w:hint="eastAsia" w:ascii="宋体" w:hAnsi="宋体"/>
          <w:szCs w:val="21"/>
          <w:u w:val="single"/>
        </w:rPr>
        <w:t>00mm。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3、</w:t>
      </w:r>
      <w:r>
        <w:rPr>
          <w:rFonts w:hint="eastAsia" w:ascii="宋体" w:hAnsi="宋体"/>
          <w:szCs w:val="21"/>
          <w:lang w:val="en-US" w:eastAsia="zh-CN"/>
        </w:rPr>
        <w:t>不含电池</w:t>
      </w:r>
      <w:r>
        <w:rPr>
          <w:rFonts w:hint="eastAsia" w:ascii="宋体" w:hAnsi="宋体"/>
          <w:szCs w:val="21"/>
        </w:rPr>
        <w:t>自重（kg）：</w:t>
      </w:r>
      <w:r>
        <w:rPr>
          <w:rFonts w:hint="eastAsia" w:ascii="宋体" w:hAnsi="宋体"/>
          <w:szCs w:val="21"/>
          <w:u w:val="single"/>
          <w:lang w:val="en-US" w:eastAsia="zh-CN"/>
        </w:rPr>
        <w:t>1030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4、动力形式：</w:t>
      </w:r>
      <w:r>
        <w:rPr>
          <w:rFonts w:hint="eastAsia" w:ascii="宋体" w:hAnsi="宋体"/>
          <w:szCs w:val="21"/>
          <w:u w:val="single"/>
        </w:rPr>
        <w:t>蓄电池。</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5、提升高度：</w:t>
      </w:r>
      <w:r>
        <w:rPr>
          <w:rFonts w:hint="eastAsia" w:ascii="宋体" w:hAnsi="宋体"/>
          <w:szCs w:val="21"/>
          <w:u w:val="single"/>
        </w:rPr>
        <w:t>不小于</w:t>
      </w:r>
      <w:r>
        <w:rPr>
          <w:rFonts w:hint="eastAsia" w:ascii="宋体" w:hAnsi="宋体"/>
          <w:szCs w:val="21"/>
          <w:u w:val="single"/>
          <w:lang w:val="en-US" w:eastAsia="zh-CN"/>
        </w:rPr>
        <w:t>5500</w:t>
      </w:r>
      <w:r>
        <w:rPr>
          <w:rFonts w:hint="eastAsia" w:ascii="宋体" w:hAnsi="宋体"/>
          <w:szCs w:val="21"/>
          <w:u w:val="single"/>
        </w:rPr>
        <w:t>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6、自由提升高度：不小于</w:t>
      </w:r>
      <w:r>
        <w:rPr>
          <w:rFonts w:hint="eastAsia" w:ascii="宋体" w:hAnsi="宋体"/>
          <w:szCs w:val="21"/>
          <w:u w:val="single"/>
          <w:lang w:val="en-US" w:eastAsia="zh-CN"/>
        </w:rPr>
        <w:t>1850</w:t>
      </w:r>
      <w:r>
        <w:rPr>
          <w:rFonts w:hint="eastAsia" w:ascii="宋体" w:hAnsi="宋体"/>
          <w:szCs w:val="21"/>
          <w:u w:val="single"/>
        </w:rPr>
        <w:t>mm。</w:t>
      </w:r>
    </w:p>
    <w:p>
      <w:pPr>
        <w:adjustRightInd w:val="0"/>
        <w:snapToGrid w:val="0"/>
        <w:spacing w:before="156" w:beforeLines="50" w:line="360" w:lineRule="auto"/>
        <w:ind w:left="315" w:hanging="315" w:hangingChars="150"/>
        <w:rPr>
          <w:rFonts w:hint="eastAsia" w:ascii="宋体" w:hAnsi="宋体" w:eastAsia="宋体"/>
          <w:szCs w:val="21"/>
          <w:lang w:eastAsia="zh-CN"/>
        </w:rPr>
      </w:pPr>
      <w:r>
        <w:rPr>
          <w:rFonts w:hint="eastAsia" w:ascii="宋体" w:hAnsi="宋体"/>
          <w:szCs w:val="21"/>
          <w:lang w:val="en-US" w:eastAsia="zh-CN"/>
        </w:rPr>
        <w:t>1.7</w:t>
      </w:r>
      <w:r>
        <w:rPr>
          <w:rFonts w:hint="eastAsia" w:ascii="宋体" w:hAnsi="宋体"/>
          <w:szCs w:val="21"/>
        </w:rPr>
        <w:t>、门架缩回高度（mm）</w:t>
      </w:r>
      <w:r>
        <w:rPr>
          <w:rFonts w:hint="eastAsia" w:ascii="宋体" w:hAnsi="宋体"/>
          <w:szCs w:val="21"/>
          <w:u w:val="single"/>
        </w:rPr>
        <w:t>：</w:t>
      </w:r>
      <w:r>
        <w:rPr>
          <w:rFonts w:hint="eastAsia" w:ascii="宋体" w:hAnsi="宋体"/>
          <w:szCs w:val="21"/>
          <w:u w:val="single"/>
          <w:lang w:val="en-US" w:eastAsia="zh-CN"/>
        </w:rPr>
        <w:t>2375。</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1.8</w:t>
      </w:r>
      <w:r>
        <w:rPr>
          <w:rFonts w:hint="eastAsia" w:ascii="宋体" w:hAnsi="宋体"/>
          <w:szCs w:val="21"/>
        </w:rPr>
        <w:t>、车体宽度（mm）：</w:t>
      </w:r>
      <w:r>
        <w:rPr>
          <w:rFonts w:hint="eastAsia" w:ascii="宋体" w:hAnsi="宋体"/>
          <w:szCs w:val="21"/>
          <w:u w:val="single"/>
          <w:lang w:val="en-US" w:eastAsia="zh-CN"/>
        </w:rPr>
        <w:t>945</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1.9</w:t>
      </w:r>
      <w:r>
        <w:rPr>
          <w:rFonts w:hint="eastAsia" w:ascii="宋体" w:hAnsi="宋体"/>
          <w:szCs w:val="21"/>
        </w:rPr>
        <w:t>、车体长度（mm）：</w:t>
      </w:r>
      <w:r>
        <w:rPr>
          <w:rFonts w:hint="eastAsia" w:ascii="宋体" w:hAnsi="宋体"/>
          <w:szCs w:val="21"/>
          <w:u w:val="single"/>
          <w:lang w:val="en-US" w:eastAsia="zh-CN"/>
        </w:rPr>
        <w:t>2110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0</w:t>
      </w:r>
      <w:r>
        <w:rPr>
          <w:rFonts w:hint="eastAsia" w:ascii="宋体" w:hAnsi="宋体"/>
          <w:szCs w:val="21"/>
        </w:rPr>
        <w:t>、行驶 满载/空载km/h：</w:t>
      </w:r>
      <w:r>
        <w:rPr>
          <w:rFonts w:hint="eastAsia" w:ascii="宋体" w:hAnsi="宋体"/>
          <w:szCs w:val="21"/>
          <w:u w:val="single"/>
        </w:rPr>
        <w:t>不小于</w:t>
      </w:r>
      <w:r>
        <w:rPr>
          <w:rFonts w:hint="eastAsia" w:ascii="宋体" w:hAnsi="宋体"/>
          <w:szCs w:val="21"/>
          <w:u w:val="single"/>
          <w:lang w:val="en-US" w:eastAsia="zh-CN"/>
        </w:rPr>
        <w:t>5.2</w:t>
      </w:r>
      <w:r>
        <w:rPr>
          <w:rFonts w:hint="eastAsia" w:ascii="宋体" w:hAnsi="宋体"/>
          <w:szCs w:val="21"/>
          <w:u w:val="single"/>
        </w:rPr>
        <w:t>/</w:t>
      </w:r>
      <w:r>
        <w:rPr>
          <w:rFonts w:hint="eastAsia" w:ascii="宋体" w:hAnsi="宋体"/>
          <w:szCs w:val="21"/>
          <w:u w:val="single"/>
          <w:lang w:val="en-US" w:eastAsia="zh-CN"/>
        </w:rPr>
        <w:t>6</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1</w:t>
      </w:r>
      <w:r>
        <w:rPr>
          <w:rFonts w:hint="eastAsia" w:ascii="宋体" w:hAnsi="宋体"/>
          <w:szCs w:val="21"/>
        </w:rPr>
        <w:t>、起升 满载/空载mm/s：</w:t>
      </w:r>
      <w:r>
        <w:rPr>
          <w:rFonts w:hint="eastAsia" w:ascii="宋体" w:hAnsi="宋体"/>
          <w:szCs w:val="21"/>
          <w:u w:val="single"/>
        </w:rPr>
        <w:t>不小于</w:t>
      </w:r>
      <w:r>
        <w:rPr>
          <w:rFonts w:hint="eastAsia" w:ascii="宋体" w:hAnsi="宋体"/>
          <w:szCs w:val="21"/>
          <w:u w:val="single"/>
          <w:lang w:val="en-US" w:eastAsia="zh-CN"/>
        </w:rPr>
        <w:t>90</w:t>
      </w:r>
      <w:r>
        <w:rPr>
          <w:rFonts w:hint="eastAsia" w:ascii="宋体" w:hAnsi="宋体"/>
          <w:szCs w:val="21"/>
          <w:u w:val="single"/>
        </w:rPr>
        <w:t>/</w:t>
      </w:r>
      <w:r>
        <w:rPr>
          <w:rFonts w:hint="eastAsia" w:ascii="宋体" w:hAnsi="宋体"/>
          <w:szCs w:val="21"/>
          <w:u w:val="single"/>
          <w:lang w:val="en-US" w:eastAsia="zh-CN"/>
        </w:rPr>
        <w:t>120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2</w:t>
      </w:r>
      <w:r>
        <w:rPr>
          <w:rFonts w:hint="eastAsia" w:ascii="宋体" w:hAnsi="宋体"/>
          <w:szCs w:val="21"/>
        </w:rPr>
        <w:t>、下降 满载/空载mm/s：</w:t>
      </w:r>
      <w:r>
        <w:rPr>
          <w:rFonts w:hint="eastAsia" w:ascii="宋体" w:hAnsi="宋体"/>
          <w:szCs w:val="21"/>
          <w:u w:val="single"/>
        </w:rPr>
        <w:t>不小于</w:t>
      </w:r>
      <w:r>
        <w:rPr>
          <w:rFonts w:hint="eastAsia" w:ascii="宋体" w:hAnsi="宋体"/>
          <w:szCs w:val="21"/>
          <w:u w:val="single"/>
          <w:lang w:val="en-US" w:eastAsia="zh-CN"/>
        </w:rPr>
        <w:t>125</w:t>
      </w:r>
      <w:r>
        <w:rPr>
          <w:rFonts w:hint="eastAsia" w:ascii="宋体" w:hAnsi="宋体"/>
          <w:szCs w:val="21"/>
          <w:u w:val="single"/>
        </w:rPr>
        <w:t>/</w:t>
      </w:r>
      <w:r>
        <w:rPr>
          <w:rFonts w:hint="eastAsia" w:ascii="宋体" w:hAnsi="宋体"/>
          <w:szCs w:val="21"/>
          <w:u w:val="single"/>
          <w:lang w:val="en-US" w:eastAsia="zh-CN"/>
        </w:rPr>
        <w:t>80</w:t>
      </w:r>
      <w:r>
        <w:rPr>
          <w:rFonts w:hint="eastAsia" w:ascii="宋体" w:hAnsi="宋体"/>
          <w:szCs w:val="21"/>
          <w:u w:val="single"/>
        </w:rPr>
        <w:t>。</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3</w:t>
      </w:r>
      <w:r>
        <w:rPr>
          <w:rFonts w:hint="eastAsia" w:ascii="宋体" w:hAnsi="宋体"/>
          <w:szCs w:val="21"/>
        </w:rPr>
        <w:t>、货叉长度：</w:t>
      </w:r>
      <w:r>
        <w:rPr>
          <w:rFonts w:hint="eastAsia" w:ascii="宋体" w:hAnsi="宋体"/>
          <w:szCs w:val="21"/>
          <w:u w:val="single"/>
          <w:lang w:val="en-US" w:eastAsia="zh-CN"/>
        </w:rPr>
        <w:t>115</w:t>
      </w:r>
      <w:r>
        <w:rPr>
          <w:rFonts w:hint="eastAsia" w:ascii="宋体" w:hAnsi="宋体"/>
          <w:szCs w:val="21"/>
          <w:u w:val="single"/>
        </w:rPr>
        <w:t>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4</w:t>
      </w:r>
      <w:r>
        <w:rPr>
          <w:rFonts w:hint="eastAsia" w:ascii="宋体" w:hAnsi="宋体"/>
          <w:szCs w:val="21"/>
        </w:rPr>
        <w:t>、转弯半径不大于</w:t>
      </w:r>
      <w:r>
        <w:rPr>
          <w:rFonts w:hint="eastAsia" w:ascii="宋体" w:hAnsi="宋体"/>
          <w:szCs w:val="21"/>
          <w:u w:val="single"/>
        </w:rPr>
        <w:t>1</w:t>
      </w:r>
      <w:r>
        <w:rPr>
          <w:rFonts w:hint="eastAsia" w:ascii="宋体" w:hAnsi="宋体"/>
          <w:szCs w:val="21"/>
          <w:u w:val="single"/>
          <w:lang w:val="en-US" w:eastAsia="zh-CN"/>
        </w:rPr>
        <w:t>683</w:t>
      </w:r>
      <w:r>
        <w:rPr>
          <w:rFonts w:hint="eastAsia" w:ascii="宋体" w:hAnsi="宋体"/>
          <w:szCs w:val="21"/>
          <w:u w:val="single"/>
        </w:rPr>
        <w:t>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1</w:t>
      </w:r>
      <w:r>
        <w:rPr>
          <w:rFonts w:hint="eastAsia" w:ascii="宋体" w:hAnsi="宋体"/>
          <w:szCs w:val="21"/>
          <w:lang w:val="en-US" w:eastAsia="zh-CN"/>
        </w:rPr>
        <w:t>5</w:t>
      </w:r>
      <w:r>
        <w:rPr>
          <w:rFonts w:hint="eastAsia" w:ascii="宋体" w:hAnsi="宋体"/>
          <w:szCs w:val="21"/>
        </w:rPr>
        <w:t>、驱动电机（交流）：</w:t>
      </w:r>
      <w:r>
        <w:rPr>
          <w:rFonts w:hint="eastAsia" w:ascii="宋体" w:hAnsi="宋体"/>
          <w:szCs w:val="21"/>
          <w:u w:val="single"/>
        </w:rPr>
        <w:t xml:space="preserve"> </w:t>
      </w:r>
      <w:r>
        <w:rPr>
          <w:rFonts w:hint="eastAsia" w:ascii="宋体" w:hAnsi="宋体"/>
          <w:szCs w:val="21"/>
          <w:u w:val="single"/>
          <w:lang w:val="en-US" w:eastAsia="zh-CN"/>
        </w:rPr>
        <w:t>1.5</w:t>
      </w:r>
      <w:r>
        <w:rPr>
          <w:rFonts w:hint="eastAsia" w:ascii="宋体" w:hAnsi="宋体"/>
          <w:szCs w:val="21"/>
          <w:u w:val="single"/>
        </w:rPr>
        <w:t>KW</w:t>
      </w:r>
      <w:r>
        <w:rPr>
          <w:rFonts w:hint="eastAsia" w:ascii="宋体" w:hAnsi="宋体"/>
          <w:szCs w:val="21"/>
        </w:rPr>
        <w:t>；  液压电机（交流）：</w:t>
      </w:r>
      <w:r>
        <w:rPr>
          <w:rFonts w:hint="eastAsia" w:ascii="宋体" w:hAnsi="宋体"/>
          <w:szCs w:val="21"/>
          <w:u w:val="single"/>
          <w:lang w:val="en-US" w:eastAsia="zh-CN"/>
        </w:rPr>
        <w:t>3</w:t>
      </w:r>
      <w:r>
        <w:rPr>
          <w:rFonts w:hint="eastAsia" w:ascii="宋体" w:hAnsi="宋体"/>
          <w:szCs w:val="21"/>
          <w:u w:val="single"/>
        </w:rPr>
        <w:t>KW</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1.16</w:t>
      </w:r>
      <w:r>
        <w:rPr>
          <w:rFonts w:hint="eastAsia" w:ascii="宋体" w:hAnsi="宋体"/>
          <w:szCs w:val="21"/>
        </w:rPr>
        <w:t>、蓄电池电压/容量：</w:t>
      </w:r>
      <w:r>
        <w:rPr>
          <w:rFonts w:hint="eastAsia" w:ascii="宋体" w:hAnsi="宋体"/>
          <w:szCs w:val="21"/>
          <w:u w:val="single"/>
        </w:rPr>
        <w:t>不小于</w:t>
      </w:r>
      <w:r>
        <w:rPr>
          <w:rFonts w:hint="eastAsia" w:ascii="宋体" w:hAnsi="宋体"/>
          <w:szCs w:val="21"/>
          <w:u w:val="single"/>
          <w:lang w:val="en-US" w:eastAsia="zh-CN"/>
        </w:rPr>
        <w:t>24</w:t>
      </w:r>
      <w:r>
        <w:rPr>
          <w:rFonts w:hint="eastAsia" w:ascii="宋体" w:hAnsi="宋体"/>
          <w:szCs w:val="21"/>
          <w:u w:val="single"/>
        </w:rPr>
        <w:t>V/</w:t>
      </w:r>
      <w:r>
        <w:rPr>
          <w:rFonts w:hint="eastAsia" w:ascii="宋体" w:hAnsi="宋体"/>
          <w:szCs w:val="21"/>
          <w:u w:val="single"/>
          <w:lang w:val="en-US" w:eastAsia="zh-CN"/>
        </w:rPr>
        <w:t>240</w:t>
      </w:r>
      <w:r>
        <w:rPr>
          <w:rFonts w:hint="eastAsia" w:ascii="宋体" w:hAnsi="宋体"/>
          <w:szCs w:val="21"/>
          <w:u w:val="single"/>
        </w:rPr>
        <w:t>Ah</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1.17</w:t>
      </w:r>
      <w:r>
        <w:rPr>
          <w:rFonts w:hint="eastAsia" w:ascii="宋体" w:hAnsi="宋体"/>
          <w:szCs w:val="21"/>
        </w:rPr>
        <w:t xml:space="preserve">、蓄电池寿命(充放电次数): </w:t>
      </w:r>
      <w:r>
        <w:rPr>
          <w:rFonts w:hint="eastAsia" w:ascii="宋体" w:hAnsi="宋体"/>
          <w:szCs w:val="21"/>
          <w:u w:val="single"/>
        </w:rPr>
        <w:t>≥1500次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1.18</w:t>
      </w:r>
      <w:r>
        <w:rPr>
          <w:rFonts w:hint="eastAsia" w:ascii="宋体" w:hAnsi="宋体"/>
          <w:szCs w:val="21"/>
        </w:rPr>
        <w:t>、操作形式：</w:t>
      </w:r>
      <w:r>
        <w:rPr>
          <w:rFonts w:hint="eastAsia" w:ascii="宋体" w:hAnsi="宋体"/>
          <w:szCs w:val="21"/>
          <w:u w:val="single"/>
        </w:rPr>
        <w:t>站驾式</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1.19</w:t>
      </w:r>
      <w:r>
        <w:rPr>
          <w:rFonts w:hint="eastAsia" w:ascii="宋体" w:hAnsi="宋体"/>
          <w:szCs w:val="21"/>
        </w:rPr>
        <w:t>、叉车轮胎：</w:t>
      </w:r>
      <w:r>
        <w:rPr>
          <w:rFonts w:hint="eastAsia" w:ascii="宋体" w:hAnsi="宋体"/>
          <w:szCs w:val="21"/>
          <w:u w:val="single"/>
        </w:rPr>
        <w:t>全车采用实心聚氨酯轮胎。</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w:t>
      </w:r>
      <w:r>
        <w:rPr>
          <w:rFonts w:hint="eastAsia" w:ascii="宋体" w:hAnsi="宋体"/>
          <w:szCs w:val="21"/>
          <w:lang w:val="en-US" w:eastAsia="zh-CN"/>
        </w:rPr>
        <w:t>0</w:t>
      </w:r>
      <w:r>
        <w:rPr>
          <w:rFonts w:hint="eastAsia" w:ascii="宋体" w:hAnsi="宋体"/>
          <w:szCs w:val="21"/>
        </w:rPr>
        <w:t xml:space="preserve">、仪表盘显示功能：转向轮位置显示，小时计，剩余电量显示，故障代码显示等 </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w:t>
      </w:r>
      <w:r>
        <w:rPr>
          <w:rFonts w:hint="eastAsia" w:ascii="宋体" w:hAnsi="宋体"/>
          <w:szCs w:val="21"/>
          <w:lang w:val="en-US" w:eastAsia="zh-CN"/>
        </w:rPr>
        <w:t>1</w:t>
      </w:r>
      <w:r>
        <w:rPr>
          <w:rFonts w:hint="eastAsia" w:ascii="宋体" w:hAnsi="宋体"/>
          <w:szCs w:val="21"/>
        </w:rPr>
        <w:t>、充电机：</w:t>
      </w:r>
      <w:r>
        <w:rPr>
          <w:rFonts w:hint="eastAsia" w:ascii="宋体" w:hAnsi="宋体"/>
          <w:szCs w:val="21"/>
          <w:u w:val="single"/>
        </w:rPr>
        <w:t>全自动充电机，具备自动脱硫充电和平衡充电功能。</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2</w:t>
      </w:r>
      <w:r>
        <w:rPr>
          <w:rFonts w:hint="eastAsia" w:ascii="宋体" w:hAnsi="宋体"/>
          <w:szCs w:val="21"/>
          <w:lang w:val="en-US" w:eastAsia="zh-CN"/>
        </w:rPr>
        <w:t>2</w:t>
      </w:r>
      <w:r>
        <w:rPr>
          <w:rFonts w:hint="eastAsia" w:ascii="宋体" w:hAnsi="宋体"/>
          <w:szCs w:val="21"/>
        </w:rPr>
        <w:t>、</w:t>
      </w:r>
      <w:r>
        <w:rPr>
          <w:rFonts w:hint="eastAsia" w:ascii="宋体" w:hAnsi="宋体"/>
          <w:szCs w:val="21"/>
          <w:lang w:val="en-US" w:eastAsia="zh-CN"/>
        </w:rPr>
        <w:t>免维护电机，大容量蓄电池，起升油缸底部安装防爆阀；转弯自动减速；蓄电池侧位装卸；门架安装防护网；集成手柄带急速、喇叭、紧急反向、升降按钮功能，安装紧急断电开关。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lang w:val="en-US" w:eastAsia="zh-CN"/>
        </w:rPr>
        <w:t>1.</w:t>
      </w:r>
      <w:r>
        <w:rPr>
          <w:rFonts w:hint="eastAsia" w:ascii="宋体" w:hAnsi="宋体"/>
          <w:szCs w:val="21"/>
        </w:rPr>
        <w:t>2</w:t>
      </w:r>
      <w:r>
        <w:rPr>
          <w:rFonts w:hint="eastAsia" w:ascii="宋体" w:hAnsi="宋体"/>
          <w:szCs w:val="21"/>
          <w:lang w:val="en-US" w:eastAsia="zh-CN"/>
        </w:rPr>
        <w:t>3</w:t>
      </w:r>
      <w:r>
        <w:rPr>
          <w:rFonts w:hint="eastAsia" w:ascii="宋体" w:hAnsi="宋体"/>
          <w:szCs w:val="21"/>
        </w:rPr>
        <w:t>、配备行车光电警示灯装置。</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1.24、</w:t>
      </w:r>
      <w:r>
        <w:rPr>
          <w:rFonts w:hint="eastAsia" w:ascii="宋体" w:hAnsi="宋体"/>
          <w:szCs w:val="21"/>
        </w:rPr>
        <w:t>门架</w:t>
      </w:r>
      <w:r>
        <w:rPr>
          <w:rFonts w:hint="eastAsia" w:ascii="宋体" w:hAnsi="宋体"/>
          <w:szCs w:val="21"/>
          <w:lang w:val="en-US" w:eastAsia="zh-CN"/>
        </w:rPr>
        <w:t>采用FFT三级全自由提升门架，</w:t>
      </w:r>
      <w:r>
        <w:rPr>
          <w:rFonts w:hint="eastAsia" w:ascii="宋体" w:hAnsi="宋体"/>
          <w:szCs w:val="21"/>
        </w:rPr>
        <w:t>缩回高度为</w:t>
      </w:r>
      <w:r>
        <w:rPr>
          <w:rFonts w:hint="eastAsia" w:ascii="宋体" w:hAnsi="宋体"/>
          <w:szCs w:val="21"/>
          <w:lang w:val="en-US" w:eastAsia="zh-CN"/>
        </w:rPr>
        <w:t>2375</w:t>
      </w:r>
      <w:r>
        <w:rPr>
          <w:rFonts w:hint="eastAsia" w:ascii="宋体" w:hAnsi="宋体"/>
          <w:szCs w:val="21"/>
        </w:rPr>
        <w:t xml:space="preserve"> mm</w:t>
      </w:r>
      <w:r>
        <w:rPr>
          <w:rFonts w:hint="eastAsia" w:ascii="宋体" w:hAnsi="宋体"/>
          <w:szCs w:val="21"/>
          <w:lang w:val="en-US" w:eastAsia="zh-CN"/>
        </w:rPr>
        <w:t>,全自由提升高度1850mm.</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 技术性能要求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2.1 设备使用前应取得产品质量合格证明。</w:t>
      </w:r>
    </w:p>
    <w:p>
      <w:pPr>
        <w:adjustRightInd w:val="0"/>
        <w:snapToGrid w:val="0"/>
        <w:spacing w:before="156" w:beforeLines="50" w:line="360" w:lineRule="auto"/>
        <w:ind w:left="315" w:leftChars="100" w:hanging="105" w:hangingChars="50"/>
        <w:rPr>
          <w:rFonts w:hint="eastAsia" w:ascii="宋体" w:hAnsi="宋体"/>
          <w:szCs w:val="21"/>
        </w:rPr>
      </w:pPr>
      <w:r>
        <w:rPr>
          <w:rFonts w:hint="eastAsia" w:ascii="宋体" w:hAnsi="宋体"/>
          <w:szCs w:val="21"/>
        </w:rPr>
        <w:t>2.2 应装有齐全、可靠的电气和机械防护装置，应有短路保护、失压保护等保护措施且所有保护符合国家安全要求。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2.3 主要零部件材料应符合起重机相关标准的要求。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w:t>
      </w:r>
      <w:r>
        <w:rPr>
          <w:rFonts w:hint="eastAsia" w:ascii="宋体" w:hAnsi="宋体"/>
          <w:szCs w:val="21"/>
          <w:lang w:val="en-US" w:eastAsia="zh-CN"/>
        </w:rPr>
        <w:t>6</w:t>
      </w:r>
      <w:r>
        <w:rPr>
          <w:rFonts w:hint="eastAsia" w:ascii="宋体" w:hAnsi="宋体"/>
          <w:szCs w:val="21"/>
        </w:rPr>
        <w:t xml:space="preserve"> 仪表盘</w:t>
      </w:r>
      <w:r>
        <w:rPr>
          <w:rFonts w:hint="eastAsia" w:ascii="宋体" w:hAnsi="宋体"/>
          <w:szCs w:val="21"/>
          <w:lang w:val="en-US" w:eastAsia="zh-CN"/>
        </w:rPr>
        <w:t>要求：LED指示器和7段数字图形液晶显示器为驾驶人员提供所有所需信息的详细资料，包括运行状态、自我诊断和可编程设置。</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w:t>
      </w:r>
      <w:r>
        <w:rPr>
          <w:rFonts w:hint="eastAsia" w:ascii="宋体" w:hAnsi="宋体"/>
          <w:szCs w:val="21"/>
          <w:lang w:val="en-US" w:eastAsia="zh-CN"/>
        </w:rPr>
        <w:t>7</w:t>
      </w:r>
      <w:r>
        <w:rPr>
          <w:rFonts w:hint="eastAsia" w:ascii="宋体" w:hAnsi="宋体"/>
          <w:szCs w:val="21"/>
        </w:rPr>
        <w:t>设备到货应随机提供产品合格证。</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2.</w:t>
      </w:r>
      <w:r>
        <w:rPr>
          <w:rFonts w:hint="eastAsia" w:ascii="宋体" w:hAnsi="宋体"/>
          <w:szCs w:val="21"/>
          <w:lang w:val="en-US" w:eastAsia="zh-CN"/>
        </w:rPr>
        <w:t>9</w:t>
      </w:r>
      <w:r>
        <w:rPr>
          <w:rFonts w:hint="eastAsia" w:ascii="宋体" w:hAnsi="宋体"/>
          <w:szCs w:val="21"/>
        </w:rPr>
        <w:t xml:space="preserve"> 保质期：1年或者1000工作小时，以先到者为准。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2.1</w:t>
      </w:r>
      <w:r>
        <w:rPr>
          <w:rFonts w:hint="eastAsia" w:ascii="宋体" w:hAnsi="宋体"/>
          <w:szCs w:val="21"/>
          <w:lang w:val="en-US" w:eastAsia="zh-CN"/>
        </w:rPr>
        <w:t>0</w:t>
      </w:r>
      <w:r>
        <w:rPr>
          <w:rFonts w:hint="eastAsia" w:ascii="宋体" w:hAnsi="宋体"/>
          <w:szCs w:val="21"/>
        </w:rPr>
        <w:t xml:space="preserve"> 使用寿命：10年。</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w:t>
      </w:r>
      <w:r>
        <w:rPr>
          <w:rFonts w:hint="eastAsia" w:ascii="宋体" w:hAnsi="宋体"/>
          <w:szCs w:val="21"/>
          <w:lang w:eastAsia="zh-CN"/>
        </w:rPr>
        <w:t>、</w:t>
      </w:r>
      <w:r>
        <w:rPr>
          <w:rFonts w:hint="eastAsia" w:ascii="宋体" w:hAnsi="宋体"/>
          <w:szCs w:val="21"/>
        </w:rPr>
        <w:t>安全技术要求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3.1、车身油漆：车身喷涂防眩目面漆。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3.2、座椅安全开关：司机离开座椅，叉车停止所有操作动作。</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3.3、行车光电警示灯及倒车报警提示音。</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3.4、配备1台灭火器。</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3.5</w:t>
      </w:r>
      <w:r>
        <w:rPr>
          <w:rFonts w:hint="eastAsia" w:ascii="宋体" w:hAnsi="宋体"/>
          <w:szCs w:val="21"/>
          <w:lang w:eastAsia="zh-CN"/>
        </w:rPr>
        <w:t>、</w:t>
      </w:r>
      <w:r>
        <w:rPr>
          <w:rFonts w:hint="eastAsia" w:ascii="宋体" w:hAnsi="宋体"/>
          <w:szCs w:val="21"/>
        </w:rPr>
        <w:t>卖方应对设备的安全性负责，在设计时应注意到整体和局部的安全性问题。</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3.6</w:t>
      </w:r>
      <w:r>
        <w:rPr>
          <w:rFonts w:hint="eastAsia" w:ascii="宋体" w:hAnsi="宋体"/>
          <w:szCs w:val="21"/>
          <w:lang w:eastAsia="zh-CN"/>
        </w:rPr>
        <w:t>、</w:t>
      </w:r>
      <w:r>
        <w:rPr>
          <w:rFonts w:hint="eastAsia" w:ascii="宋体" w:hAnsi="宋体"/>
          <w:szCs w:val="21"/>
        </w:rPr>
        <w:t>护顶架、挡货架须安全有效。</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3.7</w:t>
      </w:r>
      <w:r>
        <w:rPr>
          <w:rFonts w:hint="eastAsia" w:ascii="宋体" w:hAnsi="宋体"/>
          <w:szCs w:val="21"/>
          <w:lang w:eastAsia="zh-CN"/>
        </w:rPr>
        <w:t>、</w:t>
      </w:r>
      <w:r>
        <w:rPr>
          <w:rFonts w:hint="eastAsia" w:ascii="宋体" w:hAnsi="宋体"/>
          <w:szCs w:val="21"/>
        </w:rPr>
        <w:t>两根起升链条张紧度应均匀，不得扭曲变形，端部连接牢靠，链条的节距不得超过原长度的4%，否则应更换链条。链轮转动应灵活。</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3.8</w:t>
      </w:r>
      <w:r>
        <w:rPr>
          <w:rFonts w:hint="eastAsia" w:ascii="宋体" w:hAnsi="宋体"/>
          <w:szCs w:val="21"/>
          <w:lang w:eastAsia="zh-CN"/>
        </w:rPr>
        <w:t>、</w:t>
      </w:r>
      <w:r>
        <w:rPr>
          <w:rFonts w:hint="eastAsia" w:ascii="宋体" w:hAnsi="宋体"/>
          <w:szCs w:val="21"/>
        </w:rPr>
        <w:t>门架不得有变形和焊缝脱焊现象，内外门架的滚动间隙应调整合理，不得大于1.5mm，链轮转动应灵活，滚轮及轴应无裂纹、缺陷。轮槽磨损量不得大于原尺寸的10%。</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3.9</w:t>
      </w:r>
      <w:r>
        <w:rPr>
          <w:rFonts w:hint="eastAsia" w:ascii="宋体" w:hAnsi="宋体"/>
          <w:szCs w:val="21"/>
          <w:lang w:eastAsia="zh-CN"/>
        </w:rPr>
        <w:t>、</w:t>
      </w:r>
      <w:r>
        <w:rPr>
          <w:rFonts w:hint="eastAsia" w:ascii="宋体" w:hAnsi="宋体"/>
          <w:szCs w:val="21"/>
        </w:rPr>
        <w:t>起升油缸与门架联接部位应牢靠，倾斜油缸与门架、车架的铰接应牢靠、灵活，配合间隙不得过大。油缸应密封良好，无裂纹，工作平稳。在额定载荷下，24小时货叉下沉量不得大于20mm,倾角不得大于0.5º。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3.10</w:t>
      </w:r>
      <w:r>
        <w:rPr>
          <w:rFonts w:hint="eastAsia" w:ascii="宋体" w:hAnsi="宋体"/>
          <w:szCs w:val="21"/>
          <w:lang w:eastAsia="zh-CN"/>
        </w:rPr>
        <w:t>、</w:t>
      </w:r>
      <w:r>
        <w:rPr>
          <w:rFonts w:hint="eastAsia" w:ascii="宋体" w:hAnsi="宋体"/>
          <w:szCs w:val="21"/>
        </w:rPr>
        <w:t>货叉架不得有严重变形，焊缝脱焊现象。货叉表面不得有裂纹、焊缝开焊现象。货叉根部不得大于93º，厚度不得低于原尺寸的90%。左右货叉尖的高度不得超过货叉水平长度的3%。货叉定位应可靠，货叉挂钩的支承面、定位面不得有明显缺陷，货叉与货叉架的配合间隙不应过大，且移动平顺。</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3.11</w:t>
      </w:r>
      <w:r>
        <w:rPr>
          <w:rFonts w:hint="eastAsia" w:ascii="宋体" w:hAnsi="宋体"/>
          <w:szCs w:val="21"/>
          <w:lang w:eastAsia="zh-CN"/>
        </w:rPr>
        <w:t>、</w:t>
      </w:r>
      <w:r>
        <w:rPr>
          <w:rFonts w:hint="eastAsia" w:ascii="宋体" w:hAnsi="宋体"/>
          <w:szCs w:val="21"/>
        </w:rPr>
        <w:t>液压系统管路接头牢靠、无渗漏与其他机件不磨碰，橡胶软管不得老化，变质现象。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3.12</w:t>
      </w:r>
      <w:r>
        <w:rPr>
          <w:rFonts w:hint="eastAsia" w:ascii="宋体" w:hAnsi="宋体"/>
          <w:szCs w:val="21"/>
          <w:lang w:eastAsia="zh-CN"/>
        </w:rPr>
        <w:t>、</w:t>
      </w:r>
      <w:r>
        <w:rPr>
          <w:rFonts w:hint="eastAsia" w:ascii="宋体" w:hAnsi="宋体"/>
          <w:szCs w:val="21"/>
        </w:rPr>
        <w:t>液压系统中的传动部件在额定载荷、额定速度范围内不应出现爬行、停滞和明显的冲动现象。</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3.13</w:t>
      </w:r>
      <w:r>
        <w:rPr>
          <w:rFonts w:hint="eastAsia" w:ascii="宋体" w:hAnsi="宋体"/>
          <w:szCs w:val="21"/>
          <w:lang w:eastAsia="zh-CN"/>
        </w:rPr>
        <w:t>、</w:t>
      </w:r>
      <w:r>
        <w:rPr>
          <w:rFonts w:hint="eastAsia" w:ascii="宋体" w:hAnsi="宋体"/>
          <w:szCs w:val="21"/>
        </w:rPr>
        <w:t>多路换向阀壳体无裂纹、渗漏；工作性能应良好可靠；安全阀操作灵敏。</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3.14</w:t>
      </w:r>
      <w:r>
        <w:rPr>
          <w:rFonts w:hint="eastAsia" w:ascii="宋体" w:hAnsi="宋体"/>
          <w:szCs w:val="21"/>
          <w:lang w:eastAsia="zh-CN"/>
        </w:rPr>
        <w:t>、</w:t>
      </w:r>
      <w:r>
        <w:rPr>
          <w:rFonts w:hint="eastAsia" w:ascii="宋体" w:hAnsi="宋体"/>
          <w:szCs w:val="21"/>
        </w:rPr>
        <w:t>调整螺栓的螺帽应安全牢固。操作手柄定位准确、可靠，不得应震动而变位。</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3.15</w:t>
      </w:r>
      <w:r>
        <w:rPr>
          <w:rFonts w:hint="eastAsia" w:ascii="宋体" w:hAnsi="宋体"/>
          <w:szCs w:val="21"/>
          <w:lang w:eastAsia="zh-CN"/>
        </w:rPr>
        <w:t>、</w:t>
      </w:r>
      <w:r>
        <w:rPr>
          <w:rFonts w:hint="eastAsia" w:ascii="宋体" w:hAnsi="宋体"/>
          <w:szCs w:val="21"/>
        </w:rPr>
        <w:t>设备的噪音和振动应符合国家相关标准。</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3.16</w:t>
      </w:r>
      <w:r>
        <w:rPr>
          <w:rFonts w:hint="eastAsia" w:ascii="宋体" w:hAnsi="宋体"/>
          <w:szCs w:val="21"/>
          <w:lang w:eastAsia="zh-CN"/>
        </w:rPr>
        <w:t>、</w:t>
      </w:r>
      <w:r>
        <w:rPr>
          <w:rFonts w:hint="eastAsia" w:ascii="宋体" w:hAnsi="宋体"/>
          <w:szCs w:val="21"/>
        </w:rPr>
        <w:t>叉车要尽量采用各种阻燃材料从本质上来预防火灾的发生</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w:t>
      </w:r>
      <w:r>
        <w:rPr>
          <w:rFonts w:hint="eastAsia" w:ascii="宋体" w:hAnsi="宋体"/>
          <w:szCs w:val="21"/>
          <w:lang w:eastAsia="zh-CN"/>
        </w:rPr>
        <w:t>、</w:t>
      </w:r>
      <w:r>
        <w:rPr>
          <w:rFonts w:hint="eastAsia" w:ascii="宋体" w:hAnsi="宋体"/>
          <w:szCs w:val="21"/>
        </w:rPr>
        <w:t>招标人提出的特别技术要求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4.1</w:t>
      </w:r>
      <w:r>
        <w:rPr>
          <w:rFonts w:hint="eastAsia" w:ascii="宋体" w:hAnsi="宋体"/>
          <w:szCs w:val="21"/>
          <w:lang w:eastAsia="zh-CN"/>
        </w:rPr>
        <w:t>、</w:t>
      </w:r>
      <w:r>
        <w:rPr>
          <w:rFonts w:hint="eastAsia" w:ascii="宋体" w:hAnsi="宋体"/>
          <w:szCs w:val="21"/>
        </w:rPr>
        <w:t>必须对所有技术条款逐条解释并满足使用环境。</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4.2</w:t>
      </w:r>
      <w:r>
        <w:rPr>
          <w:rFonts w:hint="eastAsia" w:ascii="宋体" w:hAnsi="宋体"/>
          <w:szCs w:val="21"/>
          <w:lang w:eastAsia="zh-CN"/>
        </w:rPr>
        <w:t>、</w:t>
      </w:r>
      <w:r>
        <w:rPr>
          <w:rFonts w:hint="eastAsia" w:ascii="宋体" w:hAnsi="宋体"/>
          <w:szCs w:val="21"/>
        </w:rPr>
        <w:t>标书中未提及的技术要求必须符合国家的相关要求。</w:t>
      </w:r>
    </w:p>
    <w:p>
      <w:pPr>
        <w:adjustRightInd w:val="0"/>
        <w:snapToGrid w:val="0"/>
        <w:spacing w:before="156" w:beforeLines="50" w:line="360" w:lineRule="auto"/>
        <w:ind w:left="315" w:hanging="315" w:hangingChars="150"/>
        <w:rPr>
          <w:rFonts w:hint="eastAsia" w:ascii="宋体" w:hAnsi="宋体"/>
          <w:szCs w:val="21"/>
        </w:rPr>
      </w:pPr>
      <w:r>
        <w:rPr>
          <w:rFonts w:hint="eastAsia" w:ascii="宋体" w:hAnsi="宋体"/>
          <w:szCs w:val="21"/>
        </w:rPr>
        <w:t xml:space="preserve"> 4.3</w:t>
      </w:r>
      <w:r>
        <w:rPr>
          <w:rFonts w:hint="eastAsia" w:ascii="宋体" w:hAnsi="宋体"/>
          <w:szCs w:val="21"/>
          <w:lang w:eastAsia="zh-CN"/>
        </w:rPr>
        <w:t>、</w:t>
      </w:r>
      <w:r>
        <w:rPr>
          <w:rFonts w:hint="eastAsia" w:ascii="宋体" w:hAnsi="宋体"/>
          <w:szCs w:val="21"/>
        </w:rPr>
        <w:t>上表分项报价合计价格与投标报价设备总价格必须一致。</w:t>
      </w:r>
    </w:p>
    <w:p>
      <w:pPr>
        <w:adjustRightInd w:val="0"/>
        <w:snapToGrid w:val="0"/>
        <w:spacing w:before="156" w:beforeLines="50" w:line="360" w:lineRule="auto"/>
        <w:ind w:left="315" w:hanging="315" w:hangingChars="150"/>
        <w:rPr>
          <w:rFonts w:hint="eastAsia" w:ascii="宋体" w:hAnsi="宋体"/>
          <w:szCs w:val="21"/>
          <w:lang w:val="en-US" w:eastAsia="zh-CN"/>
        </w:rPr>
      </w:pPr>
      <w:r>
        <w:rPr>
          <w:rFonts w:hint="eastAsia" w:ascii="宋体" w:hAnsi="宋体"/>
          <w:szCs w:val="21"/>
          <w:lang w:val="en-US" w:eastAsia="zh-CN"/>
        </w:rPr>
        <w:t>* 4.4、办理特种设备检验及注册。</w:t>
      </w:r>
    </w:p>
    <w:p>
      <w:pPr>
        <w:pStyle w:val="16"/>
        <w:jc w:val="center"/>
      </w:pPr>
      <w:r>
        <w:rPr>
          <w:rFonts w:hint="eastAsia" w:ascii="黑体" w:hAnsi="黑体" w:cs="Times New Roman"/>
          <w:b/>
          <w:bCs/>
          <w:sz w:val="32"/>
          <w:szCs w:val="24"/>
        </w:rPr>
        <w:t>第二节 备件和工具</w:t>
      </w:r>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所有为设备的安装、试运行、质保期内和质保期后1年必备的备件、消耗品，包括专用工具、仪器、仪表等，在设备交货时提供。推迟的交货期将按照设备推迟交货计算。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中标方还应进一步提供设备上的所需的备件、易耗品及标准件的货源地，包括润滑油脂。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中标人备件价格在设备开始使用的3年内必须维持稳定。</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5年后在备件停止生产后，如果招标人要求，中标人应免费向买方提供备件的蓝图、图纸和规格。</w:t>
      </w:r>
    </w:p>
    <w:p>
      <w:pPr>
        <w:pStyle w:val="6"/>
        <w:adjustRightInd w:val="0"/>
        <w:snapToGrid w:val="0"/>
        <w:spacing w:before="156" w:beforeLines="50" w:line="360" w:lineRule="auto"/>
        <w:rPr>
          <w:rFonts w:ascii="宋体" w:hAnsi="宋体"/>
          <w:szCs w:val="21"/>
        </w:rPr>
      </w:pPr>
    </w:p>
    <w:p>
      <w:pPr>
        <w:pStyle w:val="16"/>
        <w:jc w:val="center"/>
      </w:pPr>
      <w:bookmarkStart w:id="2" w:name="_Toc357086346"/>
      <w:r>
        <w:rPr>
          <w:rFonts w:hint="eastAsia" w:ascii="黑体" w:hAnsi="黑体" w:cs="Times New Roman"/>
          <w:b/>
          <w:bCs/>
          <w:sz w:val="32"/>
          <w:szCs w:val="24"/>
        </w:rPr>
        <w:t>第三节 设备出厂前检验</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before="156" w:beforeLines="50" w:line="360" w:lineRule="auto"/>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3" w:name="_Toc357086347"/>
      <w:r>
        <w:rPr>
          <w:rFonts w:hint="eastAsia" w:ascii="黑体" w:hAnsi="黑体" w:cs="Times New Roman"/>
          <w:b/>
          <w:bCs/>
          <w:sz w:val="32"/>
          <w:szCs w:val="24"/>
        </w:rPr>
        <w:t>第四节 技术服务</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firstLine="525"/>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firstLine="525"/>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firstLine="525"/>
        <w:rPr>
          <w:rFonts w:ascii="宋体" w:hAnsi="宋体"/>
          <w:szCs w:val="21"/>
        </w:rPr>
      </w:pPr>
      <w:r>
        <w:rPr>
          <w:rFonts w:hint="eastAsia" w:ascii="宋体" w:hAnsi="宋体"/>
          <w:szCs w:val="21"/>
        </w:rPr>
        <w:t>——培训招标人人员。</w:t>
      </w:r>
    </w:p>
    <w:p>
      <w:pPr>
        <w:adjustRightInd w:val="0"/>
        <w:snapToGrid w:val="0"/>
        <w:spacing w:before="156" w:beforeLines="50" w:line="360" w:lineRule="auto"/>
        <w:ind w:firstLine="525"/>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firstLine="525"/>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4" w:name="_Toc357086348"/>
      <w:r>
        <w:rPr>
          <w:rFonts w:hint="eastAsia" w:ascii="黑体" w:hAnsi="黑体" w:cs="Times New Roman"/>
          <w:b/>
          <w:bCs/>
          <w:sz w:val="32"/>
          <w:szCs w:val="24"/>
        </w:rPr>
        <w:t>第五节 安装、检验、调试、试运行及验收</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在该附录中：</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708" w:leftChars="135" w:hanging="425"/>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设备到货应随机提供出厂验收报告。</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4、配套检修工具，配齐设备安装所需的所有调整垫铁（要求可调整垫铁）、垫块及调整螺栓。</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5、厂家负责提前提供设备安装基础图。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w:t>
      </w:r>
      <w:r>
        <w:rPr>
          <w:rFonts w:ascii="宋体" w:hAnsi="宋体"/>
          <w:szCs w:val="21"/>
        </w:rPr>
        <w:t>设备的组装、空载试验、带载试验、试运行、</w:t>
      </w:r>
      <w:r>
        <w:rPr>
          <w:rFonts w:hint="eastAsia" w:ascii="宋体" w:hAnsi="宋体"/>
          <w:szCs w:val="21"/>
        </w:rPr>
        <w:t>所用的试件有供货方提供。</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7、调试所用润滑油、润滑脂有供货方提供。</w:t>
      </w: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5" w:name="_Toc357086349"/>
      <w:r>
        <w:rPr>
          <w:rFonts w:hint="eastAsia" w:ascii="黑体" w:hAnsi="黑体" w:cs="Times New Roman"/>
          <w:b/>
          <w:bCs/>
          <w:sz w:val="32"/>
          <w:szCs w:val="24"/>
        </w:rPr>
        <w:t>第六节 质量保证</w:t>
      </w:r>
      <w:bookmarkEnd w:id="5"/>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中标方应有对设备大修周期、使用寿命及各主要部件的寿命承诺。</w:t>
      </w:r>
    </w:p>
    <w:p>
      <w:pPr>
        <w:pStyle w:val="16"/>
        <w:jc w:val="center"/>
      </w:pPr>
      <w:r>
        <w:rPr>
          <w:rFonts w:hint="eastAsia" w:ascii="宋体" w:hAnsi="宋体"/>
          <w:szCs w:val="21"/>
        </w:rPr>
        <w:br w:type="page"/>
      </w:r>
      <w:bookmarkStart w:id="6" w:name="_Toc357086350"/>
      <w:r>
        <w:rPr>
          <w:rFonts w:hint="eastAsia" w:ascii="黑体" w:hAnsi="黑体" w:cs="Times New Roman"/>
          <w:b/>
          <w:bCs/>
          <w:sz w:val="32"/>
          <w:szCs w:val="24"/>
        </w:rPr>
        <w:t>第七节 技术资料和图纸</w:t>
      </w:r>
      <w:bookmarkEnd w:id="6"/>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w:t>
      </w:r>
      <w:r>
        <w:rPr>
          <w:rFonts w:hint="eastAsia" w:ascii="宋体" w:hAnsi="宋体"/>
          <w:szCs w:val="21"/>
          <w:u w:val="single"/>
        </w:rPr>
        <w:t xml:space="preserve"> 6 </w:t>
      </w:r>
      <w:r>
        <w:rPr>
          <w:rFonts w:hint="eastAsia" w:ascii="宋体" w:hAnsi="宋体"/>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总图及安装基础图</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完整的技术特征及说明书</w:t>
      </w:r>
    </w:p>
    <w:p>
      <w:pPr>
        <w:adjustRightInd w:val="0"/>
        <w:snapToGrid w:val="0"/>
        <w:spacing w:before="156" w:beforeLines="50" w:line="360" w:lineRule="auto"/>
        <w:ind w:left="281" w:leftChars="134" w:firstLine="424" w:firstLineChars="202"/>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line="360" w:lineRule="auto"/>
        <w:rPr>
          <w:rFonts w:ascii="宋体" w:hAnsi="宋体"/>
          <w:spacing w:val="-5"/>
          <w:kern w:val="0"/>
          <w:szCs w:val="21"/>
        </w:rPr>
      </w:pPr>
    </w:p>
    <w:p>
      <w:pPr>
        <w:adjustRightInd w:val="0"/>
        <w:snapToGrid w:val="0"/>
        <w:spacing w:line="360" w:lineRule="auto"/>
        <w:rPr>
          <w:rFonts w:ascii="宋体" w:hAnsi="宋体"/>
          <w:spacing w:val="-5"/>
          <w:kern w:val="0"/>
          <w:szCs w:val="21"/>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tabs>
          <w:tab w:val="left" w:pos="2340"/>
        </w:tabs>
        <w:spacing w:line="480" w:lineRule="auto"/>
        <w:ind w:left="630" w:leftChars="300" w:firstLine="321" w:firstLineChars="100"/>
        <w:jc w:val="left"/>
        <w:rPr>
          <w:rFonts w:hint="eastAsia" w:ascii="黑体" w:hAnsi="黑体" w:eastAsia="黑体" w:cs="Times New Roman"/>
          <w:b/>
          <w:bCs/>
          <w:kern w:val="0"/>
          <w:sz w:val="32"/>
          <w:szCs w:val="24"/>
          <w:lang w:val="en-US" w:eastAsia="zh-CN" w:bidi="ar-SA"/>
        </w:rPr>
      </w:pPr>
    </w:p>
    <w:p>
      <w:pPr>
        <w:numPr>
          <w:ilvl w:val="0"/>
          <w:numId w:val="2"/>
        </w:numPr>
        <w:tabs>
          <w:tab w:val="left" w:pos="2340"/>
        </w:tabs>
        <w:spacing w:line="480" w:lineRule="auto"/>
        <w:ind w:left="630" w:leftChars="300" w:firstLine="321" w:firstLineChars="100"/>
        <w:jc w:val="center"/>
        <w:rPr>
          <w:rFonts w:hint="eastAsia" w:ascii="黑体" w:hAnsi="黑体" w:eastAsia="黑体" w:cs="Times New Roman"/>
          <w:b/>
          <w:bCs/>
          <w:kern w:val="0"/>
          <w:sz w:val="32"/>
          <w:szCs w:val="24"/>
          <w:lang w:val="en-US" w:eastAsia="zh-CN" w:bidi="ar-SA"/>
        </w:rPr>
      </w:pPr>
      <w:r>
        <w:rPr>
          <w:rFonts w:hint="eastAsia" w:ascii="黑体" w:hAnsi="黑体" w:eastAsia="黑体" w:cs="Times New Roman"/>
          <w:b/>
          <w:bCs/>
          <w:kern w:val="0"/>
          <w:sz w:val="32"/>
          <w:szCs w:val="24"/>
          <w:lang w:val="en-US" w:eastAsia="zh-CN" w:bidi="ar-SA"/>
        </w:rPr>
        <w:t>设计和制造标准</w:t>
      </w:r>
    </w:p>
    <w:p>
      <w:pPr>
        <w:pStyle w:val="17"/>
        <w:tabs>
          <w:tab w:val="left" w:pos="1290"/>
          <w:tab w:val="left" w:pos="1680"/>
        </w:tabs>
        <w:adjustRightInd w:val="0"/>
        <w:snapToGrid w:val="0"/>
        <w:spacing w:beforeLines="50" w:after="0" w:line="360" w:lineRule="auto"/>
        <w:ind w:left="283" w:hanging="283" w:hangingChars="135"/>
        <w:rPr>
          <w:rFonts w:hint="eastAsia" w:ascii="黑体" w:hAnsi="黑体" w:eastAsia="黑体" w:cs="Times New Roman"/>
          <w:b/>
          <w:bCs/>
          <w:kern w:val="0"/>
          <w:sz w:val="32"/>
          <w:szCs w:val="24"/>
          <w:lang w:val="en-US" w:eastAsia="zh-CN" w:bidi="ar-SA"/>
        </w:rPr>
      </w:pPr>
      <w:r>
        <w:rPr>
          <w:rFonts w:hAnsi="宋体"/>
          <w:sz w:val="21"/>
          <w:szCs w:val="21"/>
        </w:rPr>
        <w:t>1.</w:t>
      </w:r>
      <w:r>
        <w:rPr>
          <w:rFonts w:hint="eastAsia" w:hAnsi="宋体"/>
          <w:sz w:val="21"/>
          <w:szCs w:val="21"/>
        </w:rPr>
        <w:t xml:space="preserve"> </w:t>
      </w:r>
      <w:r>
        <w:rPr>
          <w:rFonts w:hAnsi="宋体"/>
          <w:sz w:val="21"/>
          <w:szCs w:val="21"/>
        </w:rPr>
        <w:t>所供应的货物将按下列标准（推荐）进行设计和制造</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GB3811-83起重机设计规范；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GB5905-86起重机械试验规范和程序；</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98/37EEC  欧盟有关机械法律的指令 </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EN1726-1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89/336/EEC欧盟电磁兼容性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ENL2895    欧盟工业车辆强制性标准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12000/14/EC欧盟有关噪声释放法规</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GB/T19002  中国工程机械国家标准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IS09001: 2000国际标准化组织标准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JB/JQ4000.3-86焊接通用技术条件；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CB3323-87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JB4315  起重机电控设备标准；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GB4208-84  外壳防护等级的分类；</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GB12602-90起重机械超载保护装置安全技术规范。</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GB6067-85  起重机械安全规程；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GBTl2467-90焊接质量保证一般原则；</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GB985-80    气焊、手工电弧焊及气体保护焊焊缝坡口的基本形式与尺寸；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GB986-80    埋弧焊焊缝坡口的基本形式与尺寸；</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JB/JQ4000. 3-86  焊接通用技术条件：</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GB3323-87  钢熔化焊对接接头射线照相和质量分级：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JB/T4730-94压力容器无损检测；</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GB9286-88  色漆和清漆漆膜的划格试验；</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GB8923-88  涂装前钢材表面锈蚀等级和除锈等级；</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电器：IEC标准/EN标准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机械：ISO标准</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若货物原产国的国家标准或目前使用的企业标准高于上述标准，同样适用。</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设备的设计与制造要求采用国际公制单位，个别部件采用英制单位应列出清单。</w:t>
      </w:r>
    </w:p>
    <w:p>
      <w:pPr>
        <w:spacing w:line="360" w:lineRule="exact"/>
        <w:rPr>
          <w:rFonts w:hint="eastAsia" w:ascii="宋体" w:hAnsi="宋体" w:eastAsia="宋体" w:cs="宋体"/>
          <w:color w:val="000000"/>
          <w:sz w:val="21"/>
          <w:szCs w:val="21"/>
        </w:rPr>
      </w:pPr>
      <w:r>
        <w:rPr>
          <w:rFonts w:hint="eastAsia" w:ascii="宋体" w:hAnsi="宋体" w:eastAsia="宋体" w:cs="宋体"/>
          <w:color w:val="000000"/>
          <w:sz w:val="21"/>
          <w:szCs w:val="21"/>
        </w:rPr>
        <w:t>上述标准均应为投标截止日时的最新有效版。</w:t>
      </w:r>
    </w:p>
    <w:p>
      <w:pPr>
        <w:spacing w:line="360" w:lineRule="auto"/>
        <w:rPr>
          <w:rFonts w:ascii="仿宋" w:hAnsi="仿宋" w:eastAsia="仿宋"/>
          <w:sz w:val="24"/>
        </w:rPr>
      </w:pPr>
      <w:r>
        <w:rPr>
          <w:rFonts w:hint="eastAsia" w:ascii="宋体" w:hAnsi="宋体" w:eastAsia="宋体" w:cs="宋体"/>
          <w:color w:val="000000"/>
          <w:sz w:val="21"/>
          <w:szCs w:val="21"/>
        </w:rPr>
        <w:t>有效版。</w:t>
      </w:r>
    </w:p>
    <w:p>
      <w:pPr>
        <w:spacing w:line="360" w:lineRule="auto"/>
        <w:rPr>
          <w:rFonts w:ascii="仿宋" w:hAnsi="仿宋" w:eastAsia="仿宋"/>
          <w:sz w:val="24"/>
        </w:rPr>
      </w:pPr>
    </w:p>
    <w:p>
      <w:pPr>
        <w:spacing w:line="360" w:lineRule="auto"/>
        <w:rPr>
          <w:rFonts w:ascii="仿宋" w:hAnsi="仿宋" w:eastAsia="仿宋"/>
          <w:sz w:val="24"/>
        </w:rPr>
      </w:pP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EA3B"/>
    <w:multiLevelType w:val="singleLevel"/>
    <w:tmpl w:val="10EAEA3B"/>
    <w:lvl w:ilvl="0" w:tentative="0">
      <w:start w:val="8"/>
      <w:numFmt w:val="chineseCounting"/>
      <w:suff w:val="space"/>
      <w:lvlText w:val="第%1节"/>
      <w:lvlJc w:val="left"/>
      <w:rPr>
        <w:rFonts w:hint="eastAsia"/>
      </w:rPr>
    </w:lvl>
  </w:abstractNum>
  <w:abstractNum w:abstractNumId="1">
    <w:nsid w:val="29617D31"/>
    <w:multiLevelType w:val="singleLevel"/>
    <w:tmpl w:val="29617D3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4AED"/>
    <w:rsid w:val="00003281"/>
    <w:rsid w:val="00015381"/>
    <w:rsid w:val="00026E8B"/>
    <w:rsid w:val="00030C5C"/>
    <w:rsid w:val="00034491"/>
    <w:rsid w:val="000349FF"/>
    <w:rsid w:val="00040FAA"/>
    <w:rsid w:val="00045A4A"/>
    <w:rsid w:val="00046387"/>
    <w:rsid w:val="00046393"/>
    <w:rsid w:val="00060DA9"/>
    <w:rsid w:val="00061FFC"/>
    <w:rsid w:val="00062A06"/>
    <w:rsid w:val="00074BAA"/>
    <w:rsid w:val="0008777B"/>
    <w:rsid w:val="000919ED"/>
    <w:rsid w:val="00097BBE"/>
    <w:rsid w:val="000B4A8F"/>
    <w:rsid w:val="000C002E"/>
    <w:rsid w:val="000D5B51"/>
    <w:rsid w:val="000F7B2D"/>
    <w:rsid w:val="0010350A"/>
    <w:rsid w:val="001310B9"/>
    <w:rsid w:val="00134206"/>
    <w:rsid w:val="00142DC8"/>
    <w:rsid w:val="00151CC7"/>
    <w:rsid w:val="00152AAB"/>
    <w:rsid w:val="00152D9A"/>
    <w:rsid w:val="0015579C"/>
    <w:rsid w:val="00155A24"/>
    <w:rsid w:val="00156431"/>
    <w:rsid w:val="001608A6"/>
    <w:rsid w:val="00162CD6"/>
    <w:rsid w:val="001714A2"/>
    <w:rsid w:val="0017236C"/>
    <w:rsid w:val="00173B13"/>
    <w:rsid w:val="00174859"/>
    <w:rsid w:val="00175505"/>
    <w:rsid w:val="001803C1"/>
    <w:rsid w:val="001A1EEB"/>
    <w:rsid w:val="001C2A35"/>
    <w:rsid w:val="001D231F"/>
    <w:rsid w:val="001F5595"/>
    <w:rsid w:val="0020043E"/>
    <w:rsid w:val="00205A97"/>
    <w:rsid w:val="00207B07"/>
    <w:rsid w:val="00207DB2"/>
    <w:rsid w:val="0021131F"/>
    <w:rsid w:val="00213B0F"/>
    <w:rsid w:val="0023207D"/>
    <w:rsid w:val="0023500D"/>
    <w:rsid w:val="0024361C"/>
    <w:rsid w:val="00247066"/>
    <w:rsid w:val="00254199"/>
    <w:rsid w:val="002557C5"/>
    <w:rsid w:val="002633A5"/>
    <w:rsid w:val="00264D5A"/>
    <w:rsid w:val="0027133A"/>
    <w:rsid w:val="002744A6"/>
    <w:rsid w:val="00275B86"/>
    <w:rsid w:val="00276946"/>
    <w:rsid w:val="00284BB6"/>
    <w:rsid w:val="002902C1"/>
    <w:rsid w:val="00292D0F"/>
    <w:rsid w:val="002A0807"/>
    <w:rsid w:val="002A7675"/>
    <w:rsid w:val="002B1E52"/>
    <w:rsid w:val="002B5148"/>
    <w:rsid w:val="002C2B1B"/>
    <w:rsid w:val="002C75B6"/>
    <w:rsid w:val="002D5779"/>
    <w:rsid w:val="002D5BFD"/>
    <w:rsid w:val="002E17F4"/>
    <w:rsid w:val="002E4385"/>
    <w:rsid w:val="0030306D"/>
    <w:rsid w:val="003133E1"/>
    <w:rsid w:val="00315A14"/>
    <w:rsid w:val="00324547"/>
    <w:rsid w:val="00324AED"/>
    <w:rsid w:val="00327C2C"/>
    <w:rsid w:val="003370AA"/>
    <w:rsid w:val="00340D51"/>
    <w:rsid w:val="003417A1"/>
    <w:rsid w:val="00343D04"/>
    <w:rsid w:val="0034597B"/>
    <w:rsid w:val="00352FC9"/>
    <w:rsid w:val="003538D6"/>
    <w:rsid w:val="00355943"/>
    <w:rsid w:val="0035699D"/>
    <w:rsid w:val="0036001B"/>
    <w:rsid w:val="003708D1"/>
    <w:rsid w:val="00386656"/>
    <w:rsid w:val="00397872"/>
    <w:rsid w:val="003A31FB"/>
    <w:rsid w:val="003A43AD"/>
    <w:rsid w:val="003B3F9D"/>
    <w:rsid w:val="003C1462"/>
    <w:rsid w:val="003D0832"/>
    <w:rsid w:val="003D621C"/>
    <w:rsid w:val="003E5F20"/>
    <w:rsid w:val="003E75F1"/>
    <w:rsid w:val="003F38A7"/>
    <w:rsid w:val="004010AF"/>
    <w:rsid w:val="004021E7"/>
    <w:rsid w:val="00405B14"/>
    <w:rsid w:val="00413602"/>
    <w:rsid w:val="00415933"/>
    <w:rsid w:val="004171CC"/>
    <w:rsid w:val="0042104A"/>
    <w:rsid w:val="00424C95"/>
    <w:rsid w:val="00433399"/>
    <w:rsid w:val="0044291A"/>
    <w:rsid w:val="004513FD"/>
    <w:rsid w:val="00462545"/>
    <w:rsid w:val="0046284D"/>
    <w:rsid w:val="00481D87"/>
    <w:rsid w:val="004954E0"/>
    <w:rsid w:val="004A5487"/>
    <w:rsid w:val="004B6539"/>
    <w:rsid w:val="004C2832"/>
    <w:rsid w:val="004D4587"/>
    <w:rsid w:val="004E0346"/>
    <w:rsid w:val="004E5B57"/>
    <w:rsid w:val="004F5D0C"/>
    <w:rsid w:val="00501850"/>
    <w:rsid w:val="00502BE3"/>
    <w:rsid w:val="0050670E"/>
    <w:rsid w:val="005210D7"/>
    <w:rsid w:val="005210E1"/>
    <w:rsid w:val="00522FE4"/>
    <w:rsid w:val="005245F4"/>
    <w:rsid w:val="00524A09"/>
    <w:rsid w:val="00526241"/>
    <w:rsid w:val="005357F0"/>
    <w:rsid w:val="00560408"/>
    <w:rsid w:val="00564646"/>
    <w:rsid w:val="0057357C"/>
    <w:rsid w:val="0058609D"/>
    <w:rsid w:val="00590E5E"/>
    <w:rsid w:val="00595E43"/>
    <w:rsid w:val="00596F47"/>
    <w:rsid w:val="00597692"/>
    <w:rsid w:val="005A6A5C"/>
    <w:rsid w:val="005B7C05"/>
    <w:rsid w:val="005C1073"/>
    <w:rsid w:val="005C2EC1"/>
    <w:rsid w:val="005C3259"/>
    <w:rsid w:val="005C342E"/>
    <w:rsid w:val="005D117A"/>
    <w:rsid w:val="005D4DD3"/>
    <w:rsid w:val="005E1806"/>
    <w:rsid w:val="005E2C8D"/>
    <w:rsid w:val="005E35A2"/>
    <w:rsid w:val="005E7A41"/>
    <w:rsid w:val="005F05C5"/>
    <w:rsid w:val="005F6C66"/>
    <w:rsid w:val="00604F0E"/>
    <w:rsid w:val="00607817"/>
    <w:rsid w:val="006118E4"/>
    <w:rsid w:val="00616668"/>
    <w:rsid w:val="006243C7"/>
    <w:rsid w:val="00635E5F"/>
    <w:rsid w:val="00644CBA"/>
    <w:rsid w:val="0064539F"/>
    <w:rsid w:val="00665A02"/>
    <w:rsid w:val="00665D70"/>
    <w:rsid w:val="00671C1F"/>
    <w:rsid w:val="00673DB7"/>
    <w:rsid w:val="00674855"/>
    <w:rsid w:val="00680B0F"/>
    <w:rsid w:val="0068763C"/>
    <w:rsid w:val="00695B06"/>
    <w:rsid w:val="006A0E1D"/>
    <w:rsid w:val="006A1896"/>
    <w:rsid w:val="006B3D97"/>
    <w:rsid w:val="006C2B88"/>
    <w:rsid w:val="006C3017"/>
    <w:rsid w:val="006C3ED5"/>
    <w:rsid w:val="006D365C"/>
    <w:rsid w:val="006E2EFD"/>
    <w:rsid w:val="006E52DC"/>
    <w:rsid w:val="006F7261"/>
    <w:rsid w:val="00724E95"/>
    <w:rsid w:val="0072646E"/>
    <w:rsid w:val="0073246F"/>
    <w:rsid w:val="00734DF3"/>
    <w:rsid w:val="00735070"/>
    <w:rsid w:val="007404F7"/>
    <w:rsid w:val="0074278F"/>
    <w:rsid w:val="00765FB3"/>
    <w:rsid w:val="00782F74"/>
    <w:rsid w:val="00786E22"/>
    <w:rsid w:val="00790A71"/>
    <w:rsid w:val="007961CF"/>
    <w:rsid w:val="00796B6E"/>
    <w:rsid w:val="007A37E8"/>
    <w:rsid w:val="007A5778"/>
    <w:rsid w:val="007F0CF7"/>
    <w:rsid w:val="007F5815"/>
    <w:rsid w:val="007F6555"/>
    <w:rsid w:val="0080693E"/>
    <w:rsid w:val="00807102"/>
    <w:rsid w:val="008156D9"/>
    <w:rsid w:val="00826F56"/>
    <w:rsid w:val="0083250C"/>
    <w:rsid w:val="00843418"/>
    <w:rsid w:val="00845825"/>
    <w:rsid w:val="00852959"/>
    <w:rsid w:val="00853966"/>
    <w:rsid w:val="00863A34"/>
    <w:rsid w:val="00877DB3"/>
    <w:rsid w:val="00881676"/>
    <w:rsid w:val="00882500"/>
    <w:rsid w:val="0088601A"/>
    <w:rsid w:val="00890998"/>
    <w:rsid w:val="00891B7E"/>
    <w:rsid w:val="00897BC6"/>
    <w:rsid w:val="008A2F0D"/>
    <w:rsid w:val="008B5D3A"/>
    <w:rsid w:val="008C2E31"/>
    <w:rsid w:val="008D648D"/>
    <w:rsid w:val="008E4684"/>
    <w:rsid w:val="00905422"/>
    <w:rsid w:val="009054B3"/>
    <w:rsid w:val="0091060D"/>
    <w:rsid w:val="0092369C"/>
    <w:rsid w:val="009269DC"/>
    <w:rsid w:val="00940A84"/>
    <w:rsid w:val="00943FA8"/>
    <w:rsid w:val="00947716"/>
    <w:rsid w:val="00947E03"/>
    <w:rsid w:val="00955583"/>
    <w:rsid w:val="009555FC"/>
    <w:rsid w:val="00977779"/>
    <w:rsid w:val="00986153"/>
    <w:rsid w:val="00992860"/>
    <w:rsid w:val="00993163"/>
    <w:rsid w:val="009933CD"/>
    <w:rsid w:val="00996A9F"/>
    <w:rsid w:val="009A1731"/>
    <w:rsid w:val="009B52B4"/>
    <w:rsid w:val="009B7AFD"/>
    <w:rsid w:val="009C560A"/>
    <w:rsid w:val="009D05E6"/>
    <w:rsid w:val="009D16D9"/>
    <w:rsid w:val="009D4F7B"/>
    <w:rsid w:val="009F0088"/>
    <w:rsid w:val="009F01EC"/>
    <w:rsid w:val="009F700A"/>
    <w:rsid w:val="00A0156C"/>
    <w:rsid w:val="00A04165"/>
    <w:rsid w:val="00A069C4"/>
    <w:rsid w:val="00A1147B"/>
    <w:rsid w:val="00A116B9"/>
    <w:rsid w:val="00A1200E"/>
    <w:rsid w:val="00A12475"/>
    <w:rsid w:val="00A14213"/>
    <w:rsid w:val="00A1799B"/>
    <w:rsid w:val="00A2367D"/>
    <w:rsid w:val="00A25B21"/>
    <w:rsid w:val="00A30913"/>
    <w:rsid w:val="00A313B3"/>
    <w:rsid w:val="00A34545"/>
    <w:rsid w:val="00A36918"/>
    <w:rsid w:val="00A37FAA"/>
    <w:rsid w:val="00A6162C"/>
    <w:rsid w:val="00A61C2E"/>
    <w:rsid w:val="00A678FB"/>
    <w:rsid w:val="00A67AA5"/>
    <w:rsid w:val="00A8273B"/>
    <w:rsid w:val="00A86189"/>
    <w:rsid w:val="00A90896"/>
    <w:rsid w:val="00A9110C"/>
    <w:rsid w:val="00AA1072"/>
    <w:rsid w:val="00AA563E"/>
    <w:rsid w:val="00AB2145"/>
    <w:rsid w:val="00AB7D21"/>
    <w:rsid w:val="00AB7E73"/>
    <w:rsid w:val="00AC3394"/>
    <w:rsid w:val="00AD68D8"/>
    <w:rsid w:val="00AE2322"/>
    <w:rsid w:val="00AE3F1F"/>
    <w:rsid w:val="00AE66AF"/>
    <w:rsid w:val="00AF260A"/>
    <w:rsid w:val="00AF3575"/>
    <w:rsid w:val="00B031C1"/>
    <w:rsid w:val="00B03A0D"/>
    <w:rsid w:val="00B045D4"/>
    <w:rsid w:val="00B10346"/>
    <w:rsid w:val="00B15920"/>
    <w:rsid w:val="00B1737F"/>
    <w:rsid w:val="00B24159"/>
    <w:rsid w:val="00B246C9"/>
    <w:rsid w:val="00B30220"/>
    <w:rsid w:val="00B335EE"/>
    <w:rsid w:val="00B363E6"/>
    <w:rsid w:val="00B42553"/>
    <w:rsid w:val="00B45AE6"/>
    <w:rsid w:val="00B479F5"/>
    <w:rsid w:val="00B54F72"/>
    <w:rsid w:val="00B615D0"/>
    <w:rsid w:val="00B619FB"/>
    <w:rsid w:val="00B6712E"/>
    <w:rsid w:val="00B73000"/>
    <w:rsid w:val="00B81CAE"/>
    <w:rsid w:val="00B8459D"/>
    <w:rsid w:val="00B84856"/>
    <w:rsid w:val="00B93EF8"/>
    <w:rsid w:val="00BA3369"/>
    <w:rsid w:val="00BA3D62"/>
    <w:rsid w:val="00BB0EEE"/>
    <w:rsid w:val="00BB3B5C"/>
    <w:rsid w:val="00BC195C"/>
    <w:rsid w:val="00BC1A1D"/>
    <w:rsid w:val="00BC7C25"/>
    <w:rsid w:val="00BD126A"/>
    <w:rsid w:val="00BD3068"/>
    <w:rsid w:val="00BD4827"/>
    <w:rsid w:val="00BE03C3"/>
    <w:rsid w:val="00BF1B41"/>
    <w:rsid w:val="00C005E2"/>
    <w:rsid w:val="00C04844"/>
    <w:rsid w:val="00C20266"/>
    <w:rsid w:val="00C2200A"/>
    <w:rsid w:val="00C22C5C"/>
    <w:rsid w:val="00C23908"/>
    <w:rsid w:val="00C3204C"/>
    <w:rsid w:val="00C4115D"/>
    <w:rsid w:val="00C46F8A"/>
    <w:rsid w:val="00C53DAE"/>
    <w:rsid w:val="00C56484"/>
    <w:rsid w:val="00C56E68"/>
    <w:rsid w:val="00C61510"/>
    <w:rsid w:val="00C61BEE"/>
    <w:rsid w:val="00C655FD"/>
    <w:rsid w:val="00C70D96"/>
    <w:rsid w:val="00C765C3"/>
    <w:rsid w:val="00C82F57"/>
    <w:rsid w:val="00C843CA"/>
    <w:rsid w:val="00C8649F"/>
    <w:rsid w:val="00C87C9F"/>
    <w:rsid w:val="00C904D9"/>
    <w:rsid w:val="00C945CD"/>
    <w:rsid w:val="00C9562B"/>
    <w:rsid w:val="00CA1942"/>
    <w:rsid w:val="00CA2AAB"/>
    <w:rsid w:val="00CA4400"/>
    <w:rsid w:val="00CA6ADA"/>
    <w:rsid w:val="00CB68B2"/>
    <w:rsid w:val="00CB7A68"/>
    <w:rsid w:val="00CC186D"/>
    <w:rsid w:val="00CD5D1D"/>
    <w:rsid w:val="00CE2302"/>
    <w:rsid w:val="00CF3036"/>
    <w:rsid w:val="00D04856"/>
    <w:rsid w:val="00D10234"/>
    <w:rsid w:val="00D15AFD"/>
    <w:rsid w:val="00D27921"/>
    <w:rsid w:val="00D32F26"/>
    <w:rsid w:val="00D33006"/>
    <w:rsid w:val="00D43F0D"/>
    <w:rsid w:val="00D45A07"/>
    <w:rsid w:val="00D50A55"/>
    <w:rsid w:val="00D5435C"/>
    <w:rsid w:val="00D62122"/>
    <w:rsid w:val="00D621FB"/>
    <w:rsid w:val="00D93117"/>
    <w:rsid w:val="00D95D3F"/>
    <w:rsid w:val="00DA4732"/>
    <w:rsid w:val="00DA6DBC"/>
    <w:rsid w:val="00DA7EB8"/>
    <w:rsid w:val="00DB2C8C"/>
    <w:rsid w:val="00DC0302"/>
    <w:rsid w:val="00DC0DF1"/>
    <w:rsid w:val="00DC42CF"/>
    <w:rsid w:val="00DD144E"/>
    <w:rsid w:val="00DD1B16"/>
    <w:rsid w:val="00DD3D57"/>
    <w:rsid w:val="00DD3E50"/>
    <w:rsid w:val="00DD705D"/>
    <w:rsid w:val="00DE1BDB"/>
    <w:rsid w:val="00DE243A"/>
    <w:rsid w:val="00DE4B38"/>
    <w:rsid w:val="00DF5811"/>
    <w:rsid w:val="00DF6AC4"/>
    <w:rsid w:val="00E00421"/>
    <w:rsid w:val="00E050EF"/>
    <w:rsid w:val="00E12326"/>
    <w:rsid w:val="00E12EBD"/>
    <w:rsid w:val="00E17E02"/>
    <w:rsid w:val="00E33525"/>
    <w:rsid w:val="00E4526B"/>
    <w:rsid w:val="00E461DF"/>
    <w:rsid w:val="00E467B6"/>
    <w:rsid w:val="00E467E1"/>
    <w:rsid w:val="00E62120"/>
    <w:rsid w:val="00E70FE5"/>
    <w:rsid w:val="00E71C65"/>
    <w:rsid w:val="00E73DE8"/>
    <w:rsid w:val="00E74C50"/>
    <w:rsid w:val="00E8366B"/>
    <w:rsid w:val="00E906CD"/>
    <w:rsid w:val="00E93ACA"/>
    <w:rsid w:val="00EA3C6E"/>
    <w:rsid w:val="00EB08C9"/>
    <w:rsid w:val="00EB7AB9"/>
    <w:rsid w:val="00EC239A"/>
    <w:rsid w:val="00EC35BC"/>
    <w:rsid w:val="00EC3729"/>
    <w:rsid w:val="00EC5962"/>
    <w:rsid w:val="00ED1B2D"/>
    <w:rsid w:val="00EE23A6"/>
    <w:rsid w:val="00EE66B8"/>
    <w:rsid w:val="00EF2439"/>
    <w:rsid w:val="00F01E3F"/>
    <w:rsid w:val="00F02491"/>
    <w:rsid w:val="00F02E92"/>
    <w:rsid w:val="00F02EC9"/>
    <w:rsid w:val="00F124E8"/>
    <w:rsid w:val="00F15AC7"/>
    <w:rsid w:val="00F16511"/>
    <w:rsid w:val="00F24373"/>
    <w:rsid w:val="00F25227"/>
    <w:rsid w:val="00F3355C"/>
    <w:rsid w:val="00F411D9"/>
    <w:rsid w:val="00F43474"/>
    <w:rsid w:val="00F54464"/>
    <w:rsid w:val="00F54953"/>
    <w:rsid w:val="00F719AB"/>
    <w:rsid w:val="00F71F70"/>
    <w:rsid w:val="00F75F7C"/>
    <w:rsid w:val="00F76074"/>
    <w:rsid w:val="00F76586"/>
    <w:rsid w:val="00F805B3"/>
    <w:rsid w:val="00F878F9"/>
    <w:rsid w:val="00F92D03"/>
    <w:rsid w:val="00F962A7"/>
    <w:rsid w:val="00FA20BE"/>
    <w:rsid w:val="00FA6B21"/>
    <w:rsid w:val="00FB3542"/>
    <w:rsid w:val="00FB531E"/>
    <w:rsid w:val="00FC6B4B"/>
    <w:rsid w:val="00FD40FE"/>
    <w:rsid w:val="00FD4129"/>
    <w:rsid w:val="00FD776B"/>
    <w:rsid w:val="00FE056A"/>
    <w:rsid w:val="00FE5241"/>
    <w:rsid w:val="00FF6988"/>
    <w:rsid w:val="03A44824"/>
    <w:rsid w:val="03DB239E"/>
    <w:rsid w:val="046C4ECF"/>
    <w:rsid w:val="06686135"/>
    <w:rsid w:val="071612DB"/>
    <w:rsid w:val="09323CC1"/>
    <w:rsid w:val="0A680D7F"/>
    <w:rsid w:val="0B0E0BCB"/>
    <w:rsid w:val="0D6B4F0B"/>
    <w:rsid w:val="0EE93ECE"/>
    <w:rsid w:val="11E574CF"/>
    <w:rsid w:val="133255C8"/>
    <w:rsid w:val="13434039"/>
    <w:rsid w:val="19CC27CF"/>
    <w:rsid w:val="1A22237F"/>
    <w:rsid w:val="1AEB3B03"/>
    <w:rsid w:val="1B0E73D6"/>
    <w:rsid w:val="1E33515E"/>
    <w:rsid w:val="1F35516F"/>
    <w:rsid w:val="22224794"/>
    <w:rsid w:val="222905A5"/>
    <w:rsid w:val="223165C3"/>
    <w:rsid w:val="2256081B"/>
    <w:rsid w:val="22AF209B"/>
    <w:rsid w:val="233F3FAD"/>
    <w:rsid w:val="256F1117"/>
    <w:rsid w:val="27F952F4"/>
    <w:rsid w:val="2BCC2737"/>
    <w:rsid w:val="2C3A5D02"/>
    <w:rsid w:val="2D254106"/>
    <w:rsid w:val="2EC6623B"/>
    <w:rsid w:val="2EDE5393"/>
    <w:rsid w:val="2F7007E0"/>
    <w:rsid w:val="30900F5D"/>
    <w:rsid w:val="31132B60"/>
    <w:rsid w:val="336553E3"/>
    <w:rsid w:val="33A767B0"/>
    <w:rsid w:val="37871DEE"/>
    <w:rsid w:val="3A3969BC"/>
    <w:rsid w:val="3B2376D1"/>
    <w:rsid w:val="3C206577"/>
    <w:rsid w:val="3C9A5934"/>
    <w:rsid w:val="3CAE796B"/>
    <w:rsid w:val="3F2A1BFA"/>
    <w:rsid w:val="3F601A5E"/>
    <w:rsid w:val="3FAF3FE3"/>
    <w:rsid w:val="404845D0"/>
    <w:rsid w:val="41AE489B"/>
    <w:rsid w:val="42DA09F3"/>
    <w:rsid w:val="466C10DE"/>
    <w:rsid w:val="47314FEB"/>
    <w:rsid w:val="48080E6F"/>
    <w:rsid w:val="48432DE7"/>
    <w:rsid w:val="48E35749"/>
    <w:rsid w:val="4A6E40B3"/>
    <w:rsid w:val="4A872AB6"/>
    <w:rsid w:val="4ED86395"/>
    <w:rsid w:val="4F5E2538"/>
    <w:rsid w:val="59312EA0"/>
    <w:rsid w:val="5A1F627F"/>
    <w:rsid w:val="5ABA7C38"/>
    <w:rsid w:val="5ADE1C47"/>
    <w:rsid w:val="5C9850E2"/>
    <w:rsid w:val="61F90053"/>
    <w:rsid w:val="640A4004"/>
    <w:rsid w:val="65A02139"/>
    <w:rsid w:val="663D0895"/>
    <w:rsid w:val="6746372F"/>
    <w:rsid w:val="695542B4"/>
    <w:rsid w:val="6ADA468C"/>
    <w:rsid w:val="6B8B4135"/>
    <w:rsid w:val="6F9130EA"/>
    <w:rsid w:val="752078DA"/>
    <w:rsid w:val="76762EEB"/>
    <w:rsid w:val="7A5D2AE0"/>
    <w:rsid w:val="7A5E5C90"/>
    <w:rsid w:val="7EF645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qFormat="1"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12">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8"/>
    <w:unhideWhenUsed/>
    <w:qFormat/>
    <w:uiPriority w:val="0"/>
    <w:rPr>
      <w:b/>
      <w:bCs/>
      <w:kern w:val="2"/>
      <w:sz w:val="21"/>
    </w:rPr>
  </w:style>
  <w:style w:type="paragraph" w:styleId="5">
    <w:name w:val="annotation text"/>
    <w:basedOn w:val="1"/>
    <w:link w:val="26"/>
    <w:qFormat/>
    <w:uiPriority w:val="0"/>
    <w:pPr>
      <w:jc w:val="left"/>
    </w:pPr>
    <w:rPr>
      <w:kern w:val="0"/>
      <w:sz w:val="20"/>
    </w:rPr>
  </w:style>
  <w:style w:type="paragraph" w:styleId="6">
    <w:name w:val="Body Text"/>
    <w:basedOn w:val="1"/>
    <w:link w:val="23"/>
    <w:qFormat/>
    <w:uiPriority w:val="0"/>
    <w:pPr>
      <w:spacing w:after="120"/>
    </w:pPr>
    <w:rPr>
      <w:kern w:val="0"/>
      <w:sz w:val="20"/>
    </w:rPr>
  </w:style>
  <w:style w:type="paragraph" w:styleId="7">
    <w:name w:val="Plain Text"/>
    <w:basedOn w:val="1"/>
    <w:unhideWhenUsed/>
    <w:qFormat/>
    <w:uiPriority w:val="0"/>
    <w:rPr>
      <w:rFonts w:ascii="宋体"/>
    </w:rPr>
  </w:style>
  <w:style w:type="paragraph" w:styleId="8">
    <w:name w:val="Balloon Text"/>
    <w:basedOn w:val="1"/>
    <w:link w:val="27"/>
    <w:unhideWhenUsed/>
    <w:qFormat/>
    <w:uiPriority w:val="99"/>
    <w:rPr>
      <w:kern w:val="0"/>
      <w:sz w:val="18"/>
      <w:szCs w:val="18"/>
    </w:rPr>
  </w:style>
  <w:style w:type="paragraph" w:styleId="9">
    <w:name w:val="footer"/>
    <w:basedOn w:val="1"/>
    <w:link w:val="25"/>
    <w:unhideWhenUsed/>
    <w:qFormat/>
    <w:uiPriority w:val="99"/>
    <w:pPr>
      <w:tabs>
        <w:tab w:val="center" w:pos="4153"/>
        <w:tab w:val="right" w:pos="8306"/>
      </w:tabs>
      <w:snapToGrid w:val="0"/>
      <w:jc w:val="left"/>
    </w:pPr>
    <w:rPr>
      <w:kern w:val="0"/>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qFormat/>
    <w:uiPriority w:val="0"/>
    <w:pPr>
      <w:snapToGrid w:val="0"/>
      <w:jc w:val="left"/>
    </w:pPr>
    <w:rPr>
      <w:kern w:val="0"/>
      <w:sz w:val="18"/>
      <w:szCs w:val="18"/>
    </w:rPr>
  </w:style>
  <w:style w:type="character" w:styleId="13">
    <w:name w:val="annotation reference"/>
    <w:qFormat/>
    <w:uiPriority w:val="0"/>
    <w:rPr>
      <w:sz w:val="21"/>
      <w:szCs w:val="21"/>
    </w:rPr>
  </w:style>
  <w:style w:type="character" w:styleId="14">
    <w:name w:val="footnote reference"/>
    <w:qFormat/>
    <w:uiPriority w:val="0"/>
    <w:rPr>
      <w:vertAlign w:val="superscript"/>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paragraph" w:customStyle="1" w:styleId="17">
    <w:name w:val="普通 (Web)"/>
    <w:qFormat/>
    <w:uiPriority w:val="0"/>
    <w:pPr>
      <w:spacing w:before="100" w:after="100"/>
    </w:pPr>
    <w:rPr>
      <w:rFonts w:ascii="宋体" w:hAnsi="Times New Roman" w:eastAsia="宋体" w:cs="Times New Roman"/>
      <w:sz w:val="24"/>
      <w:lang w:val="en-US" w:eastAsia="zh-CN" w:bidi="ar-SA"/>
    </w:rPr>
  </w:style>
  <w:style w:type="paragraph" w:customStyle="1" w:styleId="18">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19">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0">
    <w:name w:val="标题 1 Char"/>
    <w:link w:val="2"/>
    <w:qFormat/>
    <w:uiPriority w:val="0"/>
    <w:rPr>
      <w:rFonts w:ascii="Times New Roman" w:hAnsi="Times New Roman" w:eastAsia="宋体" w:cs="Times New Roman"/>
      <w:b/>
      <w:bCs/>
      <w:kern w:val="44"/>
      <w:sz w:val="44"/>
      <w:szCs w:val="44"/>
    </w:rPr>
  </w:style>
  <w:style w:type="character" w:customStyle="1" w:styleId="21">
    <w:name w:val="脚注文本 Char"/>
    <w:link w:val="11"/>
    <w:qFormat/>
    <w:uiPriority w:val="0"/>
    <w:rPr>
      <w:rFonts w:ascii="Times New Roman" w:hAnsi="Times New Roman" w:eastAsia="宋体" w:cs="Times New Roman"/>
      <w:sz w:val="18"/>
      <w:szCs w:val="18"/>
    </w:rPr>
  </w:style>
  <w:style w:type="character" w:customStyle="1" w:styleId="22">
    <w:name w:val="标题 2 Char"/>
    <w:link w:val="3"/>
    <w:semiHidden/>
    <w:qFormat/>
    <w:uiPriority w:val="9"/>
    <w:rPr>
      <w:rFonts w:ascii="Cambria" w:hAnsi="Cambria" w:eastAsia="宋体" w:cs="黑体"/>
      <w:b/>
      <w:bCs/>
      <w:sz w:val="32"/>
      <w:szCs w:val="32"/>
    </w:rPr>
  </w:style>
  <w:style w:type="character" w:customStyle="1" w:styleId="23">
    <w:name w:val="正文文本 Char"/>
    <w:link w:val="6"/>
    <w:qFormat/>
    <w:uiPriority w:val="0"/>
    <w:rPr>
      <w:rFonts w:ascii="Times New Roman" w:hAnsi="Times New Roman" w:eastAsia="宋体" w:cs="Times New Roman"/>
      <w:szCs w:val="24"/>
    </w:rPr>
  </w:style>
  <w:style w:type="character" w:customStyle="1" w:styleId="24">
    <w:name w:val="页眉 Char"/>
    <w:link w:val="10"/>
    <w:qFormat/>
    <w:uiPriority w:val="99"/>
    <w:rPr>
      <w:rFonts w:ascii="Times New Roman" w:hAnsi="Times New Roman" w:eastAsia="宋体" w:cs="Times New Roman"/>
      <w:sz w:val="18"/>
      <w:szCs w:val="18"/>
    </w:rPr>
  </w:style>
  <w:style w:type="character" w:customStyle="1" w:styleId="25">
    <w:name w:val="页脚 Char"/>
    <w:link w:val="9"/>
    <w:qFormat/>
    <w:uiPriority w:val="99"/>
    <w:rPr>
      <w:rFonts w:ascii="Times New Roman" w:hAnsi="Times New Roman" w:eastAsia="宋体" w:cs="Times New Roman"/>
      <w:sz w:val="18"/>
      <w:szCs w:val="18"/>
    </w:rPr>
  </w:style>
  <w:style w:type="character" w:customStyle="1" w:styleId="26">
    <w:name w:val="批注文字 Char"/>
    <w:link w:val="5"/>
    <w:qFormat/>
    <w:uiPriority w:val="0"/>
    <w:rPr>
      <w:rFonts w:ascii="Times New Roman" w:hAnsi="Times New Roman" w:eastAsia="宋体" w:cs="Times New Roman"/>
      <w:szCs w:val="24"/>
    </w:rPr>
  </w:style>
  <w:style w:type="character" w:customStyle="1" w:styleId="27">
    <w:name w:val="批注框文本 Char"/>
    <w:link w:val="8"/>
    <w:semiHidden/>
    <w:qFormat/>
    <w:uiPriority w:val="99"/>
    <w:rPr>
      <w:rFonts w:ascii="Times New Roman" w:hAnsi="Times New Roman" w:eastAsia="宋体" w:cs="Times New Roman"/>
      <w:sz w:val="18"/>
      <w:szCs w:val="18"/>
    </w:rPr>
  </w:style>
  <w:style w:type="character" w:customStyle="1" w:styleId="28">
    <w:name w:val="批注主题 Char"/>
    <w:link w:val="4"/>
    <w:semiHidden/>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1037</Words>
  <Characters>5913</Characters>
  <Lines>49</Lines>
  <Paragraphs>13</Paragraphs>
  <TotalTime>22</TotalTime>
  <ScaleCrop>false</ScaleCrop>
  <LinksUpToDate>false</LinksUpToDate>
  <CharactersWithSpaces>6937</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2014-04-15T06:32:00Z</dcterms:created>
  <dc:creator>qzy3472</dc:creator>
  <cp:lastModifiedBy>%E6%AD%A6%E6%99%8B%E9%BE%99</cp:lastModifiedBy>
  <cp:lastPrinted>2017-06-05T07:45:00Z</cp:lastPrinted>
  <dcterms:modified xsi:type="dcterms:W3CDTF">2019-03-15T06:58:46Z</dcterms:modified>
  <dc:title>设备技术要求</dc:title>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