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hint="eastAsia" w:ascii="宋体" w:hAnsi="宋体" w:eastAsia="宋体" w:cs="宋体"/>
          <w:b/>
          <w:bCs/>
          <w:sz w:val="28"/>
          <w:szCs w:val="28"/>
        </w:rPr>
      </w:pPr>
      <w:bookmarkStart w:id="0" w:name="_Toc356204538"/>
      <w:bookmarkStart w:id="1" w:name="_Toc357082526"/>
      <w:r>
        <w:rPr>
          <w:rFonts w:hint="eastAsia" w:ascii="宋体" w:hAnsi="宋体" w:eastAsia="宋体" w:cs="宋体"/>
          <w:b/>
          <w:bCs/>
          <w:sz w:val="28"/>
          <w:szCs w:val="28"/>
        </w:rPr>
        <w:t>设备技术要求</w:t>
      </w:r>
    </w:p>
    <w:p>
      <w:pPr>
        <w:tabs>
          <w:tab w:val="left" w:pos="2340"/>
        </w:tabs>
        <w:spacing w:line="480" w:lineRule="auto"/>
        <w:jc w:val="center"/>
        <w:rPr>
          <w:rFonts w:hint="eastAsia" w:ascii="宋体" w:hAnsi="宋体" w:eastAsia="宋体" w:cs="宋体"/>
          <w:b/>
          <w:bCs/>
          <w:sz w:val="28"/>
          <w:szCs w:val="28"/>
        </w:rPr>
      </w:pP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第一节  供货范围、技术规格、参数与要求</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第二节  备件和工具</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第三节  设备出厂前检验</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第四节  技术服务</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第五节  安装、检验、调试、试运行及验收</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第六节  质量保证</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第七节  技术资料和图纸</w:t>
      </w:r>
    </w:p>
    <w:p>
      <w:pPr>
        <w:tabs>
          <w:tab w:val="left" w:pos="2340"/>
        </w:tabs>
        <w:spacing w:line="480" w:lineRule="auto"/>
        <w:ind w:left="630" w:leftChars="300" w:firstLine="210" w:firstLineChars="100"/>
        <w:jc w:val="left"/>
        <w:rPr>
          <w:rFonts w:hint="eastAsia" w:ascii="宋体"/>
          <w:sz w:val="21"/>
          <w:szCs w:val="21"/>
        </w:rPr>
      </w:pPr>
      <w:r>
        <w:rPr>
          <w:rFonts w:hint="eastAsia" w:ascii="宋体" w:hAnsi="宋体" w:cs="宋体"/>
          <w:sz w:val="21"/>
          <w:szCs w:val="21"/>
          <w:lang w:eastAsia="zh-CN"/>
        </w:rPr>
        <w:t>第八节</w:t>
      </w:r>
      <w:r>
        <w:rPr>
          <w:rFonts w:hint="eastAsia" w:ascii="宋体" w:hAnsi="宋体" w:cs="宋体"/>
          <w:sz w:val="21"/>
          <w:szCs w:val="21"/>
          <w:lang w:val="en-US" w:eastAsia="zh-CN"/>
        </w:rPr>
        <w:t xml:space="preserve">  </w:t>
      </w:r>
      <w:r>
        <w:rPr>
          <w:rFonts w:hint="eastAsia" w:ascii="宋体" w:hAnsi="宋体" w:eastAsia="宋体" w:cs="宋体"/>
          <w:sz w:val="21"/>
          <w:szCs w:val="21"/>
        </w:rPr>
        <w:t>设计和制造标准</w:t>
      </w:r>
    </w:p>
    <w:p>
      <w:pPr>
        <w:pStyle w:val="16"/>
        <w:jc w:val="center"/>
      </w:pPr>
    </w:p>
    <w:p/>
    <w:p>
      <w:pPr>
        <w:pStyle w:val="16"/>
        <w:jc w:val="center"/>
      </w:pPr>
    </w:p>
    <w:p>
      <w:pPr>
        <w:spacing w:line="360" w:lineRule="auto"/>
        <w:jc w:val="center"/>
        <w:outlineLvl w:val="1"/>
        <w:rPr>
          <w:rFonts w:hint="eastAsia" w:ascii="仿宋" w:hAnsi="仿宋" w:eastAsia="仿宋" w:cs="仿宋"/>
          <w:b/>
          <w:spacing w:val="15"/>
          <w:sz w:val="30"/>
          <w:szCs w:val="30"/>
        </w:rPr>
      </w:pPr>
      <w:r>
        <w:br w:type="page"/>
      </w:r>
      <w:bookmarkEnd w:id="0"/>
      <w:bookmarkEnd w:id="1"/>
      <w:bookmarkStart w:id="2" w:name="_Toc357086143"/>
      <w:r>
        <w:rPr>
          <w:rFonts w:hint="eastAsia" w:ascii="仿宋" w:hAnsi="仿宋" w:eastAsia="仿宋" w:cs="仿宋"/>
          <w:b/>
          <w:spacing w:val="15"/>
          <w:sz w:val="30"/>
          <w:szCs w:val="30"/>
        </w:rPr>
        <w:t>技术要求</w:t>
      </w:r>
    </w:p>
    <w:p>
      <w:pPr>
        <w:spacing w:line="360" w:lineRule="exact"/>
        <w:ind w:firstLine="585" w:firstLineChars="208"/>
        <w:jc w:val="center"/>
        <w:rPr>
          <w:rFonts w:hint="eastAsia" w:ascii="宋体" w:hAnsi="宋体"/>
          <w:b/>
          <w:bCs/>
          <w:color w:val="000000"/>
          <w:sz w:val="28"/>
          <w:szCs w:val="28"/>
        </w:rPr>
      </w:pPr>
      <w:r>
        <w:rPr>
          <w:rFonts w:hint="eastAsia" w:ascii="宋体" w:hAnsi="宋体"/>
          <w:b/>
          <w:bCs/>
          <w:color w:val="000000"/>
          <w:sz w:val="28"/>
          <w:szCs w:val="28"/>
        </w:rPr>
        <w:t>第一节供货范围、技术规格、参数与要求</w:t>
      </w:r>
    </w:p>
    <w:p>
      <w:pPr>
        <w:spacing w:line="360" w:lineRule="exact"/>
        <w:ind w:firstLine="585" w:firstLineChars="208"/>
        <w:jc w:val="center"/>
        <w:rPr>
          <w:rFonts w:hint="eastAsia" w:ascii="宋体" w:hAnsi="宋体"/>
          <w:b/>
          <w:bCs/>
          <w:color w:val="000000"/>
          <w:sz w:val="28"/>
          <w:szCs w:val="28"/>
        </w:rPr>
      </w:pPr>
    </w:p>
    <w:p>
      <w:pPr>
        <w:numPr>
          <w:ilvl w:val="0"/>
          <w:numId w:val="1"/>
        </w:numPr>
        <w:spacing w:line="360" w:lineRule="exact"/>
        <w:ind w:firstLine="439" w:firstLineChars="208"/>
        <w:jc w:val="center"/>
        <w:rPr>
          <w:rFonts w:hint="eastAsia" w:ascii="宋体" w:hAnsi="宋体"/>
          <w:b/>
          <w:bCs/>
          <w:color w:val="000000"/>
          <w:szCs w:val="21"/>
        </w:rPr>
      </w:pPr>
      <w:r>
        <w:rPr>
          <w:rFonts w:hint="eastAsia" w:ascii="宋体" w:hAnsi="宋体"/>
          <w:b/>
          <w:bCs/>
          <w:color w:val="000000"/>
          <w:szCs w:val="21"/>
        </w:rPr>
        <w:t>货物需求一览表</w:t>
      </w:r>
    </w:p>
    <w:p>
      <w:pPr>
        <w:spacing w:line="360" w:lineRule="exact"/>
        <w:ind w:firstLine="436" w:firstLineChars="208"/>
        <w:rPr>
          <w:rFonts w:hint="eastAsia" w:ascii="宋体" w:hAnsi="宋体"/>
          <w:color w:val="000000"/>
          <w:szCs w:val="21"/>
        </w:rPr>
      </w:pPr>
    </w:p>
    <w:tbl>
      <w:tblPr>
        <w:tblStyle w:val="15"/>
        <w:tblW w:w="9380" w:type="dxa"/>
        <w:jc w:val="center"/>
        <w:tblInd w:w="-5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9"/>
        <w:gridCol w:w="2547"/>
        <w:gridCol w:w="899"/>
        <w:gridCol w:w="1048"/>
        <w:gridCol w:w="899"/>
        <w:gridCol w:w="1348"/>
        <w:gridCol w:w="1049"/>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3" w:hRule="atLeast"/>
          <w:jc w:val="center"/>
        </w:trPr>
        <w:tc>
          <w:tcPr>
            <w:tcW w:w="59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Cs w:val="21"/>
              </w:rPr>
            </w:pPr>
            <w:r>
              <w:rPr>
                <w:rFonts w:hint="eastAsia" w:ascii="宋体" w:hAnsi="宋体"/>
                <w:color w:val="000000"/>
                <w:szCs w:val="21"/>
              </w:rPr>
              <w:t>序号</w:t>
            </w:r>
          </w:p>
        </w:tc>
        <w:tc>
          <w:tcPr>
            <w:tcW w:w="254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r>
              <w:rPr>
                <w:rFonts w:hint="eastAsia" w:ascii="宋体" w:hAnsi="宋体"/>
                <w:color w:val="000000"/>
                <w:szCs w:val="21"/>
              </w:rPr>
              <w:t>名称</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Cs w:val="21"/>
              </w:rPr>
            </w:pPr>
            <w:r>
              <w:rPr>
                <w:rFonts w:hint="eastAsia" w:ascii="宋体" w:hAnsi="宋体"/>
                <w:color w:val="000000"/>
                <w:szCs w:val="21"/>
                <w:lang w:eastAsia="zh-CN"/>
              </w:rPr>
              <w:t>参考</w:t>
            </w:r>
            <w:r>
              <w:rPr>
                <w:rFonts w:hint="eastAsia" w:ascii="宋体" w:hAnsi="宋体"/>
                <w:color w:val="000000"/>
                <w:szCs w:val="21"/>
              </w:rPr>
              <w:t>型号</w:t>
            </w:r>
          </w:p>
        </w:tc>
        <w:tc>
          <w:tcPr>
            <w:tcW w:w="10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r>
              <w:rPr>
                <w:rFonts w:hint="eastAsia" w:ascii="宋体" w:hAnsi="宋体"/>
                <w:color w:val="000000"/>
                <w:szCs w:val="21"/>
              </w:rPr>
              <w:t>单位</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Cs w:val="21"/>
              </w:rPr>
            </w:pPr>
            <w:r>
              <w:rPr>
                <w:rFonts w:hint="eastAsia" w:ascii="宋体" w:hAnsi="宋体"/>
                <w:color w:val="000000"/>
                <w:szCs w:val="21"/>
              </w:rPr>
              <w:t>数量</w:t>
            </w: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Cs w:val="21"/>
              </w:rPr>
            </w:pPr>
            <w:r>
              <w:rPr>
                <w:rFonts w:hint="eastAsia" w:ascii="宋体" w:hAnsi="宋体"/>
                <w:color w:val="000000"/>
                <w:szCs w:val="21"/>
              </w:rPr>
              <w:t>交货时间</w:t>
            </w: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Cs w:val="21"/>
              </w:rPr>
            </w:pPr>
            <w:r>
              <w:rPr>
                <w:rFonts w:hint="eastAsia" w:ascii="宋体" w:hAnsi="宋体"/>
                <w:color w:val="000000"/>
                <w:szCs w:val="21"/>
              </w:rPr>
              <w:t>交货地点</w:t>
            </w:r>
          </w:p>
        </w:tc>
        <w:tc>
          <w:tcPr>
            <w:tcW w:w="99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r>
              <w:rPr>
                <w:rFonts w:hint="eastAsia" w:ascii="宋体" w:hAnsi="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9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254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Cs w:val="21"/>
              </w:rPr>
            </w:pPr>
            <w:r>
              <w:rPr>
                <w:rFonts w:hint="eastAsia" w:ascii="宋体" w:hAnsi="宋体"/>
                <w:color w:val="000000"/>
                <w:szCs w:val="21"/>
              </w:rPr>
              <w:t>3</w:t>
            </w:r>
            <w:r>
              <w:rPr>
                <w:rFonts w:hint="eastAsia" w:ascii="宋体" w:hAnsi="宋体"/>
                <w:color w:val="000000"/>
                <w:szCs w:val="21"/>
                <w:lang w:val="en-US" w:eastAsia="zh-CN"/>
              </w:rPr>
              <w:t>T</w:t>
            </w:r>
            <w:r>
              <w:rPr>
                <w:rFonts w:hint="eastAsia" w:ascii="宋体" w:hAnsi="宋体"/>
                <w:color w:val="000000"/>
                <w:szCs w:val="21"/>
              </w:rPr>
              <w:t>柴油叉车</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宋体" w:hAnsi="宋体" w:eastAsia="宋体"/>
                <w:color w:val="000000"/>
                <w:szCs w:val="21"/>
                <w:lang w:val="en-US" w:eastAsia="zh-CN"/>
              </w:rPr>
            </w:pPr>
            <w:r>
              <w:rPr>
                <w:rFonts w:hint="eastAsia" w:ascii="宋体" w:hAnsi="宋体"/>
                <w:color w:val="000000"/>
                <w:szCs w:val="21"/>
                <w:lang w:val="en-US" w:eastAsia="zh-CN"/>
              </w:rPr>
              <w:t>D30</w:t>
            </w:r>
          </w:p>
        </w:tc>
        <w:tc>
          <w:tcPr>
            <w:tcW w:w="10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r>
              <w:rPr>
                <w:rFonts w:hint="eastAsia" w:ascii="宋体" w:hAnsi="宋体"/>
                <w:color w:val="000000"/>
                <w:szCs w:val="21"/>
              </w:rPr>
              <w:t>台</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both"/>
              <w:rPr>
                <w:rFonts w:hint="eastAsia" w:ascii="宋体" w:hAnsi="宋体" w:eastAsia="宋体"/>
                <w:color w:val="000000"/>
                <w:szCs w:val="21"/>
                <w:lang w:eastAsia="zh-CN"/>
              </w:rPr>
            </w:pP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Cs w:val="21"/>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Cs w:val="21"/>
              </w:rPr>
            </w:pPr>
          </w:p>
        </w:tc>
        <w:tc>
          <w:tcPr>
            <w:tcW w:w="99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9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Cs w:val="21"/>
              </w:rPr>
            </w:pPr>
            <w:r>
              <w:rPr>
                <w:rFonts w:hint="eastAsia" w:ascii="宋体" w:hAnsi="宋体"/>
                <w:color w:val="000000"/>
                <w:szCs w:val="21"/>
              </w:rPr>
              <w:t>2</w:t>
            </w:r>
          </w:p>
        </w:tc>
        <w:tc>
          <w:tcPr>
            <w:tcW w:w="254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Cs w:val="21"/>
              </w:rPr>
            </w:pPr>
            <w:r>
              <w:rPr>
                <w:rFonts w:hint="eastAsia" w:ascii="宋体" w:hAnsi="宋体"/>
                <w:color w:val="000000"/>
                <w:szCs w:val="21"/>
              </w:rPr>
              <w:t>随机附件及工具</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p>
        </w:tc>
        <w:tc>
          <w:tcPr>
            <w:tcW w:w="10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r>
              <w:rPr>
                <w:rFonts w:hint="eastAsia" w:ascii="宋体" w:hAnsi="宋体"/>
                <w:color w:val="000000"/>
                <w:szCs w:val="21"/>
              </w:rPr>
              <w:t>套/台</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both"/>
              <w:rPr>
                <w:rFonts w:hint="eastAsia" w:ascii="宋体" w:hAnsi="宋体"/>
                <w:color w:val="000000"/>
                <w:szCs w:val="21"/>
              </w:rPr>
            </w:pPr>
            <w:r>
              <w:rPr>
                <w:rFonts w:hint="eastAsia" w:ascii="宋体" w:hAnsi="宋体"/>
                <w:color w:val="000000"/>
                <w:szCs w:val="21"/>
              </w:rPr>
              <w:t>1</w:t>
            </w: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p>
        </w:tc>
        <w:tc>
          <w:tcPr>
            <w:tcW w:w="99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9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Cs w:val="21"/>
              </w:rPr>
            </w:pPr>
            <w:r>
              <w:rPr>
                <w:rFonts w:hint="eastAsia" w:ascii="宋体" w:hAnsi="宋体"/>
                <w:color w:val="000000"/>
                <w:szCs w:val="21"/>
              </w:rPr>
              <w:t>3</w:t>
            </w:r>
          </w:p>
        </w:tc>
        <w:tc>
          <w:tcPr>
            <w:tcW w:w="254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Cs w:val="21"/>
              </w:rPr>
            </w:pPr>
            <w:r>
              <w:rPr>
                <w:rFonts w:hint="eastAsia" w:ascii="宋体" w:hAnsi="宋体"/>
                <w:color w:val="000000"/>
                <w:szCs w:val="21"/>
              </w:rPr>
              <w:t>备件手册、使用说明书</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p>
        </w:tc>
        <w:tc>
          <w:tcPr>
            <w:tcW w:w="10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r>
              <w:rPr>
                <w:rFonts w:hint="eastAsia" w:ascii="宋体" w:hAnsi="宋体"/>
                <w:color w:val="000000"/>
                <w:szCs w:val="21"/>
              </w:rPr>
              <w:t>套/台</w:t>
            </w:r>
          </w:p>
        </w:tc>
        <w:tc>
          <w:tcPr>
            <w:tcW w:w="89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both"/>
              <w:rPr>
                <w:rFonts w:hint="eastAsia" w:ascii="宋体" w:hAnsi="宋体" w:eastAsia="宋体"/>
                <w:color w:val="000000"/>
                <w:szCs w:val="21"/>
                <w:lang w:eastAsia="zh-CN"/>
              </w:rPr>
            </w:pPr>
            <w:r>
              <w:rPr>
                <w:rFonts w:hint="eastAsia" w:ascii="宋体" w:hAnsi="宋体"/>
                <w:color w:val="000000"/>
                <w:szCs w:val="21"/>
                <w:lang w:val="en-US" w:eastAsia="zh-CN"/>
              </w:rPr>
              <w:t>6</w:t>
            </w: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p>
        </w:tc>
        <w:tc>
          <w:tcPr>
            <w:tcW w:w="99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Cs w:val="21"/>
              </w:rPr>
            </w:pPr>
          </w:p>
        </w:tc>
      </w:tr>
    </w:tbl>
    <w:p>
      <w:pPr>
        <w:spacing w:line="360" w:lineRule="exact"/>
        <w:ind w:firstLine="439" w:firstLineChars="208"/>
        <w:jc w:val="center"/>
        <w:rPr>
          <w:rFonts w:hint="eastAsia" w:ascii="宋体" w:hAnsi="宋体"/>
          <w:b/>
          <w:bCs/>
          <w:color w:val="000000"/>
          <w:szCs w:val="21"/>
        </w:rPr>
      </w:pPr>
      <w:r>
        <w:rPr>
          <w:rFonts w:hint="eastAsia" w:ascii="宋体" w:hAnsi="宋体"/>
          <w:b/>
          <w:bCs/>
          <w:color w:val="000000"/>
          <w:szCs w:val="21"/>
        </w:rPr>
        <w:t>分项报价表</w:t>
      </w:r>
    </w:p>
    <w:tbl>
      <w:tblPr>
        <w:tblStyle w:val="15"/>
        <w:tblW w:w="9397" w:type="dxa"/>
        <w:jc w:val="center"/>
        <w:tblInd w:w="-8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2520"/>
        <w:gridCol w:w="1079"/>
        <w:gridCol w:w="1799"/>
        <w:gridCol w:w="1438"/>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序号</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名称</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单位</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数量</w:t>
            </w:r>
          </w:p>
        </w:tc>
        <w:tc>
          <w:tcPr>
            <w:tcW w:w="1438"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单价（元）</w:t>
            </w:r>
          </w:p>
        </w:tc>
        <w:tc>
          <w:tcPr>
            <w:tcW w:w="1482" w:type="dxa"/>
            <w:vAlign w:val="center"/>
          </w:tcPr>
          <w:p>
            <w:pPr>
              <w:spacing w:line="360" w:lineRule="exact"/>
              <w:jc w:val="center"/>
              <w:rPr>
                <w:rFonts w:hint="eastAsia" w:ascii="宋体" w:hAnsi="宋体"/>
                <w:color w:val="000000"/>
                <w:szCs w:val="21"/>
              </w:rPr>
            </w:pPr>
            <w:r>
              <w:rPr>
                <w:rFonts w:hint="eastAsia" w:ascii="宋体" w:hAnsi="宋体"/>
                <w:color w:val="00000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叉车</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台</w:t>
            </w:r>
          </w:p>
        </w:tc>
        <w:tc>
          <w:tcPr>
            <w:tcW w:w="1799" w:type="dxa"/>
            <w:vAlign w:val="center"/>
          </w:tcPr>
          <w:p>
            <w:pPr>
              <w:spacing w:line="360" w:lineRule="exact"/>
              <w:jc w:val="center"/>
              <w:rPr>
                <w:rFonts w:hint="eastAsia" w:ascii="宋体" w:hAnsi="宋体" w:eastAsia="宋体"/>
                <w:color w:val="000000"/>
                <w:szCs w:val="21"/>
                <w:lang w:eastAsia="zh-CN"/>
              </w:rPr>
            </w:pPr>
            <w:r>
              <w:rPr>
                <w:rFonts w:hint="eastAsia" w:ascii="宋体" w:hAnsi="宋体"/>
                <w:color w:val="000000"/>
                <w:szCs w:val="21"/>
                <w:lang w:val="en-US" w:eastAsia="zh-CN"/>
              </w:rPr>
              <w:t>3</w:t>
            </w:r>
          </w:p>
        </w:tc>
        <w:tc>
          <w:tcPr>
            <w:tcW w:w="1438" w:type="dxa"/>
            <w:vAlign w:val="center"/>
          </w:tcPr>
          <w:p>
            <w:pPr>
              <w:spacing w:line="360" w:lineRule="exact"/>
              <w:jc w:val="center"/>
              <w:rPr>
                <w:rFonts w:hint="eastAsia" w:ascii="宋体" w:hAnsi="宋体"/>
                <w:color w:val="000000"/>
                <w:szCs w:val="21"/>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每台包括：</w:t>
            </w:r>
          </w:p>
        </w:tc>
        <w:tc>
          <w:tcPr>
            <w:tcW w:w="1079" w:type="dxa"/>
            <w:vAlign w:val="center"/>
          </w:tcPr>
          <w:p>
            <w:pPr>
              <w:spacing w:line="360" w:lineRule="exact"/>
              <w:jc w:val="center"/>
              <w:rPr>
                <w:rFonts w:hint="eastAsia" w:ascii="宋体" w:hAnsi="宋体"/>
                <w:color w:val="000000"/>
                <w:szCs w:val="21"/>
              </w:rPr>
            </w:pPr>
          </w:p>
        </w:tc>
        <w:tc>
          <w:tcPr>
            <w:tcW w:w="1799" w:type="dxa"/>
            <w:vAlign w:val="center"/>
          </w:tcPr>
          <w:p>
            <w:pPr>
              <w:spacing w:line="360" w:lineRule="exact"/>
              <w:jc w:val="center"/>
              <w:rPr>
                <w:rFonts w:hint="eastAsia" w:ascii="宋体" w:hAnsi="宋体"/>
                <w:color w:val="000000"/>
                <w:szCs w:val="21"/>
              </w:rPr>
            </w:pPr>
          </w:p>
        </w:tc>
        <w:tc>
          <w:tcPr>
            <w:tcW w:w="1438" w:type="dxa"/>
            <w:vAlign w:val="center"/>
          </w:tcPr>
          <w:p>
            <w:pPr>
              <w:spacing w:line="360" w:lineRule="exact"/>
              <w:jc w:val="center"/>
              <w:rPr>
                <w:rFonts w:hint="eastAsia" w:ascii="宋体" w:hAnsi="宋体"/>
                <w:color w:val="000000"/>
                <w:szCs w:val="21"/>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1.1</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轮胎总成</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1.2</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传动系统</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1.3</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减速器</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1.4</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驱动桥</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1.5</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发动机</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1.6</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变速箱</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1.7</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散热器总成</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1.8</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起动马达</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件</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1.9</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启动蓄电池</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件</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1.10</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灯总成</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1.11</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操作踏板</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1.12</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操作手柄</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1.13</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护顶架</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件</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1.14</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司机座椅</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1.15</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各类仪表总成</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1.16</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倒车蜂鸣器</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件</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1.17</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方向机</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1.18</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起重链条</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条</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2</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eastAsia="宋体"/>
                <w:color w:val="00000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1.19</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空气滤清器</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1.20</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行车光电警示灯</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1.21</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后视镜</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1.22</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挡货架</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件</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1.23</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起升门架</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套</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1.24</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货叉架</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件</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1.25</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后配重</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件</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1.26</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提升油缸</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根</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2</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eastAsia="宋体"/>
                <w:color w:val="00000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1.27</w:t>
            </w:r>
          </w:p>
        </w:tc>
        <w:tc>
          <w:tcPr>
            <w:tcW w:w="2520" w:type="dxa"/>
            <w:vAlign w:val="center"/>
          </w:tcPr>
          <w:p>
            <w:pPr>
              <w:spacing w:line="360" w:lineRule="exact"/>
              <w:jc w:val="center"/>
              <w:rPr>
                <w:rFonts w:hint="eastAsia" w:ascii="宋体" w:hAnsi="宋体"/>
                <w:color w:val="000000"/>
                <w:szCs w:val="21"/>
              </w:rPr>
            </w:pPr>
            <w:r>
              <w:rPr>
                <w:rFonts w:hint="eastAsia" w:ascii="宋体" w:hAnsi="宋体"/>
                <w:color w:val="000000"/>
                <w:szCs w:val="21"/>
              </w:rPr>
              <w:t>倾斜油缸</w:t>
            </w:r>
          </w:p>
        </w:tc>
        <w:tc>
          <w:tcPr>
            <w:tcW w:w="107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根</w:t>
            </w:r>
          </w:p>
        </w:tc>
        <w:tc>
          <w:tcPr>
            <w:tcW w:w="1799" w:type="dxa"/>
            <w:vAlign w:val="center"/>
          </w:tcPr>
          <w:p>
            <w:pPr>
              <w:spacing w:line="360" w:lineRule="exact"/>
              <w:jc w:val="center"/>
              <w:rPr>
                <w:rFonts w:hint="eastAsia" w:ascii="宋体" w:hAnsi="宋体"/>
                <w:color w:val="000000"/>
                <w:szCs w:val="21"/>
              </w:rPr>
            </w:pPr>
            <w:r>
              <w:rPr>
                <w:rFonts w:hint="eastAsia" w:ascii="宋体" w:hAnsi="宋体"/>
                <w:color w:val="000000"/>
                <w:szCs w:val="21"/>
              </w:rPr>
              <w:t>2</w:t>
            </w:r>
          </w:p>
        </w:tc>
        <w:tc>
          <w:tcPr>
            <w:tcW w:w="1438" w:type="dxa"/>
            <w:vAlign w:val="center"/>
          </w:tcPr>
          <w:p>
            <w:pPr>
              <w:spacing w:line="360" w:lineRule="exact"/>
              <w:jc w:val="center"/>
              <w:rPr>
                <w:rFonts w:hint="eastAsia" w:ascii="宋体" w:hAnsi="宋体" w:eastAsia="宋体"/>
                <w:color w:val="000000"/>
                <w:szCs w:val="21"/>
                <w:lang w:val="en-US" w:eastAsia="zh-CN"/>
              </w:rPr>
            </w:pPr>
          </w:p>
        </w:tc>
        <w:tc>
          <w:tcPr>
            <w:tcW w:w="1482" w:type="dxa"/>
            <w:vAlign w:val="center"/>
          </w:tcPr>
          <w:p>
            <w:pPr>
              <w:spacing w:line="360" w:lineRule="exact"/>
              <w:jc w:val="center"/>
              <w:rPr>
                <w:rFonts w:hint="eastAsia" w:ascii="宋体" w:hAnsi="宋体" w:eastAsia="宋体"/>
                <w:color w:val="000000"/>
                <w:szCs w:val="21"/>
                <w:lang w:val="en-US" w:eastAsia="zh-CN"/>
              </w:rPr>
            </w:pPr>
          </w:p>
        </w:tc>
      </w:tr>
    </w:tbl>
    <w:p>
      <w:pPr>
        <w:adjustRightInd w:val="0"/>
        <w:snapToGrid w:val="0"/>
        <w:spacing w:before="156" w:beforeLines="50" w:line="360" w:lineRule="auto"/>
        <w:ind w:left="315" w:hanging="316" w:hangingChars="150"/>
        <w:rPr>
          <w:rFonts w:hint="eastAsia" w:ascii="宋体" w:hAnsi="宋体"/>
          <w:b/>
          <w:bCs/>
          <w:szCs w:val="21"/>
        </w:rPr>
      </w:pPr>
      <w:r>
        <w:rPr>
          <w:rFonts w:hint="eastAsia" w:ascii="宋体" w:hAnsi="宋体"/>
          <w:b/>
          <w:bCs/>
          <w:szCs w:val="21"/>
        </w:rPr>
        <w:t>二、设备工作环境</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1.1、周围环境温度：-30～+40℃.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1.2、设备安装场所海拔高度不超过1200米。</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1.3、周围空气相对湿度95%（在25℃时）。</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1.4、用途：搬运设备及零部件。</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1.5、使用地点：室内及室外。</w:t>
      </w:r>
    </w:p>
    <w:p>
      <w:pPr>
        <w:adjustRightInd w:val="0"/>
        <w:snapToGrid w:val="0"/>
        <w:spacing w:before="156" w:beforeLines="50" w:line="360" w:lineRule="auto"/>
        <w:ind w:left="315" w:hanging="316" w:hangingChars="150"/>
        <w:rPr>
          <w:rFonts w:hint="eastAsia" w:ascii="宋体" w:hAnsi="宋体"/>
          <w:b/>
          <w:bCs/>
          <w:szCs w:val="21"/>
        </w:rPr>
      </w:pPr>
      <w:r>
        <w:rPr>
          <w:rFonts w:hint="eastAsia" w:ascii="宋体" w:hAnsi="宋体"/>
          <w:b/>
          <w:bCs/>
          <w:szCs w:val="21"/>
        </w:rPr>
        <w:t>三、技术参数及要求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技术性能指标</w:t>
      </w:r>
    </w:p>
    <w:p>
      <w:pPr>
        <w:adjustRightInd w:val="0"/>
        <w:snapToGrid w:val="0"/>
        <w:spacing w:before="156" w:beforeLines="50" w:line="360" w:lineRule="auto"/>
        <w:ind w:left="315" w:hanging="315" w:hangingChars="150"/>
        <w:rPr>
          <w:rFonts w:hint="eastAsia" w:ascii="宋体" w:hAnsi="宋体"/>
          <w:szCs w:val="21"/>
          <w:lang w:val="en-US" w:eastAsia="zh-CN"/>
        </w:rPr>
      </w:pPr>
      <w:r>
        <w:rPr>
          <w:rFonts w:hint="eastAsia" w:ascii="宋体" w:hAnsi="宋体"/>
          <w:szCs w:val="21"/>
        </w:rPr>
        <w:t>叉车</w:t>
      </w:r>
      <w:r>
        <w:rPr>
          <w:rFonts w:hint="eastAsia" w:ascii="宋体" w:hAnsi="宋体"/>
          <w:szCs w:val="21"/>
          <w:lang w:eastAsia="zh-CN"/>
        </w:rPr>
        <w:t>参考</w:t>
      </w:r>
      <w:bookmarkStart w:id="8" w:name="_GoBack"/>
      <w:bookmarkEnd w:id="8"/>
      <w:r>
        <w:rPr>
          <w:rFonts w:hint="eastAsia" w:ascii="宋体" w:hAnsi="宋体"/>
          <w:szCs w:val="21"/>
          <w:lang w:val="en-US" w:eastAsia="zh-CN"/>
        </w:rPr>
        <w:t>型号</w:t>
      </w:r>
      <w:r>
        <w:rPr>
          <w:rFonts w:hint="eastAsia" w:ascii="宋体" w:hAnsi="宋体"/>
          <w:szCs w:val="21"/>
          <w:u w:val="single"/>
          <w:lang w:val="en-US" w:eastAsia="zh-CN"/>
        </w:rPr>
        <w:t>：D30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1.1承载力kg:</w:t>
      </w:r>
      <w:r>
        <w:rPr>
          <w:rFonts w:hint="eastAsia" w:ascii="宋体" w:hAnsi="宋体"/>
          <w:szCs w:val="21"/>
          <w:u w:val="single"/>
        </w:rPr>
        <w:t>不小于3000；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1.2载荷中心距mm:</w:t>
      </w:r>
      <w:r>
        <w:rPr>
          <w:rFonts w:hint="eastAsia" w:ascii="宋体" w:hAnsi="宋体"/>
          <w:szCs w:val="21"/>
          <w:u w:val="single"/>
        </w:rPr>
        <w:t>不小于</w:t>
      </w:r>
      <w:r>
        <w:rPr>
          <w:rFonts w:hint="eastAsia" w:ascii="宋体" w:hAnsi="宋体"/>
          <w:szCs w:val="21"/>
          <w:u w:val="single"/>
          <w:lang w:val="en-US" w:eastAsia="zh-CN"/>
        </w:rPr>
        <w:t>500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*1.3动力形式：柴油</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1.4驾驶方式</w:t>
      </w:r>
      <w:r>
        <w:rPr>
          <w:rFonts w:hint="eastAsia" w:ascii="宋体" w:hAnsi="宋体"/>
          <w:szCs w:val="21"/>
          <w:lang w:eastAsia="zh-CN"/>
        </w:rPr>
        <w:t>：</w:t>
      </w:r>
      <w:r>
        <w:rPr>
          <w:rFonts w:hint="eastAsia" w:ascii="宋体" w:hAnsi="宋体"/>
          <w:szCs w:val="21"/>
          <w:u w:val="single"/>
        </w:rPr>
        <w:t>座驾式；</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1.5标准举高,</w:t>
      </w:r>
      <w:r>
        <w:rPr>
          <w:rFonts w:hint="eastAsia" w:ascii="宋体" w:hAnsi="宋体"/>
          <w:szCs w:val="21"/>
          <w:u w:val="single"/>
        </w:rPr>
        <w:t>额定起升重量时的最大起升高度mm：3000；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1.6自由提升高度mm：</w:t>
      </w:r>
      <w:r>
        <w:rPr>
          <w:rFonts w:hint="eastAsia" w:ascii="宋体" w:hAnsi="宋体"/>
          <w:szCs w:val="21"/>
          <w:u w:val="single"/>
        </w:rPr>
        <w:t>不低于1</w:t>
      </w:r>
      <w:r>
        <w:rPr>
          <w:rFonts w:hint="eastAsia" w:ascii="宋体" w:hAnsi="宋体"/>
          <w:szCs w:val="21"/>
          <w:u w:val="single"/>
          <w:lang w:val="en-US" w:eastAsia="zh-CN"/>
        </w:rPr>
        <w:t>50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1.7货叉厚度X宽度X长度 mm：</w:t>
      </w:r>
      <w:r>
        <w:rPr>
          <w:rFonts w:hint="eastAsia" w:ascii="宋体" w:hAnsi="宋体"/>
          <w:szCs w:val="21"/>
          <w:u w:val="single"/>
        </w:rPr>
        <w:t xml:space="preserve"> 45×100×1</w:t>
      </w:r>
      <w:r>
        <w:rPr>
          <w:rFonts w:hint="eastAsia" w:ascii="宋体" w:hAnsi="宋体"/>
          <w:szCs w:val="21"/>
          <w:u w:val="single"/>
          <w:lang w:val="en-US" w:eastAsia="zh-CN"/>
        </w:rPr>
        <w:t>050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1.8 货叉间距(最小-最大)mm: </w:t>
      </w:r>
      <w:r>
        <w:rPr>
          <w:rFonts w:hint="eastAsia" w:ascii="宋体" w:hAnsi="宋体"/>
          <w:szCs w:val="21"/>
          <w:u w:val="single"/>
        </w:rPr>
        <w:t>2</w:t>
      </w:r>
      <w:r>
        <w:rPr>
          <w:rFonts w:hint="eastAsia" w:ascii="宋体" w:hAnsi="宋体"/>
          <w:szCs w:val="21"/>
          <w:u w:val="single"/>
          <w:lang w:val="en-US" w:eastAsia="zh-CN"/>
        </w:rPr>
        <w:t>60</w:t>
      </w:r>
      <w:r>
        <w:rPr>
          <w:rFonts w:hint="eastAsia" w:ascii="宋体" w:hAnsi="宋体"/>
          <w:szCs w:val="21"/>
          <w:u w:val="single"/>
        </w:rPr>
        <w:t>-10</w:t>
      </w:r>
      <w:r>
        <w:rPr>
          <w:rFonts w:hint="eastAsia" w:ascii="宋体" w:hAnsi="宋体"/>
          <w:szCs w:val="21"/>
          <w:u w:val="single"/>
          <w:lang w:val="en-US" w:eastAsia="zh-CN"/>
        </w:rPr>
        <w:t>30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△1.9门架倾角：前倾/后倾 ：</w:t>
      </w:r>
      <w:r>
        <w:rPr>
          <w:rFonts w:hint="eastAsia" w:ascii="宋体" w:hAnsi="宋体"/>
          <w:szCs w:val="21"/>
          <w:u w:val="single"/>
        </w:rPr>
        <w:t>6</w:t>
      </w:r>
      <w:r>
        <w:rPr>
          <w:rFonts w:hint="eastAsia" w:ascii="宋体" w:hAnsi="宋体"/>
          <w:szCs w:val="21"/>
          <w:u w:val="single"/>
          <w:lang w:val="en-US" w:eastAsia="zh-CN"/>
        </w:rPr>
        <w:t>°</w:t>
      </w:r>
      <w:r>
        <w:rPr>
          <w:rFonts w:hint="eastAsia" w:ascii="宋体" w:hAnsi="宋体"/>
          <w:szCs w:val="21"/>
          <w:u w:val="single"/>
        </w:rPr>
        <w:t>/1</w:t>
      </w:r>
      <w:r>
        <w:rPr>
          <w:rFonts w:hint="eastAsia" w:ascii="宋体" w:hAnsi="宋体"/>
          <w:szCs w:val="21"/>
          <w:u w:val="single"/>
          <w:lang w:val="en-US" w:eastAsia="zh-CN"/>
        </w:rPr>
        <w:t>2°</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1.10车体宽度mm：</w:t>
      </w:r>
      <w:r>
        <w:rPr>
          <w:rFonts w:hint="eastAsia" w:ascii="宋体" w:hAnsi="宋体"/>
          <w:szCs w:val="21"/>
          <w:u w:val="single"/>
        </w:rPr>
        <w:t>不大于1</w:t>
      </w:r>
      <w:r>
        <w:rPr>
          <w:rFonts w:hint="eastAsia" w:ascii="宋体" w:hAnsi="宋体"/>
          <w:szCs w:val="21"/>
          <w:u w:val="single"/>
          <w:lang w:val="en-US" w:eastAsia="zh-CN"/>
        </w:rPr>
        <w:t>290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1.11门架缩回时高度mm：</w:t>
      </w:r>
      <w:r>
        <w:rPr>
          <w:rFonts w:hint="eastAsia" w:ascii="宋体" w:hAnsi="宋体"/>
          <w:szCs w:val="21"/>
          <w:u w:val="single"/>
        </w:rPr>
        <w:t>不大于20</w:t>
      </w:r>
      <w:r>
        <w:rPr>
          <w:rFonts w:hint="eastAsia" w:ascii="宋体" w:hAnsi="宋体"/>
          <w:szCs w:val="21"/>
          <w:u w:val="single"/>
          <w:lang w:val="en-US" w:eastAsia="zh-CN"/>
        </w:rPr>
        <w:t>53</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1.12门架全伸高度 mm</w:t>
      </w:r>
      <w:r>
        <w:rPr>
          <w:rFonts w:hint="eastAsia" w:ascii="宋体" w:hAnsi="宋体"/>
          <w:szCs w:val="21"/>
          <w:lang w:eastAsia="zh-CN"/>
        </w:rPr>
        <w:t>：</w:t>
      </w:r>
      <w:r>
        <w:rPr>
          <w:rFonts w:hint="eastAsia" w:ascii="宋体" w:hAnsi="宋体"/>
          <w:szCs w:val="21"/>
        </w:rPr>
        <w:t xml:space="preserve"> </w:t>
      </w:r>
      <w:r>
        <w:rPr>
          <w:rFonts w:hint="eastAsia" w:ascii="宋体" w:hAnsi="宋体"/>
          <w:szCs w:val="21"/>
          <w:u w:val="single"/>
        </w:rPr>
        <w:t>不</w:t>
      </w:r>
      <w:r>
        <w:rPr>
          <w:rFonts w:hint="eastAsia" w:ascii="宋体" w:hAnsi="宋体"/>
          <w:szCs w:val="21"/>
          <w:u w:val="single"/>
          <w:lang w:val="en-US" w:eastAsia="zh-CN"/>
        </w:rPr>
        <w:t>大</w:t>
      </w:r>
      <w:r>
        <w:rPr>
          <w:rFonts w:hint="eastAsia" w:ascii="宋体" w:hAnsi="宋体"/>
          <w:szCs w:val="21"/>
          <w:u w:val="single"/>
        </w:rPr>
        <w:t>于42</w:t>
      </w:r>
      <w:r>
        <w:rPr>
          <w:rFonts w:hint="eastAsia" w:ascii="宋体" w:hAnsi="宋体"/>
          <w:szCs w:val="21"/>
          <w:u w:val="single"/>
          <w:lang w:val="en-US" w:eastAsia="zh-CN"/>
        </w:rPr>
        <w:t>8</w:t>
      </w:r>
      <w:r>
        <w:rPr>
          <w:rFonts w:hint="eastAsia" w:ascii="宋体" w:hAnsi="宋体"/>
          <w:szCs w:val="21"/>
          <w:u w:val="single"/>
        </w:rPr>
        <w:t>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1.13护顶架高度mm：</w:t>
      </w:r>
      <w:r>
        <w:rPr>
          <w:rFonts w:hint="eastAsia" w:ascii="宋体" w:hAnsi="宋体"/>
          <w:szCs w:val="21"/>
          <w:u w:val="single"/>
        </w:rPr>
        <w:t xml:space="preserve"> </w:t>
      </w:r>
      <w:r>
        <w:rPr>
          <w:rFonts w:hint="eastAsia" w:ascii="宋体" w:hAnsi="宋体"/>
          <w:szCs w:val="21"/>
          <w:u w:val="single"/>
          <w:lang w:val="en-US" w:eastAsia="zh-CN"/>
        </w:rPr>
        <w:t>2160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1.14坐椅高度mm：</w:t>
      </w:r>
      <w:r>
        <w:rPr>
          <w:rFonts w:hint="eastAsia" w:ascii="宋体" w:hAnsi="宋体"/>
          <w:szCs w:val="21"/>
          <w:u w:val="single"/>
        </w:rPr>
        <w:t xml:space="preserve"> 1</w:t>
      </w:r>
      <w:r>
        <w:rPr>
          <w:rFonts w:hint="eastAsia" w:ascii="宋体" w:hAnsi="宋体"/>
          <w:szCs w:val="21"/>
          <w:u w:val="single"/>
          <w:lang w:val="en-US" w:eastAsia="zh-CN"/>
        </w:rPr>
        <w:t>020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△1.15 车体长度（不含货叉）mm:</w:t>
      </w:r>
      <w:r>
        <w:rPr>
          <w:rFonts w:hint="eastAsia" w:ascii="宋体" w:hAnsi="宋体"/>
          <w:szCs w:val="21"/>
          <w:u w:val="single"/>
        </w:rPr>
        <w:t>不大于2662；</w:t>
      </w:r>
    </w:p>
    <w:p>
      <w:pPr>
        <w:adjustRightInd w:val="0"/>
        <w:snapToGrid w:val="0"/>
        <w:spacing w:before="156" w:beforeLines="50" w:line="360" w:lineRule="auto"/>
        <w:ind w:left="315" w:hanging="315" w:hangingChars="150"/>
        <w:rPr>
          <w:rFonts w:hint="eastAsia" w:ascii="宋体" w:hAnsi="宋体"/>
          <w:szCs w:val="21"/>
          <w:lang w:eastAsia="zh-CN"/>
        </w:rPr>
      </w:pPr>
      <w:r>
        <w:rPr>
          <w:rFonts w:hint="eastAsia" w:ascii="宋体" w:hAnsi="宋体"/>
          <w:szCs w:val="21"/>
        </w:rPr>
        <w:t>* 1.16最小转弯半径 mm</w:t>
      </w:r>
      <w:r>
        <w:rPr>
          <w:rFonts w:hint="eastAsia" w:ascii="宋体" w:hAnsi="宋体"/>
          <w:szCs w:val="21"/>
          <w:lang w:eastAsia="zh-CN"/>
        </w:rPr>
        <w:t>：</w:t>
      </w:r>
      <w:r>
        <w:rPr>
          <w:rFonts w:hint="eastAsia" w:ascii="宋体" w:hAnsi="宋体"/>
          <w:szCs w:val="21"/>
          <w:u w:val="single"/>
        </w:rPr>
        <w:t>2375 ；</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1.17速度 行走 满载/空载 km/h</w:t>
      </w:r>
      <w:r>
        <w:rPr>
          <w:rFonts w:hint="eastAsia" w:ascii="宋体" w:hAnsi="宋体"/>
          <w:szCs w:val="21"/>
          <w:u w:val="single"/>
        </w:rPr>
        <w:t xml:space="preserve"> 20/2</w:t>
      </w:r>
      <w:r>
        <w:rPr>
          <w:rFonts w:hint="eastAsia" w:ascii="宋体" w:hAnsi="宋体"/>
          <w:szCs w:val="21"/>
          <w:u w:val="single"/>
          <w:lang w:val="en-US" w:eastAsia="zh-CN"/>
        </w:rPr>
        <w:t>1</w:t>
      </w:r>
      <w:r>
        <w:rPr>
          <w:rFonts w:hint="eastAsia" w:ascii="宋体" w:hAnsi="宋体"/>
          <w:szCs w:val="21"/>
          <w:u w:val="single"/>
        </w:rPr>
        <w:t xml:space="preserve">；  </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1.18起升 满载/空载 mm/s</w:t>
      </w:r>
      <w:r>
        <w:rPr>
          <w:rFonts w:hint="eastAsia" w:ascii="宋体" w:hAnsi="宋体"/>
          <w:szCs w:val="21"/>
          <w:u w:val="single"/>
        </w:rPr>
        <w:t xml:space="preserve"> 5</w:t>
      </w:r>
      <w:r>
        <w:rPr>
          <w:rFonts w:hint="eastAsia" w:ascii="宋体" w:hAnsi="宋体"/>
          <w:szCs w:val="21"/>
          <w:u w:val="single"/>
          <w:lang w:val="en-US" w:eastAsia="zh-CN"/>
        </w:rPr>
        <w:t>25</w:t>
      </w:r>
      <w:r>
        <w:rPr>
          <w:rFonts w:hint="eastAsia" w:ascii="宋体" w:hAnsi="宋体"/>
          <w:szCs w:val="21"/>
          <w:u w:val="single"/>
        </w:rPr>
        <w:t>/5</w:t>
      </w:r>
      <w:r>
        <w:rPr>
          <w:rFonts w:hint="eastAsia" w:ascii="宋体" w:hAnsi="宋体"/>
          <w:szCs w:val="21"/>
          <w:u w:val="single"/>
          <w:lang w:val="en-US" w:eastAsia="zh-CN"/>
        </w:rPr>
        <w:t>8</w:t>
      </w:r>
      <w:r>
        <w:rPr>
          <w:rFonts w:hint="eastAsia" w:ascii="宋体" w:hAnsi="宋体"/>
          <w:szCs w:val="21"/>
          <w:u w:val="single"/>
        </w:rPr>
        <w:t xml:space="preserve">0； </w:t>
      </w:r>
      <w:r>
        <w:rPr>
          <w:rFonts w:hint="eastAsia" w:ascii="宋体" w:hAnsi="宋体"/>
          <w:szCs w:val="21"/>
        </w:rPr>
        <w:t xml:space="preserve"> </w:t>
      </w:r>
    </w:p>
    <w:p>
      <w:pPr>
        <w:adjustRightInd w:val="0"/>
        <w:snapToGrid w:val="0"/>
        <w:spacing w:before="156" w:beforeLines="50" w:line="360" w:lineRule="auto"/>
        <w:ind w:left="315" w:hanging="315" w:hangingChars="150"/>
        <w:rPr>
          <w:rFonts w:hint="eastAsia" w:ascii="宋体" w:hAnsi="宋体"/>
          <w:szCs w:val="21"/>
          <w:u w:val="single"/>
        </w:rPr>
      </w:pPr>
      <w:r>
        <w:rPr>
          <w:rFonts w:hint="eastAsia" w:ascii="宋体" w:hAnsi="宋体"/>
          <w:szCs w:val="21"/>
        </w:rPr>
        <w:t xml:space="preserve">1.19下降 满载/空载 mm/s </w:t>
      </w:r>
      <w:r>
        <w:rPr>
          <w:rFonts w:hint="eastAsia" w:ascii="宋体" w:hAnsi="宋体"/>
          <w:szCs w:val="21"/>
          <w:u w:val="single"/>
          <w:lang w:val="en-US" w:eastAsia="zh-CN"/>
        </w:rPr>
        <w:t>420</w:t>
      </w:r>
      <w:r>
        <w:rPr>
          <w:rFonts w:hint="eastAsia" w:ascii="宋体" w:hAnsi="宋体"/>
          <w:szCs w:val="21"/>
          <w:u w:val="single"/>
        </w:rPr>
        <w:t>/</w:t>
      </w:r>
      <w:r>
        <w:rPr>
          <w:rFonts w:hint="eastAsia" w:ascii="宋体" w:hAnsi="宋体"/>
          <w:szCs w:val="21"/>
          <w:u w:val="single"/>
          <w:lang w:val="en-US" w:eastAsia="zh-CN"/>
        </w:rPr>
        <w:t>55</w:t>
      </w:r>
      <w:r>
        <w:rPr>
          <w:rFonts w:hint="eastAsia" w:ascii="宋体" w:hAnsi="宋体"/>
          <w:szCs w:val="21"/>
          <w:u w:val="single"/>
        </w:rPr>
        <w:t>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1.20轮胎：前/后轮数量：</w:t>
      </w:r>
      <w:r>
        <w:rPr>
          <w:rFonts w:hint="eastAsia" w:ascii="宋体" w:hAnsi="宋体"/>
          <w:szCs w:val="21"/>
          <w:u w:val="single"/>
        </w:rPr>
        <w:t>2/2，</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1.21轮胎形式：</w:t>
      </w:r>
      <w:r>
        <w:rPr>
          <w:rFonts w:hint="eastAsia" w:ascii="宋体" w:hAnsi="宋体"/>
          <w:szCs w:val="21"/>
          <w:u w:val="single"/>
        </w:rPr>
        <w:t>充气轮胎，</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1.22轮胎型号：</w:t>
      </w:r>
      <w:r>
        <w:rPr>
          <w:rFonts w:hint="eastAsia" w:ascii="宋体" w:hAnsi="宋体"/>
          <w:szCs w:val="21"/>
          <w:u w:val="single"/>
        </w:rPr>
        <w:t xml:space="preserve"> 前28×9×15-14Pr；</w:t>
      </w:r>
      <w:r>
        <w:rPr>
          <w:rFonts w:hint="eastAsia" w:ascii="宋体" w:hAnsi="宋体"/>
          <w:szCs w:val="21"/>
        </w:rPr>
        <w:t>规格 后</w:t>
      </w:r>
      <w:r>
        <w:rPr>
          <w:rFonts w:hint="eastAsia" w:ascii="宋体" w:hAnsi="宋体"/>
          <w:szCs w:val="21"/>
          <w:u w:val="single"/>
        </w:rPr>
        <w:t>6.50×10-10Pr；</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1.23轴距mm：</w:t>
      </w:r>
      <w:r>
        <w:rPr>
          <w:rFonts w:hint="eastAsia" w:ascii="宋体" w:hAnsi="宋体"/>
          <w:szCs w:val="21"/>
          <w:u w:val="single"/>
        </w:rPr>
        <w:t xml:space="preserve"> 1</w:t>
      </w:r>
      <w:r>
        <w:rPr>
          <w:rFonts w:hint="eastAsia" w:ascii="宋体" w:hAnsi="宋体"/>
          <w:szCs w:val="21"/>
          <w:u w:val="single"/>
          <w:lang w:val="en-US" w:eastAsia="zh-CN"/>
        </w:rPr>
        <w:t>700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1.24轮距前/后mm：</w:t>
      </w:r>
      <w:r>
        <w:rPr>
          <w:rFonts w:hint="eastAsia" w:ascii="宋体" w:hAnsi="宋体"/>
          <w:szCs w:val="21"/>
          <w:u w:val="single"/>
          <w:lang w:val="en-US" w:eastAsia="zh-CN"/>
        </w:rPr>
        <w:t>1060</w:t>
      </w:r>
      <w:r>
        <w:rPr>
          <w:rFonts w:hint="eastAsia" w:ascii="宋体" w:hAnsi="宋体"/>
          <w:szCs w:val="21"/>
          <w:u w:val="single"/>
        </w:rPr>
        <w:t xml:space="preserve"> /980；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1.25 牵引力（在2.0km/h，满载）kgf:</w:t>
      </w:r>
      <w:r>
        <w:rPr>
          <w:rFonts w:hint="eastAsia" w:ascii="宋体" w:hAnsi="宋体"/>
          <w:szCs w:val="21"/>
          <w:u w:val="single"/>
        </w:rPr>
        <w:t>不小于1</w:t>
      </w:r>
      <w:r>
        <w:rPr>
          <w:rFonts w:hint="eastAsia" w:ascii="宋体" w:hAnsi="宋体"/>
          <w:szCs w:val="21"/>
          <w:u w:val="single"/>
          <w:lang w:val="en-US" w:eastAsia="zh-CN"/>
        </w:rPr>
        <w:t>790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lang w:eastAsia="zh-CN"/>
        </w:rPr>
      </w:pPr>
      <w:r>
        <w:rPr>
          <w:rFonts w:hint="eastAsia" w:ascii="宋体" w:hAnsi="宋体"/>
          <w:szCs w:val="21"/>
        </w:rPr>
        <w:t>1.26爬坡度（在2.0km/h，满载）%:</w:t>
      </w:r>
      <w:r>
        <w:rPr>
          <w:rFonts w:hint="eastAsia" w:ascii="宋体" w:hAnsi="宋体"/>
          <w:szCs w:val="21"/>
          <w:u w:val="single"/>
        </w:rPr>
        <w:t>不小于2</w:t>
      </w:r>
      <w:r>
        <w:rPr>
          <w:rFonts w:hint="eastAsia" w:ascii="宋体" w:hAnsi="宋体"/>
          <w:szCs w:val="21"/>
          <w:u w:val="single"/>
          <w:lang w:val="en-US" w:eastAsia="zh-CN"/>
        </w:rPr>
        <w:t>6</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1.27车架中部离地间隙（满载）mm：</w:t>
      </w:r>
      <w:r>
        <w:rPr>
          <w:rFonts w:hint="eastAsia" w:ascii="宋体" w:hAnsi="宋体"/>
          <w:szCs w:val="21"/>
          <w:u w:val="single"/>
        </w:rPr>
        <w:t>不小于1</w:t>
      </w:r>
      <w:r>
        <w:rPr>
          <w:rFonts w:hint="eastAsia" w:ascii="宋体" w:hAnsi="宋体"/>
          <w:szCs w:val="21"/>
          <w:u w:val="single"/>
          <w:lang w:val="en-US" w:eastAsia="zh-CN"/>
        </w:rPr>
        <w:t>32</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1.28行车制动方式：</w:t>
      </w:r>
      <w:r>
        <w:rPr>
          <w:rFonts w:hint="eastAsia" w:ascii="宋体" w:hAnsi="宋体"/>
          <w:szCs w:val="21"/>
          <w:u w:val="single"/>
        </w:rPr>
        <w:t>液压制动；</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1.30蓄电池</w:t>
      </w:r>
      <w:r>
        <w:rPr>
          <w:rFonts w:hint="eastAsia" w:ascii="宋体" w:hAnsi="宋体"/>
          <w:szCs w:val="21"/>
          <w:u w:val="single"/>
        </w:rPr>
        <w:t>V/AH</w:t>
      </w:r>
      <w:r>
        <w:rPr>
          <w:rFonts w:hint="eastAsia" w:ascii="宋体" w:hAnsi="宋体"/>
          <w:szCs w:val="21"/>
        </w:rPr>
        <w:t>：</w:t>
      </w:r>
      <w:r>
        <w:rPr>
          <w:rFonts w:hint="eastAsia" w:ascii="宋体" w:hAnsi="宋体"/>
          <w:szCs w:val="21"/>
          <w:lang w:val="en-US" w:eastAsia="zh-CN"/>
        </w:rPr>
        <w:t>免维护蓄电池，</w:t>
      </w:r>
      <w:r>
        <w:rPr>
          <w:rFonts w:hint="eastAsia" w:ascii="宋体" w:hAnsi="宋体"/>
          <w:szCs w:val="21"/>
          <w:u w:val="single"/>
        </w:rPr>
        <w:t>12/</w:t>
      </w:r>
      <w:r>
        <w:rPr>
          <w:rFonts w:hint="eastAsia" w:ascii="宋体" w:hAnsi="宋体"/>
          <w:szCs w:val="21"/>
          <w:u w:val="single"/>
          <w:lang w:val="en-US" w:eastAsia="zh-CN"/>
        </w:rPr>
        <w:t>6</w:t>
      </w:r>
      <w:r>
        <w:rPr>
          <w:rFonts w:hint="eastAsia" w:ascii="宋体" w:hAnsi="宋体"/>
          <w:szCs w:val="21"/>
          <w:u w:val="single"/>
        </w:rPr>
        <w:t>5；</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1.31发动机：发动机</w:t>
      </w:r>
      <w:r>
        <w:rPr>
          <w:rFonts w:hint="eastAsia" w:ascii="宋体" w:hAnsi="宋体"/>
          <w:szCs w:val="21"/>
          <w:lang w:val="en-US" w:eastAsia="zh-CN"/>
        </w:rPr>
        <w:t>潍柴WP3.2</w:t>
      </w:r>
      <w:r>
        <w:rPr>
          <w:rFonts w:hint="eastAsia" w:ascii="宋体" w:hAnsi="宋体"/>
          <w:szCs w:val="21"/>
          <w:lang w:eastAsia="zh-CN"/>
        </w:rPr>
        <w:t>；</w:t>
      </w:r>
      <w:r>
        <w:rPr>
          <w:rFonts w:hint="eastAsia" w:ascii="宋体" w:hAnsi="宋体"/>
          <w:szCs w:val="21"/>
          <w:lang w:val="en-US" w:eastAsia="zh-CN"/>
        </w:rPr>
        <w:t>国三排放标准，燃油系统采用VE泵，配备粗滤、精滤两级燃油过滤系统。</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1.32额定功率kw：</w:t>
      </w:r>
      <w:r>
        <w:rPr>
          <w:rFonts w:hint="eastAsia" w:ascii="宋体" w:hAnsi="宋体"/>
          <w:szCs w:val="21"/>
          <w:u w:val="single"/>
          <w:lang w:val="en-US" w:eastAsia="zh-CN"/>
        </w:rPr>
        <w:t>36.8</w:t>
      </w:r>
      <w:r>
        <w:rPr>
          <w:rFonts w:hint="eastAsia" w:ascii="宋体" w:hAnsi="宋体"/>
          <w:szCs w:val="21"/>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1.33 额定转速rpm:</w:t>
      </w:r>
      <w:r>
        <w:rPr>
          <w:rFonts w:hint="eastAsia" w:ascii="宋体" w:hAnsi="宋体"/>
          <w:szCs w:val="21"/>
          <w:u w:val="single"/>
        </w:rPr>
        <w:t>2</w:t>
      </w:r>
      <w:r>
        <w:rPr>
          <w:rFonts w:hint="eastAsia" w:ascii="宋体" w:hAnsi="宋体"/>
          <w:szCs w:val="21"/>
          <w:u w:val="single"/>
          <w:lang w:val="en-US" w:eastAsia="zh-CN"/>
        </w:rPr>
        <w:t>5</w:t>
      </w:r>
      <w:r>
        <w:rPr>
          <w:rFonts w:hint="eastAsia" w:ascii="宋体" w:hAnsi="宋体"/>
          <w:szCs w:val="21"/>
          <w:u w:val="single"/>
        </w:rPr>
        <w:t>00</w:t>
      </w:r>
      <w:r>
        <w:rPr>
          <w:rFonts w:hint="eastAsia" w:ascii="宋体" w:hAnsi="宋体"/>
          <w:szCs w:val="21"/>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1.34缸数/排量：4/3</w:t>
      </w:r>
      <w:r>
        <w:rPr>
          <w:rFonts w:hint="eastAsia" w:ascii="宋体" w:hAnsi="宋体"/>
          <w:szCs w:val="21"/>
          <w:lang w:val="en-US" w:eastAsia="zh-CN"/>
        </w:rPr>
        <w:t>200</w:t>
      </w:r>
      <w:r>
        <w:rPr>
          <w:rFonts w:hint="eastAsia" w:ascii="宋体" w:hAnsi="宋体"/>
          <w:szCs w:val="21"/>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1.35 </w:t>
      </w:r>
      <w:r>
        <w:rPr>
          <w:rFonts w:hint="eastAsia" w:ascii="宋体" w:hAnsi="宋体"/>
          <w:szCs w:val="21"/>
          <w:lang w:val="en-US" w:eastAsia="zh-CN"/>
        </w:rPr>
        <w:t>变速箱</w:t>
      </w:r>
      <w:r>
        <w:rPr>
          <w:rFonts w:hint="eastAsia" w:ascii="宋体" w:hAnsi="宋体"/>
          <w:szCs w:val="21"/>
        </w:rPr>
        <w:t>：</w:t>
      </w:r>
      <w:r>
        <w:rPr>
          <w:rFonts w:hint="eastAsia" w:ascii="宋体" w:hAnsi="宋体"/>
          <w:szCs w:val="21"/>
          <w:lang w:val="en-US" w:eastAsia="zh-CN"/>
        </w:rPr>
        <w:t>液力变速箱，</w:t>
      </w:r>
      <w:r>
        <w:rPr>
          <w:rFonts w:hint="eastAsia" w:ascii="宋体" w:hAnsi="宋体"/>
          <w:szCs w:val="21"/>
        </w:rPr>
        <w:t>动力换挡 1/1</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1.36驱动桥：高强度全浮式驱动桥</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1.37门架材料：门架</w:t>
      </w:r>
      <w:r>
        <w:rPr>
          <w:rFonts w:hint="eastAsia" w:ascii="宋体" w:hAnsi="宋体"/>
          <w:szCs w:val="21"/>
          <w:lang w:val="en-US" w:eastAsia="zh-CN"/>
        </w:rPr>
        <w:t>材料采用高强度JJ钢材,</w:t>
      </w:r>
      <w:r>
        <w:rPr>
          <w:rFonts w:hint="eastAsia" w:ascii="宋体" w:hAnsi="宋体"/>
          <w:szCs w:val="21"/>
        </w:rPr>
        <w:t>缩回高度为20</w:t>
      </w:r>
      <w:r>
        <w:rPr>
          <w:rFonts w:hint="eastAsia" w:ascii="宋体" w:hAnsi="宋体"/>
          <w:szCs w:val="21"/>
          <w:lang w:val="en-US" w:eastAsia="zh-CN"/>
        </w:rPr>
        <w:t>53</w:t>
      </w:r>
      <w:r>
        <w:rPr>
          <w:rFonts w:hint="eastAsia" w:ascii="宋体" w:hAnsi="宋体"/>
          <w:szCs w:val="21"/>
        </w:rPr>
        <w:t>mm</w:t>
      </w:r>
      <w:r>
        <w:rPr>
          <w:rFonts w:hint="eastAsia" w:ascii="宋体" w:hAnsi="宋体"/>
          <w:szCs w:val="21"/>
          <w:lang w:eastAsia="zh-CN"/>
        </w:rPr>
        <w:t>，</w:t>
      </w:r>
      <w:r>
        <w:rPr>
          <w:rFonts w:hint="eastAsia" w:ascii="宋体" w:hAnsi="宋体"/>
          <w:szCs w:val="21"/>
          <w:lang w:val="en-US" w:eastAsia="zh-CN"/>
        </w:rPr>
        <w:t>带ISO3691门架锁止功能。</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 技术性能要求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2.1 设备使用前应取得产品质量合格证明。</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2.2 应装有齐全、可靠的电气和机械防护装置，应有短路保护、失压保护等保护措施且所有保护符合国家安全要求。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2.3 主要零部件材料应符合起重机相关标准的要求。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2.4 方向盘控制要求：静压转向系统，方向柱可倾斜调节位置。</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2.5 操作踏板要求：</w:t>
      </w:r>
      <w:r>
        <w:rPr>
          <w:rFonts w:hint="eastAsia" w:ascii="宋体" w:hAnsi="宋体"/>
          <w:szCs w:val="21"/>
          <w:u w:val="single"/>
        </w:rPr>
        <w:t>微动踏板系统，提高工作效率</w:t>
      </w:r>
      <w:r>
        <w:rPr>
          <w:rFonts w:hint="eastAsia" w:ascii="宋体" w:hAnsi="宋体"/>
          <w:szCs w:val="21"/>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2.6 叉车座椅要求：可前后调整，同时司机离开座椅即切断行驶及门架升降功能。</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2.7 仪表盘显示要求：指示灯，预热指示灯，油水分离器报警，工作小时计，油量显示，油温显示，水温显示，发动机油压低报警，发电机不充电报警。</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2.8、宽视野护顶架。</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2.9 发动机要求：满足</w:t>
      </w:r>
      <w:r>
        <w:rPr>
          <w:rFonts w:hint="eastAsia" w:ascii="宋体" w:hAnsi="宋体"/>
          <w:szCs w:val="21"/>
          <w:lang w:val="en-US" w:eastAsia="zh-CN"/>
        </w:rPr>
        <w:t>国三</w:t>
      </w:r>
      <w:r>
        <w:rPr>
          <w:rFonts w:hint="eastAsia" w:ascii="宋体" w:hAnsi="宋体"/>
          <w:szCs w:val="21"/>
        </w:rPr>
        <w:t>排放标准。</w:t>
      </w:r>
    </w:p>
    <w:p>
      <w:pPr>
        <w:adjustRightInd w:val="0"/>
        <w:snapToGrid w:val="0"/>
        <w:spacing w:before="156" w:beforeLines="50" w:line="360" w:lineRule="auto"/>
        <w:ind w:left="315" w:hanging="315" w:hangingChars="150"/>
        <w:rPr>
          <w:rFonts w:hint="eastAsia" w:ascii="宋体" w:hAnsi="宋体"/>
          <w:szCs w:val="21"/>
          <w:lang w:val="en-US"/>
        </w:rPr>
      </w:pPr>
      <w:r>
        <w:rPr>
          <w:rFonts w:hint="eastAsia" w:ascii="宋体" w:hAnsi="宋体"/>
          <w:szCs w:val="21"/>
        </w:rPr>
        <w:t>2.10其他配备：全浮式驱动桥，全液压方向盘，液压</w:t>
      </w:r>
      <w:r>
        <w:rPr>
          <w:rFonts w:hint="eastAsia" w:ascii="宋体" w:hAnsi="宋体"/>
          <w:szCs w:val="21"/>
          <w:lang w:eastAsia="zh-CN"/>
        </w:rPr>
        <w:t>静压</w:t>
      </w:r>
      <w:r>
        <w:rPr>
          <w:rFonts w:hint="eastAsia" w:ascii="宋体" w:hAnsi="宋体"/>
          <w:szCs w:val="21"/>
        </w:rPr>
        <w:t>转向系统，高位排气消音器</w:t>
      </w:r>
      <w:r>
        <w:rPr>
          <w:rFonts w:hint="eastAsia" w:ascii="宋体" w:hAnsi="宋体"/>
          <w:szCs w:val="21"/>
          <w:lang w:eastAsia="zh-CN"/>
        </w:rPr>
        <w:t>，</w:t>
      </w:r>
      <w:r>
        <w:rPr>
          <w:rFonts w:hint="eastAsia" w:ascii="宋体" w:hAnsi="宋体"/>
          <w:szCs w:val="21"/>
          <w:lang w:val="en-US" w:eastAsia="zh-CN"/>
        </w:rPr>
        <w:t>悬浮式座椅；全封闭驾驶室，带暖风、风扇。</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2.11 设备到货应随机提供产品合格证。</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2.12 保质期：1年或者1000工作小时，以先到者为准。</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2.13 使用寿命：10年。</w:t>
      </w:r>
    </w:p>
    <w:bookmarkEnd w:id="2"/>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w:t>
      </w:r>
      <w:r>
        <w:rPr>
          <w:rFonts w:hint="eastAsia" w:ascii="宋体" w:hAnsi="宋体"/>
          <w:szCs w:val="21"/>
          <w:lang w:eastAsia="zh-CN"/>
        </w:rPr>
        <w:t>、</w:t>
      </w:r>
      <w:r>
        <w:rPr>
          <w:rFonts w:hint="eastAsia" w:ascii="宋体" w:hAnsi="宋体"/>
          <w:szCs w:val="21"/>
        </w:rPr>
        <w:t>安全技术要求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3.1、车身油漆：车身喷涂防眩目面漆。</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3.2、座椅安全开关：司机离开座椅，叉车停止所有操作动作。</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3.3、行车光电警示灯及倒车报警提示音。</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3.4、配备1台灭火器。</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3.5</w:t>
      </w:r>
      <w:r>
        <w:rPr>
          <w:rFonts w:hint="eastAsia" w:ascii="宋体" w:hAnsi="宋体"/>
          <w:szCs w:val="21"/>
          <w:lang w:eastAsia="zh-CN"/>
        </w:rPr>
        <w:t>、</w:t>
      </w:r>
      <w:r>
        <w:rPr>
          <w:rFonts w:hint="eastAsia" w:ascii="宋体" w:hAnsi="宋体"/>
          <w:szCs w:val="21"/>
        </w:rPr>
        <w:t>卖方应对设备的安全性负责，在设计时应注意到整体和局部的安全性问题。</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3.6</w:t>
      </w:r>
      <w:r>
        <w:rPr>
          <w:rFonts w:hint="eastAsia" w:ascii="宋体" w:hAnsi="宋体"/>
          <w:szCs w:val="21"/>
          <w:lang w:eastAsia="zh-CN"/>
        </w:rPr>
        <w:t>、</w:t>
      </w:r>
      <w:r>
        <w:rPr>
          <w:rFonts w:hint="eastAsia" w:ascii="宋体" w:hAnsi="宋体"/>
          <w:szCs w:val="21"/>
        </w:rPr>
        <w:t>护顶架、挡货架须安全有效。</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3.7</w:t>
      </w:r>
      <w:r>
        <w:rPr>
          <w:rFonts w:hint="eastAsia" w:ascii="宋体" w:hAnsi="宋体"/>
          <w:szCs w:val="21"/>
          <w:lang w:eastAsia="zh-CN"/>
        </w:rPr>
        <w:t>、</w:t>
      </w:r>
      <w:r>
        <w:rPr>
          <w:rFonts w:hint="eastAsia" w:ascii="宋体" w:hAnsi="宋体"/>
          <w:szCs w:val="21"/>
        </w:rPr>
        <w:t>两根起升链条张紧度应均匀，不得扭曲变形，端部连接牢靠，链条的节距不得超过原长度的4%，否则应更换链条。链轮转动应灵活。</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3.8</w:t>
      </w:r>
      <w:r>
        <w:rPr>
          <w:rFonts w:hint="eastAsia" w:ascii="宋体" w:hAnsi="宋体"/>
          <w:szCs w:val="21"/>
          <w:lang w:eastAsia="zh-CN"/>
        </w:rPr>
        <w:t>、</w:t>
      </w:r>
      <w:r>
        <w:rPr>
          <w:rFonts w:hint="eastAsia" w:ascii="宋体" w:hAnsi="宋体"/>
          <w:szCs w:val="21"/>
        </w:rPr>
        <w:t>门架不得有变形和焊缝脱焊现象，内外门架的滚动间隙应调整合理，不得大于1.5mm，链轮转动应灵活，滚轮及轴应无裂纹、缺陷。轮槽磨损量不得大于原尺寸的10%。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3.9</w:t>
      </w:r>
      <w:r>
        <w:rPr>
          <w:rFonts w:hint="eastAsia" w:ascii="宋体" w:hAnsi="宋体"/>
          <w:szCs w:val="21"/>
          <w:lang w:eastAsia="zh-CN"/>
        </w:rPr>
        <w:t>、</w:t>
      </w:r>
      <w:r>
        <w:rPr>
          <w:rFonts w:hint="eastAsia" w:ascii="宋体" w:hAnsi="宋体"/>
          <w:szCs w:val="21"/>
        </w:rPr>
        <w:t>起升油缸与门架联接部位应牢靠，倾斜油缸与门架、车架的铰接应牢靠、灵活，配合间隙不得过大。油缸应密封良好，无裂纹，工作平稳。在额定载荷下，24小时货叉下沉量不得大于20mm,倾角不得大于0.5º。</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3.10</w:t>
      </w:r>
      <w:r>
        <w:rPr>
          <w:rFonts w:hint="eastAsia" w:ascii="宋体" w:hAnsi="宋体"/>
          <w:szCs w:val="21"/>
          <w:lang w:eastAsia="zh-CN"/>
        </w:rPr>
        <w:t>、</w:t>
      </w:r>
      <w:r>
        <w:rPr>
          <w:rFonts w:hint="eastAsia" w:ascii="宋体" w:hAnsi="宋体"/>
          <w:szCs w:val="21"/>
        </w:rPr>
        <w:t>货叉架不得有严重变形，焊缝脱焊现象。货叉表面不得有裂纹、焊缝开焊现象。货叉根部不得大于93º，厚度不得低于原尺寸的90%。左右货叉尖的高度不得超过货叉水平长度的3%。货叉定位应可靠，货叉挂钩的支承面、定位面不得有明显缺陷，货叉与货叉架的配合间隙不应过大，且移动平顺。</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3.11</w:t>
      </w:r>
      <w:r>
        <w:rPr>
          <w:rFonts w:hint="eastAsia" w:ascii="宋体" w:hAnsi="宋体"/>
          <w:szCs w:val="21"/>
          <w:lang w:eastAsia="zh-CN"/>
        </w:rPr>
        <w:t>、</w:t>
      </w:r>
      <w:r>
        <w:rPr>
          <w:rFonts w:hint="eastAsia" w:ascii="宋体" w:hAnsi="宋体"/>
          <w:szCs w:val="21"/>
        </w:rPr>
        <w:t>液压系统管路接头牢靠、无渗漏与其他机件不磨碰，橡胶软管不得老化，变质现象。</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3.12</w:t>
      </w:r>
      <w:r>
        <w:rPr>
          <w:rFonts w:hint="eastAsia" w:ascii="宋体" w:hAnsi="宋体"/>
          <w:szCs w:val="21"/>
          <w:lang w:eastAsia="zh-CN"/>
        </w:rPr>
        <w:t>、</w:t>
      </w:r>
      <w:r>
        <w:rPr>
          <w:rFonts w:hint="eastAsia" w:ascii="宋体" w:hAnsi="宋体"/>
          <w:szCs w:val="21"/>
        </w:rPr>
        <w:t>液压系统中的传动部件在额定载荷、额定速度范围内不应出现爬行、停滞和明显的冲动现象。</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3.13</w:t>
      </w:r>
      <w:r>
        <w:rPr>
          <w:rFonts w:hint="eastAsia" w:ascii="宋体" w:hAnsi="宋体"/>
          <w:szCs w:val="21"/>
          <w:lang w:eastAsia="zh-CN"/>
        </w:rPr>
        <w:t>、</w:t>
      </w:r>
      <w:r>
        <w:rPr>
          <w:rFonts w:hint="eastAsia" w:ascii="宋体" w:hAnsi="宋体"/>
          <w:szCs w:val="21"/>
        </w:rPr>
        <w:t>多路换向阀壳体无裂纹、渗漏；工作性能应良好可靠；安全阀操作灵敏。</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3.14</w:t>
      </w:r>
      <w:r>
        <w:rPr>
          <w:rFonts w:hint="eastAsia" w:ascii="宋体" w:hAnsi="宋体"/>
          <w:szCs w:val="21"/>
          <w:lang w:eastAsia="zh-CN"/>
        </w:rPr>
        <w:t>、</w:t>
      </w:r>
      <w:r>
        <w:rPr>
          <w:rFonts w:hint="eastAsia" w:ascii="宋体" w:hAnsi="宋体"/>
          <w:szCs w:val="21"/>
        </w:rPr>
        <w:t>调整螺栓的螺帽应安全牢固。操作手柄定位准确、可靠，不得应震动而变位。</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3.15</w:t>
      </w:r>
      <w:r>
        <w:rPr>
          <w:rFonts w:hint="eastAsia" w:ascii="宋体" w:hAnsi="宋体"/>
          <w:szCs w:val="21"/>
          <w:lang w:eastAsia="zh-CN"/>
        </w:rPr>
        <w:t>、</w:t>
      </w:r>
      <w:r>
        <w:rPr>
          <w:rFonts w:hint="eastAsia" w:ascii="宋体" w:hAnsi="宋体"/>
          <w:szCs w:val="21"/>
        </w:rPr>
        <w:t>设备的噪音和振动应符合国家相关标准。</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3.16</w:t>
      </w:r>
      <w:r>
        <w:rPr>
          <w:rFonts w:hint="eastAsia" w:ascii="宋体" w:hAnsi="宋体"/>
          <w:szCs w:val="21"/>
          <w:lang w:eastAsia="zh-CN"/>
        </w:rPr>
        <w:t>、</w:t>
      </w:r>
      <w:r>
        <w:rPr>
          <w:rFonts w:hint="eastAsia" w:ascii="宋体" w:hAnsi="宋体"/>
          <w:szCs w:val="21"/>
        </w:rPr>
        <w:t>叉车要尽量采用各种阻燃材料从本质上来预防火灾的发生</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4</w:t>
      </w:r>
      <w:r>
        <w:rPr>
          <w:rFonts w:hint="eastAsia" w:ascii="宋体" w:hAnsi="宋体"/>
          <w:szCs w:val="21"/>
          <w:lang w:eastAsia="zh-CN"/>
        </w:rPr>
        <w:t>、</w:t>
      </w:r>
      <w:r>
        <w:rPr>
          <w:rFonts w:hint="eastAsia" w:ascii="宋体" w:hAnsi="宋体"/>
          <w:szCs w:val="21"/>
        </w:rPr>
        <w:t>招标人提出的特别技术要求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4.1</w:t>
      </w:r>
      <w:r>
        <w:rPr>
          <w:rFonts w:hint="eastAsia" w:ascii="宋体" w:hAnsi="宋体"/>
          <w:szCs w:val="21"/>
          <w:lang w:eastAsia="zh-CN"/>
        </w:rPr>
        <w:t>、</w:t>
      </w:r>
      <w:r>
        <w:rPr>
          <w:rFonts w:hint="eastAsia" w:ascii="宋体" w:hAnsi="宋体"/>
          <w:szCs w:val="21"/>
        </w:rPr>
        <w:t>必须对所有技术条款逐条解释并满足使用环境。</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4.2</w:t>
      </w:r>
      <w:r>
        <w:rPr>
          <w:rFonts w:hint="eastAsia" w:ascii="宋体" w:hAnsi="宋体"/>
          <w:szCs w:val="21"/>
          <w:lang w:eastAsia="zh-CN"/>
        </w:rPr>
        <w:t>、</w:t>
      </w:r>
      <w:r>
        <w:rPr>
          <w:rFonts w:hint="eastAsia" w:ascii="宋体" w:hAnsi="宋体"/>
          <w:szCs w:val="21"/>
        </w:rPr>
        <w:t>标书中未提及的技术要求必须符合国家的相关要求。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4.3</w:t>
      </w:r>
      <w:r>
        <w:rPr>
          <w:rFonts w:hint="eastAsia" w:ascii="宋体" w:hAnsi="宋体"/>
          <w:szCs w:val="21"/>
          <w:lang w:eastAsia="zh-CN"/>
        </w:rPr>
        <w:t>、</w:t>
      </w:r>
      <w:r>
        <w:rPr>
          <w:rFonts w:hint="eastAsia" w:ascii="宋体" w:hAnsi="宋体"/>
          <w:szCs w:val="21"/>
        </w:rPr>
        <w:t>上表分项报价合计价格与投标报价设备总价格必须一致。</w:t>
      </w:r>
    </w:p>
    <w:p>
      <w:pPr>
        <w:adjustRightInd w:val="0"/>
        <w:snapToGrid w:val="0"/>
        <w:spacing w:before="156" w:beforeLines="50" w:line="360" w:lineRule="auto"/>
        <w:ind w:left="315" w:hanging="315" w:hangingChars="150"/>
        <w:rPr>
          <w:rFonts w:hint="eastAsia" w:ascii="宋体" w:hAnsi="宋体"/>
          <w:szCs w:val="21"/>
          <w:lang w:val="en-US" w:eastAsia="zh-CN"/>
        </w:rPr>
      </w:pPr>
      <w:r>
        <w:rPr>
          <w:rFonts w:hint="eastAsia" w:ascii="宋体" w:hAnsi="宋体"/>
          <w:szCs w:val="21"/>
          <w:lang w:val="en-US" w:eastAsia="zh-CN"/>
        </w:rPr>
        <w:t>* 4.4、办理特种设备检验及注册。</w:t>
      </w:r>
    </w:p>
    <w:p>
      <w:pPr>
        <w:pStyle w:val="16"/>
        <w:jc w:val="center"/>
      </w:pPr>
      <w:r>
        <w:rPr>
          <w:rFonts w:hint="eastAsia" w:ascii="黑体" w:hAnsi="黑体" w:cs="Times New Roman"/>
          <w:b/>
          <w:bCs/>
          <w:sz w:val="32"/>
          <w:szCs w:val="24"/>
        </w:rPr>
        <w:t>第二节 备件和工具</w:t>
      </w:r>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所有为设备的安装、试运行、质保期内和质保期后1年必备的备件、消耗品，包括专用工具、仪器、仪表等，在设备交货时提供。推迟的交货期将按照设备推迟交货计算。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中标方还应进一步提供设备上的所需的备件、易耗品及标准件的货源地，包括润滑油脂。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中标人备件价格在设备开始使用的3年内必须维持稳定。</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5年后在备件停止生产后，如果招标人要求，中标人应免费向买方提供备件的蓝图、图纸和规格。</w:t>
      </w:r>
    </w:p>
    <w:p>
      <w:pPr>
        <w:pStyle w:val="6"/>
        <w:adjustRightInd w:val="0"/>
        <w:snapToGrid w:val="0"/>
        <w:spacing w:before="156" w:beforeLines="50" w:line="360" w:lineRule="auto"/>
        <w:rPr>
          <w:rFonts w:ascii="宋体" w:hAnsi="宋体"/>
          <w:szCs w:val="21"/>
        </w:rPr>
      </w:pPr>
    </w:p>
    <w:p>
      <w:pPr>
        <w:pStyle w:val="16"/>
        <w:jc w:val="center"/>
      </w:pPr>
      <w:bookmarkStart w:id="3" w:name="_Toc357086346"/>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156" w:beforeLines="50" w:line="360" w:lineRule="auto"/>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4" w:name="_Toc357086347"/>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firstLine="525"/>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firstLine="525"/>
        <w:rPr>
          <w:rFonts w:ascii="宋体" w:hAnsi="宋体"/>
          <w:szCs w:val="21"/>
        </w:rPr>
      </w:pPr>
      <w:r>
        <w:rPr>
          <w:rFonts w:hint="eastAsia" w:ascii="宋体" w:hAnsi="宋体"/>
          <w:szCs w:val="21"/>
        </w:rPr>
        <w:t>——培训招标人人员。</w:t>
      </w:r>
    </w:p>
    <w:p>
      <w:pPr>
        <w:adjustRightInd w:val="0"/>
        <w:snapToGrid w:val="0"/>
        <w:spacing w:before="156" w:beforeLines="50"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firstLine="525"/>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5" w:name="_Toc357086348"/>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在该附录中：</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试运转：即为在空载条件下测试该设备。</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试运行：即为设备按照合同要求性能投入运转。</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设备到货应随机提供出厂验收报告。</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4、配套检修工具，配齐设备安装所需的所有调整垫铁（要求可调整垫铁）、垫块及调整螺栓。</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5、厂家负责提前提供设备安装基础图。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w:t>
      </w:r>
      <w:r>
        <w:rPr>
          <w:rFonts w:ascii="宋体" w:hAnsi="宋体"/>
          <w:szCs w:val="21"/>
        </w:rPr>
        <w:t>设备的组装、空载试验、带载试验、试运行、</w:t>
      </w:r>
      <w:r>
        <w:rPr>
          <w:rFonts w:hint="eastAsia" w:ascii="宋体" w:hAnsi="宋体"/>
          <w:szCs w:val="21"/>
        </w:rPr>
        <w:t>所用的试件有供货方提供。</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7、调试所用润滑油、润滑脂有供货方提供。</w:t>
      </w: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6" w:name="_Toc357086349"/>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中标方应有对设备大修周期、使用寿命及各主要部件的寿命承诺。</w:t>
      </w:r>
    </w:p>
    <w:p>
      <w:pPr>
        <w:pStyle w:val="16"/>
        <w:jc w:val="center"/>
      </w:pPr>
      <w:r>
        <w:rPr>
          <w:rFonts w:hint="eastAsia" w:ascii="宋体" w:hAnsi="宋体"/>
          <w:szCs w:val="21"/>
        </w:rPr>
        <w:br w:type="page"/>
      </w:r>
      <w:bookmarkStart w:id="7" w:name="_Toc357086350"/>
      <w:r>
        <w:rPr>
          <w:rFonts w:hint="eastAsia" w:ascii="黑体" w:hAnsi="黑体" w:cs="Times New Roman"/>
          <w:b/>
          <w:bCs/>
          <w:sz w:val="32"/>
          <w:szCs w:val="24"/>
        </w:rPr>
        <w:t>第七节 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w:t>
      </w:r>
      <w:r>
        <w:rPr>
          <w:rFonts w:hint="eastAsia" w:ascii="宋体" w:hAnsi="宋体"/>
          <w:szCs w:val="21"/>
          <w:u w:val="single"/>
        </w:rPr>
        <w:t xml:space="preserve"> 6 </w:t>
      </w:r>
      <w:r>
        <w:rPr>
          <w:rFonts w:hint="eastAsia" w:ascii="宋体" w:hAnsi="宋体"/>
          <w:szCs w:val="21"/>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总图及安装基础图</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完整的技术特征及说明书</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line="360" w:lineRule="auto"/>
        <w:rPr>
          <w:rFonts w:ascii="宋体" w:hAnsi="宋体"/>
          <w:spacing w:val="-5"/>
          <w:kern w:val="0"/>
          <w:szCs w:val="21"/>
        </w:rPr>
      </w:pPr>
    </w:p>
    <w:p>
      <w:pPr>
        <w:adjustRightInd w:val="0"/>
        <w:snapToGrid w:val="0"/>
        <w:spacing w:line="360" w:lineRule="auto"/>
        <w:rPr>
          <w:rFonts w:ascii="宋体" w:hAnsi="宋体"/>
          <w:spacing w:val="-5"/>
          <w:kern w:val="0"/>
          <w:szCs w:val="21"/>
        </w:rPr>
      </w:pPr>
    </w:p>
    <w:p>
      <w:pPr>
        <w:tabs>
          <w:tab w:val="left" w:pos="2340"/>
        </w:tabs>
        <w:spacing w:line="480" w:lineRule="auto"/>
        <w:ind w:left="630" w:leftChars="300" w:firstLine="321" w:firstLineChars="100"/>
        <w:jc w:val="left"/>
        <w:rPr>
          <w:rFonts w:hint="eastAsia" w:ascii="黑体" w:hAnsi="黑体" w:eastAsia="黑体" w:cs="Times New Roman"/>
          <w:b/>
          <w:bCs/>
          <w:kern w:val="0"/>
          <w:sz w:val="32"/>
          <w:szCs w:val="24"/>
          <w:lang w:val="en-US" w:eastAsia="zh-CN" w:bidi="ar-SA"/>
        </w:rPr>
      </w:pPr>
    </w:p>
    <w:p>
      <w:pPr>
        <w:tabs>
          <w:tab w:val="left" w:pos="2340"/>
        </w:tabs>
        <w:spacing w:line="480" w:lineRule="auto"/>
        <w:ind w:left="630" w:leftChars="300" w:firstLine="321" w:firstLineChars="100"/>
        <w:jc w:val="left"/>
        <w:rPr>
          <w:rFonts w:hint="eastAsia" w:ascii="黑体" w:hAnsi="黑体" w:eastAsia="黑体" w:cs="Times New Roman"/>
          <w:b/>
          <w:bCs/>
          <w:kern w:val="0"/>
          <w:sz w:val="32"/>
          <w:szCs w:val="24"/>
          <w:lang w:val="en-US" w:eastAsia="zh-CN" w:bidi="ar-SA"/>
        </w:rPr>
      </w:pPr>
    </w:p>
    <w:p>
      <w:pPr>
        <w:numPr>
          <w:ilvl w:val="0"/>
          <w:numId w:val="2"/>
        </w:numPr>
        <w:tabs>
          <w:tab w:val="left" w:pos="2340"/>
        </w:tabs>
        <w:spacing w:line="480" w:lineRule="auto"/>
        <w:ind w:left="630" w:leftChars="300" w:firstLine="321" w:firstLineChars="100"/>
        <w:jc w:val="center"/>
        <w:rPr>
          <w:rFonts w:hint="eastAsia" w:ascii="黑体" w:hAnsi="黑体" w:eastAsia="黑体" w:cs="Times New Roman"/>
          <w:b/>
          <w:bCs/>
          <w:kern w:val="0"/>
          <w:sz w:val="32"/>
          <w:szCs w:val="24"/>
          <w:lang w:val="en-US" w:eastAsia="zh-CN" w:bidi="ar-SA"/>
        </w:rPr>
      </w:pPr>
      <w:r>
        <w:rPr>
          <w:rFonts w:hint="eastAsia" w:ascii="黑体" w:hAnsi="黑体" w:eastAsia="黑体" w:cs="Times New Roman"/>
          <w:b/>
          <w:bCs/>
          <w:kern w:val="0"/>
          <w:sz w:val="32"/>
          <w:szCs w:val="24"/>
          <w:lang w:val="en-US" w:eastAsia="zh-CN" w:bidi="ar-SA"/>
        </w:rPr>
        <w:t>设计和制造标准</w:t>
      </w:r>
    </w:p>
    <w:p>
      <w:pPr>
        <w:pStyle w:val="17"/>
        <w:tabs>
          <w:tab w:val="left" w:pos="1290"/>
          <w:tab w:val="left" w:pos="1680"/>
        </w:tabs>
        <w:adjustRightInd w:val="0"/>
        <w:snapToGrid w:val="0"/>
        <w:spacing w:beforeLines="50" w:after="0" w:line="360" w:lineRule="auto"/>
        <w:ind w:left="283" w:hanging="283" w:hangingChars="135"/>
        <w:rPr>
          <w:rFonts w:hint="eastAsia" w:ascii="黑体" w:hAnsi="黑体" w:eastAsia="黑体" w:cs="Times New Roman"/>
          <w:b/>
          <w:bCs/>
          <w:kern w:val="0"/>
          <w:sz w:val="32"/>
          <w:szCs w:val="24"/>
          <w:lang w:val="en-US" w:eastAsia="zh-CN" w:bidi="ar-SA"/>
        </w:rPr>
      </w:pPr>
      <w:r>
        <w:rPr>
          <w:rFonts w:hAnsi="宋体"/>
          <w:sz w:val="21"/>
          <w:szCs w:val="21"/>
        </w:rPr>
        <w:t>1.</w:t>
      </w:r>
      <w:r>
        <w:rPr>
          <w:rFonts w:hint="eastAsia" w:hAnsi="宋体"/>
          <w:sz w:val="21"/>
          <w:szCs w:val="21"/>
        </w:rPr>
        <w:t xml:space="preserve"> </w:t>
      </w:r>
      <w:r>
        <w:rPr>
          <w:rFonts w:hAnsi="宋体"/>
          <w:sz w:val="21"/>
          <w:szCs w:val="21"/>
        </w:rPr>
        <w:t>所供应的货物将按下列标准（推荐）进行设计和制造</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机械：ISO标准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GB3811-83起重机设计规范；</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GB6067-85起重机械安全规程；</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GB5905-86起重机械试验规范和程序；</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98/37EEC  欧盟有关机械法律的指令 </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EN1726-1  欧盟工业车辆强制性标准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89/336/EEC欧盟电磁兼容性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ENL2895    欧盟工业车辆强制性标准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12000/14/EC欧盟有关噪声释放法规</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GB/T19002  中国工程机械国家标准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IS09001: 2000国际标准化组织标准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GBTl2467-90焊接质量保证一般原则；</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GB985-80气焊、手工电弧焊及气体保护焊焊缝坡口的基本形式与尺寸；</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GB986-80埋弧焊焊缝坡口的基本形式与尺寸；</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JB/JQ4000.3-86焊接通用技术条件；</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CB3323-87  钢熔化焊对接接头射线照相和质量分级；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JB/T4730-94压力容器无损检测；</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GB9286-88  色漆和清漆漆膜的划格试验；</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GB8923-88  涂装前钢材表面锈蚀等级和除锈等级；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JB4315  起重机电控设备标准；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GB4208-84  外壳防护等级的分类；</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GB12602-90起重机械超载保护装置安全技术规范。</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GB6067-85  起重机械安全规程；</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GBTl2467-90焊接质量保证一般原则；</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GB985-80    气焊、手工电弧焊及气体保护焊焊缝坡口的基本形式与尺寸；</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GB986-80    埋弧焊焊缝坡口的基本形式与尺寸；</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JB/JQ4000. 3-86  焊接通用技术条件：</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GB3323-87  钢熔化焊对接接头射线照相和质量分级：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JB/T4730-94压力容器无损检测；</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GB9286-88  色漆和清漆漆膜的划格试验；</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GB8923-88  涂装前钢材表面锈蚀等级和除锈等级；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若货物原产国的国家标准或目前使用的企业标准高于上述标准，同样适用。</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电器：IEC标准/EN标准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机械：ISO标准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若货物原产国的国家标准或目前使用的企业标准高于上述标准，同样适用。</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设备的设计与制造要求采用国际公制单位，个别部件采用英制单位应列出清单。</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上述标准均应为投标截止日时的最新有效版。</w:t>
      </w:r>
    </w:p>
    <w:p>
      <w:pPr>
        <w:spacing w:line="360" w:lineRule="auto"/>
        <w:rPr>
          <w:rFonts w:ascii="仿宋" w:hAnsi="仿宋" w:eastAsia="仿宋"/>
          <w:sz w:val="24"/>
        </w:rPr>
      </w:pPr>
      <w:r>
        <w:rPr>
          <w:rFonts w:hint="eastAsia" w:ascii="宋体" w:hAnsi="宋体" w:eastAsia="宋体" w:cs="宋体"/>
          <w:color w:val="000000"/>
          <w:sz w:val="21"/>
          <w:szCs w:val="21"/>
        </w:rPr>
        <w:t>有效版。</w:t>
      </w:r>
    </w:p>
    <w:p>
      <w:pPr>
        <w:spacing w:line="360" w:lineRule="auto"/>
        <w:rPr>
          <w:rFonts w:ascii="仿宋" w:hAnsi="仿宋" w:eastAsia="仿宋"/>
          <w:sz w:val="24"/>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AEA3B"/>
    <w:multiLevelType w:val="singleLevel"/>
    <w:tmpl w:val="10EAEA3B"/>
    <w:lvl w:ilvl="0" w:tentative="0">
      <w:start w:val="8"/>
      <w:numFmt w:val="chineseCounting"/>
      <w:suff w:val="space"/>
      <w:lvlText w:val="第%1节"/>
      <w:lvlJc w:val="left"/>
      <w:rPr>
        <w:rFonts w:hint="eastAsia"/>
      </w:rPr>
    </w:lvl>
  </w:abstractNum>
  <w:abstractNum w:abstractNumId="1">
    <w:nsid w:val="29617D31"/>
    <w:multiLevelType w:val="singleLevel"/>
    <w:tmpl w:val="29617D3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03281"/>
    <w:rsid w:val="00015381"/>
    <w:rsid w:val="00026E8B"/>
    <w:rsid w:val="00030C5C"/>
    <w:rsid w:val="00034491"/>
    <w:rsid w:val="000349FF"/>
    <w:rsid w:val="00040FAA"/>
    <w:rsid w:val="00045A4A"/>
    <w:rsid w:val="00046387"/>
    <w:rsid w:val="00046393"/>
    <w:rsid w:val="00060DA9"/>
    <w:rsid w:val="00061FFC"/>
    <w:rsid w:val="00062A06"/>
    <w:rsid w:val="00074BAA"/>
    <w:rsid w:val="0008777B"/>
    <w:rsid w:val="000919ED"/>
    <w:rsid w:val="00097BBE"/>
    <w:rsid w:val="000B4A8F"/>
    <w:rsid w:val="000C002E"/>
    <w:rsid w:val="000D5B51"/>
    <w:rsid w:val="000F7B2D"/>
    <w:rsid w:val="0010350A"/>
    <w:rsid w:val="001310B9"/>
    <w:rsid w:val="00134206"/>
    <w:rsid w:val="00142DC8"/>
    <w:rsid w:val="00151CC7"/>
    <w:rsid w:val="00152AAB"/>
    <w:rsid w:val="00152D9A"/>
    <w:rsid w:val="0015579C"/>
    <w:rsid w:val="00155A24"/>
    <w:rsid w:val="00156431"/>
    <w:rsid w:val="001608A6"/>
    <w:rsid w:val="00162CD6"/>
    <w:rsid w:val="001714A2"/>
    <w:rsid w:val="0017236C"/>
    <w:rsid w:val="00173B13"/>
    <w:rsid w:val="00174859"/>
    <w:rsid w:val="00175505"/>
    <w:rsid w:val="001803C1"/>
    <w:rsid w:val="001A1EEB"/>
    <w:rsid w:val="001C2A35"/>
    <w:rsid w:val="001D231F"/>
    <w:rsid w:val="001F5595"/>
    <w:rsid w:val="0020043E"/>
    <w:rsid w:val="00205A97"/>
    <w:rsid w:val="00207B07"/>
    <w:rsid w:val="00207DB2"/>
    <w:rsid w:val="0021131F"/>
    <w:rsid w:val="00213B0F"/>
    <w:rsid w:val="0023207D"/>
    <w:rsid w:val="0023500D"/>
    <w:rsid w:val="0024361C"/>
    <w:rsid w:val="00247066"/>
    <w:rsid w:val="00254199"/>
    <w:rsid w:val="002557C5"/>
    <w:rsid w:val="002633A5"/>
    <w:rsid w:val="00264D5A"/>
    <w:rsid w:val="0027133A"/>
    <w:rsid w:val="002744A6"/>
    <w:rsid w:val="00275B86"/>
    <w:rsid w:val="00276946"/>
    <w:rsid w:val="00284BB6"/>
    <w:rsid w:val="002902C1"/>
    <w:rsid w:val="00292D0F"/>
    <w:rsid w:val="002A0807"/>
    <w:rsid w:val="002A7675"/>
    <w:rsid w:val="002B1E52"/>
    <w:rsid w:val="002B5148"/>
    <w:rsid w:val="002C2B1B"/>
    <w:rsid w:val="002C75B6"/>
    <w:rsid w:val="002D5779"/>
    <w:rsid w:val="002D5BFD"/>
    <w:rsid w:val="002E17F4"/>
    <w:rsid w:val="002E4385"/>
    <w:rsid w:val="0030306D"/>
    <w:rsid w:val="003133E1"/>
    <w:rsid w:val="00315A14"/>
    <w:rsid w:val="00324547"/>
    <w:rsid w:val="00324AED"/>
    <w:rsid w:val="00327C2C"/>
    <w:rsid w:val="003370AA"/>
    <w:rsid w:val="00340D51"/>
    <w:rsid w:val="003417A1"/>
    <w:rsid w:val="00343D04"/>
    <w:rsid w:val="0034597B"/>
    <w:rsid w:val="00352FC9"/>
    <w:rsid w:val="003538D6"/>
    <w:rsid w:val="00355943"/>
    <w:rsid w:val="0035699D"/>
    <w:rsid w:val="0036001B"/>
    <w:rsid w:val="003708D1"/>
    <w:rsid w:val="00386656"/>
    <w:rsid w:val="00397872"/>
    <w:rsid w:val="003A31FB"/>
    <w:rsid w:val="003A43AD"/>
    <w:rsid w:val="003B3F9D"/>
    <w:rsid w:val="003C1462"/>
    <w:rsid w:val="003D0832"/>
    <w:rsid w:val="003D621C"/>
    <w:rsid w:val="003E5F20"/>
    <w:rsid w:val="003E75F1"/>
    <w:rsid w:val="003F38A7"/>
    <w:rsid w:val="004010AF"/>
    <w:rsid w:val="004021E7"/>
    <w:rsid w:val="00405B14"/>
    <w:rsid w:val="00413602"/>
    <w:rsid w:val="00415933"/>
    <w:rsid w:val="004171CC"/>
    <w:rsid w:val="0042104A"/>
    <w:rsid w:val="00424C95"/>
    <w:rsid w:val="00433399"/>
    <w:rsid w:val="0044291A"/>
    <w:rsid w:val="004513FD"/>
    <w:rsid w:val="00462545"/>
    <w:rsid w:val="0046284D"/>
    <w:rsid w:val="00481D87"/>
    <w:rsid w:val="004954E0"/>
    <w:rsid w:val="004A5487"/>
    <w:rsid w:val="004B6539"/>
    <w:rsid w:val="004C2832"/>
    <w:rsid w:val="004D4587"/>
    <w:rsid w:val="004E0346"/>
    <w:rsid w:val="004E5B57"/>
    <w:rsid w:val="004F5D0C"/>
    <w:rsid w:val="00501850"/>
    <w:rsid w:val="00502BE3"/>
    <w:rsid w:val="0050670E"/>
    <w:rsid w:val="005210D7"/>
    <w:rsid w:val="005210E1"/>
    <w:rsid w:val="00522FE4"/>
    <w:rsid w:val="005245F4"/>
    <w:rsid w:val="00524A09"/>
    <w:rsid w:val="00526241"/>
    <w:rsid w:val="005357F0"/>
    <w:rsid w:val="00560408"/>
    <w:rsid w:val="00564646"/>
    <w:rsid w:val="0057357C"/>
    <w:rsid w:val="0058609D"/>
    <w:rsid w:val="00590E5E"/>
    <w:rsid w:val="00595E43"/>
    <w:rsid w:val="00596F47"/>
    <w:rsid w:val="00597692"/>
    <w:rsid w:val="005A6A5C"/>
    <w:rsid w:val="005B7C05"/>
    <w:rsid w:val="005C1073"/>
    <w:rsid w:val="005C2EC1"/>
    <w:rsid w:val="005C3259"/>
    <w:rsid w:val="005C342E"/>
    <w:rsid w:val="005D117A"/>
    <w:rsid w:val="005D4DD3"/>
    <w:rsid w:val="005E1806"/>
    <w:rsid w:val="005E2C8D"/>
    <w:rsid w:val="005E35A2"/>
    <w:rsid w:val="005E7A41"/>
    <w:rsid w:val="005F05C5"/>
    <w:rsid w:val="005F6C66"/>
    <w:rsid w:val="00604F0E"/>
    <w:rsid w:val="00607817"/>
    <w:rsid w:val="006118E4"/>
    <w:rsid w:val="00616668"/>
    <w:rsid w:val="006243C7"/>
    <w:rsid w:val="00635E5F"/>
    <w:rsid w:val="00644CBA"/>
    <w:rsid w:val="0064539F"/>
    <w:rsid w:val="00665A02"/>
    <w:rsid w:val="00665D70"/>
    <w:rsid w:val="00671C1F"/>
    <w:rsid w:val="00673DB7"/>
    <w:rsid w:val="00674855"/>
    <w:rsid w:val="00680B0F"/>
    <w:rsid w:val="0068763C"/>
    <w:rsid w:val="00695B06"/>
    <w:rsid w:val="006A0E1D"/>
    <w:rsid w:val="006A1896"/>
    <w:rsid w:val="006B3D97"/>
    <w:rsid w:val="006C2B88"/>
    <w:rsid w:val="006C3017"/>
    <w:rsid w:val="006C3ED5"/>
    <w:rsid w:val="006D365C"/>
    <w:rsid w:val="006E2EFD"/>
    <w:rsid w:val="006E52DC"/>
    <w:rsid w:val="006F7261"/>
    <w:rsid w:val="00724E95"/>
    <w:rsid w:val="0072646E"/>
    <w:rsid w:val="0073246F"/>
    <w:rsid w:val="00734DF3"/>
    <w:rsid w:val="00735070"/>
    <w:rsid w:val="007404F7"/>
    <w:rsid w:val="0074278F"/>
    <w:rsid w:val="00765FB3"/>
    <w:rsid w:val="00782F74"/>
    <w:rsid w:val="00786E22"/>
    <w:rsid w:val="00790A71"/>
    <w:rsid w:val="007961CF"/>
    <w:rsid w:val="00796B6E"/>
    <w:rsid w:val="007A37E8"/>
    <w:rsid w:val="007A5778"/>
    <w:rsid w:val="007F0CF7"/>
    <w:rsid w:val="007F5815"/>
    <w:rsid w:val="007F6555"/>
    <w:rsid w:val="0080693E"/>
    <w:rsid w:val="00807102"/>
    <w:rsid w:val="008156D9"/>
    <w:rsid w:val="00826F56"/>
    <w:rsid w:val="0083250C"/>
    <w:rsid w:val="00843418"/>
    <w:rsid w:val="00845825"/>
    <w:rsid w:val="00852959"/>
    <w:rsid w:val="00853966"/>
    <w:rsid w:val="00863A34"/>
    <w:rsid w:val="00877DB3"/>
    <w:rsid w:val="00881676"/>
    <w:rsid w:val="00882500"/>
    <w:rsid w:val="0088601A"/>
    <w:rsid w:val="00890998"/>
    <w:rsid w:val="00891B7E"/>
    <w:rsid w:val="00897BC6"/>
    <w:rsid w:val="008A2F0D"/>
    <w:rsid w:val="008B5D3A"/>
    <w:rsid w:val="008C2E31"/>
    <w:rsid w:val="008D648D"/>
    <w:rsid w:val="008E4684"/>
    <w:rsid w:val="00905422"/>
    <w:rsid w:val="009054B3"/>
    <w:rsid w:val="0091060D"/>
    <w:rsid w:val="0092369C"/>
    <w:rsid w:val="009269DC"/>
    <w:rsid w:val="00940A84"/>
    <w:rsid w:val="00943FA8"/>
    <w:rsid w:val="00947716"/>
    <w:rsid w:val="00947E03"/>
    <w:rsid w:val="00955583"/>
    <w:rsid w:val="009555FC"/>
    <w:rsid w:val="00977779"/>
    <w:rsid w:val="00986153"/>
    <w:rsid w:val="00992860"/>
    <w:rsid w:val="00993163"/>
    <w:rsid w:val="009933CD"/>
    <w:rsid w:val="00996A9F"/>
    <w:rsid w:val="009A1731"/>
    <w:rsid w:val="009B52B4"/>
    <w:rsid w:val="009B7AFD"/>
    <w:rsid w:val="009C560A"/>
    <w:rsid w:val="009D05E6"/>
    <w:rsid w:val="009D16D9"/>
    <w:rsid w:val="009D4F7B"/>
    <w:rsid w:val="009F0088"/>
    <w:rsid w:val="009F01EC"/>
    <w:rsid w:val="009F700A"/>
    <w:rsid w:val="00A0156C"/>
    <w:rsid w:val="00A04165"/>
    <w:rsid w:val="00A069C4"/>
    <w:rsid w:val="00A1147B"/>
    <w:rsid w:val="00A116B9"/>
    <w:rsid w:val="00A1200E"/>
    <w:rsid w:val="00A12475"/>
    <w:rsid w:val="00A14213"/>
    <w:rsid w:val="00A1799B"/>
    <w:rsid w:val="00A2367D"/>
    <w:rsid w:val="00A25B21"/>
    <w:rsid w:val="00A30913"/>
    <w:rsid w:val="00A313B3"/>
    <w:rsid w:val="00A34545"/>
    <w:rsid w:val="00A36918"/>
    <w:rsid w:val="00A37FAA"/>
    <w:rsid w:val="00A6162C"/>
    <w:rsid w:val="00A61C2E"/>
    <w:rsid w:val="00A678FB"/>
    <w:rsid w:val="00A67AA5"/>
    <w:rsid w:val="00A8273B"/>
    <w:rsid w:val="00A86189"/>
    <w:rsid w:val="00A90896"/>
    <w:rsid w:val="00A9110C"/>
    <w:rsid w:val="00AA1072"/>
    <w:rsid w:val="00AA563E"/>
    <w:rsid w:val="00AB2145"/>
    <w:rsid w:val="00AB7D21"/>
    <w:rsid w:val="00AB7E73"/>
    <w:rsid w:val="00AC3394"/>
    <w:rsid w:val="00AD68D8"/>
    <w:rsid w:val="00AE2322"/>
    <w:rsid w:val="00AE3F1F"/>
    <w:rsid w:val="00AE66AF"/>
    <w:rsid w:val="00AF260A"/>
    <w:rsid w:val="00AF3575"/>
    <w:rsid w:val="00B031C1"/>
    <w:rsid w:val="00B03A0D"/>
    <w:rsid w:val="00B045D4"/>
    <w:rsid w:val="00B10346"/>
    <w:rsid w:val="00B15920"/>
    <w:rsid w:val="00B1737F"/>
    <w:rsid w:val="00B24159"/>
    <w:rsid w:val="00B246C9"/>
    <w:rsid w:val="00B30220"/>
    <w:rsid w:val="00B335EE"/>
    <w:rsid w:val="00B363E6"/>
    <w:rsid w:val="00B42553"/>
    <w:rsid w:val="00B45AE6"/>
    <w:rsid w:val="00B479F5"/>
    <w:rsid w:val="00B54F72"/>
    <w:rsid w:val="00B615D0"/>
    <w:rsid w:val="00B619FB"/>
    <w:rsid w:val="00B6712E"/>
    <w:rsid w:val="00B73000"/>
    <w:rsid w:val="00B81CAE"/>
    <w:rsid w:val="00B8459D"/>
    <w:rsid w:val="00B84856"/>
    <w:rsid w:val="00B93EF8"/>
    <w:rsid w:val="00BA3369"/>
    <w:rsid w:val="00BA3D62"/>
    <w:rsid w:val="00BB0EEE"/>
    <w:rsid w:val="00BB3B5C"/>
    <w:rsid w:val="00BC195C"/>
    <w:rsid w:val="00BC1A1D"/>
    <w:rsid w:val="00BC7C25"/>
    <w:rsid w:val="00BD126A"/>
    <w:rsid w:val="00BD3068"/>
    <w:rsid w:val="00BD4827"/>
    <w:rsid w:val="00BE03C3"/>
    <w:rsid w:val="00BF1B41"/>
    <w:rsid w:val="00C005E2"/>
    <w:rsid w:val="00C04844"/>
    <w:rsid w:val="00C20266"/>
    <w:rsid w:val="00C2200A"/>
    <w:rsid w:val="00C22C5C"/>
    <w:rsid w:val="00C23908"/>
    <w:rsid w:val="00C3204C"/>
    <w:rsid w:val="00C4115D"/>
    <w:rsid w:val="00C46F8A"/>
    <w:rsid w:val="00C53DAE"/>
    <w:rsid w:val="00C56484"/>
    <w:rsid w:val="00C56E68"/>
    <w:rsid w:val="00C61510"/>
    <w:rsid w:val="00C61BEE"/>
    <w:rsid w:val="00C655FD"/>
    <w:rsid w:val="00C70D96"/>
    <w:rsid w:val="00C765C3"/>
    <w:rsid w:val="00C82F57"/>
    <w:rsid w:val="00C843CA"/>
    <w:rsid w:val="00C8649F"/>
    <w:rsid w:val="00C87C9F"/>
    <w:rsid w:val="00C904D9"/>
    <w:rsid w:val="00C945CD"/>
    <w:rsid w:val="00C9562B"/>
    <w:rsid w:val="00CA1942"/>
    <w:rsid w:val="00CA2AAB"/>
    <w:rsid w:val="00CA4400"/>
    <w:rsid w:val="00CA6ADA"/>
    <w:rsid w:val="00CB68B2"/>
    <w:rsid w:val="00CB7A68"/>
    <w:rsid w:val="00CC186D"/>
    <w:rsid w:val="00CD5D1D"/>
    <w:rsid w:val="00CE2302"/>
    <w:rsid w:val="00CF3036"/>
    <w:rsid w:val="00D04856"/>
    <w:rsid w:val="00D10234"/>
    <w:rsid w:val="00D15AFD"/>
    <w:rsid w:val="00D27921"/>
    <w:rsid w:val="00D32F26"/>
    <w:rsid w:val="00D33006"/>
    <w:rsid w:val="00D43F0D"/>
    <w:rsid w:val="00D45A07"/>
    <w:rsid w:val="00D50A55"/>
    <w:rsid w:val="00D5435C"/>
    <w:rsid w:val="00D62122"/>
    <w:rsid w:val="00D621FB"/>
    <w:rsid w:val="00D93117"/>
    <w:rsid w:val="00D95D3F"/>
    <w:rsid w:val="00DA4732"/>
    <w:rsid w:val="00DA6DBC"/>
    <w:rsid w:val="00DA7EB8"/>
    <w:rsid w:val="00DB2C8C"/>
    <w:rsid w:val="00DC0302"/>
    <w:rsid w:val="00DC0DF1"/>
    <w:rsid w:val="00DC42CF"/>
    <w:rsid w:val="00DD144E"/>
    <w:rsid w:val="00DD1B16"/>
    <w:rsid w:val="00DD3D57"/>
    <w:rsid w:val="00DD3E50"/>
    <w:rsid w:val="00DD705D"/>
    <w:rsid w:val="00DE1BDB"/>
    <w:rsid w:val="00DE243A"/>
    <w:rsid w:val="00DE4B38"/>
    <w:rsid w:val="00DF5811"/>
    <w:rsid w:val="00DF6AC4"/>
    <w:rsid w:val="00E00421"/>
    <w:rsid w:val="00E050EF"/>
    <w:rsid w:val="00E12326"/>
    <w:rsid w:val="00E12EBD"/>
    <w:rsid w:val="00E17E02"/>
    <w:rsid w:val="00E33525"/>
    <w:rsid w:val="00E4526B"/>
    <w:rsid w:val="00E461DF"/>
    <w:rsid w:val="00E467B6"/>
    <w:rsid w:val="00E467E1"/>
    <w:rsid w:val="00E62120"/>
    <w:rsid w:val="00E70FE5"/>
    <w:rsid w:val="00E71C65"/>
    <w:rsid w:val="00E73DE8"/>
    <w:rsid w:val="00E74C50"/>
    <w:rsid w:val="00E8366B"/>
    <w:rsid w:val="00E906CD"/>
    <w:rsid w:val="00E93ACA"/>
    <w:rsid w:val="00EA3C6E"/>
    <w:rsid w:val="00EB08C9"/>
    <w:rsid w:val="00EB7AB9"/>
    <w:rsid w:val="00EC239A"/>
    <w:rsid w:val="00EC35BC"/>
    <w:rsid w:val="00EC3729"/>
    <w:rsid w:val="00EC5962"/>
    <w:rsid w:val="00ED1B2D"/>
    <w:rsid w:val="00EE23A6"/>
    <w:rsid w:val="00EE66B8"/>
    <w:rsid w:val="00EF2439"/>
    <w:rsid w:val="00F01E3F"/>
    <w:rsid w:val="00F02491"/>
    <w:rsid w:val="00F02E92"/>
    <w:rsid w:val="00F02EC9"/>
    <w:rsid w:val="00F124E8"/>
    <w:rsid w:val="00F15AC7"/>
    <w:rsid w:val="00F16511"/>
    <w:rsid w:val="00F24373"/>
    <w:rsid w:val="00F25227"/>
    <w:rsid w:val="00F3355C"/>
    <w:rsid w:val="00F411D9"/>
    <w:rsid w:val="00F43474"/>
    <w:rsid w:val="00F54464"/>
    <w:rsid w:val="00F54953"/>
    <w:rsid w:val="00F719AB"/>
    <w:rsid w:val="00F71F70"/>
    <w:rsid w:val="00F75F7C"/>
    <w:rsid w:val="00F76074"/>
    <w:rsid w:val="00F76586"/>
    <w:rsid w:val="00F805B3"/>
    <w:rsid w:val="00F878F9"/>
    <w:rsid w:val="00F92D03"/>
    <w:rsid w:val="00F962A7"/>
    <w:rsid w:val="00FA20BE"/>
    <w:rsid w:val="00FA6B21"/>
    <w:rsid w:val="00FB3542"/>
    <w:rsid w:val="00FB531E"/>
    <w:rsid w:val="00FC6B4B"/>
    <w:rsid w:val="00FD40FE"/>
    <w:rsid w:val="00FD4129"/>
    <w:rsid w:val="00FD776B"/>
    <w:rsid w:val="00FE056A"/>
    <w:rsid w:val="00FE5241"/>
    <w:rsid w:val="00FF6988"/>
    <w:rsid w:val="03DB239E"/>
    <w:rsid w:val="071612DB"/>
    <w:rsid w:val="072D7289"/>
    <w:rsid w:val="0B0E0BCB"/>
    <w:rsid w:val="0BA41476"/>
    <w:rsid w:val="0BDE6360"/>
    <w:rsid w:val="0C0F57FF"/>
    <w:rsid w:val="0CA34D1D"/>
    <w:rsid w:val="0D6B4F0B"/>
    <w:rsid w:val="100D2188"/>
    <w:rsid w:val="11E574CF"/>
    <w:rsid w:val="133255C8"/>
    <w:rsid w:val="17F30DF2"/>
    <w:rsid w:val="19CC27CF"/>
    <w:rsid w:val="1A22237F"/>
    <w:rsid w:val="1AEB3B03"/>
    <w:rsid w:val="1B0E73D6"/>
    <w:rsid w:val="1DD11C7A"/>
    <w:rsid w:val="1F35516F"/>
    <w:rsid w:val="22224794"/>
    <w:rsid w:val="2256081B"/>
    <w:rsid w:val="233F3FAD"/>
    <w:rsid w:val="23962192"/>
    <w:rsid w:val="256F1117"/>
    <w:rsid w:val="27526BDA"/>
    <w:rsid w:val="28F45E82"/>
    <w:rsid w:val="2AD8428E"/>
    <w:rsid w:val="2B253764"/>
    <w:rsid w:val="2C3A5D02"/>
    <w:rsid w:val="2D2042D3"/>
    <w:rsid w:val="30900F5D"/>
    <w:rsid w:val="31132B60"/>
    <w:rsid w:val="334A33F6"/>
    <w:rsid w:val="336553E3"/>
    <w:rsid w:val="33A767B0"/>
    <w:rsid w:val="35FE359A"/>
    <w:rsid w:val="37765258"/>
    <w:rsid w:val="37C23D49"/>
    <w:rsid w:val="3A3969BC"/>
    <w:rsid w:val="3B2376D1"/>
    <w:rsid w:val="3BF05BEE"/>
    <w:rsid w:val="3C8C0AD8"/>
    <w:rsid w:val="3C9A5934"/>
    <w:rsid w:val="3CAE796B"/>
    <w:rsid w:val="3E790CF2"/>
    <w:rsid w:val="3EC7482D"/>
    <w:rsid w:val="3F282A0A"/>
    <w:rsid w:val="3F2A1BFA"/>
    <w:rsid w:val="404845D0"/>
    <w:rsid w:val="41AE489B"/>
    <w:rsid w:val="42DA09F3"/>
    <w:rsid w:val="466C10DE"/>
    <w:rsid w:val="48085DDD"/>
    <w:rsid w:val="48E35749"/>
    <w:rsid w:val="498D7479"/>
    <w:rsid w:val="4ED86395"/>
    <w:rsid w:val="4F5E2538"/>
    <w:rsid w:val="5A1F627F"/>
    <w:rsid w:val="5C7D41DC"/>
    <w:rsid w:val="640A4004"/>
    <w:rsid w:val="695542B4"/>
    <w:rsid w:val="6ADA468C"/>
    <w:rsid w:val="6B8B4135"/>
    <w:rsid w:val="70A92F4C"/>
    <w:rsid w:val="71D80671"/>
    <w:rsid w:val="752078DA"/>
    <w:rsid w:val="76762EEB"/>
    <w:rsid w:val="789074EA"/>
    <w:rsid w:val="7A5D2AE0"/>
    <w:rsid w:val="7A5D37CF"/>
    <w:rsid w:val="7A5E5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Cambria" w:hAnsi="Cambria"/>
      <w:b/>
      <w:bCs/>
      <w:kern w:val="0"/>
      <w:sz w:val="32"/>
      <w:szCs w:val="32"/>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8"/>
    <w:unhideWhenUsed/>
    <w:qFormat/>
    <w:uiPriority w:val="0"/>
    <w:rPr>
      <w:b/>
      <w:bCs/>
      <w:kern w:val="2"/>
      <w:sz w:val="21"/>
    </w:rPr>
  </w:style>
  <w:style w:type="paragraph" w:styleId="5">
    <w:name w:val="annotation text"/>
    <w:basedOn w:val="1"/>
    <w:link w:val="26"/>
    <w:qFormat/>
    <w:uiPriority w:val="0"/>
    <w:pPr>
      <w:jc w:val="left"/>
    </w:pPr>
    <w:rPr>
      <w:kern w:val="0"/>
      <w:sz w:val="20"/>
    </w:rPr>
  </w:style>
  <w:style w:type="paragraph" w:styleId="6">
    <w:name w:val="Body Text"/>
    <w:basedOn w:val="1"/>
    <w:link w:val="23"/>
    <w:qFormat/>
    <w:uiPriority w:val="0"/>
    <w:pPr>
      <w:spacing w:after="120"/>
    </w:pPr>
    <w:rPr>
      <w:kern w:val="0"/>
      <w:sz w:val="20"/>
    </w:rPr>
  </w:style>
  <w:style w:type="paragraph" w:styleId="7">
    <w:name w:val="Plain Text"/>
    <w:basedOn w:val="1"/>
    <w:unhideWhenUsed/>
    <w:qFormat/>
    <w:uiPriority w:val="0"/>
    <w:rPr>
      <w:rFonts w:ascii="宋体"/>
    </w:rPr>
  </w:style>
  <w:style w:type="paragraph" w:styleId="8">
    <w:name w:val="Balloon Text"/>
    <w:basedOn w:val="1"/>
    <w:link w:val="27"/>
    <w:unhideWhenUsed/>
    <w:qFormat/>
    <w:uiPriority w:val="99"/>
    <w:rPr>
      <w:kern w:val="0"/>
      <w:sz w:val="18"/>
      <w:szCs w:val="18"/>
    </w:rPr>
  </w:style>
  <w:style w:type="paragraph" w:styleId="9">
    <w:name w:val="footer"/>
    <w:basedOn w:val="1"/>
    <w:link w:val="25"/>
    <w:unhideWhenUsed/>
    <w:qFormat/>
    <w:uiPriority w:val="99"/>
    <w:pPr>
      <w:tabs>
        <w:tab w:val="center" w:pos="4153"/>
        <w:tab w:val="right" w:pos="8306"/>
      </w:tabs>
      <w:snapToGrid w:val="0"/>
      <w:jc w:val="left"/>
    </w:pPr>
    <w:rPr>
      <w:kern w:val="0"/>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qFormat/>
    <w:uiPriority w:val="0"/>
    <w:pPr>
      <w:snapToGrid w:val="0"/>
      <w:jc w:val="left"/>
    </w:pPr>
    <w:rPr>
      <w:kern w:val="0"/>
      <w:sz w:val="18"/>
      <w:szCs w:val="18"/>
    </w:rPr>
  </w:style>
  <w:style w:type="character" w:styleId="13">
    <w:name w:val="annotation reference"/>
    <w:qFormat/>
    <w:uiPriority w:val="0"/>
    <w:rPr>
      <w:sz w:val="21"/>
      <w:szCs w:val="21"/>
    </w:rPr>
  </w:style>
  <w:style w:type="character" w:styleId="14">
    <w:name w:val="footnote reference"/>
    <w:qFormat/>
    <w:uiPriority w:val="0"/>
    <w:rPr>
      <w:vertAlign w:val="superscript"/>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7">
    <w:name w:val="普通 (Web)"/>
    <w:qFormat/>
    <w:uiPriority w:val="0"/>
    <w:pPr>
      <w:spacing w:before="100" w:after="100"/>
    </w:pPr>
    <w:rPr>
      <w:rFonts w:ascii="宋体" w:hAnsi="Times New Roman" w:eastAsia="宋体" w:cs="Times New Roman"/>
      <w:sz w:val="24"/>
      <w:lang w:val="en-US" w:eastAsia="zh-CN" w:bidi="ar-SA"/>
    </w:rPr>
  </w:style>
  <w:style w:type="paragraph" w:customStyle="1" w:styleId="18">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9">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0">
    <w:name w:val="标题 1 Char"/>
    <w:link w:val="2"/>
    <w:qFormat/>
    <w:uiPriority w:val="0"/>
    <w:rPr>
      <w:rFonts w:ascii="Times New Roman" w:hAnsi="Times New Roman" w:eastAsia="宋体" w:cs="Times New Roman"/>
      <w:b/>
      <w:bCs/>
      <w:kern w:val="44"/>
      <w:sz w:val="44"/>
      <w:szCs w:val="44"/>
    </w:rPr>
  </w:style>
  <w:style w:type="character" w:customStyle="1" w:styleId="21">
    <w:name w:val="脚注文本 Char"/>
    <w:link w:val="11"/>
    <w:qFormat/>
    <w:uiPriority w:val="0"/>
    <w:rPr>
      <w:rFonts w:ascii="Times New Roman" w:hAnsi="Times New Roman" w:eastAsia="宋体" w:cs="Times New Roman"/>
      <w:sz w:val="18"/>
      <w:szCs w:val="18"/>
    </w:rPr>
  </w:style>
  <w:style w:type="character" w:customStyle="1" w:styleId="22">
    <w:name w:val="标题 2 Char"/>
    <w:link w:val="3"/>
    <w:semiHidden/>
    <w:qFormat/>
    <w:uiPriority w:val="9"/>
    <w:rPr>
      <w:rFonts w:ascii="Cambria" w:hAnsi="Cambria" w:eastAsia="宋体" w:cs="黑体"/>
      <w:b/>
      <w:bCs/>
      <w:sz w:val="32"/>
      <w:szCs w:val="32"/>
    </w:rPr>
  </w:style>
  <w:style w:type="character" w:customStyle="1" w:styleId="23">
    <w:name w:val="正文文本 Char"/>
    <w:link w:val="6"/>
    <w:qFormat/>
    <w:uiPriority w:val="0"/>
    <w:rPr>
      <w:rFonts w:ascii="Times New Roman" w:hAnsi="Times New Roman" w:eastAsia="宋体" w:cs="Times New Roman"/>
      <w:szCs w:val="24"/>
    </w:rPr>
  </w:style>
  <w:style w:type="character" w:customStyle="1" w:styleId="24">
    <w:name w:val="页眉 Char"/>
    <w:link w:val="10"/>
    <w:qFormat/>
    <w:uiPriority w:val="99"/>
    <w:rPr>
      <w:rFonts w:ascii="Times New Roman" w:hAnsi="Times New Roman" w:eastAsia="宋体" w:cs="Times New Roman"/>
      <w:sz w:val="18"/>
      <w:szCs w:val="18"/>
    </w:rPr>
  </w:style>
  <w:style w:type="character" w:customStyle="1" w:styleId="25">
    <w:name w:val="页脚 Char"/>
    <w:link w:val="9"/>
    <w:qFormat/>
    <w:uiPriority w:val="99"/>
    <w:rPr>
      <w:rFonts w:ascii="Times New Roman" w:hAnsi="Times New Roman" w:eastAsia="宋体" w:cs="Times New Roman"/>
      <w:sz w:val="18"/>
      <w:szCs w:val="18"/>
    </w:rPr>
  </w:style>
  <w:style w:type="character" w:customStyle="1" w:styleId="26">
    <w:name w:val="批注文字 Char"/>
    <w:link w:val="5"/>
    <w:qFormat/>
    <w:uiPriority w:val="0"/>
    <w:rPr>
      <w:rFonts w:ascii="Times New Roman" w:hAnsi="Times New Roman" w:eastAsia="宋体" w:cs="Times New Roman"/>
      <w:szCs w:val="24"/>
    </w:rPr>
  </w:style>
  <w:style w:type="character" w:customStyle="1" w:styleId="27">
    <w:name w:val="批注框文本 Char"/>
    <w:link w:val="8"/>
    <w:semiHidden/>
    <w:qFormat/>
    <w:uiPriority w:val="99"/>
    <w:rPr>
      <w:rFonts w:ascii="Times New Roman" w:hAnsi="Times New Roman" w:eastAsia="宋体" w:cs="Times New Roman"/>
      <w:sz w:val="18"/>
      <w:szCs w:val="18"/>
    </w:rPr>
  </w:style>
  <w:style w:type="character" w:customStyle="1" w:styleId="28">
    <w:name w:val="批注主题 Char"/>
    <w:link w:val="4"/>
    <w:semiHidden/>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1037</Words>
  <Characters>5913</Characters>
  <Lines>49</Lines>
  <Paragraphs>13</Paragraphs>
  <TotalTime>28</TotalTime>
  <ScaleCrop>false</ScaleCrop>
  <LinksUpToDate>false</LinksUpToDate>
  <CharactersWithSpaces>6937</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2014-04-15T06:32:00Z</dcterms:created>
  <dc:creator>qzy3472</dc:creator>
  <cp:lastModifiedBy>%E6%AD%A6%E6%99%8B%E9%BE%99</cp:lastModifiedBy>
  <cp:lastPrinted>2017-06-05T07:45:00Z</cp:lastPrinted>
  <dcterms:modified xsi:type="dcterms:W3CDTF">2019-03-15T06:59:24Z</dcterms:modified>
  <dc:title>设备技术要求</dc:title>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