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340"/>
        </w:tabs>
        <w:spacing w:line="480" w:lineRule="auto"/>
        <w:jc w:val="center"/>
        <w:rPr>
          <w:rFonts w:ascii="黑体" w:hAnsi="黑体" w:eastAsia="黑体"/>
          <w:b/>
          <w:bCs/>
          <w:sz w:val="32"/>
        </w:rPr>
      </w:pPr>
      <w:r>
        <w:rPr>
          <w:rFonts w:hint="eastAsia" w:ascii="黑体" w:hAnsi="黑体" w:eastAsia="黑体"/>
          <w:b/>
          <w:bCs/>
          <w:sz w:val="32"/>
        </w:rPr>
        <w:t>设备技术要求</w:t>
      </w:r>
    </w:p>
    <w:p>
      <w:pPr>
        <w:tabs>
          <w:tab w:val="left" w:pos="2340"/>
        </w:tabs>
        <w:spacing w:line="480" w:lineRule="auto"/>
        <w:jc w:val="center"/>
        <w:rPr>
          <w:rFonts w:ascii="黑体" w:hAnsi="黑体" w:eastAsia="黑体"/>
          <w:b/>
          <w:bCs/>
          <w:sz w:val="32"/>
        </w:rPr>
      </w:pPr>
    </w:p>
    <w:p>
      <w:pPr>
        <w:tabs>
          <w:tab w:val="left" w:pos="2340"/>
        </w:tabs>
        <w:spacing w:line="480" w:lineRule="auto"/>
        <w:ind w:firstLine="840" w:firstLineChars="350"/>
        <w:jc w:val="left"/>
        <w:rPr>
          <w:rFonts w:ascii="宋体"/>
          <w:sz w:val="24"/>
        </w:rPr>
      </w:pPr>
      <w:r>
        <w:rPr>
          <w:rFonts w:hint="eastAsia" w:ascii="宋体"/>
          <w:sz w:val="24"/>
        </w:rPr>
        <w:t>第一节  供货范围、技术规格、参数与要求</w:t>
      </w:r>
    </w:p>
    <w:p>
      <w:pPr>
        <w:tabs>
          <w:tab w:val="left" w:pos="2340"/>
        </w:tabs>
        <w:spacing w:line="480" w:lineRule="auto"/>
        <w:ind w:left="630" w:leftChars="300" w:firstLine="240" w:firstLineChars="100"/>
        <w:jc w:val="left"/>
        <w:rPr>
          <w:rFonts w:ascii="宋体"/>
          <w:sz w:val="24"/>
        </w:rPr>
      </w:pPr>
      <w:r>
        <w:rPr>
          <w:rFonts w:hint="eastAsia" w:ascii="宋体"/>
          <w:sz w:val="24"/>
        </w:rPr>
        <w:t>第二节  备件和工具</w:t>
      </w:r>
    </w:p>
    <w:p>
      <w:pPr>
        <w:tabs>
          <w:tab w:val="left" w:pos="2340"/>
        </w:tabs>
        <w:spacing w:line="480" w:lineRule="auto"/>
        <w:ind w:left="630" w:leftChars="300" w:firstLine="240" w:firstLineChars="100"/>
        <w:jc w:val="left"/>
        <w:rPr>
          <w:rFonts w:ascii="宋体"/>
          <w:sz w:val="24"/>
        </w:rPr>
      </w:pPr>
      <w:r>
        <w:rPr>
          <w:rFonts w:hint="eastAsia" w:ascii="宋体"/>
          <w:sz w:val="24"/>
        </w:rPr>
        <w:t>第三节  设备出厂前检验</w:t>
      </w:r>
    </w:p>
    <w:p>
      <w:pPr>
        <w:tabs>
          <w:tab w:val="left" w:pos="2340"/>
        </w:tabs>
        <w:spacing w:line="480" w:lineRule="auto"/>
        <w:ind w:left="630" w:leftChars="300" w:firstLine="240" w:firstLineChars="100"/>
        <w:jc w:val="left"/>
        <w:rPr>
          <w:rFonts w:ascii="宋体"/>
          <w:sz w:val="24"/>
        </w:rPr>
      </w:pPr>
      <w:r>
        <w:rPr>
          <w:rFonts w:hint="eastAsia" w:ascii="宋体"/>
          <w:sz w:val="24"/>
        </w:rPr>
        <w:t>第四节  技术服务</w:t>
      </w:r>
    </w:p>
    <w:p>
      <w:pPr>
        <w:tabs>
          <w:tab w:val="left" w:pos="2340"/>
        </w:tabs>
        <w:spacing w:line="480" w:lineRule="auto"/>
        <w:ind w:left="630" w:leftChars="300" w:firstLine="240" w:firstLineChars="100"/>
        <w:jc w:val="left"/>
        <w:rPr>
          <w:rFonts w:ascii="宋体"/>
          <w:sz w:val="24"/>
        </w:rPr>
      </w:pPr>
      <w:r>
        <w:rPr>
          <w:rFonts w:hint="eastAsia" w:ascii="宋体"/>
          <w:sz w:val="24"/>
        </w:rPr>
        <w:t>第五节  安装、检验、调试、试运行及验收</w:t>
      </w:r>
    </w:p>
    <w:p>
      <w:pPr>
        <w:tabs>
          <w:tab w:val="left" w:pos="2340"/>
        </w:tabs>
        <w:spacing w:line="480" w:lineRule="auto"/>
        <w:ind w:left="630" w:leftChars="300" w:firstLine="240" w:firstLineChars="100"/>
        <w:jc w:val="left"/>
        <w:rPr>
          <w:rFonts w:ascii="宋体"/>
          <w:sz w:val="24"/>
        </w:rPr>
      </w:pPr>
      <w:r>
        <w:rPr>
          <w:rFonts w:hint="eastAsia" w:ascii="宋体"/>
          <w:sz w:val="24"/>
        </w:rPr>
        <w:t>第六节  质量保证</w:t>
      </w:r>
    </w:p>
    <w:p>
      <w:pPr>
        <w:tabs>
          <w:tab w:val="left" w:pos="2340"/>
        </w:tabs>
        <w:spacing w:line="480" w:lineRule="auto"/>
        <w:ind w:left="630" w:leftChars="300" w:firstLine="240" w:firstLineChars="100"/>
        <w:jc w:val="left"/>
      </w:pPr>
      <w:r>
        <w:rPr>
          <w:rFonts w:hint="eastAsia" w:ascii="宋体"/>
          <w:sz w:val="24"/>
        </w:rPr>
        <w:t>第七节  技术资料和图纸</w:t>
      </w:r>
      <w:bookmarkStart w:id="0" w:name="_Toc357082526"/>
      <w:bookmarkStart w:id="1" w:name="_Toc356204538"/>
    </w:p>
    <w:p>
      <w:pPr>
        <w:widowControl/>
        <w:jc w:val="left"/>
      </w:pPr>
      <w:r>
        <w:br w:type="page"/>
      </w:r>
    </w:p>
    <w:p>
      <w:pPr>
        <w:tabs>
          <w:tab w:val="left" w:pos="2340"/>
        </w:tabs>
        <w:spacing w:line="480" w:lineRule="auto"/>
        <w:jc w:val="center"/>
        <w:rPr>
          <w:rFonts w:ascii="黑体" w:hAnsi="黑体" w:eastAsia="黑体"/>
          <w:b/>
          <w:bCs/>
          <w:sz w:val="32"/>
        </w:rPr>
      </w:pPr>
      <w:r>
        <w:rPr>
          <w:rFonts w:hint="eastAsia" w:ascii="黑体" w:hAnsi="黑体" w:eastAsia="黑体"/>
          <w:b/>
          <w:bCs/>
          <w:sz w:val="32"/>
        </w:rPr>
        <w:t>第一节 供货范围、技术规格、参数与要求</w:t>
      </w:r>
      <w:bookmarkEnd w:id="0"/>
      <w:bookmarkEnd w:id="1"/>
    </w:p>
    <w:p>
      <w:pPr>
        <w:adjustRightInd w:val="0"/>
        <w:snapToGrid w:val="0"/>
        <w:spacing w:before="312" w:beforeLines="100" w:after="312" w:afterLines="100" w:line="360" w:lineRule="auto"/>
        <w:ind w:left="2246" w:leftChars="-5" w:hanging="2256" w:hangingChars="1070"/>
        <w:rPr>
          <w:b/>
          <w:szCs w:val="21"/>
        </w:rPr>
      </w:pPr>
      <w:r>
        <w:rPr>
          <w:rFonts w:hint="eastAsia"/>
          <w:b/>
          <w:szCs w:val="21"/>
        </w:rPr>
        <w:t>一、</w:t>
      </w:r>
      <w:r>
        <w:rPr>
          <w:rFonts w:hint="eastAsia" w:cs="宋体"/>
          <w:b/>
          <w:bCs/>
          <w:lang w:val="en-US" w:eastAsia="zh-CN"/>
        </w:rPr>
        <w:t>单台套货物明细表</w:t>
      </w:r>
    </w:p>
    <w:tbl>
      <w:tblPr>
        <w:tblStyle w:val="14"/>
        <w:tblW w:w="657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54"/>
        <w:gridCol w:w="2385"/>
        <w:gridCol w:w="1105"/>
        <w:gridCol w:w="692"/>
        <w:gridCol w:w="830"/>
        <w:gridCol w:w="9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9" w:hRule="atLeast"/>
          <w:jc w:val="center"/>
        </w:trPr>
        <w:tc>
          <w:tcPr>
            <w:tcW w:w="65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序</w:t>
            </w:r>
            <w:r>
              <w:rPr>
                <w:rFonts w:hint="eastAsia" w:ascii="宋体" w:hAnsi="宋体"/>
                <w:b/>
              </w:rPr>
              <w:t>号</w:t>
            </w:r>
          </w:p>
        </w:tc>
        <w:tc>
          <w:tcPr>
            <w:tcW w:w="238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名称</w:t>
            </w:r>
          </w:p>
        </w:tc>
        <w:tc>
          <w:tcPr>
            <w:tcW w:w="110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Pr>
                <w:rFonts w:hint="eastAsia" w:ascii="宋体" w:hAnsi="宋体"/>
                <w:b/>
              </w:rPr>
              <w:t>型号</w:t>
            </w:r>
          </w:p>
        </w:tc>
        <w:tc>
          <w:tcPr>
            <w:tcW w:w="69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单位</w:t>
            </w:r>
          </w:p>
        </w:tc>
        <w:tc>
          <w:tcPr>
            <w:tcW w:w="83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数量</w:t>
            </w:r>
          </w:p>
        </w:tc>
        <w:tc>
          <w:tcPr>
            <w:tcW w:w="90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48" w:hRule="atLeast"/>
          <w:jc w:val="center"/>
        </w:trPr>
        <w:tc>
          <w:tcPr>
            <w:tcW w:w="65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1</w:t>
            </w:r>
          </w:p>
        </w:tc>
        <w:tc>
          <w:tcPr>
            <w:tcW w:w="238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变频器</w:t>
            </w:r>
          </w:p>
        </w:tc>
        <w:tc>
          <w:tcPr>
            <w:tcW w:w="110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69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台</w:t>
            </w:r>
          </w:p>
        </w:tc>
        <w:tc>
          <w:tcPr>
            <w:tcW w:w="83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val="en-US" w:eastAsia="zh-CN"/>
              </w:rPr>
            </w:pPr>
          </w:p>
        </w:tc>
        <w:tc>
          <w:tcPr>
            <w:tcW w:w="90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9" w:hRule="atLeast"/>
          <w:jc w:val="center"/>
        </w:trPr>
        <w:tc>
          <w:tcPr>
            <w:tcW w:w="654" w:type="dxa"/>
            <w:tcBorders>
              <w:top w:val="single" w:color="auto" w:sz="4" w:space="0"/>
              <w:left w:val="single" w:color="auto" w:sz="4" w:space="0"/>
              <w:bottom w:val="single" w:color="auto" w:sz="4" w:space="0"/>
              <w:right w:val="single" w:color="auto" w:sz="4" w:space="0"/>
            </w:tcBorders>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val="en-US" w:eastAsia="zh-CN"/>
              </w:rPr>
            </w:pPr>
            <w:r>
              <w:rPr>
                <w:rFonts w:hint="eastAsia" w:ascii="宋体" w:hAnsi="宋体"/>
                <w:szCs w:val="21"/>
                <w:lang w:val="en-US" w:eastAsia="zh-CN"/>
              </w:rPr>
              <w:t>2</w:t>
            </w:r>
          </w:p>
        </w:tc>
        <w:tc>
          <w:tcPr>
            <w:tcW w:w="238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技术资料与质检资料</w:t>
            </w:r>
          </w:p>
        </w:tc>
        <w:tc>
          <w:tcPr>
            <w:tcW w:w="110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69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套</w:t>
            </w:r>
            <w:r>
              <w:rPr>
                <w:rFonts w:hint="eastAsia" w:ascii="宋体" w:hAnsi="宋体"/>
                <w:szCs w:val="21"/>
                <w:lang w:val="en-US" w:eastAsia="zh-CN"/>
              </w:rPr>
              <w:t>/</w:t>
            </w:r>
            <w:r>
              <w:rPr>
                <w:rFonts w:hint="eastAsia" w:ascii="宋体" w:hAnsi="宋体"/>
                <w:szCs w:val="21"/>
              </w:rPr>
              <w:t>台</w:t>
            </w:r>
          </w:p>
        </w:tc>
        <w:tc>
          <w:tcPr>
            <w:tcW w:w="83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val="en-US" w:eastAsia="zh-CN"/>
              </w:rPr>
            </w:pPr>
            <w:r>
              <w:rPr>
                <w:rFonts w:hint="eastAsia" w:ascii="宋体" w:hAnsi="宋体"/>
                <w:szCs w:val="21"/>
                <w:lang w:val="en-US" w:eastAsia="zh-CN"/>
              </w:rPr>
              <w:t>6</w:t>
            </w:r>
          </w:p>
        </w:tc>
        <w:tc>
          <w:tcPr>
            <w:tcW w:w="90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9" w:hRule="atLeast"/>
          <w:jc w:val="center"/>
        </w:trPr>
        <w:tc>
          <w:tcPr>
            <w:tcW w:w="654" w:type="dxa"/>
            <w:tcBorders>
              <w:top w:val="single" w:color="auto" w:sz="4" w:space="0"/>
              <w:left w:val="single" w:color="auto" w:sz="4" w:space="0"/>
              <w:bottom w:val="single" w:color="auto" w:sz="4" w:space="0"/>
              <w:right w:val="single" w:color="auto" w:sz="4" w:space="0"/>
            </w:tcBorders>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val="en-US" w:eastAsia="zh-CN"/>
              </w:rPr>
            </w:pPr>
            <w:r>
              <w:rPr>
                <w:rFonts w:hint="eastAsia" w:ascii="宋体" w:hAnsi="宋体"/>
                <w:szCs w:val="21"/>
                <w:lang w:val="en-US" w:eastAsia="zh-CN"/>
              </w:rPr>
              <w:t>3</w:t>
            </w:r>
          </w:p>
        </w:tc>
        <w:tc>
          <w:tcPr>
            <w:tcW w:w="238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质保期内备品备件</w:t>
            </w:r>
          </w:p>
        </w:tc>
        <w:tc>
          <w:tcPr>
            <w:tcW w:w="110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69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套</w:t>
            </w:r>
            <w:r>
              <w:rPr>
                <w:rFonts w:hint="eastAsia" w:ascii="宋体" w:hAnsi="宋体"/>
                <w:szCs w:val="21"/>
                <w:lang w:val="en-US" w:eastAsia="zh-CN"/>
              </w:rPr>
              <w:t>/</w:t>
            </w:r>
            <w:r>
              <w:rPr>
                <w:rFonts w:hint="eastAsia" w:ascii="宋体" w:hAnsi="宋体"/>
                <w:szCs w:val="21"/>
              </w:rPr>
              <w:t>台</w:t>
            </w:r>
          </w:p>
        </w:tc>
        <w:tc>
          <w:tcPr>
            <w:tcW w:w="83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1</w:t>
            </w:r>
          </w:p>
        </w:tc>
        <w:tc>
          <w:tcPr>
            <w:tcW w:w="90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69" w:hRule="atLeast"/>
          <w:jc w:val="center"/>
        </w:trPr>
        <w:tc>
          <w:tcPr>
            <w:tcW w:w="654" w:type="dxa"/>
            <w:tcBorders>
              <w:top w:val="single" w:color="auto" w:sz="4" w:space="0"/>
              <w:left w:val="single" w:color="auto" w:sz="4" w:space="0"/>
              <w:bottom w:val="single" w:color="auto" w:sz="4" w:space="0"/>
              <w:right w:val="single" w:color="auto" w:sz="4" w:space="0"/>
            </w:tcBorders>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val="en-US" w:eastAsia="zh-CN"/>
              </w:rPr>
            </w:pPr>
            <w:r>
              <w:rPr>
                <w:rFonts w:hint="eastAsia" w:ascii="宋体" w:hAnsi="宋体"/>
                <w:szCs w:val="21"/>
                <w:lang w:val="en-US" w:eastAsia="zh-CN"/>
              </w:rPr>
              <w:t>4</w:t>
            </w:r>
          </w:p>
        </w:tc>
        <w:tc>
          <w:tcPr>
            <w:tcW w:w="238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cs="宋体"/>
                <w:szCs w:val="21"/>
              </w:rPr>
              <w:t>其他</w:t>
            </w:r>
          </w:p>
        </w:tc>
        <w:tc>
          <w:tcPr>
            <w:tcW w:w="110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69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套</w:t>
            </w:r>
            <w:r>
              <w:rPr>
                <w:rFonts w:hint="eastAsia" w:ascii="宋体" w:hAnsi="宋体"/>
                <w:szCs w:val="21"/>
                <w:lang w:val="en-US" w:eastAsia="zh-CN"/>
              </w:rPr>
              <w:t>/</w:t>
            </w:r>
            <w:r>
              <w:rPr>
                <w:rFonts w:hint="eastAsia" w:ascii="宋体" w:hAnsi="宋体"/>
                <w:szCs w:val="21"/>
              </w:rPr>
              <w:t>台</w:t>
            </w:r>
          </w:p>
        </w:tc>
        <w:tc>
          <w:tcPr>
            <w:tcW w:w="83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1</w:t>
            </w:r>
          </w:p>
        </w:tc>
        <w:tc>
          <w:tcPr>
            <w:tcW w:w="90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bl>
    <w:p>
      <w:pPr>
        <w:adjustRightInd w:val="0"/>
        <w:snapToGrid w:val="0"/>
        <w:spacing w:before="312" w:beforeLines="100" w:line="360" w:lineRule="auto"/>
        <w:jc w:val="center"/>
        <w:rPr>
          <w:rFonts w:hint="eastAsia" w:eastAsia="宋体"/>
          <w:b/>
          <w:szCs w:val="21"/>
          <w:lang w:val="en-US" w:eastAsia="zh-CN"/>
        </w:rPr>
      </w:pPr>
      <w:r>
        <w:rPr>
          <w:rFonts w:hint="eastAsia"/>
          <w:b/>
          <w:bCs/>
          <w:lang w:val="en-US" w:eastAsia="zh-CN"/>
        </w:rPr>
        <w:t>单台套分项报价表</w:t>
      </w:r>
    </w:p>
    <w:tbl>
      <w:tblPr>
        <w:tblStyle w:val="14"/>
        <w:tblW w:w="85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
        <w:gridCol w:w="2137"/>
        <w:gridCol w:w="686"/>
        <w:gridCol w:w="1411"/>
        <w:gridCol w:w="1129"/>
        <w:gridCol w:w="1154"/>
        <w:gridCol w:w="11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5" w:hRule="atLeast"/>
          <w:tblHeader/>
          <w:jc w:val="center"/>
        </w:trPr>
        <w:tc>
          <w:tcPr>
            <w:tcW w:w="847" w:type="dxa"/>
            <w:vAlign w:val="center"/>
          </w:tcPr>
          <w:p>
            <w:pPr>
              <w:widowControl/>
              <w:jc w:val="center"/>
              <w:rPr>
                <w:rFonts w:ascii="宋体" w:cs="宋体"/>
                <w:b/>
                <w:kern w:val="0"/>
                <w:szCs w:val="21"/>
              </w:rPr>
            </w:pPr>
            <w:r>
              <w:rPr>
                <w:rFonts w:hint="eastAsia" w:ascii="宋体" w:hAnsi="宋体" w:cs="宋体"/>
                <w:b/>
                <w:kern w:val="0"/>
                <w:szCs w:val="21"/>
              </w:rPr>
              <w:t>序号</w:t>
            </w:r>
          </w:p>
        </w:tc>
        <w:tc>
          <w:tcPr>
            <w:tcW w:w="2137" w:type="dxa"/>
            <w:vAlign w:val="center"/>
          </w:tcPr>
          <w:p>
            <w:pPr>
              <w:widowControl/>
              <w:jc w:val="center"/>
              <w:rPr>
                <w:rFonts w:ascii="宋体" w:cs="宋体"/>
                <w:b/>
                <w:kern w:val="0"/>
                <w:szCs w:val="21"/>
              </w:rPr>
            </w:pPr>
            <w:r>
              <w:rPr>
                <w:rFonts w:hint="eastAsia" w:ascii="宋体" w:hAnsi="宋体" w:cs="宋体"/>
                <w:b/>
                <w:kern w:val="0"/>
                <w:szCs w:val="21"/>
              </w:rPr>
              <w:t>名称</w:t>
            </w:r>
          </w:p>
        </w:tc>
        <w:tc>
          <w:tcPr>
            <w:tcW w:w="686" w:type="dxa"/>
            <w:vAlign w:val="center"/>
          </w:tcPr>
          <w:p>
            <w:pPr>
              <w:widowControl/>
              <w:jc w:val="center"/>
              <w:rPr>
                <w:rFonts w:ascii="宋体" w:cs="宋体"/>
                <w:b/>
                <w:kern w:val="0"/>
                <w:szCs w:val="21"/>
              </w:rPr>
            </w:pPr>
            <w:r>
              <w:rPr>
                <w:rFonts w:hint="eastAsia" w:ascii="宋体" w:hAnsi="宋体" w:cs="宋体"/>
                <w:b/>
                <w:kern w:val="0"/>
                <w:szCs w:val="21"/>
              </w:rPr>
              <w:t>单位</w:t>
            </w:r>
          </w:p>
        </w:tc>
        <w:tc>
          <w:tcPr>
            <w:tcW w:w="1411" w:type="dxa"/>
            <w:vAlign w:val="center"/>
          </w:tcPr>
          <w:p>
            <w:pPr>
              <w:widowControl/>
              <w:jc w:val="center"/>
              <w:rPr>
                <w:rFonts w:ascii="宋体" w:cs="宋体"/>
                <w:b/>
                <w:kern w:val="0"/>
                <w:szCs w:val="21"/>
              </w:rPr>
            </w:pPr>
            <w:r>
              <w:rPr>
                <w:rFonts w:hint="eastAsia" w:ascii="宋体" w:hAnsi="宋体" w:cs="宋体"/>
                <w:b/>
                <w:kern w:val="0"/>
                <w:szCs w:val="21"/>
              </w:rPr>
              <w:t>数量</w:t>
            </w:r>
          </w:p>
        </w:tc>
        <w:tc>
          <w:tcPr>
            <w:tcW w:w="1129" w:type="dxa"/>
            <w:vAlign w:val="center"/>
          </w:tcPr>
          <w:p>
            <w:pPr>
              <w:widowControl/>
              <w:jc w:val="center"/>
              <w:rPr>
                <w:rFonts w:ascii="宋体" w:cs="宋体"/>
                <w:b/>
                <w:kern w:val="0"/>
                <w:szCs w:val="21"/>
              </w:rPr>
            </w:pPr>
            <w:r>
              <w:rPr>
                <w:rFonts w:hint="eastAsia" w:ascii="宋体" w:hAnsi="宋体" w:cs="宋体"/>
                <w:b/>
                <w:kern w:val="0"/>
                <w:szCs w:val="21"/>
              </w:rPr>
              <w:t>单价（元）</w:t>
            </w:r>
          </w:p>
        </w:tc>
        <w:tc>
          <w:tcPr>
            <w:tcW w:w="1154" w:type="dxa"/>
            <w:vAlign w:val="center"/>
          </w:tcPr>
          <w:p>
            <w:pPr>
              <w:widowControl/>
              <w:jc w:val="center"/>
              <w:rPr>
                <w:rFonts w:ascii="宋体" w:cs="宋体"/>
                <w:b/>
                <w:kern w:val="0"/>
                <w:szCs w:val="21"/>
              </w:rPr>
            </w:pPr>
            <w:r>
              <w:rPr>
                <w:rFonts w:hint="eastAsia" w:ascii="宋体" w:hAnsi="宋体" w:cs="宋体"/>
                <w:b/>
                <w:kern w:val="0"/>
                <w:szCs w:val="21"/>
              </w:rPr>
              <w:t>总价（元）</w:t>
            </w:r>
          </w:p>
        </w:tc>
        <w:tc>
          <w:tcPr>
            <w:tcW w:w="1154" w:type="dxa"/>
            <w:vAlign w:val="center"/>
          </w:tcPr>
          <w:p>
            <w:pPr>
              <w:widowControl/>
              <w:jc w:val="center"/>
              <w:rPr>
                <w:rFonts w:hint="eastAsia" w:ascii="宋体" w:hAnsi="宋体" w:eastAsia="宋体" w:cs="宋体"/>
                <w:b/>
                <w:kern w:val="0"/>
                <w:szCs w:val="21"/>
                <w:lang w:val="en-US" w:eastAsia="zh-CN"/>
              </w:rPr>
            </w:pPr>
            <w:r>
              <w:rPr>
                <w:rFonts w:hint="eastAsia" w:ascii="宋体" w:hAnsi="宋体" w:cs="宋体"/>
                <w:b/>
                <w:kern w:val="0"/>
                <w:szCs w:val="21"/>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jc w:val="center"/>
        </w:trPr>
        <w:tc>
          <w:tcPr>
            <w:tcW w:w="847" w:type="dxa"/>
            <w:vAlign w:val="center"/>
          </w:tcPr>
          <w:p>
            <w:pPr>
              <w:spacing w:line="400" w:lineRule="exact"/>
              <w:jc w:val="center"/>
              <w:rPr>
                <w:rFonts w:ascii="宋体"/>
                <w:szCs w:val="21"/>
              </w:rPr>
            </w:pPr>
            <w:r>
              <w:rPr>
                <w:rFonts w:ascii="宋体" w:hAnsi="宋体"/>
                <w:szCs w:val="21"/>
              </w:rPr>
              <w:t>1</w:t>
            </w:r>
          </w:p>
        </w:tc>
        <w:tc>
          <w:tcPr>
            <w:tcW w:w="2137" w:type="dxa"/>
            <w:vAlign w:val="center"/>
          </w:tcPr>
          <w:p>
            <w:pPr>
              <w:spacing w:line="400" w:lineRule="exact"/>
              <w:jc w:val="left"/>
              <w:rPr>
                <w:rFonts w:ascii="宋体"/>
                <w:b/>
                <w:color w:val="FF0000"/>
                <w:szCs w:val="21"/>
              </w:rPr>
            </w:pPr>
            <w:r>
              <w:rPr>
                <w:rFonts w:hint="eastAsia" w:ascii="宋体" w:hAnsi="宋体"/>
                <w:szCs w:val="21"/>
              </w:rPr>
              <w:t>变频器</w:t>
            </w:r>
          </w:p>
        </w:tc>
        <w:tc>
          <w:tcPr>
            <w:tcW w:w="686" w:type="dxa"/>
            <w:vAlign w:val="center"/>
          </w:tcPr>
          <w:p>
            <w:pPr>
              <w:spacing w:line="400" w:lineRule="exact"/>
              <w:ind w:firstLine="210" w:firstLineChars="100"/>
              <w:rPr>
                <w:rFonts w:ascii="宋体"/>
                <w:b/>
                <w:szCs w:val="21"/>
              </w:rPr>
            </w:pPr>
            <w:r>
              <w:rPr>
                <w:rFonts w:hint="eastAsia" w:ascii="宋体" w:hAnsi="宋体"/>
                <w:szCs w:val="21"/>
              </w:rPr>
              <w:t>台</w:t>
            </w:r>
          </w:p>
        </w:tc>
        <w:tc>
          <w:tcPr>
            <w:tcW w:w="1411" w:type="dxa"/>
            <w:vAlign w:val="center"/>
          </w:tcPr>
          <w:p>
            <w:pPr>
              <w:widowControl/>
              <w:jc w:val="center"/>
              <w:rPr>
                <w:rFonts w:hint="eastAsia" w:ascii="宋体" w:eastAsia="宋体" w:cs="宋体"/>
                <w:kern w:val="0"/>
                <w:szCs w:val="21"/>
                <w:lang w:val="en-US" w:eastAsia="zh-CN"/>
              </w:rPr>
            </w:pPr>
          </w:p>
        </w:tc>
        <w:tc>
          <w:tcPr>
            <w:tcW w:w="1129"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7" w:type="dxa"/>
            <w:vAlign w:val="center"/>
          </w:tcPr>
          <w:p>
            <w:pPr>
              <w:spacing w:line="400" w:lineRule="exact"/>
              <w:jc w:val="center"/>
              <w:rPr>
                <w:rFonts w:ascii="宋体"/>
                <w:szCs w:val="21"/>
              </w:rPr>
            </w:pPr>
          </w:p>
        </w:tc>
        <w:tc>
          <w:tcPr>
            <w:tcW w:w="2137" w:type="dxa"/>
          </w:tcPr>
          <w:p>
            <w:pPr>
              <w:spacing w:line="400" w:lineRule="exact"/>
              <w:jc w:val="left"/>
              <w:rPr>
                <w:rFonts w:ascii="宋体" w:hAnsi="宋体"/>
                <w:szCs w:val="21"/>
              </w:rPr>
            </w:pPr>
            <w:r>
              <w:rPr>
                <w:rFonts w:hint="eastAsia" w:ascii="宋体" w:hAnsi="宋体"/>
                <w:szCs w:val="21"/>
              </w:rPr>
              <w:t>每套包括：</w:t>
            </w:r>
          </w:p>
        </w:tc>
        <w:tc>
          <w:tcPr>
            <w:tcW w:w="686" w:type="dxa"/>
            <w:vAlign w:val="center"/>
          </w:tcPr>
          <w:p>
            <w:pPr>
              <w:spacing w:line="400" w:lineRule="exact"/>
              <w:jc w:val="center"/>
              <w:rPr>
                <w:rFonts w:ascii="宋体"/>
                <w:szCs w:val="21"/>
              </w:rPr>
            </w:pPr>
          </w:p>
        </w:tc>
        <w:tc>
          <w:tcPr>
            <w:tcW w:w="1411" w:type="dxa"/>
            <w:vAlign w:val="center"/>
          </w:tcPr>
          <w:p>
            <w:pPr>
              <w:widowControl/>
              <w:jc w:val="center"/>
              <w:rPr>
                <w:rFonts w:ascii="宋体" w:cs="宋体"/>
                <w:kern w:val="0"/>
                <w:szCs w:val="21"/>
              </w:rPr>
            </w:pPr>
          </w:p>
        </w:tc>
        <w:tc>
          <w:tcPr>
            <w:tcW w:w="1129"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7" w:type="dxa"/>
          </w:tcPr>
          <w:p>
            <w:pPr>
              <w:spacing w:line="400" w:lineRule="exact"/>
              <w:jc w:val="center"/>
              <w:rPr>
                <w:rFonts w:ascii="宋体"/>
                <w:szCs w:val="21"/>
              </w:rPr>
            </w:pPr>
            <w:r>
              <w:rPr>
                <w:rFonts w:hint="eastAsia" w:ascii="宋体" w:hAnsi="宋体"/>
                <w:szCs w:val="21"/>
              </w:rPr>
              <w:t>1.1</w:t>
            </w:r>
          </w:p>
        </w:tc>
        <w:tc>
          <w:tcPr>
            <w:tcW w:w="2137" w:type="dxa"/>
            <w:vAlign w:val="center"/>
          </w:tcPr>
          <w:p>
            <w:pPr>
              <w:spacing w:line="400" w:lineRule="exact"/>
              <w:jc w:val="left"/>
              <w:rPr>
                <w:rFonts w:ascii="宋体" w:hAnsi="宋体"/>
                <w:szCs w:val="21"/>
              </w:rPr>
            </w:pPr>
            <w:r>
              <w:rPr>
                <w:rFonts w:hint="eastAsia" w:ascii="宋体" w:hAnsi="宋体" w:cs="宋体"/>
                <w:szCs w:val="21"/>
              </w:rPr>
              <w:t>整流单元</w:t>
            </w:r>
          </w:p>
        </w:tc>
        <w:tc>
          <w:tcPr>
            <w:tcW w:w="686" w:type="dxa"/>
            <w:vAlign w:val="center"/>
          </w:tcPr>
          <w:p>
            <w:pPr>
              <w:spacing w:line="400" w:lineRule="exact"/>
              <w:jc w:val="center"/>
              <w:rPr>
                <w:rFonts w:ascii="宋体"/>
                <w:szCs w:val="21"/>
              </w:rPr>
            </w:pPr>
            <w:r>
              <w:rPr>
                <w:rFonts w:hint="eastAsia" w:ascii="宋体" w:hAnsi="宋体"/>
                <w:szCs w:val="21"/>
              </w:rPr>
              <w:t>套</w:t>
            </w:r>
          </w:p>
        </w:tc>
        <w:tc>
          <w:tcPr>
            <w:tcW w:w="1411" w:type="dxa"/>
            <w:vAlign w:val="center"/>
          </w:tcPr>
          <w:p>
            <w:pPr>
              <w:widowControl/>
              <w:jc w:val="center"/>
              <w:rPr>
                <w:rFonts w:ascii="宋体" w:cs="宋体"/>
                <w:kern w:val="0"/>
                <w:szCs w:val="21"/>
              </w:rPr>
            </w:pPr>
            <w:r>
              <w:rPr>
                <w:rFonts w:hint="eastAsia" w:ascii="宋体" w:hAnsi="宋体"/>
                <w:szCs w:val="21"/>
              </w:rPr>
              <w:t>1</w:t>
            </w:r>
          </w:p>
        </w:tc>
        <w:tc>
          <w:tcPr>
            <w:tcW w:w="1129"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7" w:type="dxa"/>
          </w:tcPr>
          <w:p>
            <w:pPr>
              <w:spacing w:line="400" w:lineRule="exact"/>
              <w:jc w:val="center"/>
              <w:rPr>
                <w:rFonts w:ascii="宋体"/>
                <w:szCs w:val="21"/>
              </w:rPr>
            </w:pPr>
            <w:r>
              <w:rPr>
                <w:rFonts w:hint="eastAsia" w:ascii="宋体" w:hAnsi="宋体"/>
                <w:szCs w:val="21"/>
              </w:rPr>
              <w:t>1.2</w:t>
            </w:r>
          </w:p>
        </w:tc>
        <w:tc>
          <w:tcPr>
            <w:tcW w:w="2137" w:type="dxa"/>
            <w:vAlign w:val="center"/>
          </w:tcPr>
          <w:p>
            <w:pPr>
              <w:spacing w:line="400" w:lineRule="exact"/>
              <w:jc w:val="left"/>
              <w:rPr>
                <w:rFonts w:ascii="宋体" w:hAnsi="宋体"/>
                <w:szCs w:val="21"/>
              </w:rPr>
            </w:pPr>
            <w:r>
              <w:rPr>
                <w:rFonts w:hint="eastAsia" w:ascii="宋体" w:hAnsi="宋体" w:cs="宋体"/>
                <w:szCs w:val="21"/>
              </w:rPr>
              <w:t>逆变单元</w:t>
            </w:r>
          </w:p>
        </w:tc>
        <w:tc>
          <w:tcPr>
            <w:tcW w:w="686" w:type="dxa"/>
            <w:vAlign w:val="center"/>
          </w:tcPr>
          <w:p>
            <w:pPr>
              <w:spacing w:line="400" w:lineRule="exact"/>
              <w:jc w:val="center"/>
              <w:rPr>
                <w:rFonts w:ascii="宋体"/>
                <w:szCs w:val="21"/>
              </w:rPr>
            </w:pPr>
            <w:r>
              <w:rPr>
                <w:rFonts w:hint="eastAsia" w:ascii="宋体" w:hAnsi="宋体"/>
                <w:szCs w:val="21"/>
              </w:rPr>
              <w:t>套</w:t>
            </w:r>
          </w:p>
        </w:tc>
        <w:tc>
          <w:tcPr>
            <w:tcW w:w="1411" w:type="dxa"/>
            <w:vAlign w:val="center"/>
          </w:tcPr>
          <w:p>
            <w:pPr>
              <w:widowControl/>
              <w:jc w:val="center"/>
              <w:rPr>
                <w:rFonts w:ascii="宋体" w:cs="宋体"/>
                <w:kern w:val="0"/>
                <w:szCs w:val="21"/>
              </w:rPr>
            </w:pPr>
            <w:r>
              <w:rPr>
                <w:rFonts w:hint="eastAsia" w:ascii="宋体" w:hAnsi="宋体"/>
                <w:szCs w:val="21"/>
              </w:rPr>
              <w:t>1</w:t>
            </w:r>
          </w:p>
        </w:tc>
        <w:tc>
          <w:tcPr>
            <w:tcW w:w="1129"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7" w:type="dxa"/>
          </w:tcPr>
          <w:p>
            <w:pPr>
              <w:spacing w:line="400" w:lineRule="exact"/>
              <w:jc w:val="center"/>
              <w:rPr>
                <w:rFonts w:ascii="宋体"/>
                <w:szCs w:val="21"/>
              </w:rPr>
            </w:pPr>
            <w:r>
              <w:rPr>
                <w:rFonts w:hint="eastAsia" w:ascii="宋体" w:hAnsi="宋体"/>
                <w:szCs w:val="21"/>
              </w:rPr>
              <w:t>1.3</w:t>
            </w:r>
          </w:p>
        </w:tc>
        <w:tc>
          <w:tcPr>
            <w:tcW w:w="2137" w:type="dxa"/>
            <w:vAlign w:val="center"/>
          </w:tcPr>
          <w:p>
            <w:pPr>
              <w:spacing w:line="400" w:lineRule="exact"/>
              <w:jc w:val="left"/>
              <w:rPr>
                <w:rFonts w:ascii="宋体" w:hAnsi="宋体"/>
                <w:szCs w:val="21"/>
              </w:rPr>
            </w:pPr>
            <w:r>
              <w:rPr>
                <w:rFonts w:hint="eastAsia" w:ascii="宋体" w:hAnsi="宋体" w:cs="宋体"/>
                <w:szCs w:val="21"/>
              </w:rPr>
              <w:t>滤波单元</w:t>
            </w:r>
          </w:p>
        </w:tc>
        <w:tc>
          <w:tcPr>
            <w:tcW w:w="686" w:type="dxa"/>
            <w:vAlign w:val="center"/>
          </w:tcPr>
          <w:p>
            <w:pPr>
              <w:spacing w:line="400" w:lineRule="exact"/>
              <w:jc w:val="center"/>
              <w:rPr>
                <w:rFonts w:ascii="宋体"/>
                <w:szCs w:val="21"/>
              </w:rPr>
            </w:pPr>
            <w:r>
              <w:rPr>
                <w:rFonts w:hint="eastAsia" w:ascii="宋体" w:hAnsi="宋体"/>
                <w:szCs w:val="21"/>
              </w:rPr>
              <w:t>套</w:t>
            </w:r>
          </w:p>
        </w:tc>
        <w:tc>
          <w:tcPr>
            <w:tcW w:w="1411" w:type="dxa"/>
            <w:vAlign w:val="center"/>
          </w:tcPr>
          <w:p>
            <w:pPr>
              <w:widowControl/>
              <w:jc w:val="center"/>
              <w:rPr>
                <w:rFonts w:ascii="宋体" w:cs="宋体"/>
                <w:kern w:val="0"/>
                <w:szCs w:val="21"/>
              </w:rPr>
            </w:pPr>
            <w:r>
              <w:rPr>
                <w:rFonts w:hint="eastAsia" w:ascii="宋体" w:hAnsi="宋体"/>
                <w:szCs w:val="21"/>
              </w:rPr>
              <w:t>1</w:t>
            </w:r>
          </w:p>
        </w:tc>
        <w:tc>
          <w:tcPr>
            <w:tcW w:w="1129"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7" w:type="dxa"/>
          </w:tcPr>
          <w:p>
            <w:pPr>
              <w:spacing w:line="400" w:lineRule="exact"/>
              <w:jc w:val="center"/>
              <w:rPr>
                <w:rFonts w:ascii="宋体"/>
                <w:szCs w:val="21"/>
              </w:rPr>
            </w:pPr>
            <w:r>
              <w:rPr>
                <w:rFonts w:hint="eastAsia" w:ascii="宋体" w:hAnsi="宋体"/>
                <w:szCs w:val="21"/>
              </w:rPr>
              <w:t>1.4</w:t>
            </w:r>
          </w:p>
        </w:tc>
        <w:tc>
          <w:tcPr>
            <w:tcW w:w="2137" w:type="dxa"/>
            <w:vAlign w:val="center"/>
          </w:tcPr>
          <w:p>
            <w:pPr>
              <w:spacing w:line="400" w:lineRule="exact"/>
              <w:jc w:val="left"/>
              <w:rPr>
                <w:rFonts w:ascii="宋体" w:hAnsi="宋体"/>
                <w:szCs w:val="21"/>
              </w:rPr>
            </w:pPr>
            <w:r>
              <w:rPr>
                <w:rFonts w:hint="eastAsia" w:ascii="宋体" w:hAnsi="宋体" w:cs="宋体"/>
                <w:szCs w:val="21"/>
              </w:rPr>
              <w:t>低压控制单元</w:t>
            </w:r>
          </w:p>
        </w:tc>
        <w:tc>
          <w:tcPr>
            <w:tcW w:w="686" w:type="dxa"/>
            <w:vAlign w:val="center"/>
          </w:tcPr>
          <w:p>
            <w:pPr>
              <w:spacing w:line="400" w:lineRule="exact"/>
              <w:jc w:val="center"/>
              <w:rPr>
                <w:rFonts w:ascii="宋体"/>
                <w:szCs w:val="21"/>
              </w:rPr>
            </w:pPr>
            <w:r>
              <w:rPr>
                <w:rFonts w:hint="eastAsia" w:ascii="宋体" w:hAnsi="宋体"/>
                <w:szCs w:val="21"/>
              </w:rPr>
              <w:t>套</w:t>
            </w:r>
          </w:p>
        </w:tc>
        <w:tc>
          <w:tcPr>
            <w:tcW w:w="1411" w:type="dxa"/>
            <w:vAlign w:val="center"/>
          </w:tcPr>
          <w:p>
            <w:pPr>
              <w:widowControl/>
              <w:jc w:val="center"/>
              <w:rPr>
                <w:rFonts w:ascii="宋体" w:cs="宋体"/>
                <w:kern w:val="0"/>
                <w:szCs w:val="21"/>
              </w:rPr>
            </w:pPr>
            <w:r>
              <w:rPr>
                <w:rFonts w:hint="eastAsia" w:ascii="宋体" w:hAnsi="宋体"/>
                <w:szCs w:val="21"/>
              </w:rPr>
              <w:t>1</w:t>
            </w:r>
          </w:p>
        </w:tc>
        <w:tc>
          <w:tcPr>
            <w:tcW w:w="1129"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7" w:type="dxa"/>
          </w:tcPr>
          <w:p>
            <w:pPr>
              <w:spacing w:line="400" w:lineRule="exact"/>
              <w:jc w:val="center"/>
              <w:rPr>
                <w:rFonts w:ascii="宋体"/>
                <w:szCs w:val="21"/>
              </w:rPr>
            </w:pPr>
            <w:r>
              <w:rPr>
                <w:rFonts w:hint="eastAsia" w:ascii="宋体" w:hAnsi="宋体"/>
                <w:szCs w:val="21"/>
              </w:rPr>
              <w:t>1.5</w:t>
            </w:r>
          </w:p>
        </w:tc>
        <w:tc>
          <w:tcPr>
            <w:tcW w:w="2137" w:type="dxa"/>
            <w:vAlign w:val="center"/>
          </w:tcPr>
          <w:p>
            <w:pPr>
              <w:spacing w:line="400" w:lineRule="exact"/>
              <w:jc w:val="left"/>
              <w:rPr>
                <w:rFonts w:ascii="宋体" w:hAnsi="宋体"/>
                <w:szCs w:val="21"/>
              </w:rPr>
            </w:pPr>
            <w:r>
              <w:rPr>
                <w:rFonts w:hint="eastAsia" w:ascii="宋体" w:hAnsi="宋体" w:cs="宋体"/>
                <w:szCs w:val="21"/>
              </w:rPr>
              <w:t>显示单元</w:t>
            </w:r>
          </w:p>
        </w:tc>
        <w:tc>
          <w:tcPr>
            <w:tcW w:w="686" w:type="dxa"/>
            <w:vAlign w:val="center"/>
          </w:tcPr>
          <w:p>
            <w:pPr>
              <w:spacing w:line="400" w:lineRule="exact"/>
              <w:jc w:val="center"/>
              <w:rPr>
                <w:rFonts w:ascii="宋体"/>
                <w:szCs w:val="21"/>
              </w:rPr>
            </w:pPr>
            <w:r>
              <w:rPr>
                <w:rFonts w:hint="eastAsia" w:ascii="宋体" w:hAnsi="宋体"/>
                <w:szCs w:val="21"/>
              </w:rPr>
              <w:t>套</w:t>
            </w:r>
          </w:p>
        </w:tc>
        <w:tc>
          <w:tcPr>
            <w:tcW w:w="1411" w:type="dxa"/>
            <w:vAlign w:val="center"/>
          </w:tcPr>
          <w:p>
            <w:pPr>
              <w:widowControl/>
              <w:jc w:val="center"/>
              <w:rPr>
                <w:rFonts w:ascii="宋体" w:cs="宋体"/>
                <w:kern w:val="0"/>
                <w:szCs w:val="21"/>
              </w:rPr>
            </w:pPr>
            <w:r>
              <w:rPr>
                <w:rFonts w:hint="eastAsia" w:ascii="宋体" w:hAnsi="宋体"/>
                <w:szCs w:val="21"/>
              </w:rPr>
              <w:t>1</w:t>
            </w:r>
          </w:p>
        </w:tc>
        <w:tc>
          <w:tcPr>
            <w:tcW w:w="1129"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7" w:type="dxa"/>
          </w:tcPr>
          <w:p>
            <w:pPr>
              <w:spacing w:line="400" w:lineRule="exact"/>
              <w:jc w:val="center"/>
              <w:rPr>
                <w:rFonts w:ascii="宋体"/>
                <w:szCs w:val="21"/>
              </w:rPr>
            </w:pPr>
            <w:r>
              <w:rPr>
                <w:rFonts w:hint="eastAsia" w:ascii="宋体" w:hAnsi="宋体"/>
                <w:szCs w:val="21"/>
              </w:rPr>
              <w:t>1.6</w:t>
            </w:r>
          </w:p>
        </w:tc>
        <w:tc>
          <w:tcPr>
            <w:tcW w:w="2137" w:type="dxa"/>
            <w:vAlign w:val="center"/>
          </w:tcPr>
          <w:p>
            <w:pPr>
              <w:spacing w:line="400" w:lineRule="exact"/>
              <w:jc w:val="left"/>
              <w:rPr>
                <w:rFonts w:ascii="宋体" w:hAnsi="宋体"/>
                <w:szCs w:val="21"/>
              </w:rPr>
            </w:pPr>
            <w:r>
              <w:rPr>
                <w:rFonts w:hint="eastAsia" w:ascii="宋体" w:hAnsi="宋体" w:cs="宋体"/>
                <w:szCs w:val="21"/>
              </w:rPr>
              <w:t>检测保护单元</w:t>
            </w:r>
          </w:p>
        </w:tc>
        <w:tc>
          <w:tcPr>
            <w:tcW w:w="686" w:type="dxa"/>
            <w:vAlign w:val="center"/>
          </w:tcPr>
          <w:p>
            <w:pPr>
              <w:spacing w:line="400" w:lineRule="exact"/>
              <w:jc w:val="center"/>
              <w:rPr>
                <w:rFonts w:ascii="宋体"/>
                <w:szCs w:val="21"/>
              </w:rPr>
            </w:pPr>
            <w:r>
              <w:rPr>
                <w:rFonts w:hint="eastAsia" w:ascii="宋体" w:hAnsi="宋体"/>
                <w:szCs w:val="21"/>
              </w:rPr>
              <w:t>套</w:t>
            </w:r>
          </w:p>
        </w:tc>
        <w:tc>
          <w:tcPr>
            <w:tcW w:w="1411" w:type="dxa"/>
            <w:vAlign w:val="center"/>
          </w:tcPr>
          <w:p>
            <w:pPr>
              <w:widowControl/>
              <w:jc w:val="center"/>
              <w:rPr>
                <w:rFonts w:ascii="宋体" w:cs="宋体"/>
                <w:kern w:val="0"/>
                <w:szCs w:val="21"/>
              </w:rPr>
            </w:pPr>
            <w:r>
              <w:rPr>
                <w:rFonts w:hint="eastAsia" w:ascii="宋体" w:hAnsi="宋体"/>
                <w:szCs w:val="21"/>
              </w:rPr>
              <w:t>1</w:t>
            </w:r>
          </w:p>
        </w:tc>
        <w:tc>
          <w:tcPr>
            <w:tcW w:w="1129"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7" w:type="dxa"/>
          </w:tcPr>
          <w:p>
            <w:pPr>
              <w:spacing w:line="400" w:lineRule="exact"/>
              <w:jc w:val="center"/>
              <w:rPr>
                <w:rFonts w:ascii="宋体"/>
                <w:szCs w:val="21"/>
              </w:rPr>
            </w:pPr>
            <w:r>
              <w:rPr>
                <w:rFonts w:hint="eastAsia" w:ascii="宋体" w:hAnsi="宋体"/>
                <w:szCs w:val="21"/>
              </w:rPr>
              <w:t>1.7</w:t>
            </w:r>
          </w:p>
        </w:tc>
        <w:tc>
          <w:tcPr>
            <w:tcW w:w="2137" w:type="dxa"/>
            <w:vAlign w:val="center"/>
          </w:tcPr>
          <w:p>
            <w:pPr>
              <w:spacing w:line="400" w:lineRule="exact"/>
              <w:jc w:val="left"/>
              <w:rPr>
                <w:rFonts w:ascii="宋体" w:hAnsi="宋体"/>
                <w:szCs w:val="21"/>
              </w:rPr>
            </w:pPr>
            <w:r>
              <w:rPr>
                <w:rFonts w:hint="eastAsia" w:ascii="宋体" w:hAnsi="宋体" w:cs="宋体"/>
                <w:szCs w:val="21"/>
              </w:rPr>
              <w:t>供电单元</w:t>
            </w:r>
          </w:p>
        </w:tc>
        <w:tc>
          <w:tcPr>
            <w:tcW w:w="686" w:type="dxa"/>
            <w:vAlign w:val="center"/>
          </w:tcPr>
          <w:p>
            <w:pPr>
              <w:spacing w:line="400" w:lineRule="exact"/>
              <w:jc w:val="center"/>
              <w:rPr>
                <w:rFonts w:ascii="宋体"/>
                <w:szCs w:val="21"/>
              </w:rPr>
            </w:pPr>
            <w:r>
              <w:rPr>
                <w:rFonts w:hint="eastAsia" w:ascii="宋体" w:hAnsi="宋体"/>
                <w:szCs w:val="21"/>
              </w:rPr>
              <w:t>套</w:t>
            </w:r>
          </w:p>
        </w:tc>
        <w:tc>
          <w:tcPr>
            <w:tcW w:w="1411" w:type="dxa"/>
            <w:vAlign w:val="center"/>
          </w:tcPr>
          <w:p>
            <w:pPr>
              <w:widowControl/>
              <w:jc w:val="center"/>
              <w:rPr>
                <w:rFonts w:ascii="宋体" w:cs="宋体"/>
                <w:kern w:val="0"/>
                <w:szCs w:val="21"/>
              </w:rPr>
            </w:pPr>
            <w:r>
              <w:rPr>
                <w:rFonts w:hint="eastAsia" w:ascii="宋体" w:hAnsi="宋体"/>
                <w:szCs w:val="21"/>
              </w:rPr>
              <w:t>1</w:t>
            </w:r>
          </w:p>
        </w:tc>
        <w:tc>
          <w:tcPr>
            <w:tcW w:w="1129"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7" w:type="dxa"/>
          </w:tcPr>
          <w:p>
            <w:pPr>
              <w:spacing w:line="400" w:lineRule="exact"/>
              <w:jc w:val="center"/>
              <w:rPr>
                <w:rFonts w:hint="eastAsia" w:ascii="宋体" w:eastAsia="宋体"/>
                <w:szCs w:val="21"/>
                <w:lang w:val="en-US" w:eastAsia="zh-CN"/>
              </w:rPr>
            </w:pPr>
            <w:r>
              <w:rPr>
                <w:rFonts w:hint="eastAsia" w:ascii="宋体"/>
                <w:szCs w:val="21"/>
                <w:lang w:val="en-US" w:eastAsia="zh-CN"/>
              </w:rPr>
              <w:t>1.8</w:t>
            </w:r>
          </w:p>
        </w:tc>
        <w:tc>
          <w:tcPr>
            <w:tcW w:w="2137" w:type="dxa"/>
            <w:vAlign w:val="center"/>
          </w:tcPr>
          <w:p>
            <w:pPr>
              <w:spacing w:line="400" w:lineRule="exact"/>
              <w:jc w:val="left"/>
              <w:rPr>
                <w:rFonts w:ascii="宋体"/>
                <w:szCs w:val="21"/>
              </w:rPr>
            </w:pPr>
            <w:r>
              <w:rPr>
                <w:rFonts w:hint="eastAsia" w:ascii="宋体" w:hAnsi="宋体"/>
                <w:szCs w:val="21"/>
              </w:rPr>
              <w:t>技术资料与质检资料</w:t>
            </w:r>
          </w:p>
        </w:tc>
        <w:tc>
          <w:tcPr>
            <w:tcW w:w="686" w:type="dxa"/>
            <w:vAlign w:val="center"/>
          </w:tcPr>
          <w:p>
            <w:pPr>
              <w:spacing w:line="400" w:lineRule="exact"/>
              <w:jc w:val="center"/>
              <w:rPr>
                <w:rFonts w:ascii="宋体"/>
                <w:szCs w:val="21"/>
              </w:rPr>
            </w:pPr>
            <w:r>
              <w:rPr>
                <w:rFonts w:hint="eastAsia" w:ascii="宋体" w:hAnsi="宋体"/>
                <w:szCs w:val="21"/>
              </w:rPr>
              <w:t>套</w:t>
            </w:r>
          </w:p>
        </w:tc>
        <w:tc>
          <w:tcPr>
            <w:tcW w:w="1411" w:type="dxa"/>
            <w:vAlign w:val="center"/>
          </w:tcPr>
          <w:p>
            <w:pPr>
              <w:widowControl/>
              <w:jc w:val="center"/>
              <w:rPr>
                <w:rFonts w:hint="eastAsia" w:ascii="宋体" w:eastAsia="宋体" w:cs="宋体"/>
                <w:kern w:val="0"/>
                <w:szCs w:val="21"/>
                <w:lang w:val="en-US" w:eastAsia="zh-CN"/>
              </w:rPr>
            </w:pPr>
            <w:r>
              <w:rPr>
                <w:rFonts w:hint="eastAsia" w:ascii="宋体" w:cs="宋体"/>
                <w:kern w:val="0"/>
                <w:szCs w:val="21"/>
                <w:lang w:val="en-US" w:eastAsia="zh-CN"/>
              </w:rPr>
              <w:t>6</w:t>
            </w:r>
          </w:p>
        </w:tc>
        <w:tc>
          <w:tcPr>
            <w:tcW w:w="1129"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7" w:type="dxa"/>
          </w:tcPr>
          <w:p>
            <w:pPr>
              <w:spacing w:line="400" w:lineRule="exact"/>
              <w:jc w:val="center"/>
              <w:rPr>
                <w:rFonts w:ascii="宋体"/>
                <w:szCs w:val="21"/>
              </w:rPr>
            </w:pPr>
            <w:r>
              <w:rPr>
                <w:rFonts w:hint="eastAsia" w:ascii="宋体" w:hAnsi="宋体"/>
                <w:szCs w:val="21"/>
              </w:rPr>
              <w:t>1.</w:t>
            </w:r>
            <w:r>
              <w:rPr>
                <w:rFonts w:hint="eastAsia" w:ascii="宋体" w:hAnsi="宋体"/>
                <w:szCs w:val="21"/>
                <w:lang w:val="en-US" w:eastAsia="zh-CN"/>
              </w:rPr>
              <w:t>9</w:t>
            </w:r>
          </w:p>
        </w:tc>
        <w:tc>
          <w:tcPr>
            <w:tcW w:w="2137" w:type="dxa"/>
            <w:vAlign w:val="center"/>
          </w:tcPr>
          <w:p>
            <w:pPr>
              <w:spacing w:line="400" w:lineRule="exact"/>
              <w:jc w:val="left"/>
              <w:rPr>
                <w:rFonts w:ascii="宋体"/>
                <w:szCs w:val="21"/>
              </w:rPr>
            </w:pPr>
            <w:r>
              <w:rPr>
                <w:rFonts w:hint="eastAsia" w:ascii="宋体" w:hAnsi="宋体"/>
                <w:szCs w:val="21"/>
              </w:rPr>
              <w:t>质保期内备品备件</w:t>
            </w:r>
          </w:p>
        </w:tc>
        <w:tc>
          <w:tcPr>
            <w:tcW w:w="686" w:type="dxa"/>
            <w:vAlign w:val="center"/>
          </w:tcPr>
          <w:p>
            <w:pPr>
              <w:spacing w:line="400" w:lineRule="exact"/>
              <w:jc w:val="center"/>
              <w:rPr>
                <w:rFonts w:ascii="宋体"/>
                <w:szCs w:val="21"/>
              </w:rPr>
            </w:pPr>
            <w:r>
              <w:rPr>
                <w:rFonts w:hint="eastAsia" w:ascii="宋体" w:hAnsi="宋体"/>
                <w:szCs w:val="21"/>
              </w:rPr>
              <w:t>套</w:t>
            </w:r>
          </w:p>
        </w:tc>
        <w:tc>
          <w:tcPr>
            <w:tcW w:w="1411" w:type="dxa"/>
            <w:vAlign w:val="center"/>
          </w:tcPr>
          <w:p>
            <w:pPr>
              <w:widowControl/>
              <w:jc w:val="center"/>
              <w:rPr>
                <w:rFonts w:ascii="宋体" w:cs="宋体"/>
                <w:kern w:val="0"/>
                <w:szCs w:val="21"/>
              </w:rPr>
            </w:pPr>
            <w:r>
              <w:rPr>
                <w:rFonts w:hint="eastAsia" w:ascii="宋体" w:hAnsi="宋体"/>
                <w:szCs w:val="21"/>
              </w:rPr>
              <w:t>1</w:t>
            </w:r>
          </w:p>
        </w:tc>
        <w:tc>
          <w:tcPr>
            <w:tcW w:w="1129"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7" w:type="dxa"/>
          </w:tcPr>
          <w:p>
            <w:pPr>
              <w:spacing w:line="400" w:lineRule="exact"/>
              <w:jc w:val="center"/>
              <w:rPr>
                <w:rFonts w:ascii="宋体"/>
                <w:szCs w:val="21"/>
              </w:rPr>
            </w:pPr>
            <w:r>
              <w:rPr>
                <w:rFonts w:hint="eastAsia" w:ascii="宋体" w:hAnsi="宋体"/>
                <w:szCs w:val="21"/>
              </w:rPr>
              <w:t>1.1</w:t>
            </w:r>
            <w:r>
              <w:rPr>
                <w:rFonts w:hint="eastAsia" w:ascii="宋体" w:hAnsi="宋体"/>
                <w:szCs w:val="21"/>
                <w:lang w:val="en-US" w:eastAsia="zh-CN"/>
              </w:rPr>
              <w:t>0</w:t>
            </w:r>
          </w:p>
        </w:tc>
        <w:tc>
          <w:tcPr>
            <w:tcW w:w="2137" w:type="dxa"/>
            <w:vAlign w:val="center"/>
          </w:tcPr>
          <w:p>
            <w:pPr>
              <w:spacing w:line="400" w:lineRule="exact"/>
              <w:jc w:val="left"/>
              <w:rPr>
                <w:rFonts w:ascii="宋体"/>
                <w:szCs w:val="21"/>
              </w:rPr>
            </w:pPr>
            <w:r>
              <w:rPr>
                <w:rFonts w:hint="eastAsia" w:ascii="宋体" w:hAnsi="宋体" w:cs="宋体"/>
                <w:szCs w:val="21"/>
              </w:rPr>
              <w:t>其他</w:t>
            </w:r>
          </w:p>
        </w:tc>
        <w:tc>
          <w:tcPr>
            <w:tcW w:w="686" w:type="dxa"/>
            <w:vAlign w:val="center"/>
          </w:tcPr>
          <w:p>
            <w:pPr>
              <w:spacing w:line="400" w:lineRule="exact"/>
              <w:jc w:val="center"/>
              <w:rPr>
                <w:rFonts w:ascii="宋体"/>
                <w:szCs w:val="21"/>
              </w:rPr>
            </w:pPr>
            <w:r>
              <w:rPr>
                <w:rFonts w:hint="eastAsia" w:ascii="宋体" w:hAnsi="宋体"/>
                <w:szCs w:val="21"/>
              </w:rPr>
              <w:t>套</w:t>
            </w:r>
          </w:p>
        </w:tc>
        <w:tc>
          <w:tcPr>
            <w:tcW w:w="1411" w:type="dxa"/>
            <w:vAlign w:val="center"/>
          </w:tcPr>
          <w:p>
            <w:pPr>
              <w:widowControl/>
              <w:jc w:val="center"/>
              <w:rPr>
                <w:rFonts w:ascii="宋体" w:cs="宋体"/>
                <w:kern w:val="0"/>
                <w:szCs w:val="21"/>
              </w:rPr>
            </w:pPr>
            <w:r>
              <w:rPr>
                <w:rFonts w:hint="eastAsia" w:ascii="宋体" w:hAnsi="宋体"/>
                <w:szCs w:val="21"/>
              </w:rPr>
              <w:t>1</w:t>
            </w:r>
          </w:p>
        </w:tc>
        <w:tc>
          <w:tcPr>
            <w:tcW w:w="1129"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7" w:type="dxa"/>
          </w:tcPr>
          <w:p>
            <w:pPr>
              <w:spacing w:line="400" w:lineRule="exact"/>
              <w:jc w:val="center"/>
              <w:rPr>
                <w:rFonts w:ascii="宋体"/>
                <w:szCs w:val="21"/>
              </w:rPr>
            </w:pPr>
          </w:p>
        </w:tc>
        <w:tc>
          <w:tcPr>
            <w:tcW w:w="2137" w:type="dxa"/>
            <w:vAlign w:val="center"/>
          </w:tcPr>
          <w:p>
            <w:pPr>
              <w:spacing w:line="400" w:lineRule="exact"/>
              <w:jc w:val="center"/>
              <w:rPr>
                <w:rFonts w:ascii="宋体"/>
                <w:szCs w:val="21"/>
              </w:rPr>
            </w:pPr>
            <w:r>
              <w:rPr>
                <w:rFonts w:hint="eastAsia" w:ascii="宋体"/>
                <w:szCs w:val="21"/>
              </w:rPr>
              <w:t>合计</w:t>
            </w:r>
          </w:p>
        </w:tc>
        <w:tc>
          <w:tcPr>
            <w:tcW w:w="686" w:type="dxa"/>
            <w:vAlign w:val="center"/>
          </w:tcPr>
          <w:p>
            <w:pPr>
              <w:spacing w:line="400" w:lineRule="exact"/>
              <w:jc w:val="center"/>
              <w:rPr>
                <w:rFonts w:ascii="宋体"/>
                <w:szCs w:val="21"/>
              </w:rPr>
            </w:pPr>
          </w:p>
        </w:tc>
        <w:tc>
          <w:tcPr>
            <w:tcW w:w="1411" w:type="dxa"/>
            <w:vAlign w:val="center"/>
          </w:tcPr>
          <w:p>
            <w:pPr>
              <w:widowControl/>
              <w:jc w:val="center"/>
              <w:rPr>
                <w:rFonts w:ascii="宋体" w:cs="宋体"/>
                <w:kern w:val="0"/>
                <w:szCs w:val="21"/>
              </w:rPr>
            </w:pPr>
          </w:p>
        </w:tc>
        <w:tc>
          <w:tcPr>
            <w:tcW w:w="1129"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r>
    </w:tbl>
    <w:p>
      <w:pPr>
        <w:adjustRightInd w:val="0"/>
        <w:snapToGrid w:val="0"/>
        <w:spacing w:before="312" w:beforeLines="100" w:after="312" w:afterLines="100" w:line="360" w:lineRule="auto"/>
        <w:rPr>
          <w:b/>
          <w:szCs w:val="21"/>
        </w:rPr>
      </w:pPr>
      <w:r>
        <w:rPr>
          <w:rFonts w:hint="eastAsia"/>
          <w:b/>
          <w:szCs w:val="21"/>
        </w:rPr>
        <w:t>二、工作环境</w:t>
      </w:r>
    </w:p>
    <w:p>
      <w:pPr>
        <w:adjustRightInd w:val="0"/>
        <w:snapToGrid w:val="0"/>
        <w:spacing w:line="360" w:lineRule="auto"/>
        <w:rPr>
          <w:rFonts w:ascii="宋体" w:hAnsi="宋体"/>
          <w:szCs w:val="21"/>
        </w:rPr>
      </w:pPr>
      <w:r>
        <w:rPr>
          <w:rFonts w:hint="eastAsia" w:ascii="宋体" w:hAnsi="宋体"/>
          <w:szCs w:val="21"/>
        </w:rPr>
        <w:t>1. 工作环境</w:t>
      </w:r>
    </w:p>
    <w:p>
      <w:pPr>
        <w:adjustRightInd w:val="0"/>
        <w:snapToGrid w:val="0"/>
        <w:spacing w:line="360" w:lineRule="auto"/>
        <w:ind w:firstLine="420" w:firstLineChars="200"/>
        <w:rPr>
          <w:rFonts w:ascii="宋体" w:hAnsi="宋体"/>
          <w:szCs w:val="21"/>
        </w:rPr>
      </w:pPr>
      <w:r>
        <w:rPr>
          <w:rFonts w:hint="eastAsia" w:ascii="宋体" w:hAnsi="宋体"/>
          <w:szCs w:val="21"/>
        </w:rPr>
        <w:t>最高温度：</w:t>
      </w:r>
      <w:r>
        <w:rPr>
          <w:rFonts w:hint="eastAsia" w:ascii="宋体" w:hAnsi="宋体"/>
          <w:u w:val="single"/>
        </w:rPr>
        <w:t xml:space="preserve"> 40℃ </w:t>
      </w:r>
      <w:r>
        <w:rPr>
          <w:rFonts w:hint="eastAsia" w:ascii="宋体" w:hAnsi="宋体"/>
          <w:szCs w:val="21"/>
        </w:rPr>
        <w:t>。</w:t>
      </w:r>
    </w:p>
    <w:p>
      <w:pPr>
        <w:adjustRightInd w:val="0"/>
        <w:snapToGrid w:val="0"/>
        <w:spacing w:line="360" w:lineRule="auto"/>
        <w:ind w:firstLine="420" w:firstLineChars="200"/>
        <w:rPr>
          <w:rFonts w:ascii="宋体" w:hAnsi="宋体"/>
          <w:szCs w:val="21"/>
        </w:rPr>
      </w:pPr>
      <w:r>
        <w:rPr>
          <w:rFonts w:hint="eastAsia" w:ascii="宋体" w:hAnsi="宋体"/>
          <w:szCs w:val="21"/>
        </w:rPr>
        <w:t>最低温度：</w:t>
      </w:r>
      <w:r>
        <w:rPr>
          <w:rFonts w:hint="eastAsia" w:ascii="宋体" w:hAnsi="宋体"/>
          <w:u w:val="single"/>
        </w:rPr>
        <w:t xml:space="preserve"> -35℃ </w:t>
      </w:r>
      <w:r>
        <w:rPr>
          <w:rFonts w:hint="eastAsia" w:ascii="宋体" w:hAnsi="宋体"/>
          <w:szCs w:val="21"/>
        </w:rPr>
        <w:t>。</w:t>
      </w:r>
    </w:p>
    <w:p>
      <w:pPr>
        <w:adjustRightInd w:val="0"/>
        <w:snapToGrid w:val="0"/>
        <w:spacing w:line="360" w:lineRule="auto"/>
        <w:ind w:firstLine="420" w:firstLineChars="200"/>
        <w:rPr>
          <w:rFonts w:ascii="宋体" w:hAnsi="宋体"/>
          <w:szCs w:val="21"/>
        </w:rPr>
      </w:pPr>
      <w:r>
        <w:rPr>
          <w:rFonts w:hint="eastAsia" w:ascii="宋体" w:hAnsi="宋体"/>
          <w:szCs w:val="21"/>
        </w:rPr>
        <w:t>年平均气温：</w:t>
      </w:r>
      <w:r>
        <w:rPr>
          <w:rFonts w:hint="eastAsia" w:ascii="宋体" w:hAnsi="宋体"/>
          <w:u w:val="single"/>
        </w:rPr>
        <w:t xml:space="preserve"> ≤35℃ </w:t>
      </w:r>
      <w:r>
        <w:rPr>
          <w:rFonts w:hint="eastAsia" w:ascii="宋体" w:hAnsi="宋体"/>
          <w:szCs w:val="21"/>
        </w:rPr>
        <w:t>。</w:t>
      </w:r>
    </w:p>
    <w:p>
      <w:pPr>
        <w:adjustRightInd w:val="0"/>
        <w:snapToGrid w:val="0"/>
        <w:spacing w:line="360" w:lineRule="auto"/>
        <w:ind w:firstLine="420" w:firstLineChars="200"/>
        <w:rPr>
          <w:rFonts w:ascii="宋体" w:hAnsi="宋体"/>
          <w:szCs w:val="21"/>
        </w:rPr>
      </w:pPr>
      <w:r>
        <w:rPr>
          <w:rFonts w:hint="eastAsia" w:ascii="宋体" w:hAnsi="宋体"/>
          <w:szCs w:val="21"/>
        </w:rPr>
        <w:t>地震烈度：</w:t>
      </w:r>
      <w:r>
        <w:rPr>
          <w:rFonts w:hint="eastAsia" w:ascii="宋体" w:hAnsi="宋体"/>
          <w:u w:val="single"/>
        </w:rPr>
        <w:t xml:space="preserve"> ≤6级 </w:t>
      </w:r>
      <w:r>
        <w:rPr>
          <w:rFonts w:hint="eastAsia" w:ascii="宋体" w:hAnsi="宋体"/>
          <w:szCs w:val="21"/>
        </w:rPr>
        <w:t>。</w:t>
      </w:r>
    </w:p>
    <w:p>
      <w:pPr>
        <w:adjustRightInd w:val="0"/>
        <w:snapToGrid w:val="0"/>
        <w:spacing w:line="360" w:lineRule="auto"/>
        <w:ind w:firstLine="420" w:firstLineChars="200"/>
        <w:rPr>
          <w:rFonts w:hint="eastAsia" w:ascii="宋体" w:hAnsi="宋体"/>
          <w:szCs w:val="21"/>
        </w:rPr>
      </w:pPr>
      <w:r>
        <w:rPr>
          <w:rFonts w:hint="eastAsia" w:ascii="宋体" w:hAnsi="宋体"/>
          <w:szCs w:val="21"/>
        </w:rPr>
        <w:t>海拔高度：</w:t>
      </w:r>
      <w:r>
        <w:rPr>
          <w:rFonts w:hint="eastAsia" w:ascii="宋体" w:hAnsi="宋体"/>
          <w:u w:val="single"/>
        </w:rPr>
        <w:t xml:space="preserve"> 1100±200m </w:t>
      </w:r>
      <w:r>
        <w:rPr>
          <w:rFonts w:hint="eastAsia" w:ascii="宋体" w:hAnsi="宋体"/>
          <w:szCs w:val="21"/>
        </w:rPr>
        <w:t>。</w:t>
      </w:r>
    </w:p>
    <w:p>
      <w:pPr>
        <w:adjustRightInd w:val="0"/>
        <w:snapToGrid w:val="0"/>
        <w:spacing w:line="360" w:lineRule="auto"/>
        <w:ind w:firstLine="420" w:firstLineChars="200"/>
        <w:rPr>
          <w:rFonts w:hint="eastAsia" w:ascii="宋体" w:hAnsi="宋体"/>
          <w:szCs w:val="21"/>
        </w:rPr>
      </w:pPr>
      <w:r>
        <w:rPr>
          <w:rFonts w:hint="eastAsia" w:ascii="宋体" w:hAnsi="宋体"/>
          <w:szCs w:val="21"/>
        </w:rPr>
        <w:t>使用环境：</w:t>
      </w:r>
      <w:r>
        <w:rPr>
          <w:rFonts w:hint="eastAsia" w:ascii="宋体" w:hAnsi="宋体"/>
          <w:u w:val="single"/>
          <w:lang w:eastAsia="zh-CN"/>
        </w:rPr>
        <w:t>户内</w:t>
      </w:r>
      <w:r>
        <w:rPr>
          <w:rFonts w:hint="eastAsia" w:ascii="宋体" w:hAnsi="宋体"/>
          <w:u w:val="single"/>
        </w:rPr>
        <w:t>。</w:t>
      </w:r>
    </w:p>
    <w:p>
      <w:pPr>
        <w:adjustRightInd w:val="0"/>
        <w:snapToGrid w:val="0"/>
        <w:spacing w:line="360" w:lineRule="auto"/>
        <w:ind w:firstLine="420" w:firstLineChars="200"/>
        <w:rPr>
          <w:rFonts w:hint="eastAsia" w:ascii="宋体" w:hAnsi="宋体"/>
          <w:szCs w:val="21"/>
        </w:rPr>
      </w:pPr>
      <w:r>
        <w:rPr>
          <w:rFonts w:hint="eastAsia" w:ascii="宋体" w:hAnsi="宋体"/>
          <w:szCs w:val="21"/>
        </w:rPr>
        <w:t>环境相对湿度：</w:t>
      </w:r>
      <w:r>
        <w:rPr>
          <w:rFonts w:hint="eastAsia" w:ascii="宋体" w:hAnsi="宋体"/>
          <w:u w:val="single"/>
        </w:rPr>
        <w:t xml:space="preserve"> 日平均值不大于95%（＋25℃时），月平均值不大于90%；。</w:t>
      </w:r>
    </w:p>
    <w:p>
      <w:pPr>
        <w:adjustRightInd w:val="0"/>
        <w:snapToGrid w:val="0"/>
        <w:spacing w:line="360" w:lineRule="auto"/>
        <w:ind w:firstLine="420" w:firstLineChars="200"/>
        <w:rPr>
          <w:rFonts w:hint="eastAsia" w:ascii="宋体" w:hAnsi="宋体"/>
          <w:szCs w:val="21"/>
        </w:rPr>
      </w:pPr>
      <w:r>
        <w:rPr>
          <w:rFonts w:hint="eastAsia" w:ascii="宋体" w:hAnsi="宋体"/>
          <w:szCs w:val="21"/>
        </w:rPr>
        <w:t>安装场所及用途：</w:t>
      </w:r>
      <w:r>
        <w:rPr>
          <w:rFonts w:hint="eastAsia" w:ascii="宋体" w:hAnsi="宋体"/>
          <w:szCs w:val="21"/>
          <w:u w:val="single"/>
        </w:rPr>
        <w:t>洗选中心哈拉沟选煤厂</w:t>
      </w:r>
      <w:r>
        <w:rPr>
          <w:rFonts w:hint="default" w:ascii="宋体" w:hAnsi="宋体"/>
          <w:szCs w:val="21"/>
          <w:u w:val="single"/>
          <w:lang w:val="en-US"/>
        </w:rPr>
        <w:t>601</w:t>
      </w:r>
      <w:r>
        <w:rPr>
          <w:rFonts w:hint="eastAsia" w:ascii="宋体" w:hAnsi="宋体"/>
          <w:szCs w:val="21"/>
          <w:u w:val="single"/>
        </w:rPr>
        <w:t>胶带运输机用</w:t>
      </w:r>
    </w:p>
    <w:p>
      <w:pPr>
        <w:adjustRightInd w:val="0"/>
        <w:snapToGrid w:val="0"/>
        <w:spacing w:before="312" w:beforeLines="100" w:after="312" w:afterLines="100" w:line="360" w:lineRule="auto"/>
        <w:rPr>
          <w:b/>
          <w:szCs w:val="21"/>
        </w:rPr>
      </w:pPr>
      <w:r>
        <w:rPr>
          <w:rFonts w:hint="eastAsia"/>
          <w:b/>
          <w:szCs w:val="21"/>
        </w:rPr>
        <w:t>三、技术参数及要求</w:t>
      </w:r>
    </w:p>
    <w:p>
      <w:pPr>
        <w:spacing w:line="360" w:lineRule="auto"/>
        <w:rPr>
          <w:rFonts w:ascii="宋体" w:hAnsi="宋体"/>
          <w:szCs w:val="21"/>
        </w:rPr>
      </w:pPr>
      <w:r>
        <w:rPr>
          <w:rFonts w:ascii="宋体" w:hAnsi="宋体"/>
          <w:szCs w:val="21"/>
        </w:rPr>
        <w:t>1.</w:t>
      </w:r>
      <w:r>
        <w:rPr>
          <w:rFonts w:hint="eastAsia" w:ascii="宋体" w:hAnsi="宋体"/>
          <w:szCs w:val="21"/>
        </w:rPr>
        <w:t xml:space="preserve"> </w:t>
      </w:r>
      <w:r>
        <w:rPr>
          <w:rFonts w:ascii="宋体" w:hAnsi="宋体"/>
          <w:szCs w:val="21"/>
        </w:rPr>
        <w:t>技术</w:t>
      </w:r>
      <w:r>
        <w:rPr>
          <w:rFonts w:hint="eastAsia" w:ascii="宋体" w:hAnsi="宋体"/>
          <w:szCs w:val="21"/>
        </w:rPr>
        <w:t>参数</w:t>
      </w:r>
    </w:p>
    <w:p>
      <w:pPr>
        <w:adjustRightInd w:val="0"/>
        <w:snapToGrid w:val="0"/>
        <w:spacing w:line="360" w:lineRule="auto"/>
        <w:ind w:left="0" w:leftChars="0" w:firstLine="218" w:firstLineChars="104"/>
        <w:rPr>
          <w:rFonts w:ascii="宋体" w:hAnsi="宋体"/>
          <w:szCs w:val="21"/>
        </w:rPr>
      </w:pPr>
      <w:r>
        <w:rPr>
          <w:rFonts w:hint="eastAsia" w:ascii="宋体" w:hAnsi="宋体"/>
          <w:szCs w:val="21"/>
        </w:rPr>
        <w:t>*1.1.电压等级：</w:t>
      </w:r>
      <w:r>
        <w:rPr>
          <w:rFonts w:hint="eastAsia" w:ascii="宋体" w:hAnsi="宋体"/>
          <w:szCs w:val="21"/>
          <w:u w:val="single"/>
        </w:rPr>
        <w:t>AC660V-690V</w:t>
      </w:r>
      <w:r>
        <w:rPr>
          <w:rFonts w:hint="eastAsia" w:ascii="宋体" w:hAnsi="宋体"/>
          <w:szCs w:val="21"/>
        </w:rPr>
        <w:t>。</w:t>
      </w:r>
      <w:bookmarkStart w:id="8" w:name="_GoBack"/>
      <w:bookmarkEnd w:id="8"/>
    </w:p>
    <w:p>
      <w:pPr>
        <w:adjustRightInd w:val="0"/>
        <w:snapToGrid w:val="0"/>
        <w:spacing w:line="360" w:lineRule="auto"/>
        <w:ind w:left="0" w:leftChars="0" w:firstLine="218" w:firstLineChars="104"/>
        <w:rPr>
          <w:rFonts w:hint="eastAsia" w:ascii="宋体" w:hAnsi="宋体"/>
          <w:szCs w:val="21"/>
        </w:rPr>
      </w:pPr>
      <w:r>
        <w:rPr>
          <w:rFonts w:hint="eastAsia" w:ascii="宋体" w:hAnsi="宋体"/>
          <w:szCs w:val="21"/>
        </w:rPr>
        <w:t>*1.2.额定输入频率：</w:t>
      </w:r>
      <w:r>
        <w:rPr>
          <w:rFonts w:hint="eastAsia" w:ascii="宋体" w:hAnsi="宋体"/>
          <w:szCs w:val="21"/>
          <w:u w:val="single"/>
        </w:rPr>
        <w:t>50Hz。</w:t>
      </w:r>
    </w:p>
    <w:p>
      <w:pPr>
        <w:adjustRightInd w:val="0"/>
        <w:snapToGrid w:val="0"/>
        <w:spacing w:line="360" w:lineRule="auto"/>
        <w:ind w:left="0" w:leftChars="0" w:firstLine="218" w:firstLineChars="104"/>
        <w:rPr>
          <w:rFonts w:hint="eastAsia" w:ascii="宋体" w:hAnsi="宋体"/>
          <w:szCs w:val="21"/>
          <w:highlight w:val="none"/>
          <w:lang w:val="en-US" w:eastAsia="zh-CN"/>
        </w:rPr>
      </w:pPr>
      <w:r>
        <w:rPr>
          <w:rFonts w:hint="eastAsia" w:ascii="宋体" w:hAnsi="宋体"/>
          <w:szCs w:val="21"/>
          <w:highlight w:val="none"/>
          <w:lang w:val="en-US" w:eastAsia="zh-CN"/>
        </w:rPr>
        <w:t>*1.3.输入</w:t>
      </w:r>
      <w:r>
        <w:rPr>
          <w:rFonts w:hint="eastAsia" w:ascii="宋体" w:hAnsi="宋体"/>
          <w:szCs w:val="21"/>
          <w:highlight w:val="none"/>
          <w:lang w:eastAsia="zh-CN"/>
        </w:rPr>
        <w:t>电流：</w:t>
      </w:r>
      <w:r>
        <w:rPr>
          <w:rFonts w:hint="eastAsia" w:ascii="宋体" w:hAnsi="宋体"/>
          <w:szCs w:val="21"/>
          <w:u w:val="single"/>
        </w:rPr>
        <w:t>≥</w:t>
      </w:r>
      <w:r>
        <w:rPr>
          <w:rFonts w:hint="eastAsia" w:ascii="宋体" w:hAnsi="宋体"/>
          <w:szCs w:val="21"/>
          <w:u w:val="single"/>
          <w:lang w:val="en-US" w:eastAsia="zh-CN"/>
        </w:rPr>
        <w:t>616</w:t>
      </w:r>
      <w:r>
        <w:rPr>
          <w:rFonts w:hint="eastAsia" w:ascii="宋体" w:hAnsi="宋体"/>
          <w:szCs w:val="21"/>
          <w:highlight w:val="none"/>
          <w:u w:val="single"/>
          <w:lang w:val="en-US" w:eastAsia="zh-CN"/>
        </w:rPr>
        <w:t>A</w:t>
      </w:r>
      <w:r>
        <w:rPr>
          <w:rFonts w:hint="eastAsia" w:ascii="宋体" w:hAnsi="宋体"/>
          <w:szCs w:val="21"/>
          <w:highlight w:val="none"/>
          <w:lang w:val="en-US" w:eastAsia="zh-CN"/>
        </w:rPr>
        <w:t>。</w:t>
      </w:r>
    </w:p>
    <w:p>
      <w:pPr>
        <w:adjustRightInd w:val="0"/>
        <w:snapToGrid w:val="0"/>
        <w:spacing w:line="360" w:lineRule="auto"/>
        <w:ind w:left="0" w:leftChars="0" w:firstLine="218" w:firstLineChars="104"/>
        <w:rPr>
          <w:rFonts w:hint="eastAsia" w:ascii="宋体" w:hAnsi="宋体"/>
          <w:szCs w:val="21"/>
          <w:highlight w:val="none"/>
          <w:lang w:val="en-US" w:eastAsia="zh-CN"/>
        </w:rPr>
      </w:pPr>
      <w:r>
        <w:rPr>
          <w:rFonts w:hint="eastAsia" w:ascii="宋体" w:hAnsi="宋体"/>
          <w:szCs w:val="21"/>
          <w:highlight w:val="none"/>
          <w:lang w:val="en-US" w:eastAsia="zh-CN"/>
        </w:rPr>
        <w:t>*1.4.输出电流：</w:t>
      </w:r>
      <w:r>
        <w:rPr>
          <w:rFonts w:hint="eastAsia" w:ascii="宋体" w:hAnsi="宋体"/>
          <w:szCs w:val="21"/>
          <w:u w:val="single"/>
        </w:rPr>
        <w:t>≥</w:t>
      </w:r>
      <w:r>
        <w:rPr>
          <w:rFonts w:hint="eastAsia" w:ascii="宋体" w:hAnsi="宋体"/>
          <w:szCs w:val="21"/>
          <w:u w:val="single"/>
          <w:lang w:val="en-US" w:eastAsia="zh-CN"/>
        </w:rPr>
        <w:t>675</w:t>
      </w:r>
      <w:r>
        <w:rPr>
          <w:rFonts w:hint="eastAsia" w:ascii="宋体" w:hAnsi="宋体"/>
          <w:szCs w:val="21"/>
          <w:highlight w:val="none"/>
          <w:u w:val="single"/>
          <w:lang w:val="en-US" w:eastAsia="zh-CN"/>
        </w:rPr>
        <w:t>A</w:t>
      </w:r>
      <w:r>
        <w:rPr>
          <w:rFonts w:hint="eastAsia" w:ascii="宋体" w:hAnsi="宋体"/>
          <w:szCs w:val="21"/>
          <w:highlight w:val="none"/>
          <w:lang w:val="en-US" w:eastAsia="zh-CN"/>
        </w:rPr>
        <w:t>。</w:t>
      </w:r>
    </w:p>
    <w:p>
      <w:pPr>
        <w:adjustRightInd w:val="0"/>
        <w:snapToGrid w:val="0"/>
        <w:spacing w:line="360" w:lineRule="auto"/>
        <w:ind w:left="0" w:leftChars="0" w:firstLine="218" w:firstLineChars="104"/>
        <w:rPr>
          <w:rFonts w:hint="eastAsia" w:ascii="宋体" w:hAnsi="宋体"/>
          <w:szCs w:val="21"/>
        </w:rPr>
      </w:pPr>
      <w:r>
        <w:rPr>
          <w:rFonts w:hint="eastAsia" w:ascii="宋体" w:hAnsi="宋体"/>
          <w:szCs w:val="21"/>
        </w:rPr>
        <w:t>*1.</w:t>
      </w:r>
      <w:r>
        <w:rPr>
          <w:rFonts w:hint="eastAsia" w:ascii="宋体" w:hAnsi="宋体"/>
          <w:szCs w:val="21"/>
          <w:lang w:val="en-US" w:eastAsia="zh-CN"/>
        </w:rPr>
        <w:t>5</w:t>
      </w:r>
      <w:r>
        <w:rPr>
          <w:rFonts w:hint="eastAsia" w:ascii="宋体" w:hAnsi="宋体"/>
          <w:szCs w:val="21"/>
        </w:rPr>
        <w:t>.适配电动机额定功率：</w:t>
      </w:r>
      <w:r>
        <w:rPr>
          <w:rFonts w:hint="eastAsia" w:ascii="宋体" w:hAnsi="宋体"/>
          <w:szCs w:val="21"/>
          <w:u w:val="single"/>
          <w:lang w:val="en-US" w:eastAsia="zh-CN"/>
        </w:rPr>
        <w:t>630k</w:t>
      </w:r>
      <w:r>
        <w:rPr>
          <w:rFonts w:hint="eastAsia" w:ascii="宋体" w:hAnsi="宋体"/>
          <w:szCs w:val="21"/>
          <w:u w:val="single"/>
        </w:rPr>
        <w:t>W</w:t>
      </w:r>
      <w:r>
        <w:rPr>
          <w:rFonts w:hint="eastAsia" w:ascii="宋体" w:hAnsi="宋体"/>
          <w:szCs w:val="21"/>
        </w:rPr>
        <w:t>。</w:t>
      </w:r>
    </w:p>
    <w:p>
      <w:pPr>
        <w:adjustRightInd w:val="0"/>
        <w:snapToGrid w:val="0"/>
        <w:spacing w:line="360" w:lineRule="auto"/>
        <w:ind w:left="0" w:leftChars="0" w:firstLine="218" w:firstLineChars="104"/>
        <w:rPr>
          <w:rFonts w:hint="eastAsia" w:ascii="宋体" w:hAnsi="宋体"/>
          <w:szCs w:val="21"/>
          <w:highlight w:val="none"/>
        </w:rPr>
      </w:pPr>
      <w:r>
        <w:rPr>
          <w:rFonts w:hint="eastAsia" w:ascii="宋体" w:hAnsi="宋体"/>
          <w:szCs w:val="21"/>
          <w:highlight w:val="none"/>
          <w:lang w:val="en-US" w:eastAsia="zh-CN"/>
        </w:rPr>
        <w:t>*1.6.电机运行方式：</w:t>
      </w:r>
      <w:r>
        <w:rPr>
          <w:rFonts w:hint="eastAsia" w:ascii="宋体" w:hAnsi="宋体"/>
          <w:szCs w:val="21"/>
          <w:highlight w:val="none"/>
          <w:u w:val="single"/>
          <w:lang w:val="en-US" w:eastAsia="zh-CN"/>
        </w:rPr>
        <w:t>重载运行</w:t>
      </w:r>
    </w:p>
    <w:p>
      <w:pPr>
        <w:adjustRightInd w:val="0"/>
        <w:snapToGrid w:val="0"/>
        <w:spacing w:line="360" w:lineRule="auto"/>
        <w:ind w:left="0" w:leftChars="0" w:firstLine="218" w:firstLineChars="104"/>
        <w:rPr>
          <w:rFonts w:ascii="宋体" w:hAnsi="宋体"/>
          <w:szCs w:val="21"/>
          <w:u w:val="single"/>
        </w:rPr>
      </w:pPr>
      <w:r>
        <w:rPr>
          <w:rFonts w:hint="eastAsia" w:ascii="宋体" w:hAnsi="宋体"/>
          <w:szCs w:val="21"/>
        </w:rPr>
        <w:t>1.</w:t>
      </w:r>
      <w:r>
        <w:rPr>
          <w:rFonts w:hint="eastAsia" w:ascii="宋体" w:hAnsi="宋体"/>
          <w:szCs w:val="21"/>
          <w:lang w:val="en-US" w:eastAsia="zh-CN"/>
        </w:rPr>
        <w:t>7</w:t>
      </w:r>
      <w:r>
        <w:rPr>
          <w:rFonts w:hint="eastAsia" w:ascii="宋体" w:hAnsi="宋体"/>
          <w:szCs w:val="21"/>
        </w:rPr>
        <w:t>.变频方式：</w:t>
      </w:r>
      <w:r>
        <w:rPr>
          <w:rFonts w:hint="eastAsia" w:ascii="宋体" w:hAnsi="宋体"/>
          <w:szCs w:val="21"/>
          <w:u w:val="single"/>
        </w:rPr>
        <w:t>AC-DC-AC</w:t>
      </w:r>
      <w:r>
        <w:rPr>
          <w:rFonts w:ascii="宋体" w:hAnsi="宋体"/>
          <w:szCs w:val="21"/>
          <w:u w:val="single"/>
        </w:rPr>
        <w:t>（交-直-交）</w:t>
      </w:r>
      <w:r>
        <w:rPr>
          <w:rFonts w:hint="eastAsia" w:ascii="宋体" w:hAnsi="宋体"/>
          <w:szCs w:val="21"/>
          <w:u w:val="single"/>
        </w:rPr>
        <w:t>。</w:t>
      </w:r>
    </w:p>
    <w:p>
      <w:pPr>
        <w:adjustRightInd w:val="0"/>
        <w:snapToGrid w:val="0"/>
        <w:spacing w:line="360" w:lineRule="auto"/>
        <w:ind w:left="0" w:leftChars="0" w:firstLine="218" w:firstLineChars="104"/>
        <w:rPr>
          <w:rFonts w:hint="eastAsia" w:ascii="宋体" w:hAnsi="宋体"/>
          <w:szCs w:val="21"/>
        </w:rPr>
      </w:pPr>
      <w:r>
        <w:rPr>
          <w:rFonts w:hint="eastAsia" w:ascii="宋体" w:hAnsi="宋体"/>
          <w:szCs w:val="21"/>
        </w:rPr>
        <w:t xml:space="preserve"> 1.</w:t>
      </w:r>
      <w:r>
        <w:rPr>
          <w:rFonts w:hint="eastAsia" w:ascii="宋体" w:hAnsi="宋体"/>
          <w:szCs w:val="21"/>
          <w:lang w:val="en-US" w:eastAsia="zh-CN"/>
        </w:rPr>
        <w:t>8</w:t>
      </w:r>
      <w:r>
        <w:rPr>
          <w:rFonts w:hint="eastAsia" w:ascii="宋体" w:hAnsi="宋体"/>
          <w:szCs w:val="21"/>
        </w:rPr>
        <w:t>.噪音：</w:t>
      </w:r>
      <w:r>
        <w:rPr>
          <w:rFonts w:hint="eastAsia" w:ascii="宋体" w:hAnsi="宋体"/>
          <w:szCs w:val="21"/>
          <w:u w:val="single"/>
          <w:lang w:val="en-US" w:eastAsia="zh-CN"/>
        </w:rPr>
        <w:t>≤</w:t>
      </w:r>
      <w:r>
        <w:rPr>
          <w:rFonts w:hint="eastAsia" w:ascii="宋体" w:hAnsi="宋体"/>
          <w:szCs w:val="21"/>
          <w:u w:val="single"/>
        </w:rPr>
        <w:t xml:space="preserve"> 7</w:t>
      </w:r>
      <w:r>
        <w:rPr>
          <w:rFonts w:hint="eastAsia" w:ascii="宋体" w:hAnsi="宋体"/>
          <w:szCs w:val="21"/>
          <w:u w:val="single"/>
          <w:lang w:val="en-US" w:eastAsia="zh-CN"/>
        </w:rPr>
        <w:t>7</w:t>
      </w:r>
      <w:r>
        <w:rPr>
          <w:rFonts w:hint="eastAsia" w:ascii="宋体" w:hAnsi="宋体"/>
          <w:szCs w:val="21"/>
          <w:u w:val="single"/>
        </w:rPr>
        <w:t xml:space="preserve"> </w:t>
      </w:r>
      <w:r>
        <w:rPr>
          <w:rFonts w:hint="eastAsia" w:ascii="宋体" w:hAnsi="宋体"/>
          <w:szCs w:val="21"/>
          <w:u w:val="single"/>
          <w:lang w:val="en-US" w:eastAsia="zh-CN"/>
        </w:rPr>
        <w:t>dB</w:t>
      </w:r>
      <w:r>
        <w:rPr>
          <w:rFonts w:hint="eastAsia" w:ascii="宋体" w:hAnsi="宋体"/>
          <w:szCs w:val="21"/>
          <w:u w:val="single"/>
        </w:rPr>
        <w:t>。</w:t>
      </w:r>
    </w:p>
    <w:p>
      <w:pPr>
        <w:adjustRightInd w:val="0"/>
        <w:snapToGrid w:val="0"/>
        <w:spacing w:line="360" w:lineRule="auto"/>
        <w:ind w:left="0" w:leftChars="0" w:firstLine="218" w:firstLineChars="104"/>
        <w:rPr>
          <w:rFonts w:hint="eastAsia" w:ascii="宋体" w:hAnsi="宋体"/>
          <w:szCs w:val="21"/>
          <w:highlight w:val="none"/>
          <w:lang w:val="en-US" w:eastAsia="zh-CN"/>
        </w:rPr>
      </w:pPr>
      <w:r>
        <w:rPr>
          <w:rFonts w:hint="eastAsia" w:ascii="宋体" w:hAnsi="宋体"/>
          <w:szCs w:val="21"/>
        </w:rPr>
        <w:t>*1.</w:t>
      </w:r>
      <w:r>
        <w:rPr>
          <w:rFonts w:hint="eastAsia" w:ascii="宋体" w:hAnsi="宋体"/>
          <w:szCs w:val="21"/>
          <w:lang w:val="en-US" w:eastAsia="zh-CN"/>
        </w:rPr>
        <w:t>9</w:t>
      </w:r>
      <w:r>
        <w:rPr>
          <w:rFonts w:hint="eastAsia" w:ascii="宋体" w:hAnsi="宋体"/>
          <w:szCs w:val="21"/>
        </w:rPr>
        <w:t>.主要保护功能：过流、短路、接地、过压、欠压、过载、过热、缺相、相序、单元故障、</w:t>
      </w:r>
      <w:r>
        <w:rPr>
          <w:rFonts w:hint="eastAsia" w:ascii="宋体" w:hAnsi="宋体" w:cs="宋体"/>
          <w:szCs w:val="21"/>
        </w:rPr>
        <w:t xml:space="preserve">通讯中断、数据校验及故障保护、漏电闭锁等，保护性能应符合国家电气设备标准的规定。 </w:t>
      </w:r>
    </w:p>
    <w:p>
      <w:pPr>
        <w:adjustRightInd w:val="0"/>
        <w:snapToGrid w:val="0"/>
        <w:spacing w:line="360" w:lineRule="auto"/>
        <w:ind w:left="0" w:leftChars="0" w:firstLine="218" w:firstLineChars="104"/>
        <w:rPr>
          <w:rFonts w:hint="eastAsia" w:ascii="宋体" w:hAnsi="宋体"/>
          <w:szCs w:val="21"/>
          <w:highlight w:val="none"/>
          <w:lang w:val="en-US" w:eastAsia="zh-CN"/>
        </w:rPr>
      </w:pPr>
      <w:r>
        <w:rPr>
          <w:rFonts w:hint="eastAsia" w:ascii="宋体" w:hAnsi="宋体" w:cs="宋体"/>
          <w:szCs w:val="21"/>
          <w:lang w:val="en-US" w:eastAsia="zh-CN"/>
        </w:rPr>
        <w:t>*1</w:t>
      </w:r>
      <w:r>
        <w:rPr>
          <w:rFonts w:hint="eastAsia" w:ascii="宋体" w:hAnsi="宋体" w:cs="宋体"/>
          <w:szCs w:val="21"/>
          <w:highlight w:val="none"/>
          <w:lang w:val="en-US" w:eastAsia="zh-CN"/>
        </w:rPr>
        <w:t>.10.</w:t>
      </w:r>
      <w:r>
        <w:rPr>
          <w:rFonts w:hint="eastAsia" w:ascii="宋体" w:hAnsi="宋体"/>
          <w:szCs w:val="21"/>
          <w:highlight w:val="none"/>
          <w:lang w:val="en-US" w:eastAsia="zh-CN"/>
        </w:rPr>
        <w:t>模拟量必须支持</w:t>
      </w:r>
      <w:r>
        <w:rPr>
          <w:rFonts w:hint="eastAsia" w:ascii="宋体" w:hAnsi="宋体"/>
          <w:szCs w:val="21"/>
          <w:highlight w:val="none"/>
          <w:u w:val="single"/>
          <w:lang w:val="en-US" w:eastAsia="zh-CN"/>
        </w:rPr>
        <w:t>4-20</w:t>
      </w:r>
      <w:r>
        <w:rPr>
          <w:rFonts w:hint="eastAsia" w:ascii="宋体" w:hAnsi="宋体"/>
          <w:szCs w:val="21"/>
          <w:highlight w:val="none"/>
          <w:lang w:val="en-US" w:eastAsia="zh-CN"/>
        </w:rPr>
        <w:t>mA信号和</w:t>
      </w:r>
      <w:r>
        <w:rPr>
          <w:rFonts w:hint="eastAsia" w:ascii="宋体" w:hAnsi="宋体"/>
          <w:szCs w:val="21"/>
          <w:highlight w:val="none"/>
          <w:u w:val="single"/>
          <w:lang w:val="en-US" w:eastAsia="zh-CN"/>
        </w:rPr>
        <w:t>0-10</w:t>
      </w:r>
      <w:r>
        <w:rPr>
          <w:rFonts w:hint="eastAsia" w:ascii="宋体" w:hAnsi="宋体"/>
          <w:szCs w:val="21"/>
          <w:highlight w:val="none"/>
          <w:lang w:val="en-US" w:eastAsia="zh-CN"/>
        </w:rPr>
        <w:t>V信号。</w:t>
      </w:r>
    </w:p>
    <w:p>
      <w:pPr>
        <w:adjustRightInd w:val="0"/>
        <w:snapToGrid w:val="0"/>
        <w:spacing w:line="360" w:lineRule="auto"/>
        <w:ind w:left="0" w:leftChars="0" w:firstLine="218" w:firstLineChars="104"/>
        <w:rPr>
          <w:rFonts w:hint="eastAsia" w:ascii="宋体" w:hAnsi="宋体"/>
          <w:szCs w:val="21"/>
          <w:highlight w:val="none"/>
          <w:lang w:val="en-US" w:eastAsia="zh-CN"/>
        </w:rPr>
      </w:pPr>
      <w:r>
        <w:rPr>
          <w:rFonts w:hint="eastAsia" w:ascii="宋体" w:hAnsi="宋体"/>
          <w:szCs w:val="21"/>
          <w:highlight w:val="none"/>
          <w:lang w:val="en-US" w:eastAsia="zh-CN"/>
        </w:rPr>
        <w:t>*1.11.变频器尺寸（高度×深度×宽度）：</w:t>
      </w:r>
      <w:r>
        <w:rPr>
          <w:rFonts w:hint="eastAsia"/>
          <w:u w:val="single"/>
          <w:lang w:val="en-US" w:eastAsia="zh-CN"/>
        </w:rPr>
        <w:t>≤</w:t>
      </w:r>
      <w:r>
        <w:rPr>
          <w:rFonts w:hint="eastAsia" w:ascii="宋体" w:hAnsi="宋体"/>
          <w:szCs w:val="21"/>
          <w:highlight w:val="none"/>
          <w:u w:val="single"/>
          <w:lang w:val="en-US" w:eastAsia="zh-CN"/>
        </w:rPr>
        <w:t>1390mm×377mm×1120mm。</w:t>
      </w:r>
    </w:p>
    <w:p>
      <w:pPr>
        <w:adjustRightInd w:val="0"/>
        <w:snapToGrid w:val="0"/>
        <w:spacing w:line="360" w:lineRule="auto"/>
        <w:ind w:left="0" w:leftChars="0" w:firstLine="218" w:firstLineChars="104"/>
        <w:rPr>
          <w:rFonts w:hint="eastAsia" w:ascii="宋体" w:hAnsi="宋体"/>
          <w:szCs w:val="21"/>
          <w:highlight w:val="none"/>
          <w:lang w:val="en-US" w:eastAsia="zh-CN"/>
        </w:rPr>
      </w:pPr>
      <w:r>
        <w:rPr>
          <w:rFonts w:hint="eastAsia" w:ascii="宋体" w:hAnsi="宋体"/>
          <w:szCs w:val="21"/>
          <w:highlight w:val="none"/>
          <w:u w:val="none"/>
          <w:lang w:val="en-US" w:eastAsia="zh-CN"/>
        </w:rPr>
        <w:t>*1.12.通讯接口：</w:t>
      </w:r>
      <w:r>
        <w:rPr>
          <w:rFonts w:hint="eastAsia" w:ascii="宋体" w:hAnsi="宋体"/>
          <w:szCs w:val="21"/>
          <w:highlight w:val="none"/>
          <w:u w:val="single"/>
          <w:lang w:val="en-US" w:eastAsia="zh-CN"/>
        </w:rPr>
        <w:t>变频器自带CAN</w:t>
      </w:r>
      <w:r>
        <w:rPr>
          <w:rFonts w:hint="default" w:ascii="宋体" w:hAnsi="宋体"/>
          <w:szCs w:val="21"/>
          <w:highlight w:val="none"/>
          <w:u w:val="single"/>
          <w:lang w:val="en-US" w:eastAsia="zh-CN"/>
        </w:rPr>
        <w:t>open</w:t>
      </w:r>
      <w:r>
        <w:rPr>
          <w:rFonts w:hint="eastAsia" w:ascii="宋体" w:hAnsi="宋体"/>
          <w:szCs w:val="21"/>
          <w:highlight w:val="none"/>
          <w:u w:val="single"/>
          <w:lang w:val="en-US" w:eastAsia="zh-CN"/>
        </w:rPr>
        <w:t>通讯接口。</w:t>
      </w:r>
    </w:p>
    <w:p>
      <w:pPr>
        <w:spacing w:line="360" w:lineRule="auto"/>
        <w:rPr>
          <w:rFonts w:ascii="宋体" w:hAnsi="宋体"/>
          <w:szCs w:val="21"/>
        </w:rPr>
      </w:pPr>
      <w:r>
        <w:rPr>
          <w:rFonts w:ascii="宋体" w:hAnsi="宋体"/>
          <w:szCs w:val="21"/>
        </w:rPr>
        <w:t>2</w:t>
      </w:r>
      <w:r>
        <w:rPr>
          <w:rFonts w:hint="eastAsia" w:ascii="宋体" w:hAnsi="宋体"/>
          <w:szCs w:val="21"/>
        </w:rPr>
        <w:t>. 技术性能要求</w:t>
      </w:r>
    </w:p>
    <w:p>
      <w:pPr>
        <w:adjustRightInd w:val="0"/>
        <w:snapToGrid w:val="0"/>
        <w:spacing w:line="360" w:lineRule="auto"/>
        <w:ind w:left="17" w:leftChars="8" w:firstLine="202" w:firstLineChars="101"/>
        <w:rPr>
          <w:rFonts w:ascii="宋体" w:hAnsi="宋体"/>
          <w:bCs/>
          <w:szCs w:val="21"/>
        </w:rPr>
      </w:pPr>
      <w:r>
        <w:rPr>
          <w:rFonts w:ascii="宋体" w:hAnsi="宋体"/>
          <w:spacing w:val="-5"/>
          <w:kern w:val="0"/>
          <w:szCs w:val="21"/>
        </w:rPr>
        <w:t>2.</w:t>
      </w:r>
      <w:r>
        <w:rPr>
          <w:rFonts w:hint="eastAsia" w:ascii="宋体" w:hAnsi="宋体"/>
          <w:spacing w:val="-5"/>
          <w:kern w:val="0"/>
          <w:szCs w:val="21"/>
        </w:rPr>
        <w:t>1.</w:t>
      </w:r>
      <w:r>
        <w:rPr>
          <w:rFonts w:hint="eastAsia" w:ascii="宋体" w:hAnsi="宋体"/>
          <w:bCs/>
          <w:szCs w:val="21"/>
        </w:rPr>
        <w:t>使用寿命</w:t>
      </w:r>
      <w:r>
        <w:rPr>
          <w:rFonts w:ascii="宋体" w:hAnsi="宋体"/>
          <w:bCs/>
          <w:szCs w:val="21"/>
        </w:rPr>
        <w:t>不低于</w:t>
      </w:r>
      <w:r>
        <w:rPr>
          <w:rFonts w:hint="eastAsia" w:ascii="宋体" w:hAnsi="宋体"/>
          <w:bCs/>
          <w:szCs w:val="21"/>
        </w:rPr>
        <w:t>6年。</w:t>
      </w:r>
    </w:p>
    <w:p>
      <w:pPr>
        <w:adjustRightInd w:val="0"/>
        <w:snapToGrid w:val="0"/>
        <w:spacing w:line="360" w:lineRule="auto"/>
        <w:ind w:left="17" w:leftChars="8" w:firstLine="202" w:firstLineChars="101"/>
        <w:rPr>
          <w:rFonts w:ascii="宋体" w:hAnsi="宋体"/>
          <w:kern w:val="0"/>
          <w:szCs w:val="21"/>
        </w:rPr>
      </w:pPr>
      <w:r>
        <w:rPr>
          <w:rFonts w:hint="eastAsia" w:ascii="宋体" w:hAnsi="宋体"/>
          <w:spacing w:val="-5"/>
          <w:kern w:val="0"/>
          <w:szCs w:val="21"/>
        </w:rPr>
        <w:t>*2.2.</w:t>
      </w:r>
      <w:r>
        <w:rPr>
          <w:rFonts w:hint="eastAsia" w:ascii="宋体" w:hAnsi="宋体"/>
          <w:kern w:val="0"/>
          <w:szCs w:val="21"/>
        </w:rPr>
        <w:t>技术资料与质检资料：如果是外文资料，需完整翻译为中文的资料后，中、外文版资料各提供</w:t>
      </w:r>
      <w:r>
        <w:rPr>
          <w:rFonts w:hint="eastAsia" w:ascii="宋体" w:hAnsi="宋体"/>
          <w:kern w:val="0"/>
          <w:szCs w:val="21"/>
          <w:lang w:val="en-US" w:eastAsia="zh-CN"/>
        </w:rPr>
        <w:t>1</w:t>
      </w:r>
      <w:r>
        <w:rPr>
          <w:rFonts w:hint="eastAsia" w:ascii="宋体" w:hAnsi="宋体"/>
          <w:kern w:val="0"/>
          <w:szCs w:val="21"/>
        </w:rPr>
        <w:t>套。</w:t>
      </w:r>
    </w:p>
    <w:p>
      <w:pPr>
        <w:adjustRightInd w:val="0"/>
        <w:snapToGrid w:val="0"/>
        <w:spacing w:line="360" w:lineRule="auto"/>
        <w:ind w:left="17" w:leftChars="8" w:firstLine="212" w:firstLineChars="101"/>
        <w:rPr>
          <w:rFonts w:ascii="宋体" w:hAnsi="宋体"/>
          <w:kern w:val="0"/>
          <w:szCs w:val="21"/>
        </w:rPr>
      </w:pPr>
      <w:r>
        <w:rPr>
          <w:rFonts w:hint="eastAsia" w:ascii="宋体" w:hAnsi="宋体"/>
          <w:kern w:val="0"/>
          <w:szCs w:val="21"/>
        </w:rPr>
        <w:t>2.3.变频器对电网的谐波污染应满足IEEE519-1992要求，以保证在整个调速范围内设备谐波满足要求。</w:t>
      </w:r>
    </w:p>
    <w:p>
      <w:pPr>
        <w:adjustRightInd w:val="0"/>
        <w:snapToGrid w:val="0"/>
        <w:spacing w:line="360" w:lineRule="auto"/>
        <w:ind w:left="17" w:leftChars="8" w:firstLine="212" w:firstLineChars="101"/>
        <w:rPr>
          <w:rFonts w:ascii="宋体" w:hAnsi="宋体"/>
          <w:kern w:val="0"/>
          <w:szCs w:val="21"/>
        </w:rPr>
      </w:pPr>
      <w:r>
        <w:rPr>
          <w:rFonts w:hint="eastAsia" w:ascii="宋体" w:hAnsi="宋体"/>
          <w:kern w:val="0"/>
          <w:szCs w:val="21"/>
        </w:rPr>
        <w:t>2.4.变频器的辅助电源： DC 24V ±10%。</w:t>
      </w:r>
    </w:p>
    <w:p>
      <w:pPr>
        <w:adjustRightInd w:val="0"/>
        <w:snapToGrid w:val="0"/>
        <w:spacing w:line="360" w:lineRule="auto"/>
        <w:ind w:left="17" w:leftChars="8" w:firstLine="212" w:firstLineChars="101"/>
        <w:rPr>
          <w:rFonts w:ascii="宋体" w:hAnsi="宋体"/>
          <w:kern w:val="0"/>
          <w:szCs w:val="21"/>
          <w:highlight w:val="none"/>
        </w:rPr>
      </w:pPr>
      <w:r>
        <w:rPr>
          <w:rFonts w:hint="eastAsia" w:ascii="宋体" w:hAnsi="宋体"/>
          <w:kern w:val="0"/>
          <w:szCs w:val="21"/>
          <w:highlight w:val="none"/>
        </w:rPr>
        <w:t>2.5.为使设备运行过程中将故障影响降低到最小范围内，要求不采用具有爆裂或拉电弧可能的功率开关元件,可靠性指标（平均无故障工作时间）：100000小时。</w:t>
      </w:r>
    </w:p>
    <w:p>
      <w:pPr>
        <w:adjustRightInd w:val="0"/>
        <w:snapToGrid w:val="0"/>
        <w:spacing w:line="360" w:lineRule="auto"/>
        <w:ind w:left="17" w:leftChars="8" w:firstLine="212" w:firstLineChars="101"/>
        <w:rPr>
          <w:rFonts w:ascii="宋体" w:hAnsi="宋体"/>
          <w:kern w:val="0"/>
          <w:szCs w:val="21"/>
          <w:highlight w:val="none"/>
        </w:rPr>
      </w:pPr>
      <w:r>
        <w:rPr>
          <w:rFonts w:hint="eastAsia" w:ascii="宋体" w:hAnsi="宋体"/>
          <w:kern w:val="0"/>
          <w:szCs w:val="21"/>
          <w:highlight w:val="none"/>
        </w:rPr>
        <w:t>2.6.过载能力：额定电流120%，每十分钟允许一分钟,额定电流150％ ，3s。</w:t>
      </w:r>
    </w:p>
    <w:p>
      <w:pPr>
        <w:adjustRightInd w:val="0"/>
        <w:snapToGrid w:val="0"/>
        <w:spacing w:line="360" w:lineRule="auto"/>
        <w:ind w:left="17" w:leftChars="8" w:firstLine="212" w:firstLineChars="101"/>
        <w:rPr>
          <w:rFonts w:ascii="宋体" w:hAnsi="宋体"/>
          <w:kern w:val="0"/>
          <w:szCs w:val="21"/>
          <w:highlight w:val="none"/>
        </w:rPr>
      </w:pPr>
      <w:r>
        <w:rPr>
          <w:rFonts w:hint="eastAsia" w:ascii="宋体" w:hAnsi="宋体"/>
          <w:kern w:val="0"/>
          <w:szCs w:val="21"/>
          <w:highlight w:val="none"/>
        </w:rPr>
        <w:t>2.7.变频器加减速度时间:0－3200秒可设定。</w:t>
      </w:r>
    </w:p>
    <w:p>
      <w:pPr>
        <w:adjustRightInd w:val="0"/>
        <w:snapToGrid w:val="0"/>
        <w:spacing w:line="360" w:lineRule="auto"/>
        <w:ind w:left="17" w:leftChars="8" w:firstLine="212" w:firstLineChars="101"/>
        <w:rPr>
          <w:rFonts w:ascii="宋体" w:hAnsi="宋体"/>
          <w:kern w:val="0"/>
          <w:szCs w:val="21"/>
          <w:highlight w:val="none"/>
        </w:rPr>
      </w:pPr>
      <w:r>
        <w:rPr>
          <w:rFonts w:hint="eastAsia" w:ascii="宋体" w:hAnsi="宋体"/>
          <w:kern w:val="0"/>
          <w:szCs w:val="21"/>
          <w:highlight w:val="none"/>
        </w:rPr>
        <w:t>2.8.稳态运行精度：±0.1%（闭环），±0.5%（开环）。</w:t>
      </w:r>
    </w:p>
    <w:p>
      <w:pPr>
        <w:adjustRightInd w:val="0"/>
        <w:snapToGrid w:val="0"/>
        <w:spacing w:line="360" w:lineRule="auto"/>
        <w:ind w:left="17" w:leftChars="8" w:firstLine="212" w:firstLineChars="101"/>
        <w:rPr>
          <w:rFonts w:ascii="宋体" w:hAnsi="宋体"/>
          <w:kern w:val="0"/>
          <w:szCs w:val="21"/>
          <w:highlight w:val="none"/>
        </w:rPr>
      </w:pPr>
      <w:r>
        <w:rPr>
          <w:rFonts w:hint="eastAsia" w:ascii="宋体" w:hAnsi="宋体"/>
          <w:kern w:val="0"/>
          <w:szCs w:val="21"/>
          <w:highlight w:val="none"/>
        </w:rPr>
        <w:t>2.9.变频装置输出正弦的电压和电流波形，整个调速范围内谐波畸变(包括电压和电流) THD 小于 2%，可满足IEEE519及 GB/T14549 的谐波抑制标准，不能影响同一电网上其他设备的正常运行。变频器对本体控制系统就地控制柜无谐波影响。应有效地抑制共模电压，不应危及电动机及电缆绝缘。变频装置对输出电缆的长度不应有特殊要求，变频装置必须保护电机不受共模电压及dv/dt应力的影响, dv/dt保证值应小于10V/ms。如果不能满足，应该增加改善装置,改善装置价格应包含在合同总价中。请供方提供dv/dt保证值，确认变频装置对电机绝缘无任何附加要求。</w:t>
      </w:r>
    </w:p>
    <w:p>
      <w:pPr>
        <w:adjustRightInd w:val="0"/>
        <w:snapToGrid w:val="0"/>
        <w:spacing w:line="360" w:lineRule="auto"/>
        <w:ind w:left="17" w:leftChars="8" w:firstLine="212" w:firstLineChars="101"/>
        <w:rPr>
          <w:rFonts w:ascii="宋体" w:hAnsi="宋体"/>
          <w:kern w:val="0"/>
          <w:szCs w:val="21"/>
          <w:highlight w:val="none"/>
        </w:rPr>
      </w:pPr>
      <w:r>
        <w:rPr>
          <w:rFonts w:hint="eastAsia" w:ascii="宋体" w:hAnsi="宋体"/>
          <w:kern w:val="0"/>
          <w:szCs w:val="21"/>
          <w:highlight w:val="none"/>
        </w:rPr>
        <w:t>*2.10.拥有良好的用电安全保护，能保证操作工人的人身安全（例如柜门拥有机电联锁功能）。</w:t>
      </w:r>
    </w:p>
    <w:p>
      <w:pPr>
        <w:adjustRightInd w:val="0"/>
        <w:snapToGrid w:val="0"/>
        <w:spacing w:line="360" w:lineRule="auto"/>
        <w:ind w:left="17" w:leftChars="8" w:firstLine="212" w:firstLineChars="101"/>
        <w:rPr>
          <w:rFonts w:ascii="宋体" w:hAnsi="宋体"/>
          <w:kern w:val="0"/>
          <w:szCs w:val="21"/>
          <w:highlight w:val="none"/>
        </w:rPr>
      </w:pPr>
      <w:r>
        <w:rPr>
          <w:rFonts w:hint="eastAsia" w:ascii="宋体" w:hAnsi="宋体"/>
          <w:kern w:val="0"/>
          <w:szCs w:val="21"/>
          <w:highlight w:val="none"/>
        </w:rPr>
        <w:t>2.11.冷却方式：强制风冷或热管自冷却等方式。强制风冷需提供外引风道的接口及辅助配套设计要求，风机容量需满足加装外引风道的要求。冷却系统应可靠，平均无故障时间应≥变频装置本身。否则应考虑冗余配置，并自动切换。报警信号应能远传到控制室。每一套冷却装置应拆装方便，应满足变频装置的安全可靠运行。冷却风机要求采用全进口静音型离心风机。</w:t>
      </w:r>
    </w:p>
    <w:p>
      <w:pPr>
        <w:adjustRightInd w:val="0"/>
        <w:snapToGrid w:val="0"/>
        <w:spacing w:line="360" w:lineRule="auto"/>
        <w:ind w:left="17" w:leftChars="8" w:firstLine="212" w:firstLineChars="101"/>
        <w:rPr>
          <w:rFonts w:ascii="宋体" w:hAnsi="宋体"/>
          <w:kern w:val="0"/>
          <w:szCs w:val="21"/>
          <w:highlight w:val="none"/>
        </w:rPr>
      </w:pPr>
      <w:r>
        <w:rPr>
          <w:rFonts w:hint="eastAsia" w:ascii="宋体" w:hAnsi="宋体"/>
          <w:kern w:val="0"/>
          <w:szCs w:val="21"/>
          <w:highlight w:val="none"/>
        </w:rPr>
        <w:t>2.12.整流及逆变触发信号采用光纤隔离。</w:t>
      </w:r>
    </w:p>
    <w:p>
      <w:pPr>
        <w:adjustRightInd w:val="0"/>
        <w:snapToGrid w:val="0"/>
        <w:spacing w:line="360" w:lineRule="auto"/>
        <w:ind w:left="17" w:leftChars="8" w:firstLine="212" w:firstLineChars="101"/>
        <w:rPr>
          <w:rFonts w:ascii="宋体" w:hAnsi="宋体"/>
          <w:kern w:val="0"/>
          <w:szCs w:val="21"/>
          <w:highlight w:val="none"/>
        </w:rPr>
      </w:pPr>
      <w:r>
        <w:rPr>
          <w:rFonts w:hint="eastAsia" w:ascii="宋体" w:hAnsi="宋体"/>
          <w:kern w:val="0"/>
          <w:szCs w:val="21"/>
          <w:highlight w:val="none"/>
        </w:rPr>
        <w:t>*2.13.变频器可在不拖动电机的情况下进行空载调试等操作。</w:t>
      </w:r>
    </w:p>
    <w:p>
      <w:pPr>
        <w:adjustRightInd w:val="0"/>
        <w:snapToGrid w:val="0"/>
        <w:spacing w:line="360" w:lineRule="auto"/>
        <w:ind w:left="17" w:leftChars="8" w:firstLine="212" w:firstLineChars="101"/>
        <w:rPr>
          <w:rFonts w:ascii="宋体" w:hAnsi="宋体"/>
          <w:kern w:val="0"/>
          <w:szCs w:val="21"/>
          <w:highlight w:val="none"/>
        </w:rPr>
      </w:pPr>
      <w:r>
        <w:rPr>
          <w:rFonts w:hint="eastAsia" w:ascii="宋体" w:hAnsi="宋体"/>
          <w:kern w:val="0"/>
          <w:szCs w:val="21"/>
          <w:highlight w:val="none"/>
        </w:rPr>
        <w:t>2.14.变频器控制系统具有可靠的远方复位功能；</w:t>
      </w:r>
      <w:r>
        <w:rPr>
          <w:rFonts w:ascii="宋体" w:hAnsi="宋体"/>
          <w:kern w:val="0"/>
          <w:szCs w:val="21"/>
          <w:highlight w:val="none"/>
        </w:rPr>
        <w:t>具有多台</w:t>
      </w:r>
      <w:r>
        <w:rPr>
          <w:rFonts w:hint="eastAsia" w:ascii="宋体" w:hAnsi="宋体"/>
          <w:kern w:val="0"/>
          <w:szCs w:val="21"/>
          <w:highlight w:val="none"/>
        </w:rPr>
        <w:t>变频</w:t>
      </w:r>
      <w:r>
        <w:rPr>
          <w:rFonts w:ascii="宋体" w:hAnsi="宋体"/>
          <w:kern w:val="0"/>
          <w:szCs w:val="21"/>
          <w:highlight w:val="none"/>
        </w:rPr>
        <w:t>器同时功率平衡功能</w:t>
      </w:r>
      <w:r>
        <w:rPr>
          <w:rFonts w:hint="eastAsia" w:ascii="宋体" w:hAnsi="宋体"/>
          <w:kern w:val="0"/>
          <w:szCs w:val="21"/>
          <w:highlight w:val="none"/>
        </w:rPr>
        <w:t>。</w:t>
      </w:r>
    </w:p>
    <w:p>
      <w:pPr>
        <w:adjustRightInd w:val="0"/>
        <w:snapToGrid w:val="0"/>
        <w:spacing w:line="360" w:lineRule="auto"/>
        <w:ind w:left="17" w:leftChars="8" w:firstLine="212" w:firstLineChars="101"/>
        <w:rPr>
          <w:rFonts w:ascii="宋体" w:hAnsi="宋体"/>
          <w:kern w:val="0"/>
          <w:szCs w:val="21"/>
          <w:highlight w:val="none"/>
        </w:rPr>
      </w:pPr>
      <w:r>
        <w:rPr>
          <w:rFonts w:hint="eastAsia" w:ascii="宋体" w:hAnsi="宋体"/>
          <w:kern w:val="0"/>
          <w:szCs w:val="21"/>
          <w:highlight w:val="none"/>
        </w:rPr>
        <w:t>2.15.变频器带转速跟踪再起动功能、自动调度功能、故障查询功能、运行数据记录功能。</w:t>
      </w:r>
    </w:p>
    <w:p>
      <w:pPr>
        <w:adjustRightInd w:val="0"/>
        <w:snapToGrid w:val="0"/>
        <w:spacing w:line="360" w:lineRule="auto"/>
        <w:ind w:left="17" w:leftChars="8" w:firstLine="212" w:firstLineChars="101"/>
        <w:rPr>
          <w:rFonts w:ascii="宋体" w:hAnsi="宋体"/>
          <w:kern w:val="0"/>
          <w:szCs w:val="21"/>
          <w:highlight w:val="none"/>
        </w:rPr>
      </w:pPr>
      <w:r>
        <w:rPr>
          <w:rFonts w:hint="eastAsia" w:ascii="宋体" w:hAnsi="宋体"/>
          <w:kern w:val="0"/>
          <w:szCs w:val="21"/>
          <w:highlight w:val="none"/>
        </w:rPr>
        <w:t>2.16.变频器具有浪涌吸收保护电路。</w:t>
      </w:r>
    </w:p>
    <w:p>
      <w:pPr>
        <w:adjustRightInd w:val="0"/>
        <w:snapToGrid w:val="0"/>
        <w:spacing w:line="360" w:lineRule="auto"/>
        <w:ind w:left="17" w:leftChars="8" w:firstLine="212" w:firstLineChars="101"/>
        <w:rPr>
          <w:rFonts w:ascii="宋体" w:hAnsi="宋体"/>
          <w:kern w:val="0"/>
          <w:szCs w:val="21"/>
          <w:highlight w:val="none"/>
        </w:rPr>
      </w:pPr>
      <w:r>
        <w:rPr>
          <w:rFonts w:hint="eastAsia" w:ascii="宋体" w:hAnsi="宋体"/>
          <w:kern w:val="0"/>
          <w:szCs w:val="21"/>
          <w:highlight w:val="none"/>
        </w:rPr>
        <w:t>2.17.变频器集成可编程控制模块,具备编程自定义功能,可根据工艺或多地操作监控需要,扩展增加开关量和模拟量信号数量。</w:t>
      </w:r>
    </w:p>
    <w:p>
      <w:pPr>
        <w:adjustRightInd w:val="0"/>
        <w:snapToGrid w:val="0"/>
        <w:spacing w:line="360" w:lineRule="auto"/>
        <w:ind w:left="17" w:leftChars="8" w:firstLine="212" w:firstLineChars="101"/>
        <w:rPr>
          <w:rFonts w:ascii="宋体" w:hAnsi="宋体" w:cs="宋体"/>
          <w:szCs w:val="21"/>
          <w:highlight w:val="none"/>
        </w:rPr>
      </w:pPr>
      <w:r>
        <w:rPr>
          <w:rFonts w:hint="eastAsia" w:ascii="宋体" w:hAnsi="宋体"/>
          <w:kern w:val="0"/>
          <w:szCs w:val="21"/>
          <w:highlight w:val="none"/>
        </w:rPr>
        <w:t>*2.18.</w:t>
      </w:r>
      <w:r>
        <w:rPr>
          <w:rFonts w:hint="eastAsia" w:ascii="宋体" w:hAnsi="宋体" w:cs="宋体"/>
          <w:szCs w:val="21"/>
          <w:highlight w:val="none"/>
        </w:rPr>
        <w:t>提供给</w:t>
      </w:r>
      <w:r>
        <w:rPr>
          <w:rFonts w:hint="eastAsia" w:ascii="宋体" w:hAnsi="宋体" w:cs="宋体"/>
          <w:szCs w:val="21"/>
          <w:highlight w:val="none"/>
          <w:lang w:eastAsia="zh-CN"/>
        </w:rPr>
        <w:t>使用</w:t>
      </w:r>
      <w:r>
        <w:rPr>
          <w:rFonts w:hint="eastAsia" w:ascii="宋体" w:hAnsi="宋体" w:cs="宋体"/>
          <w:szCs w:val="21"/>
          <w:highlight w:val="none"/>
        </w:rPr>
        <w:t>方中文电子版变频器及控制说明书。</w:t>
      </w:r>
    </w:p>
    <w:p>
      <w:pPr>
        <w:adjustRightInd w:val="0"/>
        <w:snapToGrid w:val="0"/>
        <w:spacing w:line="360" w:lineRule="auto"/>
        <w:ind w:left="17" w:leftChars="8" w:firstLine="212" w:firstLineChars="101"/>
        <w:rPr>
          <w:rFonts w:ascii="宋体" w:hAnsi="宋体"/>
          <w:kern w:val="0"/>
          <w:szCs w:val="21"/>
          <w:highlight w:val="none"/>
        </w:rPr>
      </w:pPr>
      <w:r>
        <w:rPr>
          <w:rFonts w:hint="eastAsia" w:ascii="宋体" w:hAnsi="宋体"/>
          <w:szCs w:val="21"/>
          <w:highlight w:val="none"/>
        </w:rPr>
        <w:t>*</w:t>
      </w:r>
      <w:r>
        <w:rPr>
          <w:rFonts w:hint="eastAsia" w:ascii="宋体" w:hAnsi="宋体" w:cs="宋体"/>
          <w:szCs w:val="21"/>
          <w:highlight w:val="none"/>
        </w:rPr>
        <w:t>2.19.</w:t>
      </w:r>
      <w:r>
        <w:rPr>
          <w:rFonts w:hint="eastAsia" w:ascii="宋体" w:hAnsi="宋体"/>
          <w:kern w:val="0"/>
          <w:szCs w:val="21"/>
          <w:highlight w:val="none"/>
        </w:rPr>
        <w:t>标配控制面板,全中文显示。</w:t>
      </w:r>
      <w:r>
        <w:rPr>
          <w:rFonts w:hint="eastAsia" w:ascii="宋体" w:hAnsi="宋体" w:cs="宋体"/>
          <w:szCs w:val="21"/>
          <w:highlight w:val="none"/>
        </w:rPr>
        <w:t>显示界面为液晶显示屏，能够显示变频器运行信息、故障信息、状态信息等。整机状态如：带速、启动时间、变频器状态及参数，以上信息应显示明确，简洁易懂。</w:t>
      </w:r>
    </w:p>
    <w:p>
      <w:pPr>
        <w:spacing w:line="360" w:lineRule="auto"/>
        <w:ind w:left="17" w:leftChars="8" w:firstLine="212" w:firstLineChars="101"/>
        <w:jc w:val="left"/>
        <w:rPr>
          <w:rFonts w:ascii="宋体" w:hAnsi="宋体" w:cs="宋体"/>
          <w:szCs w:val="21"/>
          <w:highlight w:val="none"/>
        </w:rPr>
      </w:pPr>
      <w:r>
        <w:rPr>
          <w:rFonts w:hint="eastAsia" w:ascii="宋体" w:hAnsi="宋体" w:cs="宋体"/>
          <w:szCs w:val="21"/>
          <w:highlight w:val="none"/>
        </w:rPr>
        <w:t>2.20.键盘设计：可方便的对设备进行参数设置；具有启动、停止、紧急停车等按钮；</w:t>
      </w:r>
    </w:p>
    <w:p>
      <w:pPr>
        <w:spacing w:line="360" w:lineRule="auto"/>
        <w:ind w:left="17" w:leftChars="8" w:firstLine="212" w:firstLineChars="101"/>
        <w:jc w:val="left"/>
        <w:rPr>
          <w:rFonts w:ascii="宋体" w:hAnsi="宋体"/>
          <w:szCs w:val="21"/>
          <w:highlight w:val="none"/>
        </w:rPr>
      </w:pPr>
      <w:r>
        <w:rPr>
          <w:rFonts w:ascii="宋体" w:hAnsi="宋体"/>
          <w:szCs w:val="21"/>
          <w:highlight w:val="none"/>
        </w:rPr>
        <w:t>2.</w:t>
      </w:r>
      <w:r>
        <w:rPr>
          <w:rFonts w:hint="eastAsia" w:ascii="宋体" w:hAnsi="宋体"/>
          <w:szCs w:val="21"/>
          <w:highlight w:val="none"/>
        </w:rPr>
        <w:t>21.远控技术要求</w:t>
      </w:r>
    </w:p>
    <w:p>
      <w:pPr>
        <w:adjustRightInd w:val="0"/>
        <w:snapToGrid w:val="0"/>
        <w:spacing w:line="360" w:lineRule="auto"/>
        <w:ind w:left="17" w:leftChars="8" w:firstLine="212" w:firstLineChars="101"/>
        <w:rPr>
          <w:rFonts w:ascii="宋体" w:hAnsi="宋体"/>
          <w:kern w:val="0"/>
          <w:szCs w:val="21"/>
          <w:highlight w:val="none"/>
        </w:rPr>
      </w:pPr>
      <w:r>
        <w:rPr>
          <w:rFonts w:hint="eastAsia" w:ascii="宋体" w:hAnsi="宋体"/>
          <w:kern w:val="0"/>
          <w:szCs w:val="21"/>
          <w:highlight w:val="none"/>
        </w:rPr>
        <w:t>2.21.1.控制选用工业级网络，易于与在用的自动化系统接口。操作员终端上对输出电流、电压、速度及负载等数据进行实时显示。</w:t>
      </w:r>
    </w:p>
    <w:p>
      <w:pPr>
        <w:spacing w:line="360" w:lineRule="auto"/>
        <w:ind w:left="17" w:leftChars="8" w:firstLine="212" w:firstLineChars="101"/>
        <w:jc w:val="left"/>
        <w:rPr>
          <w:rFonts w:ascii="宋体" w:hAnsi="宋体"/>
          <w:szCs w:val="21"/>
          <w:highlight w:val="none"/>
        </w:rPr>
      </w:pPr>
      <w:r>
        <w:rPr>
          <w:rFonts w:ascii="宋体" w:hAnsi="宋体"/>
          <w:szCs w:val="21"/>
          <w:highlight w:val="none"/>
        </w:rPr>
        <w:t>2.</w:t>
      </w:r>
      <w:r>
        <w:rPr>
          <w:rFonts w:hint="eastAsia" w:ascii="宋体" w:hAnsi="宋体"/>
          <w:szCs w:val="21"/>
          <w:highlight w:val="none"/>
        </w:rPr>
        <w:t>21</w:t>
      </w:r>
      <w:r>
        <w:rPr>
          <w:rFonts w:ascii="宋体" w:hAnsi="宋体"/>
          <w:szCs w:val="21"/>
          <w:highlight w:val="none"/>
        </w:rPr>
        <w:t>.</w:t>
      </w:r>
      <w:r>
        <w:rPr>
          <w:rFonts w:hint="eastAsia" w:ascii="宋体" w:hAnsi="宋体"/>
          <w:szCs w:val="21"/>
          <w:highlight w:val="none"/>
        </w:rPr>
        <w:t>2.为实现自动化工作面的集中控制，供货方必须向神东及神东指定的第三方提供设备数据接口的开放，能与选煤厂自动化系统汇接，能将各设备运行参数传输到控制中心，并能接受控制中心指令，实现设备的三遥（遥控、遥测、遥信）。</w:t>
      </w:r>
    </w:p>
    <w:p>
      <w:pPr>
        <w:spacing w:line="360" w:lineRule="auto"/>
        <w:ind w:left="17" w:leftChars="8" w:firstLine="212" w:firstLineChars="101"/>
        <w:jc w:val="left"/>
        <w:rPr>
          <w:rFonts w:ascii="宋体" w:hAnsi="宋体"/>
          <w:szCs w:val="21"/>
          <w:highlight w:val="none"/>
        </w:rPr>
      </w:pPr>
      <w:r>
        <w:rPr>
          <w:rFonts w:ascii="宋体" w:hAnsi="宋体"/>
          <w:szCs w:val="21"/>
          <w:highlight w:val="none"/>
        </w:rPr>
        <w:t>2.</w:t>
      </w:r>
      <w:r>
        <w:rPr>
          <w:rFonts w:hint="eastAsia" w:ascii="宋体" w:hAnsi="宋体"/>
          <w:szCs w:val="21"/>
          <w:highlight w:val="none"/>
        </w:rPr>
        <w:t>21</w:t>
      </w:r>
      <w:r>
        <w:rPr>
          <w:rFonts w:ascii="宋体" w:hAnsi="宋体"/>
          <w:szCs w:val="21"/>
          <w:highlight w:val="none"/>
        </w:rPr>
        <w:t>.</w:t>
      </w:r>
      <w:r>
        <w:rPr>
          <w:rFonts w:hint="eastAsia" w:ascii="宋体" w:hAnsi="宋体"/>
          <w:szCs w:val="21"/>
          <w:highlight w:val="none"/>
          <w:lang w:val="en-US" w:eastAsia="zh-CN"/>
        </w:rPr>
        <w:t>3</w:t>
      </w:r>
      <w:r>
        <w:rPr>
          <w:rFonts w:hint="eastAsia" w:ascii="宋体" w:hAnsi="宋体"/>
          <w:szCs w:val="21"/>
          <w:highlight w:val="none"/>
        </w:rPr>
        <w:t>.远程控制和就地控制转换开关具有联锁功能，只有转换开关在远控位置时，方可进行远程操作。</w:t>
      </w:r>
    </w:p>
    <w:p>
      <w:pPr>
        <w:spacing w:line="360" w:lineRule="auto"/>
        <w:ind w:left="17" w:leftChars="8" w:firstLine="212" w:firstLineChars="101"/>
        <w:jc w:val="left"/>
        <w:rPr>
          <w:rFonts w:ascii="宋体" w:hAnsi="宋体" w:cs="宋体"/>
          <w:szCs w:val="21"/>
          <w:highlight w:val="none"/>
        </w:rPr>
      </w:pPr>
      <w:r>
        <w:rPr>
          <w:rFonts w:hint="eastAsia" w:ascii="宋体" w:hAnsi="宋体" w:cs="宋体"/>
          <w:szCs w:val="21"/>
          <w:highlight w:val="none"/>
        </w:rPr>
        <w:t>2.21.</w:t>
      </w:r>
      <w:r>
        <w:rPr>
          <w:rFonts w:hint="eastAsia" w:ascii="宋体" w:hAnsi="宋体" w:cs="宋体"/>
          <w:szCs w:val="21"/>
          <w:highlight w:val="none"/>
          <w:lang w:val="en-US" w:eastAsia="zh-CN"/>
        </w:rPr>
        <w:t>4</w:t>
      </w:r>
      <w:r>
        <w:rPr>
          <w:rFonts w:hint="eastAsia" w:ascii="宋体" w:hAnsi="宋体" w:cs="宋体"/>
          <w:szCs w:val="21"/>
          <w:highlight w:val="none"/>
        </w:rPr>
        <w:t>.可在调度室远程对变频器进行设置、操作、急停；可远程进行程序修改、调试、数据上传。</w:t>
      </w:r>
    </w:p>
    <w:p>
      <w:pPr>
        <w:adjustRightInd w:val="0"/>
        <w:snapToGrid w:val="0"/>
        <w:spacing w:line="360" w:lineRule="auto"/>
        <w:ind w:left="17" w:leftChars="8" w:firstLine="212" w:firstLineChars="101"/>
        <w:rPr>
          <w:rFonts w:ascii="宋体" w:hAnsi="宋体"/>
          <w:szCs w:val="21"/>
          <w:highlight w:val="none"/>
        </w:rPr>
      </w:pPr>
      <w:r>
        <w:rPr>
          <w:rFonts w:hint="eastAsia" w:ascii="宋体" w:hAnsi="宋体" w:cs="宋体"/>
          <w:szCs w:val="21"/>
          <w:highlight w:val="none"/>
        </w:rPr>
        <w:t>2.21.</w:t>
      </w:r>
      <w:r>
        <w:rPr>
          <w:rFonts w:hint="eastAsia" w:ascii="宋体" w:hAnsi="宋体" w:cs="宋体"/>
          <w:szCs w:val="21"/>
          <w:highlight w:val="none"/>
          <w:lang w:val="en-US" w:eastAsia="zh-CN"/>
        </w:rPr>
        <w:t>5</w:t>
      </w:r>
      <w:r>
        <w:rPr>
          <w:rFonts w:hint="eastAsia" w:ascii="宋体" w:hAnsi="宋体"/>
          <w:szCs w:val="21"/>
          <w:highlight w:val="none"/>
        </w:rPr>
        <w:t>.壳体外部有程序下载接口，避免在打开变频器壳体下载及调试程序。</w:t>
      </w:r>
    </w:p>
    <w:p>
      <w:pPr>
        <w:adjustRightInd w:val="0"/>
        <w:snapToGrid w:val="0"/>
        <w:spacing w:line="360" w:lineRule="auto"/>
        <w:ind w:left="17" w:leftChars="8" w:firstLine="212" w:firstLineChars="101"/>
        <w:rPr>
          <w:rFonts w:ascii="宋体" w:hAnsi="宋体"/>
          <w:szCs w:val="21"/>
          <w:highlight w:val="none"/>
        </w:rPr>
      </w:pPr>
      <w:r>
        <w:rPr>
          <w:rFonts w:hint="eastAsia" w:ascii="宋体" w:hAnsi="宋体" w:cs="宋体"/>
          <w:szCs w:val="21"/>
          <w:highlight w:val="none"/>
        </w:rPr>
        <w:t>2.21.</w:t>
      </w:r>
      <w:r>
        <w:rPr>
          <w:rFonts w:hint="eastAsia" w:ascii="宋体" w:hAnsi="宋体" w:cs="宋体"/>
          <w:szCs w:val="21"/>
          <w:highlight w:val="none"/>
          <w:lang w:val="en-US" w:eastAsia="zh-CN"/>
        </w:rPr>
        <w:t>6</w:t>
      </w:r>
      <w:r>
        <w:rPr>
          <w:rFonts w:hint="eastAsia" w:ascii="宋体" w:hAnsi="宋体"/>
          <w:szCs w:val="21"/>
          <w:highlight w:val="none"/>
        </w:rPr>
        <w:t>.具有记忆功能，记录三个月的运行数据；</w:t>
      </w:r>
      <w:r>
        <w:rPr>
          <w:rFonts w:hint="eastAsia" w:ascii="宋体" w:hAnsi="宋体" w:cs="宋体"/>
          <w:szCs w:val="21"/>
          <w:highlight w:val="none"/>
        </w:rPr>
        <w:t>主电源断电恢复后，变频器原设定参数以及外部检测的相关数据保持记忆，且可在上电后调用相关数据（有记忆功能记住上一次停机状态）。</w:t>
      </w:r>
    </w:p>
    <w:p>
      <w:pPr>
        <w:spacing w:line="360" w:lineRule="auto"/>
        <w:ind w:left="17" w:leftChars="8" w:firstLine="212" w:firstLineChars="101"/>
        <w:jc w:val="left"/>
        <w:rPr>
          <w:rFonts w:ascii="宋体" w:hAnsi="宋体" w:cs="宋体"/>
          <w:szCs w:val="21"/>
          <w:highlight w:val="none"/>
        </w:rPr>
      </w:pPr>
      <w:r>
        <w:rPr>
          <w:rFonts w:hint="eastAsia" w:ascii="宋体" w:hAnsi="宋体" w:cs="宋体"/>
          <w:szCs w:val="21"/>
          <w:highlight w:val="none"/>
        </w:rPr>
        <w:t>2.22.变频器的故障自诊断功能：变频器具有开机自检功能，可以方便的诊断出当前状态是否正常，并能在显示屏上显示故障代码、故障信息；具有自诊断功能，运行可靠，结构简单。</w:t>
      </w:r>
    </w:p>
    <w:p>
      <w:pPr>
        <w:spacing w:line="360" w:lineRule="auto"/>
        <w:ind w:left="17" w:leftChars="8" w:firstLine="212" w:firstLineChars="101"/>
        <w:jc w:val="left"/>
        <w:rPr>
          <w:rFonts w:ascii="宋体" w:hAnsi="宋体" w:cs="宋体"/>
          <w:szCs w:val="21"/>
          <w:highlight w:val="none"/>
        </w:rPr>
      </w:pPr>
      <w:r>
        <w:rPr>
          <w:rFonts w:hint="eastAsia" w:ascii="宋体" w:hAnsi="宋体" w:cs="宋体"/>
          <w:szCs w:val="21"/>
          <w:highlight w:val="none"/>
        </w:rPr>
        <w:t>2.23.变频器对电网电压波动应有极强的适应能力，在±10%额定电压波动范围内能满载输出。</w:t>
      </w:r>
    </w:p>
    <w:p>
      <w:pPr>
        <w:spacing w:line="360" w:lineRule="auto"/>
        <w:ind w:left="17" w:leftChars="8" w:firstLine="212" w:firstLineChars="101"/>
        <w:jc w:val="left"/>
        <w:rPr>
          <w:rFonts w:ascii="宋体" w:hAnsi="宋体" w:cs="宋体"/>
          <w:szCs w:val="21"/>
          <w:highlight w:val="none"/>
        </w:rPr>
      </w:pPr>
      <w:r>
        <w:rPr>
          <w:rFonts w:hint="eastAsia" w:ascii="宋体" w:hAnsi="宋体" w:cs="宋体"/>
          <w:szCs w:val="21"/>
          <w:highlight w:val="none"/>
        </w:rPr>
        <w:t>2.24.变频器的频率调节精度0.01Hz，稳定精度0.5％。</w:t>
      </w:r>
    </w:p>
    <w:p>
      <w:pPr>
        <w:spacing w:line="360" w:lineRule="auto"/>
        <w:ind w:left="17" w:leftChars="8" w:firstLine="212" w:firstLineChars="101"/>
        <w:jc w:val="left"/>
        <w:rPr>
          <w:rFonts w:ascii="宋体" w:hAnsi="宋体" w:cs="宋体"/>
          <w:szCs w:val="21"/>
          <w:highlight w:val="none"/>
        </w:rPr>
      </w:pPr>
      <w:r>
        <w:rPr>
          <w:rFonts w:hint="eastAsia" w:ascii="宋体" w:hAnsi="宋体" w:cs="宋体"/>
          <w:szCs w:val="21"/>
          <w:highlight w:val="none"/>
        </w:rPr>
        <w:t>2.25.变频器可提供电机过载的反时限保护功能，根据电流变化率进行保护，电流上升越快，保护时间越短，电流达到额定电流的1.5倍运行即保护停机，电流达到额定电流1.2倍运行10分钟保护。</w:t>
      </w:r>
    </w:p>
    <w:p>
      <w:pPr>
        <w:spacing w:line="360" w:lineRule="auto"/>
        <w:ind w:left="17" w:leftChars="8" w:firstLine="212" w:firstLineChars="101"/>
        <w:jc w:val="left"/>
        <w:rPr>
          <w:rFonts w:ascii="宋体" w:hAnsi="宋体"/>
          <w:szCs w:val="21"/>
          <w:highlight w:val="none"/>
        </w:rPr>
      </w:pPr>
      <w:r>
        <w:rPr>
          <w:rFonts w:hint="eastAsia" w:ascii="宋体" w:hAnsi="宋体" w:cs="宋体"/>
          <w:szCs w:val="21"/>
          <w:highlight w:val="none"/>
        </w:rPr>
        <w:t>2.26.具有直流母线放电功能，前级电源断电后能可靠的对直流母线进行放电，放电时间符合国标要求。</w:t>
      </w:r>
    </w:p>
    <w:p>
      <w:pPr>
        <w:adjustRightInd w:val="0"/>
        <w:snapToGrid w:val="0"/>
        <w:spacing w:line="360" w:lineRule="auto"/>
        <w:ind w:left="17" w:leftChars="8" w:firstLine="212" w:firstLineChars="101"/>
        <w:rPr>
          <w:rFonts w:ascii="宋体" w:hAnsi="宋体"/>
          <w:szCs w:val="21"/>
          <w:highlight w:val="none"/>
        </w:rPr>
      </w:pPr>
      <w:r>
        <w:rPr>
          <w:rFonts w:hint="eastAsia" w:ascii="宋体" w:hAnsi="宋体"/>
          <w:szCs w:val="21"/>
          <w:highlight w:val="none"/>
        </w:rPr>
        <w:t>2.2</w:t>
      </w:r>
      <w:r>
        <w:rPr>
          <w:rFonts w:hint="eastAsia" w:ascii="宋体" w:hAnsi="宋体"/>
          <w:szCs w:val="21"/>
          <w:highlight w:val="none"/>
          <w:lang w:val="en-US" w:eastAsia="zh-CN"/>
        </w:rPr>
        <w:t>7</w:t>
      </w:r>
      <w:r>
        <w:rPr>
          <w:rFonts w:hint="eastAsia" w:ascii="宋体" w:hAnsi="宋体"/>
          <w:szCs w:val="21"/>
          <w:highlight w:val="none"/>
        </w:rPr>
        <w:t>.产品符合相关的国家标准和其他有关行业标准。</w:t>
      </w:r>
    </w:p>
    <w:p>
      <w:pPr>
        <w:spacing w:line="360" w:lineRule="auto"/>
        <w:ind w:left="17" w:leftChars="8" w:firstLine="212" w:firstLineChars="101"/>
        <w:jc w:val="left"/>
        <w:rPr>
          <w:rFonts w:ascii="宋体" w:hAnsi="宋体" w:cs="宋体"/>
          <w:szCs w:val="21"/>
          <w:highlight w:val="none"/>
        </w:rPr>
      </w:pPr>
      <w:r>
        <w:rPr>
          <w:rFonts w:hint="eastAsia" w:ascii="宋体" w:hAnsi="宋体" w:cs="宋体"/>
          <w:szCs w:val="21"/>
          <w:highlight w:val="none"/>
        </w:rPr>
        <w:t>2.2</w:t>
      </w:r>
      <w:r>
        <w:rPr>
          <w:rFonts w:hint="eastAsia" w:ascii="宋体" w:hAnsi="宋体" w:cs="宋体"/>
          <w:szCs w:val="21"/>
          <w:highlight w:val="none"/>
          <w:lang w:val="en-US" w:eastAsia="zh-CN"/>
        </w:rPr>
        <w:t>8</w:t>
      </w:r>
      <w:r>
        <w:rPr>
          <w:rFonts w:hint="eastAsia" w:ascii="宋体" w:hAnsi="宋体" w:cs="宋体"/>
          <w:szCs w:val="21"/>
          <w:highlight w:val="none"/>
        </w:rPr>
        <w:t>.</w:t>
      </w:r>
      <w:r>
        <w:rPr>
          <w:rFonts w:hint="eastAsia" w:ascii="宋体" w:hAnsi="宋体"/>
          <w:szCs w:val="21"/>
          <w:highlight w:val="none"/>
        </w:rPr>
        <w:t>具有输入电抗器及滤波器，有效降低电网污染。</w:t>
      </w:r>
    </w:p>
    <w:p>
      <w:pPr>
        <w:spacing w:line="360" w:lineRule="auto"/>
        <w:ind w:left="17" w:leftChars="8" w:firstLine="212" w:firstLineChars="101"/>
        <w:jc w:val="left"/>
        <w:rPr>
          <w:rFonts w:ascii="宋体" w:hAnsi="宋体" w:cs="宋体"/>
          <w:szCs w:val="21"/>
          <w:highlight w:val="none"/>
        </w:rPr>
      </w:pPr>
      <w:r>
        <w:rPr>
          <w:rFonts w:hint="eastAsia" w:ascii="宋体" w:hAnsi="宋体" w:cs="宋体"/>
          <w:szCs w:val="21"/>
          <w:highlight w:val="none"/>
        </w:rPr>
        <w:t>2.</w:t>
      </w:r>
      <w:r>
        <w:rPr>
          <w:rFonts w:hint="eastAsia" w:ascii="宋体" w:hAnsi="宋体" w:cs="宋体"/>
          <w:szCs w:val="21"/>
          <w:highlight w:val="none"/>
          <w:lang w:val="en-US" w:eastAsia="zh-CN"/>
        </w:rPr>
        <w:t>29</w:t>
      </w:r>
      <w:r>
        <w:rPr>
          <w:rFonts w:hint="eastAsia" w:ascii="宋体" w:hAnsi="宋体" w:cs="宋体"/>
          <w:szCs w:val="21"/>
          <w:highlight w:val="none"/>
        </w:rPr>
        <w:t>.采用直接转矩控制方式（DTC）或矢量控制方式（SVC），转矩和速度控制精确平滑。</w:t>
      </w:r>
    </w:p>
    <w:p>
      <w:pPr>
        <w:spacing w:line="360" w:lineRule="auto"/>
        <w:ind w:left="17" w:leftChars="8" w:firstLine="212" w:firstLineChars="101"/>
        <w:jc w:val="left"/>
        <w:rPr>
          <w:rFonts w:hint="eastAsia" w:ascii="宋体" w:hAnsi="宋体" w:cs="宋体"/>
          <w:szCs w:val="21"/>
          <w:highlight w:val="none"/>
        </w:rPr>
      </w:pPr>
      <w:r>
        <w:rPr>
          <w:rFonts w:hint="eastAsia" w:ascii="宋体" w:hAnsi="宋体" w:cs="宋体"/>
          <w:szCs w:val="21"/>
          <w:highlight w:val="none"/>
        </w:rPr>
        <w:t>2.3</w:t>
      </w:r>
      <w:r>
        <w:rPr>
          <w:rFonts w:hint="eastAsia" w:ascii="宋体" w:hAnsi="宋体" w:cs="宋体"/>
          <w:szCs w:val="21"/>
          <w:highlight w:val="none"/>
          <w:lang w:val="en-US" w:eastAsia="zh-CN"/>
        </w:rPr>
        <w:t>0</w:t>
      </w:r>
      <w:r>
        <w:rPr>
          <w:rFonts w:hint="eastAsia" w:ascii="宋体" w:hAnsi="宋体" w:cs="宋体"/>
          <w:szCs w:val="21"/>
          <w:highlight w:val="none"/>
        </w:rPr>
        <w:t xml:space="preserve">.具有软停机功能，停机时间可控，停机时采用减速停机。 </w:t>
      </w:r>
    </w:p>
    <w:p>
      <w:pPr>
        <w:adjustRightInd w:val="0"/>
        <w:snapToGrid w:val="0"/>
        <w:spacing w:line="360" w:lineRule="auto"/>
        <w:rPr>
          <w:rFonts w:ascii="宋体" w:hAnsi="宋体"/>
          <w:szCs w:val="21"/>
          <w:highlight w:val="none"/>
        </w:rPr>
      </w:pPr>
      <w:r>
        <w:rPr>
          <w:rFonts w:hint="eastAsia" w:ascii="宋体" w:hAnsi="宋体"/>
          <w:szCs w:val="21"/>
          <w:highlight w:val="none"/>
        </w:rPr>
        <w:t>3．安全技术要求</w:t>
      </w:r>
    </w:p>
    <w:p>
      <w:pPr>
        <w:adjustRightInd w:val="0"/>
        <w:snapToGrid w:val="0"/>
        <w:spacing w:line="360" w:lineRule="auto"/>
        <w:ind w:left="707" w:leftChars="135" w:hanging="424" w:hangingChars="202"/>
        <w:rPr>
          <w:rFonts w:ascii="宋体" w:hAnsi="宋体"/>
          <w:szCs w:val="21"/>
          <w:highlight w:val="none"/>
        </w:rPr>
      </w:pPr>
      <w:r>
        <w:rPr>
          <w:rFonts w:hint="eastAsia" w:ascii="宋体" w:hAnsi="宋体"/>
          <w:szCs w:val="21"/>
          <w:highlight w:val="none"/>
        </w:rPr>
        <w:t>3.1.安全、电磁兼容质量符合行业规定要求。</w:t>
      </w:r>
    </w:p>
    <w:p>
      <w:pPr>
        <w:adjustRightInd w:val="0"/>
        <w:snapToGrid w:val="0"/>
        <w:spacing w:line="360" w:lineRule="auto"/>
        <w:ind w:left="707" w:leftChars="135" w:hanging="424" w:hangingChars="202"/>
        <w:rPr>
          <w:rFonts w:ascii="宋体" w:hAnsi="宋体"/>
          <w:szCs w:val="21"/>
          <w:highlight w:val="none"/>
        </w:rPr>
      </w:pPr>
      <w:r>
        <w:rPr>
          <w:rFonts w:hint="eastAsia" w:ascii="宋体" w:hAnsi="宋体"/>
          <w:szCs w:val="21"/>
          <w:highlight w:val="none"/>
        </w:rPr>
        <w:t>3.2.</w:t>
      </w:r>
      <w:r>
        <w:rPr>
          <w:rFonts w:hint="eastAsia" w:ascii="宋体" w:hAnsi="宋体"/>
          <w:kern w:val="0"/>
          <w:szCs w:val="21"/>
          <w:highlight w:val="none"/>
        </w:rPr>
        <w:t>机壳、外接端子等可触及部分应做好防触电措施</w:t>
      </w:r>
      <w:r>
        <w:rPr>
          <w:rFonts w:hint="eastAsia" w:ascii="宋体" w:hAnsi="宋体"/>
          <w:szCs w:val="21"/>
          <w:highlight w:val="none"/>
        </w:rPr>
        <w:t>。</w:t>
      </w:r>
    </w:p>
    <w:p>
      <w:pPr>
        <w:adjustRightInd w:val="0"/>
        <w:snapToGrid w:val="0"/>
        <w:spacing w:line="360" w:lineRule="auto"/>
        <w:ind w:left="705" w:leftChars="134" w:hanging="424" w:hangingChars="202"/>
        <w:rPr>
          <w:rFonts w:ascii="宋体" w:hAnsi="宋体"/>
          <w:spacing w:val="-5"/>
          <w:kern w:val="0"/>
          <w:szCs w:val="21"/>
          <w:highlight w:val="none"/>
        </w:rPr>
      </w:pPr>
      <w:r>
        <w:rPr>
          <w:rFonts w:hint="eastAsia" w:ascii="宋体" w:hAnsi="宋体"/>
          <w:szCs w:val="21"/>
          <w:highlight w:val="none"/>
        </w:rPr>
        <w:t>3.3.各种安全标识、标记正确。</w:t>
      </w:r>
    </w:p>
    <w:p>
      <w:pPr>
        <w:adjustRightInd w:val="0"/>
        <w:snapToGrid w:val="0"/>
        <w:spacing w:line="360" w:lineRule="auto"/>
        <w:ind w:left="685" w:leftChars="134" w:hanging="404" w:hangingChars="202"/>
        <w:rPr>
          <w:rFonts w:ascii="宋体" w:hAnsi="宋体"/>
          <w:spacing w:val="-5"/>
          <w:kern w:val="0"/>
          <w:szCs w:val="21"/>
          <w:highlight w:val="none"/>
        </w:rPr>
      </w:pPr>
      <w:r>
        <w:rPr>
          <w:rFonts w:hint="eastAsia" w:ascii="宋体" w:hAnsi="宋体"/>
          <w:spacing w:val="-5"/>
          <w:kern w:val="0"/>
          <w:szCs w:val="21"/>
          <w:highlight w:val="none"/>
        </w:rPr>
        <w:t>3.4.提供</w:t>
      </w:r>
      <w:r>
        <w:rPr>
          <w:rFonts w:hint="eastAsia" w:ascii="宋体" w:hAnsi="宋体"/>
          <w:spacing w:val="-5"/>
          <w:kern w:val="0"/>
          <w:szCs w:val="21"/>
          <w:highlight w:val="none"/>
          <w:lang w:eastAsia="zh-CN"/>
        </w:rPr>
        <w:t>所供产品</w:t>
      </w:r>
      <w:r>
        <w:rPr>
          <w:rFonts w:hint="eastAsia" w:ascii="宋体" w:hAnsi="宋体"/>
          <w:spacing w:val="-5"/>
          <w:kern w:val="0"/>
          <w:szCs w:val="21"/>
          <w:highlight w:val="none"/>
        </w:rPr>
        <w:t>运行的限度数据、报警与安全措施。</w:t>
      </w:r>
    </w:p>
    <w:p>
      <w:pPr>
        <w:adjustRightInd w:val="0"/>
        <w:snapToGrid w:val="0"/>
        <w:spacing w:line="360" w:lineRule="auto"/>
        <w:rPr>
          <w:rFonts w:ascii="宋体" w:hAnsi="宋体"/>
          <w:szCs w:val="21"/>
          <w:highlight w:val="none"/>
        </w:rPr>
      </w:pPr>
      <w:r>
        <w:rPr>
          <w:rFonts w:hint="eastAsia" w:ascii="宋体" w:hAnsi="宋体"/>
          <w:szCs w:val="21"/>
          <w:highlight w:val="none"/>
        </w:rPr>
        <w:t>4.招标人提出的</w:t>
      </w:r>
      <w:r>
        <w:rPr>
          <w:rFonts w:hint="eastAsia" w:ascii="宋体" w:hAnsi="宋体"/>
          <w:szCs w:val="21"/>
          <w:highlight w:val="none"/>
          <w:lang w:eastAsia="zh-CN"/>
        </w:rPr>
        <w:t>其它</w:t>
      </w:r>
      <w:r>
        <w:rPr>
          <w:rFonts w:hint="eastAsia" w:ascii="宋体" w:hAnsi="宋体"/>
          <w:szCs w:val="21"/>
          <w:highlight w:val="none"/>
        </w:rPr>
        <w:t>技术要求</w:t>
      </w:r>
    </w:p>
    <w:p>
      <w:pPr>
        <w:spacing w:line="360" w:lineRule="auto"/>
        <w:ind w:left="0" w:leftChars="0" w:firstLine="218" w:firstLineChars="104"/>
        <w:jc w:val="left"/>
        <w:rPr>
          <w:rFonts w:ascii="宋体" w:hAnsi="宋体" w:cs="宋体"/>
          <w:szCs w:val="21"/>
          <w:highlight w:val="none"/>
        </w:rPr>
      </w:pPr>
      <w:r>
        <w:rPr>
          <w:rFonts w:hint="eastAsia" w:ascii="宋体" w:hAnsi="宋体" w:cs="宋体"/>
          <w:szCs w:val="21"/>
          <w:highlight w:val="none"/>
        </w:rPr>
        <w:t>4.1.投标产品必须满足相关的最新国家和行业标准要求，招标技术要求中相关条款指标高于国家行业要求的，按照招标文件要求条款执行。</w:t>
      </w:r>
    </w:p>
    <w:p>
      <w:pPr>
        <w:spacing w:line="360" w:lineRule="auto"/>
        <w:ind w:left="0" w:leftChars="0" w:firstLine="218" w:firstLineChars="104"/>
        <w:jc w:val="left"/>
        <w:rPr>
          <w:rFonts w:ascii="宋体" w:hAnsi="宋体" w:cs="宋体"/>
          <w:szCs w:val="21"/>
          <w:highlight w:val="none"/>
        </w:rPr>
      </w:pPr>
      <w:r>
        <w:rPr>
          <w:rFonts w:hint="eastAsia" w:ascii="宋体" w:hAnsi="宋体" w:cs="宋体"/>
          <w:szCs w:val="21"/>
          <w:highlight w:val="none"/>
        </w:rPr>
        <w:t>4.2.未说明事项必须符合国家相关标准。</w:t>
      </w:r>
    </w:p>
    <w:p>
      <w:pPr>
        <w:spacing w:line="360" w:lineRule="auto"/>
        <w:ind w:left="0" w:leftChars="0" w:firstLine="218" w:firstLineChars="104"/>
        <w:jc w:val="left"/>
        <w:rPr>
          <w:rFonts w:ascii="宋体" w:hAnsi="宋体" w:cs="宋体"/>
          <w:szCs w:val="21"/>
          <w:highlight w:val="none"/>
        </w:rPr>
      </w:pPr>
      <w:r>
        <w:rPr>
          <w:rFonts w:hint="eastAsia" w:ascii="宋体" w:hAnsi="宋体" w:cs="宋体"/>
          <w:szCs w:val="21"/>
          <w:highlight w:val="none"/>
        </w:rPr>
        <w:t>4.3.投标厂家必须对标书的星号技术条款逐条解释并满足要求。</w:t>
      </w:r>
    </w:p>
    <w:p>
      <w:pPr>
        <w:spacing w:line="360" w:lineRule="auto"/>
        <w:ind w:left="0" w:leftChars="0" w:firstLine="218" w:firstLineChars="104"/>
        <w:jc w:val="left"/>
        <w:rPr>
          <w:rFonts w:ascii="宋体" w:hAnsi="宋体" w:cs="宋体"/>
          <w:szCs w:val="21"/>
          <w:highlight w:val="none"/>
        </w:rPr>
      </w:pPr>
      <w:r>
        <w:rPr>
          <w:rFonts w:hint="eastAsia" w:ascii="宋体" w:hAnsi="宋体" w:cs="宋体"/>
          <w:szCs w:val="21"/>
          <w:highlight w:val="none"/>
        </w:rPr>
        <w:t>4.4.</w:t>
      </w:r>
      <w:r>
        <w:rPr>
          <w:rFonts w:hint="eastAsia" w:ascii="宋体" w:hAnsi="宋体" w:cs="宋体"/>
          <w:szCs w:val="21"/>
          <w:highlight w:val="none"/>
          <w:lang w:val="en-US" w:eastAsia="zh-CN"/>
        </w:rPr>
        <w:t>中标</w:t>
      </w:r>
      <w:r>
        <w:rPr>
          <w:rFonts w:hint="eastAsia" w:ascii="宋体" w:hAnsi="宋体" w:cs="宋体"/>
          <w:szCs w:val="21"/>
          <w:highlight w:val="none"/>
          <w:lang w:val="zh-CN"/>
        </w:rPr>
        <w:t>厂家提供免费培训，</w:t>
      </w:r>
      <w:r>
        <w:rPr>
          <w:rFonts w:hint="eastAsia" w:ascii="宋体" w:hAnsi="宋体" w:cs="宋体"/>
          <w:szCs w:val="21"/>
          <w:highlight w:val="none"/>
          <w:lang w:val="en-US" w:eastAsia="zh-CN"/>
        </w:rPr>
        <w:t>免费</w:t>
      </w:r>
      <w:r>
        <w:rPr>
          <w:rFonts w:hint="eastAsia" w:ascii="宋体" w:hAnsi="宋体" w:cs="宋体"/>
          <w:szCs w:val="21"/>
          <w:highlight w:val="none"/>
          <w:lang w:val="zh-CN"/>
        </w:rPr>
        <w:t>现场指导安装,免费提供现场技术支持，与使用方沟通并提供安装使用方案</w:t>
      </w:r>
      <w:r>
        <w:rPr>
          <w:rFonts w:hint="eastAsia" w:ascii="宋体" w:hAnsi="宋体" w:cs="宋体"/>
          <w:szCs w:val="21"/>
          <w:highlight w:val="none"/>
        </w:rPr>
        <w:t>。</w:t>
      </w:r>
    </w:p>
    <w:p>
      <w:pPr>
        <w:spacing w:line="360" w:lineRule="auto"/>
        <w:ind w:left="0" w:leftChars="0" w:firstLine="218" w:firstLineChars="104"/>
        <w:jc w:val="left"/>
        <w:rPr>
          <w:rFonts w:hint="eastAsia" w:ascii="宋体" w:hAnsi="宋体" w:eastAsia="宋体" w:cs="宋体"/>
          <w:szCs w:val="21"/>
          <w:highlight w:val="none"/>
          <w:lang w:eastAsia="zh-CN"/>
        </w:rPr>
      </w:pPr>
      <w:r>
        <w:rPr>
          <w:rFonts w:hint="eastAsia" w:ascii="宋体" w:hAnsi="宋体" w:cs="宋体"/>
          <w:szCs w:val="21"/>
          <w:highlight w:val="none"/>
        </w:rPr>
        <w:t>*4</w:t>
      </w:r>
      <w:r>
        <w:rPr>
          <w:rFonts w:ascii="宋体" w:hAnsi="宋体" w:cs="宋体"/>
          <w:szCs w:val="21"/>
          <w:highlight w:val="none"/>
        </w:rPr>
        <w:t>.</w:t>
      </w:r>
      <w:r>
        <w:rPr>
          <w:rFonts w:hint="eastAsia" w:ascii="宋体" w:hAnsi="宋体" w:cs="宋体"/>
          <w:szCs w:val="21"/>
          <w:highlight w:val="none"/>
        </w:rPr>
        <w:t>5</w:t>
      </w:r>
      <w:r>
        <w:rPr>
          <w:rFonts w:ascii="宋体" w:hAnsi="宋体" w:cs="宋体"/>
          <w:szCs w:val="21"/>
          <w:highlight w:val="none"/>
        </w:rPr>
        <w:t>.</w:t>
      </w:r>
      <w:r>
        <w:rPr>
          <w:rFonts w:hint="eastAsia" w:ascii="宋体" w:hAnsi="宋体" w:cs="宋体"/>
          <w:szCs w:val="21"/>
          <w:highlight w:val="none"/>
        </w:rPr>
        <w:t>设备备件手册：</w:t>
      </w:r>
      <w:r>
        <w:rPr>
          <w:rFonts w:hint="eastAsia" w:ascii="宋体" w:hAnsi="宋体" w:cs="宋体"/>
          <w:szCs w:val="21"/>
          <w:highlight w:val="none"/>
          <w:lang w:val="en-US" w:eastAsia="zh-CN"/>
        </w:rPr>
        <w:t>中标方</w:t>
      </w:r>
      <w:r>
        <w:rPr>
          <w:rFonts w:hint="eastAsia" w:ascii="宋体" w:hAnsi="宋体" w:cs="宋体"/>
          <w:szCs w:val="21"/>
          <w:highlight w:val="none"/>
        </w:rPr>
        <w:t>在设备到货</w:t>
      </w:r>
      <w:r>
        <w:rPr>
          <w:rFonts w:hint="eastAsia" w:ascii="宋体" w:hAnsi="宋体" w:cs="宋体"/>
          <w:szCs w:val="21"/>
          <w:highlight w:val="none"/>
          <w:lang w:eastAsia="zh-CN"/>
        </w:rPr>
        <w:t>时</w:t>
      </w:r>
      <w:r>
        <w:rPr>
          <w:rFonts w:hint="eastAsia" w:ascii="宋体" w:hAnsi="宋体" w:cs="宋体"/>
          <w:szCs w:val="21"/>
          <w:highlight w:val="none"/>
          <w:lang w:val="en-US" w:eastAsia="zh-CN"/>
        </w:rPr>
        <w:t>附</w:t>
      </w:r>
      <w:r>
        <w:rPr>
          <w:rFonts w:hint="eastAsia" w:ascii="宋体" w:hAnsi="宋体" w:cs="宋体"/>
          <w:szCs w:val="21"/>
          <w:highlight w:val="none"/>
        </w:rPr>
        <w:t>设备备件手册。要求手册必须列出所有设备拆解到最小零件的图示，同时标明零件名称、件号、规格型号、单位、数量、采购号（如果存在）。电气控制原理图必须全面清晰，所有元件表示清楚准确。</w:t>
      </w:r>
    </w:p>
    <w:p>
      <w:pPr>
        <w:spacing w:line="360" w:lineRule="auto"/>
        <w:ind w:left="0" w:leftChars="0" w:firstLine="218" w:firstLineChars="104"/>
        <w:jc w:val="left"/>
        <w:rPr>
          <w:rFonts w:hint="eastAsia" w:ascii="宋体" w:hAnsi="宋体" w:cs="宋体"/>
          <w:szCs w:val="21"/>
          <w:highlight w:val="none"/>
        </w:rPr>
      </w:pPr>
      <w:r>
        <w:rPr>
          <w:rFonts w:hint="eastAsia" w:ascii="宋体" w:hAnsi="宋体" w:cs="宋体"/>
          <w:szCs w:val="21"/>
          <w:highlight w:val="none"/>
        </w:rPr>
        <w:t>*</w:t>
      </w:r>
      <w:r>
        <w:rPr>
          <w:rFonts w:hint="eastAsia" w:ascii="宋体" w:hAnsi="宋体" w:cs="宋体"/>
          <w:szCs w:val="21"/>
          <w:highlight w:val="none"/>
          <w:lang w:val="zh-CN"/>
        </w:rPr>
        <w:t>4.6.</w:t>
      </w:r>
      <w:r>
        <w:rPr>
          <w:rFonts w:hint="eastAsia" w:ascii="宋体" w:hAnsi="宋体" w:cs="宋体"/>
          <w:szCs w:val="21"/>
          <w:highlight w:val="none"/>
        </w:rPr>
        <w:t>设备操作手册：</w:t>
      </w:r>
      <w:r>
        <w:rPr>
          <w:rFonts w:hint="eastAsia" w:ascii="宋体" w:hAnsi="宋体" w:cs="宋体"/>
          <w:szCs w:val="21"/>
          <w:highlight w:val="none"/>
          <w:lang w:val="en-US" w:eastAsia="zh-CN"/>
        </w:rPr>
        <w:t>中标方</w:t>
      </w:r>
      <w:r>
        <w:rPr>
          <w:rFonts w:hint="eastAsia" w:ascii="宋体" w:hAnsi="宋体" w:cs="宋体"/>
          <w:szCs w:val="21"/>
          <w:highlight w:val="none"/>
        </w:rPr>
        <w:t>在设备到货</w:t>
      </w:r>
      <w:r>
        <w:rPr>
          <w:rFonts w:hint="eastAsia" w:ascii="宋体" w:hAnsi="宋体" w:cs="宋体"/>
          <w:szCs w:val="21"/>
          <w:highlight w:val="none"/>
          <w:lang w:eastAsia="zh-CN"/>
        </w:rPr>
        <w:t>时</w:t>
      </w:r>
      <w:r>
        <w:rPr>
          <w:rFonts w:hint="eastAsia" w:ascii="宋体" w:hAnsi="宋体" w:cs="宋体"/>
          <w:szCs w:val="21"/>
          <w:highlight w:val="none"/>
          <w:lang w:val="en-US" w:eastAsia="zh-CN"/>
        </w:rPr>
        <w:t>附</w:t>
      </w:r>
      <w:r>
        <w:rPr>
          <w:rFonts w:hint="eastAsia" w:ascii="宋体" w:hAnsi="宋体" w:cs="宋体"/>
          <w:szCs w:val="21"/>
          <w:highlight w:val="none"/>
        </w:rPr>
        <w:t>设备</w:t>
      </w:r>
      <w:r>
        <w:rPr>
          <w:rFonts w:hint="eastAsia" w:ascii="宋体" w:hAnsi="宋体" w:cs="宋体"/>
          <w:szCs w:val="21"/>
          <w:highlight w:val="none"/>
          <w:lang w:val="en-US" w:eastAsia="zh-CN"/>
        </w:rPr>
        <w:t>操作</w:t>
      </w:r>
      <w:r>
        <w:rPr>
          <w:rFonts w:hint="eastAsia" w:ascii="宋体" w:hAnsi="宋体" w:cs="宋体"/>
          <w:szCs w:val="21"/>
          <w:highlight w:val="none"/>
        </w:rPr>
        <w:t>手册。要求手册必须列出设备安装、调试、运行、检修、拆解等过程详细技术说明，所有配合尺寸安装间隙。</w:t>
      </w:r>
      <w:r>
        <w:rPr>
          <w:rFonts w:hint="eastAsia" w:ascii="宋体" w:hAnsi="宋体" w:cs="宋体"/>
          <w:szCs w:val="21"/>
          <w:highlight w:val="none"/>
          <w:lang w:val="en-US" w:eastAsia="zh-CN"/>
        </w:rPr>
        <w:t>要</w:t>
      </w:r>
      <w:r>
        <w:rPr>
          <w:rFonts w:hint="eastAsia" w:ascii="宋体" w:hAnsi="宋体" w:cs="宋体"/>
          <w:szCs w:val="21"/>
          <w:highlight w:val="none"/>
        </w:rPr>
        <w:t>附详细安装光盘或安装说明书</w:t>
      </w:r>
      <w:r>
        <w:rPr>
          <w:rFonts w:hint="eastAsia" w:ascii="宋体" w:hAnsi="宋体" w:cs="宋体"/>
          <w:szCs w:val="21"/>
          <w:highlight w:val="none"/>
          <w:lang w:eastAsia="zh-CN"/>
        </w:rPr>
        <w:t>。</w:t>
      </w:r>
    </w:p>
    <w:p>
      <w:pPr>
        <w:spacing w:line="360" w:lineRule="auto"/>
        <w:ind w:left="0" w:leftChars="0" w:firstLine="218" w:firstLineChars="104"/>
        <w:jc w:val="left"/>
        <w:rPr>
          <w:rFonts w:hint="eastAsia" w:asciiTheme="minorEastAsia" w:hAnsiTheme="minorEastAsia" w:eastAsiaTheme="minorEastAsia"/>
          <w:szCs w:val="21"/>
          <w:lang w:eastAsia="zh-CN"/>
        </w:rPr>
      </w:pPr>
      <w:r>
        <w:rPr>
          <w:rFonts w:hint="eastAsia" w:ascii="宋体" w:hAnsi="宋体" w:cs="宋体"/>
          <w:szCs w:val="21"/>
          <w:highlight w:val="none"/>
        </w:rPr>
        <w:t>*</w:t>
      </w:r>
      <w:r>
        <w:rPr>
          <w:rFonts w:hint="eastAsia" w:ascii="宋体" w:hAnsi="宋体" w:cs="宋体"/>
          <w:szCs w:val="21"/>
          <w:highlight w:val="none"/>
          <w:lang w:val="en-US" w:eastAsia="zh-CN"/>
        </w:rPr>
        <w:t>4</w:t>
      </w:r>
      <w:r>
        <w:rPr>
          <w:rFonts w:hint="eastAsia" w:ascii="宋体" w:hAnsi="宋体" w:cs="宋体"/>
          <w:szCs w:val="21"/>
          <w:highlight w:val="none"/>
        </w:rPr>
        <w:t>.</w:t>
      </w:r>
      <w:r>
        <w:rPr>
          <w:rFonts w:hint="eastAsia" w:ascii="宋体" w:hAnsi="宋体" w:cs="宋体"/>
          <w:szCs w:val="21"/>
          <w:highlight w:val="none"/>
          <w:lang w:val="en-US" w:eastAsia="zh-CN"/>
        </w:rPr>
        <w:t>7</w:t>
      </w:r>
      <w:r>
        <w:rPr>
          <w:rFonts w:hint="eastAsia" w:ascii="宋体" w:hAnsi="宋体" w:cs="宋体"/>
          <w:szCs w:val="21"/>
          <w:highlight w:val="none"/>
        </w:rPr>
        <w:t>要求厂家列出安装、</w:t>
      </w:r>
      <w:r>
        <w:rPr>
          <w:rFonts w:hint="eastAsia" w:ascii="宋体" w:hAnsi="宋体" w:cs="宋体"/>
          <w:szCs w:val="21"/>
          <w:highlight w:val="none"/>
          <w:lang w:val="en-US" w:eastAsia="zh-CN"/>
        </w:rPr>
        <w:t>调试</w:t>
      </w:r>
      <w:r>
        <w:rPr>
          <w:rFonts w:hint="eastAsia" w:ascii="宋体" w:hAnsi="宋体" w:cs="宋体"/>
          <w:szCs w:val="21"/>
          <w:highlight w:val="none"/>
        </w:rPr>
        <w:t>、</w:t>
      </w:r>
      <w:r>
        <w:rPr>
          <w:rFonts w:hint="eastAsia" w:ascii="宋体" w:hAnsi="宋体" w:cs="宋体"/>
          <w:szCs w:val="21"/>
          <w:highlight w:val="none"/>
          <w:lang w:val="en-US" w:eastAsia="zh-CN"/>
        </w:rPr>
        <w:t>启车</w:t>
      </w:r>
      <w:r>
        <w:rPr>
          <w:rFonts w:hint="eastAsia" w:ascii="宋体" w:hAnsi="宋体" w:cs="宋体"/>
          <w:szCs w:val="21"/>
          <w:highlight w:val="none"/>
        </w:rPr>
        <w:t>和质保期内易损件、消耗品、备品备件明细。</w:t>
      </w:r>
    </w:p>
    <w:p>
      <w:pPr>
        <w:adjustRightInd w:val="0"/>
        <w:snapToGrid w:val="0"/>
        <w:spacing w:line="360" w:lineRule="auto"/>
        <w:rPr>
          <w:rFonts w:ascii="宋体" w:hAnsi="宋体" w:cs="宋体"/>
          <w:kern w:val="0"/>
          <w:szCs w:val="21"/>
        </w:rPr>
      </w:pPr>
      <w:r>
        <w:rPr>
          <w:rFonts w:hint="eastAsia" w:ascii="宋体" w:hAnsi="宋体" w:cs="宋体"/>
          <w:kern w:val="0"/>
          <w:szCs w:val="21"/>
        </w:rPr>
        <w:t>5.标准</w:t>
      </w:r>
    </w:p>
    <w:p>
      <w:pPr>
        <w:pStyle w:val="19"/>
        <w:tabs>
          <w:tab w:val="left" w:pos="1290"/>
          <w:tab w:val="left" w:pos="1680"/>
        </w:tabs>
        <w:adjustRightInd w:val="0"/>
        <w:snapToGrid w:val="0"/>
        <w:spacing w:before="120" w:after="0" w:line="360" w:lineRule="auto"/>
        <w:rPr>
          <w:rFonts w:hAnsi="宋体"/>
          <w:sz w:val="21"/>
          <w:szCs w:val="21"/>
        </w:rPr>
      </w:pPr>
      <w:r>
        <w:rPr>
          <w:rFonts w:hint="eastAsia" w:hAnsi="宋体"/>
          <w:sz w:val="21"/>
          <w:szCs w:val="21"/>
        </w:rPr>
        <w:t>5.</w:t>
      </w:r>
      <w:r>
        <w:rPr>
          <w:rFonts w:hAnsi="宋体"/>
          <w:sz w:val="21"/>
          <w:szCs w:val="21"/>
        </w:rPr>
        <w:t>1.</w:t>
      </w:r>
      <w:r>
        <w:rPr>
          <w:rFonts w:hint="eastAsia" w:hAnsi="宋体"/>
          <w:sz w:val="21"/>
          <w:szCs w:val="21"/>
        </w:rPr>
        <w:t xml:space="preserve"> </w:t>
      </w:r>
      <w:r>
        <w:rPr>
          <w:rFonts w:hAnsi="宋体"/>
          <w:sz w:val="21"/>
          <w:szCs w:val="21"/>
        </w:rPr>
        <w:t>所供应的货物将按下列标准（推荐）进行设计和制造</w:t>
      </w:r>
    </w:p>
    <w:p>
      <w:pPr>
        <w:pStyle w:val="19"/>
        <w:tabs>
          <w:tab w:val="left" w:pos="550"/>
        </w:tabs>
        <w:adjustRightInd w:val="0"/>
        <w:snapToGrid w:val="0"/>
        <w:spacing w:line="360" w:lineRule="auto"/>
        <w:ind w:left="546" w:leftChars="200" w:hanging="126" w:hangingChars="60"/>
        <w:rPr>
          <w:rFonts w:hAnsi="宋体"/>
          <w:sz w:val="21"/>
          <w:szCs w:val="21"/>
        </w:rPr>
      </w:pPr>
      <w:r>
        <w:rPr>
          <w:rFonts w:hint="eastAsia" w:hAnsi="宋体"/>
          <w:sz w:val="21"/>
          <w:szCs w:val="21"/>
        </w:rPr>
        <w:t>如发布新标准，以最新标准执行</w:t>
      </w:r>
    </w:p>
    <w:p>
      <w:pPr>
        <w:pStyle w:val="19"/>
        <w:tabs>
          <w:tab w:val="left" w:pos="550"/>
        </w:tabs>
        <w:adjustRightInd w:val="0"/>
        <w:snapToGrid w:val="0"/>
        <w:spacing w:line="360" w:lineRule="auto"/>
        <w:ind w:left="546" w:leftChars="200" w:hanging="126" w:hangingChars="60"/>
        <w:rPr>
          <w:rFonts w:hAnsi="宋体"/>
          <w:sz w:val="21"/>
          <w:szCs w:val="21"/>
        </w:rPr>
      </w:pPr>
      <w:r>
        <w:rPr>
          <w:rFonts w:hAnsi="宋体"/>
          <w:sz w:val="21"/>
          <w:szCs w:val="21"/>
        </w:rPr>
        <w:t>电器:     IEC标准/EN标准</w:t>
      </w:r>
    </w:p>
    <w:p>
      <w:pPr>
        <w:pStyle w:val="19"/>
        <w:tabs>
          <w:tab w:val="left" w:pos="550"/>
        </w:tabs>
        <w:adjustRightInd w:val="0"/>
        <w:snapToGrid w:val="0"/>
        <w:spacing w:line="360" w:lineRule="auto"/>
        <w:ind w:firstLine="420" w:firstLineChars="200"/>
        <w:rPr>
          <w:rFonts w:hAnsi="宋体"/>
          <w:sz w:val="21"/>
          <w:szCs w:val="21"/>
        </w:rPr>
      </w:pPr>
      <w:r>
        <w:rPr>
          <w:rFonts w:hAnsi="宋体"/>
          <w:sz w:val="21"/>
          <w:szCs w:val="21"/>
        </w:rPr>
        <w:t>机械:     ISO标准</w:t>
      </w:r>
    </w:p>
    <w:p>
      <w:pPr>
        <w:spacing w:line="360" w:lineRule="auto"/>
        <w:ind w:firstLine="420" w:firstLineChars="200"/>
        <w:rPr>
          <w:rFonts w:ascii="宋体" w:hAnsi="宋体"/>
          <w:color w:val="000000"/>
          <w:szCs w:val="21"/>
        </w:rPr>
      </w:pPr>
      <w:r>
        <w:rPr>
          <w:rFonts w:hint="eastAsia" w:ascii="宋体" w:hAnsi="宋体"/>
          <w:color w:val="000000"/>
          <w:szCs w:val="21"/>
        </w:rPr>
        <w:t xml:space="preserve">GB191-2000          包装储运图示标志    </w:t>
      </w:r>
    </w:p>
    <w:p>
      <w:pPr>
        <w:spacing w:line="360" w:lineRule="auto"/>
        <w:rPr>
          <w:rFonts w:ascii="宋体" w:hAnsi="宋体"/>
          <w:color w:val="000000"/>
          <w:szCs w:val="21"/>
        </w:rPr>
      </w:pPr>
      <w:r>
        <w:rPr>
          <w:rFonts w:hint="eastAsia" w:ascii="宋体" w:hAnsi="宋体"/>
          <w:color w:val="000000"/>
          <w:szCs w:val="21"/>
        </w:rPr>
        <w:t xml:space="preserve">    GB/T 4857.2-1992    包装件基本试验  温湿度调节处理  </w:t>
      </w:r>
    </w:p>
    <w:p>
      <w:pPr>
        <w:pStyle w:val="19"/>
        <w:tabs>
          <w:tab w:val="left" w:pos="550"/>
        </w:tabs>
        <w:adjustRightInd w:val="0"/>
        <w:snapToGrid w:val="0"/>
        <w:spacing w:line="360" w:lineRule="auto"/>
        <w:ind w:firstLine="420" w:firstLineChars="200"/>
        <w:rPr>
          <w:rFonts w:hAnsi="宋体"/>
          <w:sz w:val="21"/>
          <w:szCs w:val="21"/>
        </w:rPr>
      </w:pPr>
      <w:r>
        <w:rPr>
          <w:rFonts w:hint="eastAsia" w:hAnsi="宋体"/>
          <w:sz w:val="21"/>
          <w:szCs w:val="21"/>
        </w:rPr>
        <w:t>IEEE519             《谐波抑制标准》</w:t>
      </w:r>
    </w:p>
    <w:p>
      <w:pPr>
        <w:pStyle w:val="19"/>
        <w:tabs>
          <w:tab w:val="left" w:pos="550"/>
        </w:tabs>
        <w:adjustRightInd w:val="0"/>
        <w:snapToGrid w:val="0"/>
        <w:spacing w:line="360" w:lineRule="auto"/>
        <w:ind w:firstLine="420" w:firstLineChars="200"/>
        <w:rPr>
          <w:rFonts w:hAnsi="宋体"/>
          <w:sz w:val="21"/>
          <w:szCs w:val="21"/>
        </w:rPr>
      </w:pPr>
      <w:r>
        <w:rPr>
          <w:rFonts w:hint="eastAsia" w:hAnsi="宋体"/>
          <w:sz w:val="21"/>
          <w:szCs w:val="21"/>
        </w:rPr>
        <w:t>GB/T14549           《谐波抑制标准》</w:t>
      </w:r>
    </w:p>
    <w:p>
      <w:pPr>
        <w:pStyle w:val="19"/>
        <w:tabs>
          <w:tab w:val="left" w:pos="550"/>
        </w:tabs>
        <w:adjustRightInd w:val="0"/>
        <w:snapToGrid w:val="0"/>
        <w:spacing w:line="360" w:lineRule="auto"/>
        <w:ind w:firstLine="420" w:firstLineChars="200"/>
        <w:rPr>
          <w:rFonts w:hAnsi="宋体"/>
          <w:sz w:val="21"/>
          <w:szCs w:val="21"/>
        </w:rPr>
      </w:pPr>
      <w:r>
        <w:rPr>
          <w:rFonts w:hint="eastAsia" w:hAnsi="宋体"/>
          <w:sz w:val="21"/>
          <w:szCs w:val="21"/>
        </w:rPr>
        <w:t>GB/T14048.1-2000    《温升试验标准》</w:t>
      </w:r>
    </w:p>
    <w:p>
      <w:pPr>
        <w:pStyle w:val="19"/>
        <w:tabs>
          <w:tab w:val="left" w:pos="550"/>
        </w:tabs>
        <w:adjustRightInd w:val="0"/>
        <w:snapToGrid w:val="0"/>
        <w:spacing w:line="360" w:lineRule="auto"/>
        <w:ind w:firstLine="420" w:firstLineChars="200"/>
        <w:rPr>
          <w:rFonts w:hAnsi="宋体"/>
          <w:sz w:val="21"/>
          <w:szCs w:val="21"/>
        </w:rPr>
      </w:pPr>
      <w:r>
        <w:rPr>
          <w:rFonts w:hint="eastAsia" w:hAnsi="宋体"/>
          <w:sz w:val="21"/>
          <w:szCs w:val="21"/>
        </w:rPr>
        <w:t>GB/T 2423.4-1993    《交变湿热性能试验标准》</w:t>
      </w:r>
    </w:p>
    <w:p>
      <w:pPr>
        <w:pStyle w:val="19"/>
        <w:tabs>
          <w:tab w:val="left" w:pos="550"/>
        </w:tabs>
        <w:adjustRightInd w:val="0"/>
        <w:snapToGrid w:val="0"/>
        <w:spacing w:line="360" w:lineRule="auto"/>
        <w:ind w:firstLine="420" w:firstLineChars="200"/>
        <w:rPr>
          <w:rFonts w:hAnsi="宋体"/>
          <w:sz w:val="21"/>
          <w:szCs w:val="21"/>
        </w:rPr>
      </w:pPr>
      <w:r>
        <w:rPr>
          <w:rFonts w:hint="eastAsia" w:hAnsi="宋体"/>
          <w:sz w:val="21"/>
          <w:szCs w:val="21"/>
        </w:rPr>
        <w:t>GB3836.2-2000       《外壳静压试验标准》</w:t>
      </w:r>
    </w:p>
    <w:p>
      <w:pPr>
        <w:pStyle w:val="22"/>
        <w:autoSpaceDE w:val="0"/>
        <w:autoSpaceDN w:val="0"/>
        <w:ind w:firstLine="425"/>
        <w:textAlignment w:val="bottom"/>
        <w:rPr>
          <w:rFonts w:ascii="宋体" w:hAnsi="宋体"/>
          <w:sz w:val="21"/>
          <w:szCs w:val="21"/>
        </w:rPr>
      </w:pPr>
      <w:r>
        <w:rPr>
          <w:rFonts w:ascii="宋体" w:hAnsi="宋体"/>
          <w:sz w:val="21"/>
          <w:szCs w:val="21"/>
        </w:rPr>
        <w:t>GB12668</w:t>
      </w:r>
      <w:r>
        <w:rPr>
          <w:rFonts w:hint="eastAsia" w:ascii="宋体" w:hAnsi="宋体"/>
          <w:sz w:val="21"/>
          <w:szCs w:val="21"/>
        </w:rPr>
        <w:t xml:space="preserve">             《中国调速电气传动系统国家标准》</w:t>
      </w:r>
    </w:p>
    <w:p>
      <w:pPr>
        <w:pStyle w:val="22"/>
        <w:autoSpaceDE w:val="0"/>
        <w:autoSpaceDN w:val="0"/>
        <w:ind w:firstLine="425"/>
        <w:textAlignment w:val="bottom"/>
        <w:rPr>
          <w:rFonts w:ascii="宋体" w:hAnsi="宋体"/>
          <w:sz w:val="21"/>
          <w:szCs w:val="21"/>
        </w:rPr>
      </w:pPr>
      <w:r>
        <w:rPr>
          <w:rFonts w:hint="eastAsia" w:ascii="宋体" w:hAnsi="宋体"/>
          <w:sz w:val="21"/>
          <w:szCs w:val="21"/>
        </w:rPr>
        <w:t>GB/T 12668.1 2002/IEC61800-1：1997  《调速电气传动系统》第1部分，一般要求  低压直流调速电气传动系统额定值的规定</w:t>
      </w:r>
    </w:p>
    <w:p>
      <w:pPr>
        <w:pStyle w:val="22"/>
        <w:autoSpaceDE w:val="0"/>
        <w:autoSpaceDN w:val="0"/>
        <w:ind w:firstLine="425"/>
        <w:textAlignment w:val="bottom"/>
        <w:rPr>
          <w:rFonts w:ascii="宋体" w:hAnsi="宋体"/>
          <w:sz w:val="21"/>
          <w:szCs w:val="21"/>
        </w:rPr>
      </w:pPr>
      <w:r>
        <w:rPr>
          <w:rFonts w:hint="eastAsia" w:ascii="宋体" w:hAnsi="宋体"/>
          <w:sz w:val="21"/>
          <w:szCs w:val="21"/>
        </w:rPr>
        <w:t xml:space="preserve">GB/T 12668.2 2002/IEC61800-1：1998  《调速电气传动系统》第2部分，一般要求  低压交流变频电气传动系统额定值的规定。  </w:t>
      </w:r>
    </w:p>
    <w:p>
      <w:pPr>
        <w:pStyle w:val="22"/>
        <w:autoSpaceDE w:val="0"/>
        <w:autoSpaceDN w:val="0"/>
        <w:ind w:firstLine="425"/>
        <w:textAlignment w:val="bottom"/>
        <w:rPr>
          <w:rFonts w:ascii="宋体" w:hAnsi="宋体"/>
          <w:sz w:val="21"/>
          <w:szCs w:val="21"/>
        </w:rPr>
      </w:pPr>
      <w:r>
        <w:rPr>
          <w:rFonts w:hint="eastAsia" w:ascii="宋体" w:hAnsi="宋体"/>
          <w:sz w:val="21"/>
          <w:szCs w:val="21"/>
        </w:rPr>
        <w:t xml:space="preserve">GB/T 12668.3 2003/IEC61800-：1996  《调速电气传动系统》第3部分，产品的电磁兼容性标准及其特定的实验方法。  </w:t>
      </w:r>
    </w:p>
    <w:p>
      <w:pPr>
        <w:pStyle w:val="22"/>
        <w:autoSpaceDE w:val="0"/>
        <w:autoSpaceDN w:val="0"/>
        <w:ind w:firstLine="425"/>
        <w:textAlignment w:val="bottom"/>
        <w:rPr>
          <w:rFonts w:ascii="宋体" w:hAnsi="宋体"/>
          <w:sz w:val="21"/>
          <w:szCs w:val="21"/>
        </w:rPr>
      </w:pPr>
      <w:r>
        <w:rPr>
          <w:rFonts w:hint="eastAsia" w:ascii="宋体" w:hAnsi="宋体"/>
          <w:sz w:val="21"/>
          <w:szCs w:val="21"/>
        </w:rPr>
        <w:t>GB/T2900.18-1992      电工术语 低压电器（eqvIEC60050-441：1984）</w:t>
      </w:r>
    </w:p>
    <w:p>
      <w:pPr>
        <w:pStyle w:val="22"/>
        <w:autoSpaceDE w:val="0"/>
        <w:autoSpaceDN w:val="0"/>
        <w:ind w:firstLine="425"/>
        <w:textAlignment w:val="bottom"/>
        <w:rPr>
          <w:rFonts w:ascii="宋体" w:hAnsi="宋体"/>
          <w:sz w:val="21"/>
          <w:szCs w:val="21"/>
        </w:rPr>
      </w:pPr>
      <w:r>
        <w:rPr>
          <w:rFonts w:hint="eastAsia" w:ascii="宋体" w:hAnsi="宋体"/>
          <w:sz w:val="21"/>
          <w:szCs w:val="21"/>
        </w:rPr>
        <w:t>GB/T 60038：1983      IEC  标准电压</w:t>
      </w:r>
    </w:p>
    <w:p>
      <w:pPr>
        <w:pStyle w:val="19"/>
        <w:tabs>
          <w:tab w:val="left" w:pos="1290"/>
          <w:tab w:val="left" w:pos="1680"/>
        </w:tabs>
        <w:adjustRightInd w:val="0"/>
        <w:snapToGrid w:val="0"/>
        <w:spacing w:line="360" w:lineRule="auto"/>
        <w:rPr>
          <w:rFonts w:hAnsi="宋体"/>
          <w:sz w:val="21"/>
          <w:szCs w:val="21"/>
        </w:rPr>
      </w:pPr>
      <w:r>
        <w:rPr>
          <w:rFonts w:hint="eastAsia" w:hAnsi="宋体"/>
          <w:sz w:val="21"/>
          <w:szCs w:val="21"/>
        </w:rPr>
        <w:t>5.</w:t>
      </w:r>
      <w:r>
        <w:rPr>
          <w:rFonts w:hAnsi="宋体"/>
          <w:sz w:val="21"/>
          <w:szCs w:val="21"/>
        </w:rPr>
        <w:t>2.设备的设计与制造要求采用国际公制单位，个别部件采用英制单位应列出清单。</w:t>
      </w:r>
    </w:p>
    <w:p>
      <w:pPr>
        <w:pStyle w:val="19"/>
        <w:tabs>
          <w:tab w:val="left" w:pos="1290"/>
          <w:tab w:val="left" w:pos="1680"/>
        </w:tabs>
        <w:adjustRightInd w:val="0"/>
        <w:snapToGrid w:val="0"/>
        <w:spacing w:line="360" w:lineRule="auto"/>
        <w:rPr>
          <w:rFonts w:hAnsi="宋体"/>
          <w:sz w:val="21"/>
          <w:szCs w:val="21"/>
        </w:rPr>
      </w:pPr>
      <w:r>
        <w:rPr>
          <w:rFonts w:hint="eastAsia" w:hAnsi="宋体"/>
          <w:sz w:val="21"/>
          <w:szCs w:val="21"/>
        </w:rPr>
        <w:t>5.</w:t>
      </w:r>
      <w:r>
        <w:rPr>
          <w:rFonts w:hAnsi="宋体"/>
          <w:sz w:val="21"/>
          <w:szCs w:val="21"/>
        </w:rPr>
        <w:t>3.上述标准均应为</w:t>
      </w:r>
      <w:r>
        <w:rPr>
          <w:rFonts w:hint="eastAsia" w:hAnsi="宋体"/>
          <w:sz w:val="21"/>
          <w:szCs w:val="21"/>
        </w:rPr>
        <w:t>投</w:t>
      </w:r>
      <w:r>
        <w:rPr>
          <w:rFonts w:hAnsi="宋体"/>
          <w:sz w:val="21"/>
          <w:szCs w:val="21"/>
        </w:rPr>
        <w:t>标截止日时的最新有效版</w:t>
      </w:r>
      <w:r>
        <w:rPr>
          <w:rFonts w:hint="eastAsia" w:hAnsi="宋体"/>
          <w:sz w:val="21"/>
          <w:szCs w:val="21"/>
        </w:rPr>
        <w:t>。</w:t>
      </w:r>
    </w:p>
    <w:p>
      <w:pPr>
        <w:adjustRightInd w:val="0"/>
        <w:snapToGrid w:val="0"/>
        <w:spacing w:before="312" w:beforeLines="100" w:after="312" w:afterLines="100" w:line="360" w:lineRule="auto"/>
        <w:jc w:val="left"/>
        <w:rPr>
          <w:rFonts w:ascii="宋体" w:hAnsi="宋体"/>
          <w:b/>
        </w:rPr>
      </w:pPr>
      <w:r>
        <w:rPr>
          <w:rFonts w:hint="eastAsia" w:ascii="宋体" w:hAnsi="宋体"/>
          <w:b/>
        </w:rPr>
        <w:t>四. 需投标人提供的技术参数</w:t>
      </w:r>
    </w:p>
    <w:p>
      <w:pPr>
        <w:spacing w:line="360" w:lineRule="auto"/>
        <w:rPr>
          <w:rFonts w:ascii="宋体" w:hAnsi="宋体"/>
          <w:szCs w:val="21"/>
        </w:rPr>
      </w:pPr>
      <w:r>
        <w:rPr>
          <w:rFonts w:hint="eastAsia" w:ascii="宋体"/>
          <w:spacing w:val="-5"/>
          <w:kern w:val="0"/>
          <w:szCs w:val="21"/>
        </w:rPr>
        <w:t>1 .技术参数及性能</w:t>
      </w:r>
    </w:p>
    <w:p>
      <w:pPr>
        <w:adjustRightInd w:val="0"/>
        <w:snapToGrid w:val="0"/>
        <w:spacing w:line="360" w:lineRule="auto"/>
        <w:ind w:firstLine="400" w:firstLineChars="200"/>
        <w:rPr>
          <w:rFonts w:ascii="宋体" w:hAnsi="宋体"/>
          <w:szCs w:val="21"/>
          <w:u w:val="single"/>
        </w:rPr>
      </w:pPr>
      <w:r>
        <w:rPr>
          <w:rFonts w:hint="eastAsia" w:ascii="宋体"/>
          <w:spacing w:val="-5"/>
          <w:kern w:val="0"/>
          <w:szCs w:val="21"/>
        </w:rPr>
        <w:t>1.1</w:t>
      </w:r>
    </w:p>
    <w:p>
      <w:pPr>
        <w:adjustRightInd w:val="0"/>
        <w:snapToGrid w:val="0"/>
        <w:spacing w:line="360" w:lineRule="auto"/>
        <w:ind w:firstLine="420" w:firstLineChars="200"/>
        <w:rPr>
          <w:rFonts w:hint="eastAsia" w:ascii="宋体" w:hAnsi="宋体"/>
          <w:szCs w:val="21"/>
        </w:rPr>
      </w:pPr>
      <w:r>
        <w:rPr>
          <w:rFonts w:hint="eastAsia" w:ascii="宋体" w:hAnsi="宋体"/>
          <w:szCs w:val="21"/>
        </w:rPr>
        <w:t>1.2</w:t>
      </w:r>
    </w:p>
    <w:p>
      <w:pPr>
        <w:adjustRightInd w:val="0"/>
        <w:snapToGrid w:val="0"/>
        <w:spacing w:line="360" w:lineRule="auto"/>
        <w:ind w:firstLine="420" w:firstLineChars="200"/>
        <w:rPr>
          <w:rFonts w:hint="eastAsia" w:ascii="宋体" w:hAnsi="宋体"/>
          <w:szCs w:val="21"/>
        </w:rPr>
      </w:pPr>
      <w:r>
        <w:rPr>
          <w:rFonts w:hint="eastAsia" w:ascii="宋体" w:hAnsi="宋体"/>
          <w:szCs w:val="21"/>
        </w:rPr>
        <w:t>1.3</w:t>
      </w: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rPr>
          <w:rFonts w:ascii="宋体"/>
          <w:szCs w:val="21"/>
        </w:rPr>
      </w:pPr>
      <w:r>
        <w:rPr>
          <w:rFonts w:hint="eastAsia" w:ascii="宋体"/>
          <w:szCs w:val="21"/>
        </w:rPr>
        <w:t>2.投标人需要特别说明的其他问题。</w:t>
      </w:r>
    </w:p>
    <w:p>
      <w:pPr>
        <w:widowControl/>
        <w:jc w:val="left"/>
        <w:rPr>
          <w:rFonts w:ascii="宋体"/>
          <w:szCs w:val="21"/>
        </w:rPr>
      </w:pPr>
      <w:r>
        <w:rPr>
          <w:rFonts w:ascii="宋体"/>
          <w:szCs w:val="21"/>
        </w:rPr>
        <w:br w:type="page"/>
      </w:r>
    </w:p>
    <w:p>
      <w:pPr>
        <w:pStyle w:val="16"/>
        <w:jc w:val="center"/>
        <w:rPr>
          <w:rFonts w:ascii="黑体" w:hAnsi="黑体" w:cs="Times New Roman"/>
          <w:b/>
          <w:bCs/>
          <w:sz w:val="32"/>
          <w:szCs w:val="24"/>
        </w:rPr>
      </w:pPr>
      <w:bookmarkStart w:id="2" w:name="_Toc357086143"/>
      <w:r>
        <w:rPr>
          <w:rFonts w:hint="eastAsia" w:ascii="黑体" w:hAnsi="黑体" w:cs="Times New Roman"/>
          <w:b/>
          <w:bCs/>
          <w:sz w:val="32"/>
          <w:szCs w:val="24"/>
        </w:rPr>
        <w:t>第二节 备件和工具</w:t>
      </w:r>
      <w:bookmarkEnd w:id="2"/>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 所有为设备的组装、空载试验、带载试验、试运行、质保期内和质保期后1年必备的备件、消耗品，包括专用工具、仪器、仪表等，在设备交货时提供。推迟的交货期将按照设备推迟交货计算。</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2. 中标人应提供完整备件手册、备件件号、数量、规格型号、价格表的CD盘，随同设备发货。</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3. 中标人应保证所有零部件均有唯一编码，如属外购标准件，要求必须按照原厂家编码执行。</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4. 中标人还将进一步提供可靠信息以及机械与电气设备上的所需的备件、易耗品及标准件的货源地，包括润滑油脂。</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5. 设备采用的外购、外协件应提供原产地证明及检验合格证书。</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6. 如因为中标人提供1年期备件（不超过主机价格的5%）明细不准确，导致招标人误采购或按明细提供数量不足以满足生产需求，中标人应免费提供相应的备件。</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7. 中标人应保证长期以最优惠的价格供给易损件和备件。如果备件发生设计变更，应将变更信息及时通知用户。</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8. 中标人备件价格在设备开始使用的3年内必须维持同期的市场价。</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9. 在5年内，因中标人技术升级导致部分备件不能提供时，中标人要免费为用户升级设备。</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10. 5年后在备件停止生产的情况下，中标人应事先将要停止生产的计划通知招标人使招标人有足够的时间采购所需的备件。</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11. 5年后在备件停止生产后，如果招标人要求，中标人应免费向招标人提供备件的蓝图、图纸和规格。</w:t>
      </w:r>
    </w:p>
    <w:p>
      <w:pPr>
        <w:pStyle w:val="6"/>
        <w:adjustRightInd w:val="0"/>
        <w:snapToGrid w:val="0"/>
        <w:spacing w:before="156" w:beforeLines="50" w:line="360" w:lineRule="auto"/>
        <w:rPr>
          <w:rFonts w:ascii="宋体" w:hAnsi="宋体"/>
          <w:szCs w:val="21"/>
        </w:rPr>
      </w:pPr>
      <w:r>
        <w:rPr>
          <w:rFonts w:hint="eastAsia" w:ascii="宋体" w:hAnsi="宋体"/>
          <w:szCs w:val="21"/>
        </w:rPr>
        <w:t xml:space="preserve"> </w:t>
      </w:r>
    </w:p>
    <w:p>
      <w:pPr>
        <w:pStyle w:val="16"/>
        <w:jc w:val="center"/>
      </w:pPr>
      <w:r>
        <w:rPr>
          <w:rFonts w:hint="eastAsia" w:ascii="宋体" w:hAnsi="宋体"/>
          <w:szCs w:val="21"/>
        </w:rPr>
        <w:br w:type="page"/>
      </w:r>
    </w:p>
    <w:p>
      <w:pPr>
        <w:pStyle w:val="16"/>
        <w:jc w:val="center"/>
        <w:rPr>
          <w:rFonts w:ascii="黑体" w:hAnsi="黑体" w:cs="Times New Roman"/>
          <w:b/>
          <w:bCs/>
          <w:sz w:val="32"/>
          <w:szCs w:val="24"/>
        </w:rPr>
      </w:pPr>
      <w:bookmarkStart w:id="3" w:name="_Toc357086144"/>
      <w:r>
        <w:rPr>
          <w:rFonts w:hint="eastAsia" w:ascii="黑体" w:hAnsi="黑体" w:cs="Times New Roman"/>
          <w:b/>
          <w:bCs/>
          <w:sz w:val="32"/>
          <w:szCs w:val="24"/>
        </w:rPr>
        <w:t>第三节 设备出厂前检验</w:t>
      </w:r>
      <w:bookmarkEnd w:id="3"/>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 为了对合同设备及其相关设备生产期间的质量检验，招标人有权派人到中标人所在工厂进行检验。为便于招标人质检要求，诸如必要的安全用具、办公用品、技术文件和图纸、核算数据、制造和检验标准及其它必备的检验数据应由中标人提供。</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2. 在制造期间招标人的一切监理和质检活动所形成的书面资料均不作为中标人产品质量证明文件。在交货前招标人的质检，既不能免去合同中属于投标人质量担保期范围内的责任，也不能替代设备抵运招标人现场的质量检验。</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3．在中检中质检团成员发现或提出的问题，双方应积极通过友好的态度协商解决。</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4. 设备在出厂前必须进行整体联合试运转，根据试运转时间确定招标人终检时间，联合试运转应在招标人终检人员监督下进行。</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5. 在设备到达招标人现场后组装试运转中如出现问题，原因是中标人没有在出厂前进行设备整体联合试运转，因此推迟的时间将按照推迟交货期来计算。</w:t>
      </w:r>
    </w:p>
    <w:p>
      <w:pPr>
        <w:pStyle w:val="6"/>
        <w:adjustRightInd w:val="0"/>
        <w:snapToGrid w:val="0"/>
        <w:spacing w:line="360" w:lineRule="auto"/>
        <w:rPr>
          <w:rFonts w:ascii="宋体" w:hAnsi="宋体"/>
          <w:szCs w:val="21"/>
        </w:rPr>
      </w:pPr>
    </w:p>
    <w:p>
      <w:pPr>
        <w:pStyle w:val="16"/>
        <w:jc w:val="center"/>
      </w:pPr>
      <w:r>
        <w:rPr>
          <w:rFonts w:hint="eastAsia" w:ascii="宋体" w:hAnsi="宋体"/>
          <w:szCs w:val="21"/>
        </w:rPr>
        <w:br w:type="page"/>
      </w:r>
      <w:bookmarkStart w:id="4" w:name="_Toc357086145"/>
      <w:r>
        <w:rPr>
          <w:rFonts w:hint="eastAsia" w:ascii="黑体" w:hAnsi="黑体" w:cs="Times New Roman"/>
          <w:b/>
          <w:bCs/>
          <w:sz w:val="32"/>
          <w:szCs w:val="24"/>
        </w:rPr>
        <w:t>第四节 技术服务</w:t>
      </w:r>
      <w:bookmarkEnd w:id="4"/>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 中标人应派出有技术、有能力胜任的服务工程师到现场，提供有关安装管理、调试、空载测试、性能测试、试运转、维修及现场培训维修人员的服务。中标人服务工程师的主要责任与任务如下：</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——给招标人安装人员提供完整的技术指导。</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——指导招标人人员进行合同设备的试运转，运行测试和性能测试。</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——矿区现场培训招标人人员。</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——设备投入使用后提供现场运行技术支持。</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——质保期内技术服务。</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2. 安装前，应由中标人的技术服务人员给予招标人安装人员提供合同设备的装配介绍、讲课与培训；详细解释技术文件、图纸和操作手册以及设备运行和相关的预防措施等；回答和解决招标人人员提出的技术问题。中标人技术人员的指导必须是正确的，如果出现由于非正确技术指导而造成的损失，中标人将自出资金维修、更换或补偿损失部分。</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3. 中标人将提供所有的关于装配与组装所用的专用工具,例如:专用测试仪、测量仪和机械工具。</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4. 在现场举行由双方参加的会议，对所提供设备进行安装的准备工作进行讨论。</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5. 对于安装指导、测试运转、性能测试、试运转和验收，包括招标人操作和维修人员的现场培训,中标人需免费提供。</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6. 中标人应提供用于招标人自行培训人员需要使用的相关培训材料。</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7. 设备过质保期后，在设备使用寿命内，如招标人需要，中标人应确保服务工程师到现场进行技术服务。</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8. 设备第一次在招标人组装、试运转时中标人必须派设备制造工厂技术服务工程师在规定时间内到现场进行技术指导。因技术服务工程师未按时到达组装现场导致设备不能按期投入使用，延误时间按推迟交货期来计算。</w:t>
      </w:r>
    </w:p>
    <w:p>
      <w:pPr>
        <w:pStyle w:val="16"/>
        <w:jc w:val="center"/>
      </w:pPr>
      <w:r>
        <w:rPr>
          <w:rFonts w:hint="eastAsia" w:ascii="宋体" w:hAnsi="宋体"/>
          <w:szCs w:val="21"/>
        </w:rPr>
        <w:br w:type="page"/>
      </w:r>
      <w:bookmarkStart w:id="5" w:name="_Toc357086146"/>
      <w:r>
        <w:rPr>
          <w:rFonts w:hint="eastAsia" w:ascii="黑体" w:hAnsi="黑体" w:cs="Times New Roman"/>
          <w:b/>
          <w:bCs/>
          <w:sz w:val="32"/>
          <w:szCs w:val="24"/>
        </w:rPr>
        <w:t>第五节 安装、检验、调试、试运行及验收</w:t>
      </w:r>
      <w:bookmarkEnd w:id="5"/>
    </w:p>
    <w:p>
      <w:pPr>
        <w:adjustRightInd w:val="0"/>
        <w:snapToGrid w:val="0"/>
        <w:spacing w:line="360" w:lineRule="auto"/>
        <w:jc w:val="center"/>
        <w:rPr>
          <w:rFonts w:ascii="宋体" w:hAnsi="宋体"/>
          <w:szCs w:val="21"/>
        </w:rPr>
      </w:pPr>
    </w:p>
    <w:p>
      <w:pPr>
        <w:adjustRightInd w:val="0"/>
        <w:snapToGrid w:val="0"/>
        <w:spacing w:line="360" w:lineRule="auto"/>
        <w:ind w:left="420" w:hanging="420" w:hangingChars="200"/>
        <w:rPr>
          <w:rFonts w:ascii="宋体" w:hAnsi="宋体"/>
          <w:szCs w:val="21"/>
        </w:rPr>
      </w:pPr>
      <w:bookmarkStart w:id="6" w:name="_Toc357086147"/>
      <w:r>
        <w:rPr>
          <w:rFonts w:hint="eastAsia" w:ascii="宋体" w:hAnsi="宋体"/>
          <w:szCs w:val="21"/>
        </w:rPr>
        <w:t>1. 在该附录中：</w:t>
      </w:r>
    </w:p>
    <w:p>
      <w:pPr>
        <w:adjustRightInd w:val="0"/>
        <w:snapToGrid w:val="0"/>
        <w:spacing w:line="360" w:lineRule="auto"/>
        <w:ind w:left="420" w:hanging="420" w:hangingChars="200"/>
        <w:rPr>
          <w:rFonts w:ascii="宋体" w:hAnsi="宋体"/>
          <w:szCs w:val="21"/>
        </w:rPr>
      </w:pPr>
      <w:r>
        <w:rPr>
          <w:rFonts w:hint="eastAsia" w:ascii="宋体" w:hAnsi="宋体"/>
          <w:szCs w:val="21"/>
        </w:rPr>
        <w:t>安装：意为招标人安装人员在中标人的服务工程人员的监督与指导下，将整套设备或一个系统安装起来。</w:t>
      </w:r>
    </w:p>
    <w:p>
      <w:pPr>
        <w:adjustRightInd w:val="0"/>
        <w:snapToGrid w:val="0"/>
        <w:spacing w:line="360" w:lineRule="auto"/>
        <w:ind w:left="420" w:hanging="420" w:hangingChars="200"/>
        <w:rPr>
          <w:rFonts w:ascii="宋体" w:hAnsi="宋体"/>
          <w:szCs w:val="21"/>
        </w:rPr>
      </w:pPr>
      <w:r>
        <w:rPr>
          <w:rFonts w:hint="eastAsia" w:ascii="宋体" w:hAnsi="宋体"/>
          <w:szCs w:val="21"/>
        </w:rPr>
        <w:t>试运转：即为在空载条件下测试该设备。</w:t>
      </w:r>
    </w:p>
    <w:p>
      <w:pPr>
        <w:adjustRightInd w:val="0"/>
        <w:snapToGrid w:val="0"/>
        <w:spacing w:line="360" w:lineRule="auto"/>
        <w:ind w:left="420" w:hanging="420" w:hangingChars="200"/>
        <w:rPr>
          <w:rFonts w:ascii="宋体" w:hAnsi="宋体"/>
          <w:szCs w:val="21"/>
        </w:rPr>
      </w:pPr>
      <w:r>
        <w:rPr>
          <w:rFonts w:hint="eastAsia" w:ascii="宋体" w:hAnsi="宋体"/>
          <w:szCs w:val="21"/>
        </w:rPr>
        <w:t xml:space="preserve">性能调试：即在它们的额定负载下测试设备，检查其是否能达到合同规定的所有技术性能。 </w:t>
      </w:r>
    </w:p>
    <w:p>
      <w:pPr>
        <w:adjustRightInd w:val="0"/>
        <w:snapToGrid w:val="0"/>
        <w:spacing w:line="360" w:lineRule="auto"/>
        <w:ind w:left="420" w:hanging="420" w:hangingChars="200"/>
        <w:rPr>
          <w:rFonts w:ascii="宋体" w:hAnsi="宋体"/>
          <w:szCs w:val="21"/>
        </w:rPr>
      </w:pPr>
      <w:r>
        <w:rPr>
          <w:rFonts w:hint="eastAsia" w:ascii="宋体" w:hAnsi="宋体"/>
          <w:szCs w:val="21"/>
        </w:rPr>
        <w:t>试运行：即为设备按照合同要求性能投入运转。</w:t>
      </w:r>
    </w:p>
    <w:p>
      <w:pPr>
        <w:adjustRightInd w:val="0"/>
        <w:snapToGrid w:val="0"/>
        <w:spacing w:line="360" w:lineRule="auto"/>
        <w:ind w:left="420" w:hanging="420" w:hangingChars="200"/>
        <w:rPr>
          <w:rFonts w:ascii="宋体" w:hAnsi="宋体"/>
          <w:szCs w:val="21"/>
        </w:rPr>
      </w:pPr>
      <w:r>
        <w:rPr>
          <w:rFonts w:hint="eastAsia" w:ascii="宋体" w:hAnsi="宋体"/>
          <w:szCs w:val="21"/>
        </w:rPr>
        <w:t>验收：即为该设备达到合同规定的试运转、性能调试和试运行技术要求后招标人正式接收。</w:t>
      </w:r>
    </w:p>
    <w:p>
      <w:pPr>
        <w:adjustRightInd w:val="0"/>
        <w:snapToGrid w:val="0"/>
        <w:spacing w:line="360" w:lineRule="auto"/>
        <w:ind w:left="420" w:hanging="420" w:hangingChars="200"/>
        <w:rPr>
          <w:rFonts w:ascii="宋体" w:hAnsi="宋体"/>
          <w:szCs w:val="21"/>
        </w:rPr>
      </w:pPr>
      <w:r>
        <w:rPr>
          <w:rFonts w:hint="eastAsia" w:ascii="宋体" w:hAnsi="宋体"/>
          <w:szCs w:val="21"/>
        </w:rPr>
        <w:t>2. 设备到货应随机提供出厂验收报告。</w:t>
      </w:r>
    </w:p>
    <w:p>
      <w:pPr>
        <w:adjustRightInd w:val="0"/>
        <w:snapToGrid w:val="0"/>
        <w:spacing w:line="360" w:lineRule="auto"/>
        <w:ind w:left="420" w:hanging="420" w:hangingChars="200"/>
        <w:rPr>
          <w:rFonts w:ascii="宋体" w:hAnsi="宋体"/>
          <w:color w:val="FF0000"/>
          <w:szCs w:val="21"/>
        </w:rPr>
      </w:pPr>
      <w:r>
        <w:rPr>
          <w:rFonts w:hint="eastAsia" w:ascii="宋体" w:hAnsi="宋体"/>
          <w:szCs w:val="21"/>
        </w:rPr>
        <w:t>3．在设备经过试运转、性能调试、试运行之后，买卖双方对设备性能进行鉴定，符合合同要求，招标人出据验收证明并由中标人确认。验收标准为合同规定的要求和相关标准、中国国家标准、规范以及国际标准和双方认可的标准。</w:t>
      </w: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pStyle w:val="16"/>
        <w:jc w:val="center"/>
        <w:rPr>
          <w:rFonts w:ascii="黑体" w:hAnsi="黑体" w:cs="Times New Roman"/>
          <w:b/>
          <w:bCs/>
          <w:sz w:val="32"/>
          <w:szCs w:val="24"/>
        </w:rPr>
      </w:pPr>
      <w:r>
        <w:rPr>
          <w:rFonts w:hint="eastAsia" w:ascii="黑体" w:hAnsi="黑体" w:cs="Times New Roman"/>
          <w:b/>
          <w:bCs/>
          <w:sz w:val="32"/>
          <w:szCs w:val="24"/>
        </w:rPr>
        <w:t>第六节 质量保证</w:t>
      </w:r>
      <w:bookmarkEnd w:id="6"/>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1. 质保期应为</w:t>
      </w:r>
      <w:r>
        <w:rPr>
          <w:rFonts w:hint="eastAsia"/>
        </w:rPr>
        <w:t>自</w:t>
      </w:r>
      <w:r>
        <w:t>使用之日起</w:t>
      </w:r>
      <w:r>
        <w:rPr>
          <w:rFonts w:hint="eastAsia"/>
        </w:rPr>
        <w:t>12个</w:t>
      </w:r>
      <w:r>
        <w:t>月或到货验收合格后</w:t>
      </w:r>
      <w:r>
        <w:rPr>
          <w:rFonts w:hint="eastAsia"/>
        </w:rPr>
        <w:t>18个</w:t>
      </w:r>
      <w:r>
        <w:t>月，先到为准</w:t>
      </w:r>
      <w:r>
        <w:rPr>
          <w:rFonts w:hint="eastAsia" w:ascii="宋体" w:hAnsi="宋体"/>
          <w:szCs w:val="21"/>
        </w:rPr>
        <w:t>。对由于设计或质量问题而引起的设备故障，中标方应进一步对此负责。专用合同条款对质保有特殊规定的从其规定。</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2. 中标方质保期内应免费对产品进行维修服务，无偿更换零件、部件,更换、维修后的部件质保期从产品正常运行之日起重新计算。</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3. 中标方对设备大修周期、使用寿命及各主要部件的寿命承诺。</w:t>
      </w:r>
    </w:p>
    <w:p>
      <w:pPr>
        <w:pStyle w:val="21"/>
        <w:adjustRightInd w:val="0"/>
        <w:snapToGrid w:val="0"/>
        <w:spacing w:line="360" w:lineRule="auto"/>
        <w:ind w:left="426" w:leftChars="202" w:hanging="2" w:firstLineChars="0"/>
        <w:rPr>
          <w:rFonts w:ascii="宋体" w:hAnsi="宋体"/>
          <w:szCs w:val="21"/>
        </w:rPr>
      </w:pPr>
    </w:p>
    <w:p>
      <w:pPr>
        <w:adjustRightInd w:val="0"/>
        <w:snapToGrid w:val="0"/>
        <w:spacing w:line="360" w:lineRule="auto"/>
        <w:rPr>
          <w:rFonts w:ascii="宋体" w:hAnsi="宋体"/>
          <w:szCs w:val="21"/>
        </w:rPr>
      </w:pPr>
    </w:p>
    <w:p>
      <w:pPr>
        <w:pStyle w:val="16"/>
        <w:jc w:val="center"/>
      </w:pPr>
      <w:r>
        <w:rPr>
          <w:rFonts w:hint="eastAsia" w:ascii="宋体" w:hAnsi="宋体"/>
          <w:szCs w:val="21"/>
        </w:rPr>
        <w:br w:type="page"/>
      </w:r>
      <w:bookmarkStart w:id="7" w:name="_Toc357086148"/>
      <w:r>
        <w:rPr>
          <w:rFonts w:hint="eastAsia" w:ascii="黑体" w:hAnsi="黑体" w:cs="Times New Roman"/>
          <w:b/>
          <w:bCs/>
          <w:sz w:val="32"/>
          <w:szCs w:val="24"/>
        </w:rPr>
        <w:t>第七节 技术资料和图纸</w:t>
      </w:r>
      <w:bookmarkEnd w:id="7"/>
    </w:p>
    <w:p>
      <w:pPr>
        <w:adjustRightInd w:val="0"/>
        <w:snapToGrid w:val="0"/>
        <w:spacing w:before="156" w:beforeLines="50" w:line="360" w:lineRule="auto"/>
        <w:ind w:left="283" w:hanging="283" w:hangingChars="135"/>
        <w:rPr>
          <w:rFonts w:ascii="宋体" w:hAnsi="宋体"/>
          <w:szCs w:val="21"/>
        </w:rPr>
      </w:pP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1. 中标人按规定给招标人提供全面的、详细的技术资料，包括印刷版和电子版的各种图纸、设备使用手册、维修手册、备件手册、配件报价CD光盘，随设备发货或日后提供的目录、图纸、图解说明或电路图必须是清晰易解的。操作手册和维修指南须通俗易懂。备件手册必须将每一部件细化到所有零件，所有零部件必须有统一的采购号或件号等唯一标识号，以便于招标人维护和采购备件。所有外协件的件号必须提供制造商原始件号。所有提供的技术资料手册封面应标明合同号、设备系列号。</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2. 中标人按规定给招标人每台（套）设备提供份技术文件和图纸的副本。其中两份副本包括1份光盘文件将在设备发货前的14天，以特快专递方式寄送给招标人，其他所要求的成套技术文件和图纸将随合同中设备一起发货，招标人有权针对培训目的而额外复制所提供的技术文件与图纸。</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3. 如果中标人交付的技术文件和图纸在运输途中发现不完整、丢失或损坏，中标人在接到招标人索要不完整、丢失或损坏部分的技术文件和图纸的通知后的30天内,应免费向招标人增补丢失或损坏部分的技术文件与图纸。</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4. 中标人有义务对该设备的控制软件、管理软件进行免费升级换代。</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5. 中标人定期对设备进行回访，并对用户提出的问题进行解决。</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6. 中标人要提供下列相关的技术资料及图纸：</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总装图</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设备能力的计算和受力图</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制造标准、防爆标准</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检验标准</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电气原理图和技术说明书</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液压系统图</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配套图</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7. 技术资料与设备同属合同供货范围，如不能按照上述条款交货，将按照推迟合同交货期执行。</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8、投标人提供的上述技术资料必须满足招标人用于标的物维修的需求。</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4AED"/>
    <w:rsid w:val="00007CF3"/>
    <w:rsid w:val="00015381"/>
    <w:rsid w:val="000269A7"/>
    <w:rsid w:val="00034491"/>
    <w:rsid w:val="000349FF"/>
    <w:rsid w:val="00040FAA"/>
    <w:rsid w:val="00046393"/>
    <w:rsid w:val="00062A06"/>
    <w:rsid w:val="00074BAA"/>
    <w:rsid w:val="0008777B"/>
    <w:rsid w:val="00091069"/>
    <w:rsid w:val="000B4A8F"/>
    <w:rsid w:val="000C002E"/>
    <w:rsid w:val="000D5B51"/>
    <w:rsid w:val="000E2AEE"/>
    <w:rsid w:val="000E2AFC"/>
    <w:rsid w:val="000F6D6D"/>
    <w:rsid w:val="000F7B2D"/>
    <w:rsid w:val="0010587E"/>
    <w:rsid w:val="00106631"/>
    <w:rsid w:val="00122AD8"/>
    <w:rsid w:val="00135C44"/>
    <w:rsid w:val="00136D01"/>
    <w:rsid w:val="00142DC8"/>
    <w:rsid w:val="00152AAB"/>
    <w:rsid w:val="00155A24"/>
    <w:rsid w:val="001608A6"/>
    <w:rsid w:val="00162CD6"/>
    <w:rsid w:val="0017236C"/>
    <w:rsid w:val="00173B13"/>
    <w:rsid w:val="00175505"/>
    <w:rsid w:val="001803C1"/>
    <w:rsid w:val="001850ED"/>
    <w:rsid w:val="00187E02"/>
    <w:rsid w:val="001B7AB6"/>
    <w:rsid w:val="001C2A35"/>
    <w:rsid w:val="0020094D"/>
    <w:rsid w:val="00205A97"/>
    <w:rsid w:val="00207DB2"/>
    <w:rsid w:val="00213B0F"/>
    <w:rsid w:val="0022074E"/>
    <w:rsid w:val="0023500D"/>
    <w:rsid w:val="00242593"/>
    <w:rsid w:val="00243118"/>
    <w:rsid w:val="0024361C"/>
    <w:rsid w:val="00247066"/>
    <w:rsid w:val="00254199"/>
    <w:rsid w:val="0025558C"/>
    <w:rsid w:val="002633A5"/>
    <w:rsid w:val="0026397C"/>
    <w:rsid w:val="00264CE1"/>
    <w:rsid w:val="002902C1"/>
    <w:rsid w:val="00292D0F"/>
    <w:rsid w:val="002A0807"/>
    <w:rsid w:val="002A66A5"/>
    <w:rsid w:val="002C2B1B"/>
    <w:rsid w:val="002D5BFD"/>
    <w:rsid w:val="002E17F4"/>
    <w:rsid w:val="002E4385"/>
    <w:rsid w:val="002E5540"/>
    <w:rsid w:val="002E7A80"/>
    <w:rsid w:val="002F5571"/>
    <w:rsid w:val="0030306D"/>
    <w:rsid w:val="003133E1"/>
    <w:rsid w:val="00315A14"/>
    <w:rsid w:val="00324547"/>
    <w:rsid w:val="00324AED"/>
    <w:rsid w:val="003370AA"/>
    <w:rsid w:val="0034154D"/>
    <w:rsid w:val="003417A1"/>
    <w:rsid w:val="00343D04"/>
    <w:rsid w:val="003538D6"/>
    <w:rsid w:val="00355943"/>
    <w:rsid w:val="0035699D"/>
    <w:rsid w:val="0036001B"/>
    <w:rsid w:val="00360513"/>
    <w:rsid w:val="003708D1"/>
    <w:rsid w:val="00375D0E"/>
    <w:rsid w:val="00386656"/>
    <w:rsid w:val="0039671B"/>
    <w:rsid w:val="003974E0"/>
    <w:rsid w:val="003A43AD"/>
    <w:rsid w:val="003B3F9D"/>
    <w:rsid w:val="003D0832"/>
    <w:rsid w:val="003D621C"/>
    <w:rsid w:val="003F38A7"/>
    <w:rsid w:val="003F4CEC"/>
    <w:rsid w:val="003F7253"/>
    <w:rsid w:val="004013AD"/>
    <w:rsid w:val="004021E7"/>
    <w:rsid w:val="00405B14"/>
    <w:rsid w:val="00413602"/>
    <w:rsid w:val="00415933"/>
    <w:rsid w:val="004171CC"/>
    <w:rsid w:val="00424C95"/>
    <w:rsid w:val="004328D4"/>
    <w:rsid w:val="00433399"/>
    <w:rsid w:val="004476E0"/>
    <w:rsid w:val="0045773A"/>
    <w:rsid w:val="00462545"/>
    <w:rsid w:val="0046284D"/>
    <w:rsid w:val="00481D87"/>
    <w:rsid w:val="004842B2"/>
    <w:rsid w:val="004954E0"/>
    <w:rsid w:val="004A5487"/>
    <w:rsid w:val="004C7F2E"/>
    <w:rsid w:val="004D4587"/>
    <w:rsid w:val="004D4F95"/>
    <w:rsid w:val="004E0346"/>
    <w:rsid w:val="004E39A5"/>
    <w:rsid w:val="004E54D6"/>
    <w:rsid w:val="004E5B57"/>
    <w:rsid w:val="004F340D"/>
    <w:rsid w:val="004F3F2B"/>
    <w:rsid w:val="004F5D0C"/>
    <w:rsid w:val="00501850"/>
    <w:rsid w:val="00502BE3"/>
    <w:rsid w:val="005061EF"/>
    <w:rsid w:val="0050670E"/>
    <w:rsid w:val="005210D7"/>
    <w:rsid w:val="005210E1"/>
    <w:rsid w:val="00522FE4"/>
    <w:rsid w:val="00524A09"/>
    <w:rsid w:val="005357F0"/>
    <w:rsid w:val="00543472"/>
    <w:rsid w:val="00564646"/>
    <w:rsid w:val="00567D1F"/>
    <w:rsid w:val="005749E9"/>
    <w:rsid w:val="00581E11"/>
    <w:rsid w:val="00595E43"/>
    <w:rsid w:val="00596F47"/>
    <w:rsid w:val="005A6A5C"/>
    <w:rsid w:val="005B215D"/>
    <w:rsid w:val="005B2F5D"/>
    <w:rsid w:val="005B7C05"/>
    <w:rsid w:val="005C1073"/>
    <w:rsid w:val="005C2EC1"/>
    <w:rsid w:val="005D117A"/>
    <w:rsid w:val="005D32F6"/>
    <w:rsid w:val="005E1806"/>
    <w:rsid w:val="005E2C8D"/>
    <w:rsid w:val="005E5344"/>
    <w:rsid w:val="005F6446"/>
    <w:rsid w:val="005F6C66"/>
    <w:rsid w:val="00604F0E"/>
    <w:rsid w:val="00607817"/>
    <w:rsid w:val="006118E4"/>
    <w:rsid w:val="00616668"/>
    <w:rsid w:val="00644CBA"/>
    <w:rsid w:val="0064539F"/>
    <w:rsid w:val="00656A0D"/>
    <w:rsid w:val="00674855"/>
    <w:rsid w:val="0068763C"/>
    <w:rsid w:val="00695B06"/>
    <w:rsid w:val="006B15E4"/>
    <w:rsid w:val="006B3D97"/>
    <w:rsid w:val="006C2B88"/>
    <w:rsid w:val="006C3017"/>
    <w:rsid w:val="006C3ED5"/>
    <w:rsid w:val="006D271B"/>
    <w:rsid w:val="006D365C"/>
    <w:rsid w:val="006E52DC"/>
    <w:rsid w:val="006E7D92"/>
    <w:rsid w:val="006F7261"/>
    <w:rsid w:val="00713225"/>
    <w:rsid w:val="00723D28"/>
    <w:rsid w:val="0072646E"/>
    <w:rsid w:val="0073246F"/>
    <w:rsid w:val="00734DF3"/>
    <w:rsid w:val="007404F7"/>
    <w:rsid w:val="0074278F"/>
    <w:rsid w:val="00744A3A"/>
    <w:rsid w:val="00765FB3"/>
    <w:rsid w:val="007754E1"/>
    <w:rsid w:val="00782F74"/>
    <w:rsid w:val="00786A40"/>
    <w:rsid w:val="00786E22"/>
    <w:rsid w:val="00790A71"/>
    <w:rsid w:val="00793CD3"/>
    <w:rsid w:val="00796B6E"/>
    <w:rsid w:val="007A37E8"/>
    <w:rsid w:val="007A5778"/>
    <w:rsid w:val="007C39D7"/>
    <w:rsid w:val="007D1C2F"/>
    <w:rsid w:val="007E0282"/>
    <w:rsid w:val="007F0C98"/>
    <w:rsid w:val="0080693E"/>
    <w:rsid w:val="00807102"/>
    <w:rsid w:val="008156D9"/>
    <w:rsid w:val="00821A39"/>
    <w:rsid w:val="00826E8C"/>
    <w:rsid w:val="00826F56"/>
    <w:rsid w:val="0083250C"/>
    <w:rsid w:val="0083563D"/>
    <w:rsid w:val="00843418"/>
    <w:rsid w:val="00845825"/>
    <w:rsid w:val="00847370"/>
    <w:rsid w:val="00853966"/>
    <w:rsid w:val="00855944"/>
    <w:rsid w:val="00875AE0"/>
    <w:rsid w:val="00881676"/>
    <w:rsid w:val="00882500"/>
    <w:rsid w:val="0088601A"/>
    <w:rsid w:val="00890998"/>
    <w:rsid w:val="00897BC6"/>
    <w:rsid w:val="008A6B7C"/>
    <w:rsid w:val="008C2E31"/>
    <w:rsid w:val="008E4684"/>
    <w:rsid w:val="008F6198"/>
    <w:rsid w:val="00905422"/>
    <w:rsid w:val="009054B3"/>
    <w:rsid w:val="0092369C"/>
    <w:rsid w:val="00943FA8"/>
    <w:rsid w:val="0094471E"/>
    <w:rsid w:val="00947716"/>
    <w:rsid w:val="00947E03"/>
    <w:rsid w:val="009547A9"/>
    <w:rsid w:val="009555FC"/>
    <w:rsid w:val="00955A2E"/>
    <w:rsid w:val="0096100E"/>
    <w:rsid w:val="00986153"/>
    <w:rsid w:val="00992860"/>
    <w:rsid w:val="00993163"/>
    <w:rsid w:val="009933CD"/>
    <w:rsid w:val="00996A9F"/>
    <w:rsid w:val="009A1731"/>
    <w:rsid w:val="009A48A0"/>
    <w:rsid w:val="009B7AFD"/>
    <w:rsid w:val="009C560A"/>
    <w:rsid w:val="009D05E6"/>
    <w:rsid w:val="009D16D9"/>
    <w:rsid w:val="009F0088"/>
    <w:rsid w:val="009F700A"/>
    <w:rsid w:val="00A0156C"/>
    <w:rsid w:val="00A1147B"/>
    <w:rsid w:val="00A116B9"/>
    <w:rsid w:val="00A14213"/>
    <w:rsid w:val="00A2367D"/>
    <w:rsid w:val="00A25B21"/>
    <w:rsid w:val="00A3047A"/>
    <w:rsid w:val="00A30913"/>
    <w:rsid w:val="00A329BE"/>
    <w:rsid w:val="00A36918"/>
    <w:rsid w:val="00A41F95"/>
    <w:rsid w:val="00A6162C"/>
    <w:rsid w:val="00A66B6C"/>
    <w:rsid w:val="00A678FB"/>
    <w:rsid w:val="00A67AA5"/>
    <w:rsid w:val="00A8273B"/>
    <w:rsid w:val="00A90896"/>
    <w:rsid w:val="00A9110C"/>
    <w:rsid w:val="00AA1072"/>
    <w:rsid w:val="00AA563E"/>
    <w:rsid w:val="00AB5E04"/>
    <w:rsid w:val="00AB7D21"/>
    <w:rsid w:val="00AB7E73"/>
    <w:rsid w:val="00AC3394"/>
    <w:rsid w:val="00AD68D8"/>
    <w:rsid w:val="00AE2322"/>
    <w:rsid w:val="00AE3F1F"/>
    <w:rsid w:val="00AE53E0"/>
    <w:rsid w:val="00AE66AF"/>
    <w:rsid w:val="00AF260A"/>
    <w:rsid w:val="00B031C1"/>
    <w:rsid w:val="00B03A0D"/>
    <w:rsid w:val="00B045D4"/>
    <w:rsid w:val="00B078AA"/>
    <w:rsid w:val="00B10346"/>
    <w:rsid w:val="00B13B9A"/>
    <w:rsid w:val="00B15920"/>
    <w:rsid w:val="00B1737F"/>
    <w:rsid w:val="00B24159"/>
    <w:rsid w:val="00B246C9"/>
    <w:rsid w:val="00B25F11"/>
    <w:rsid w:val="00B32D7F"/>
    <w:rsid w:val="00B335EE"/>
    <w:rsid w:val="00B42553"/>
    <w:rsid w:val="00B45AE6"/>
    <w:rsid w:val="00B479F5"/>
    <w:rsid w:val="00B615D0"/>
    <w:rsid w:val="00B6712E"/>
    <w:rsid w:val="00B6774C"/>
    <w:rsid w:val="00B73000"/>
    <w:rsid w:val="00B81CAE"/>
    <w:rsid w:val="00B8459D"/>
    <w:rsid w:val="00B93EF8"/>
    <w:rsid w:val="00BA493A"/>
    <w:rsid w:val="00BB3B22"/>
    <w:rsid w:val="00BB3B5C"/>
    <w:rsid w:val="00BC1A1D"/>
    <w:rsid w:val="00BC43AE"/>
    <w:rsid w:val="00BC7C25"/>
    <w:rsid w:val="00BD126A"/>
    <w:rsid w:val="00BD3068"/>
    <w:rsid w:val="00BE1D06"/>
    <w:rsid w:val="00BE71CF"/>
    <w:rsid w:val="00BF1B41"/>
    <w:rsid w:val="00C005E2"/>
    <w:rsid w:val="00C04844"/>
    <w:rsid w:val="00C077D1"/>
    <w:rsid w:val="00C10221"/>
    <w:rsid w:val="00C22C5C"/>
    <w:rsid w:val="00C3204C"/>
    <w:rsid w:val="00C4031E"/>
    <w:rsid w:val="00C4115D"/>
    <w:rsid w:val="00C52F81"/>
    <w:rsid w:val="00C53DAE"/>
    <w:rsid w:val="00C56484"/>
    <w:rsid w:val="00C56E68"/>
    <w:rsid w:val="00C61510"/>
    <w:rsid w:val="00C61BEE"/>
    <w:rsid w:val="00C655FD"/>
    <w:rsid w:val="00C82F57"/>
    <w:rsid w:val="00C87C9F"/>
    <w:rsid w:val="00C904D9"/>
    <w:rsid w:val="00C945CD"/>
    <w:rsid w:val="00CA1942"/>
    <w:rsid w:val="00CA2AAB"/>
    <w:rsid w:val="00CA6ADA"/>
    <w:rsid w:val="00CB68B2"/>
    <w:rsid w:val="00CC186D"/>
    <w:rsid w:val="00CC6272"/>
    <w:rsid w:val="00CD5D1D"/>
    <w:rsid w:val="00CE2302"/>
    <w:rsid w:val="00CE6EE5"/>
    <w:rsid w:val="00CF3036"/>
    <w:rsid w:val="00D04856"/>
    <w:rsid w:val="00D10234"/>
    <w:rsid w:val="00D15AFD"/>
    <w:rsid w:val="00D32C0C"/>
    <w:rsid w:val="00D33006"/>
    <w:rsid w:val="00D404B3"/>
    <w:rsid w:val="00D43F0D"/>
    <w:rsid w:val="00D45A07"/>
    <w:rsid w:val="00D50A55"/>
    <w:rsid w:val="00D93117"/>
    <w:rsid w:val="00D95D3F"/>
    <w:rsid w:val="00DA4732"/>
    <w:rsid w:val="00DB6D4F"/>
    <w:rsid w:val="00DC0DF1"/>
    <w:rsid w:val="00DC42CF"/>
    <w:rsid w:val="00DD144E"/>
    <w:rsid w:val="00DD1B16"/>
    <w:rsid w:val="00DD2888"/>
    <w:rsid w:val="00DD3E50"/>
    <w:rsid w:val="00DE1BDB"/>
    <w:rsid w:val="00DE243A"/>
    <w:rsid w:val="00DF7807"/>
    <w:rsid w:val="00E00421"/>
    <w:rsid w:val="00E050EF"/>
    <w:rsid w:val="00E12326"/>
    <w:rsid w:val="00E12EBD"/>
    <w:rsid w:val="00E12FD1"/>
    <w:rsid w:val="00E17E02"/>
    <w:rsid w:val="00E322AE"/>
    <w:rsid w:val="00E32AB5"/>
    <w:rsid w:val="00E33525"/>
    <w:rsid w:val="00E4526B"/>
    <w:rsid w:val="00E461DF"/>
    <w:rsid w:val="00E62120"/>
    <w:rsid w:val="00E70FE5"/>
    <w:rsid w:val="00E73DE8"/>
    <w:rsid w:val="00E74C50"/>
    <w:rsid w:val="00E8366B"/>
    <w:rsid w:val="00E87313"/>
    <w:rsid w:val="00E87AA5"/>
    <w:rsid w:val="00EA3C6E"/>
    <w:rsid w:val="00EA6792"/>
    <w:rsid w:val="00EB08C9"/>
    <w:rsid w:val="00EB371E"/>
    <w:rsid w:val="00EB74FF"/>
    <w:rsid w:val="00EB7AB9"/>
    <w:rsid w:val="00EC35BC"/>
    <w:rsid w:val="00EC5962"/>
    <w:rsid w:val="00EE23A6"/>
    <w:rsid w:val="00EE66B8"/>
    <w:rsid w:val="00F02E92"/>
    <w:rsid w:val="00F0772A"/>
    <w:rsid w:val="00F15AC7"/>
    <w:rsid w:val="00F16511"/>
    <w:rsid w:val="00F24373"/>
    <w:rsid w:val="00F3355C"/>
    <w:rsid w:val="00F43474"/>
    <w:rsid w:val="00F443AC"/>
    <w:rsid w:val="00F54464"/>
    <w:rsid w:val="00F54953"/>
    <w:rsid w:val="00F76074"/>
    <w:rsid w:val="00F76586"/>
    <w:rsid w:val="00F80CA0"/>
    <w:rsid w:val="00F92D03"/>
    <w:rsid w:val="00FA6B21"/>
    <w:rsid w:val="00FB3542"/>
    <w:rsid w:val="00FC6B4B"/>
    <w:rsid w:val="00FD2101"/>
    <w:rsid w:val="00FD776B"/>
    <w:rsid w:val="00FE5241"/>
    <w:rsid w:val="00FF6988"/>
    <w:rsid w:val="01352639"/>
    <w:rsid w:val="032C7BEE"/>
    <w:rsid w:val="0AE23264"/>
    <w:rsid w:val="0E0E4E8F"/>
    <w:rsid w:val="0FE9769F"/>
    <w:rsid w:val="10366A3B"/>
    <w:rsid w:val="103B2A6B"/>
    <w:rsid w:val="1156692C"/>
    <w:rsid w:val="128C571B"/>
    <w:rsid w:val="164B2C0E"/>
    <w:rsid w:val="170D1557"/>
    <w:rsid w:val="17A07254"/>
    <w:rsid w:val="17F37B0A"/>
    <w:rsid w:val="186D706A"/>
    <w:rsid w:val="1914465A"/>
    <w:rsid w:val="19A80CD3"/>
    <w:rsid w:val="1B0E3130"/>
    <w:rsid w:val="1E173A4A"/>
    <w:rsid w:val="200A2ECD"/>
    <w:rsid w:val="220835A1"/>
    <w:rsid w:val="22D7185B"/>
    <w:rsid w:val="25787B01"/>
    <w:rsid w:val="283D13B0"/>
    <w:rsid w:val="287E5CAF"/>
    <w:rsid w:val="2AD05C8C"/>
    <w:rsid w:val="2BCB7EF3"/>
    <w:rsid w:val="2CCC0454"/>
    <w:rsid w:val="2D433C60"/>
    <w:rsid w:val="2F050DB9"/>
    <w:rsid w:val="2F051211"/>
    <w:rsid w:val="30160C31"/>
    <w:rsid w:val="30572D62"/>
    <w:rsid w:val="31030EAB"/>
    <w:rsid w:val="31A03AFB"/>
    <w:rsid w:val="346404A8"/>
    <w:rsid w:val="34D15C90"/>
    <w:rsid w:val="34DA61F1"/>
    <w:rsid w:val="34DB2932"/>
    <w:rsid w:val="360E56E7"/>
    <w:rsid w:val="37ED77D2"/>
    <w:rsid w:val="382B39A7"/>
    <w:rsid w:val="392F0850"/>
    <w:rsid w:val="3B4349F5"/>
    <w:rsid w:val="3C987068"/>
    <w:rsid w:val="3D873BAB"/>
    <w:rsid w:val="401678AC"/>
    <w:rsid w:val="414E3053"/>
    <w:rsid w:val="41BA4590"/>
    <w:rsid w:val="449C3F9C"/>
    <w:rsid w:val="45FB7E08"/>
    <w:rsid w:val="46D81876"/>
    <w:rsid w:val="47460E4A"/>
    <w:rsid w:val="47470940"/>
    <w:rsid w:val="49D35EA9"/>
    <w:rsid w:val="49E736D5"/>
    <w:rsid w:val="4A2709F4"/>
    <w:rsid w:val="4B3F1D0C"/>
    <w:rsid w:val="4D460BC8"/>
    <w:rsid w:val="4E0258EE"/>
    <w:rsid w:val="4EB358CC"/>
    <w:rsid w:val="4ECF2B17"/>
    <w:rsid w:val="4FBA136C"/>
    <w:rsid w:val="50A12803"/>
    <w:rsid w:val="527F1C02"/>
    <w:rsid w:val="536A4242"/>
    <w:rsid w:val="55FE6D37"/>
    <w:rsid w:val="58532609"/>
    <w:rsid w:val="5A381E5C"/>
    <w:rsid w:val="5B030454"/>
    <w:rsid w:val="5BD21A1F"/>
    <w:rsid w:val="60F963F6"/>
    <w:rsid w:val="610332EA"/>
    <w:rsid w:val="6158380E"/>
    <w:rsid w:val="61D36B29"/>
    <w:rsid w:val="627F5484"/>
    <w:rsid w:val="63FD4E5C"/>
    <w:rsid w:val="672E246E"/>
    <w:rsid w:val="694F6606"/>
    <w:rsid w:val="69892025"/>
    <w:rsid w:val="6A9E7168"/>
    <w:rsid w:val="6E9741C2"/>
    <w:rsid w:val="6F0D32D2"/>
    <w:rsid w:val="72D026F1"/>
    <w:rsid w:val="74DD2205"/>
    <w:rsid w:val="7553641D"/>
    <w:rsid w:val="761F5AC8"/>
    <w:rsid w:val="76A62E2E"/>
    <w:rsid w:val="780749CC"/>
    <w:rsid w:val="7A855F5E"/>
    <w:rsid w:val="7B264CCC"/>
    <w:rsid w:val="7BCE1A0A"/>
    <w:rsid w:val="7C0644AA"/>
    <w:rsid w:val="7CD53B3E"/>
    <w:rsid w:val="7D1D501D"/>
    <w:rsid w:val="7D837D9C"/>
    <w:rsid w:val="7F5063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1">
    <w:name w:val="Default Paragraph Font"/>
    <w:unhideWhenUsed/>
    <w:qFormat/>
    <w:uiPriority w:val="1"/>
  </w:style>
  <w:style w:type="table" w:default="1" w:styleId="14">
    <w:name w:val="Normal Table"/>
    <w:unhideWhenUsed/>
    <w:qFormat/>
    <w:uiPriority w:val="99"/>
    <w:tblPr>
      <w:tblLayout w:type="fixed"/>
      <w:tblCellMar>
        <w:top w:w="0" w:type="dxa"/>
        <w:left w:w="108" w:type="dxa"/>
        <w:bottom w:w="0" w:type="dxa"/>
        <w:right w:w="108" w:type="dxa"/>
      </w:tblCellMar>
    </w:tblPr>
  </w:style>
  <w:style w:type="paragraph" w:styleId="4">
    <w:name w:val="annotation subject"/>
    <w:basedOn w:val="5"/>
    <w:next w:val="5"/>
    <w:link w:val="26"/>
    <w:unhideWhenUsed/>
    <w:qFormat/>
    <w:uiPriority w:val="99"/>
    <w:rPr>
      <w:b/>
      <w:bCs/>
    </w:rPr>
  </w:style>
  <w:style w:type="paragraph" w:styleId="5">
    <w:name w:val="annotation text"/>
    <w:basedOn w:val="1"/>
    <w:link w:val="25"/>
    <w:unhideWhenUsed/>
    <w:qFormat/>
    <w:uiPriority w:val="99"/>
    <w:pPr>
      <w:jc w:val="left"/>
    </w:pPr>
  </w:style>
  <w:style w:type="paragraph" w:styleId="6">
    <w:name w:val="Body Text"/>
    <w:basedOn w:val="1"/>
    <w:link w:val="20"/>
    <w:qFormat/>
    <w:uiPriority w:val="0"/>
    <w:pPr>
      <w:spacing w:after="120"/>
    </w:pPr>
  </w:style>
  <w:style w:type="paragraph" w:styleId="7">
    <w:name w:val="Balloon Text"/>
    <w:basedOn w:val="1"/>
    <w:link w:val="27"/>
    <w:unhideWhenUsed/>
    <w:qFormat/>
    <w:uiPriority w:val="99"/>
    <w:rPr>
      <w:sz w:val="18"/>
      <w:szCs w:val="18"/>
    </w:rPr>
  </w:style>
  <w:style w:type="paragraph" w:styleId="8">
    <w:name w:val="footer"/>
    <w:basedOn w:val="1"/>
    <w:link w:val="24"/>
    <w:unhideWhenUsed/>
    <w:qFormat/>
    <w:uiPriority w:val="99"/>
    <w:pPr>
      <w:tabs>
        <w:tab w:val="center" w:pos="4153"/>
        <w:tab w:val="right" w:pos="8306"/>
      </w:tabs>
      <w:snapToGrid w:val="0"/>
      <w:jc w:val="left"/>
    </w:pPr>
    <w:rPr>
      <w:sz w:val="18"/>
      <w:szCs w:val="18"/>
    </w:rPr>
  </w:style>
  <w:style w:type="paragraph" w:styleId="9">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17"/>
    <w:qFormat/>
    <w:uiPriority w:val="0"/>
    <w:pPr>
      <w:snapToGrid w:val="0"/>
      <w:jc w:val="left"/>
    </w:pPr>
    <w:rPr>
      <w:sz w:val="18"/>
      <w:szCs w:val="18"/>
    </w:rPr>
  </w:style>
  <w:style w:type="character" w:styleId="12">
    <w:name w:val="annotation reference"/>
    <w:basedOn w:val="11"/>
    <w:unhideWhenUsed/>
    <w:qFormat/>
    <w:uiPriority w:val="99"/>
    <w:rPr>
      <w:sz w:val="21"/>
      <w:szCs w:val="21"/>
    </w:rPr>
  </w:style>
  <w:style w:type="character" w:styleId="13">
    <w:name w:val="footnote reference"/>
    <w:qFormat/>
    <w:uiPriority w:val="0"/>
    <w:rPr>
      <w:vertAlign w:val="superscript"/>
    </w:rPr>
  </w:style>
  <w:style w:type="character" w:customStyle="1" w:styleId="15">
    <w:name w:val="标题 1 Char"/>
    <w:basedOn w:val="11"/>
    <w:link w:val="2"/>
    <w:qFormat/>
    <w:uiPriority w:val="0"/>
    <w:rPr>
      <w:rFonts w:ascii="Times New Roman" w:hAnsi="Times New Roman" w:eastAsia="宋体" w:cs="Times New Roman"/>
      <w:b/>
      <w:bCs/>
      <w:kern w:val="44"/>
      <w:sz w:val="44"/>
      <w:szCs w:val="44"/>
    </w:rPr>
  </w:style>
  <w:style w:type="paragraph" w:customStyle="1" w:styleId="16">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sz w:val="28"/>
      <w:szCs w:val="20"/>
    </w:rPr>
  </w:style>
  <w:style w:type="character" w:customStyle="1" w:styleId="17">
    <w:name w:val="脚注文本 Char"/>
    <w:basedOn w:val="11"/>
    <w:link w:val="10"/>
    <w:qFormat/>
    <w:uiPriority w:val="0"/>
    <w:rPr>
      <w:rFonts w:ascii="Times New Roman" w:hAnsi="Times New Roman" w:eastAsia="宋体" w:cs="Times New Roman"/>
      <w:sz w:val="18"/>
      <w:szCs w:val="18"/>
    </w:rPr>
  </w:style>
  <w:style w:type="character" w:customStyle="1" w:styleId="18">
    <w:name w:val="标题 2 Char"/>
    <w:basedOn w:val="11"/>
    <w:link w:val="3"/>
    <w:semiHidden/>
    <w:qFormat/>
    <w:uiPriority w:val="9"/>
    <w:rPr>
      <w:rFonts w:asciiTheme="majorHAnsi" w:hAnsiTheme="majorHAnsi" w:eastAsiaTheme="majorEastAsia" w:cstheme="majorBidi"/>
      <w:b/>
      <w:bCs/>
      <w:sz w:val="32"/>
      <w:szCs w:val="32"/>
    </w:rPr>
  </w:style>
  <w:style w:type="paragraph" w:customStyle="1" w:styleId="19">
    <w:name w:val="普通 (Web)"/>
    <w:qFormat/>
    <w:uiPriority w:val="0"/>
    <w:pPr>
      <w:spacing w:before="100" w:after="100"/>
    </w:pPr>
    <w:rPr>
      <w:rFonts w:ascii="宋体" w:hAnsi="Times New Roman" w:eastAsia="宋体" w:cs="Times New Roman"/>
      <w:kern w:val="0"/>
      <w:sz w:val="24"/>
      <w:szCs w:val="20"/>
      <w:lang w:val="en-US" w:eastAsia="zh-CN" w:bidi="ar-SA"/>
    </w:rPr>
  </w:style>
  <w:style w:type="character" w:customStyle="1" w:styleId="20">
    <w:name w:val="正文文本 Char"/>
    <w:basedOn w:val="11"/>
    <w:link w:val="6"/>
    <w:qFormat/>
    <w:uiPriority w:val="0"/>
    <w:rPr>
      <w:rFonts w:ascii="Times New Roman" w:hAnsi="Times New Roman" w:eastAsia="宋体" w:cs="Times New Roman"/>
      <w:szCs w:val="24"/>
    </w:rPr>
  </w:style>
  <w:style w:type="paragraph" w:customStyle="1" w:styleId="21">
    <w:name w:val="List Paragraph"/>
    <w:qFormat/>
    <w:uiPriority w:val="34"/>
    <w:pPr>
      <w:widowControl w:val="0"/>
      <w:ind w:firstLine="200" w:firstLineChars="200"/>
      <w:jc w:val="both"/>
    </w:pPr>
    <w:rPr>
      <w:rFonts w:ascii="Calibri" w:hAnsi="Calibri" w:eastAsia="宋体" w:cs="Times New Roman"/>
      <w:kern w:val="2"/>
      <w:sz w:val="21"/>
      <w:szCs w:val="22"/>
      <w:lang w:val="en-US" w:eastAsia="zh-CN" w:bidi="ar-SA"/>
    </w:rPr>
  </w:style>
  <w:style w:type="paragraph" w:customStyle="1" w:styleId="22">
    <w:name w:val="样式"/>
    <w:qFormat/>
    <w:uiPriority w:val="0"/>
    <w:pPr>
      <w:widowControl w:val="0"/>
      <w:adjustRightInd w:val="0"/>
      <w:spacing w:line="360" w:lineRule="auto"/>
      <w:ind w:firstLine="482"/>
      <w:jc w:val="both"/>
      <w:textAlignment w:val="baseline"/>
    </w:pPr>
    <w:rPr>
      <w:rFonts w:ascii="Times New Roman" w:hAnsi="Times New Roman" w:eastAsia="宋体" w:cs="Times New Roman"/>
      <w:kern w:val="0"/>
      <w:sz w:val="24"/>
      <w:szCs w:val="20"/>
      <w:lang w:val="en-US" w:eastAsia="zh-CN" w:bidi="ar-SA"/>
    </w:rPr>
  </w:style>
  <w:style w:type="character" w:customStyle="1" w:styleId="23">
    <w:name w:val="页眉 Char"/>
    <w:basedOn w:val="11"/>
    <w:link w:val="9"/>
    <w:qFormat/>
    <w:uiPriority w:val="99"/>
    <w:rPr>
      <w:rFonts w:ascii="Times New Roman" w:hAnsi="Times New Roman" w:eastAsia="宋体" w:cs="Times New Roman"/>
      <w:sz w:val="18"/>
      <w:szCs w:val="18"/>
    </w:rPr>
  </w:style>
  <w:style w:type="character" w:customStyle="1" w:styleId="24">
    <w:name w:val="页脚 Char"/>
    <w:basedOn w:val="11"/>
    <w:link w:val="8"/>
    <w:qFormat/>
    <w:uiPriority w:val="99"/>
    <w:rPr>
      <w:rFonts w:ascii="Times New Roman" w:hAnsi="Times New Roman" w:eastAsia="宋体" w:cs="Times New Roman"/>
      <w:sz w:val="18"/>
      <w:szCs w:val="18"/>
    </w:rPr>
  </w:style>
  <w:style w:type="character" w:customStyle="1" w:styleId="25">
    <w:name w:val="批注文字 Char"/>
    <w:basedOn w:val="11"/>
    <w:link w:val="5"/>
    <w:semiHidden/>
    <w:qFormat/>
    <w:uiPriority w:val="99"/>
    <w:rPr>
      <w:rFonts w:ascii="Times New Roman" w:hAnsi="Times New Roman" w:eastAsia="宋体" w:cs="Times New Roman"/>
      <w:szCs w:val="24"/>
    </w:rPr>
  </w:style>
  <w:style w:type="character" w:customStyle="1" w:styleId="26">
    <w:name w:val="批注主题 Char"/>
    <w:basedOn w:val="25"/>
    <w:link w:val="4"/>
    <w:semiHidden/>
    <w:qFormat/>
    <w:uiPriority w:val="99"/>
    <w:rPr>
      <w:rFonts w:ascii="Times New Roman" w:hAnsi="Times New Roman" w:eastAsia="宋体" w:cs="Times New Roman"/>
      <w:b/>
      <w:bCs/>
      <w:szCs w:val="24"/>
    </w:rPr>
  </w:style>
  <w:style w:type="character" w:customStyle="1" w:styleId="27">
    <w:name w:val="批注框文本 Char"/>
    <w:basedOn w:val="11"/>
    <w:link w:val="7"/>
    <w:semiHidden/>
    <w:qFormat/>
    <w:uiPriority w:val="99"/>
    <w:rPr>
      <w:rFonts w:ascii="Times New Roman" w:hAnsi="Times New Roman" w:eastAsia="宋体" w:cs="Times New Roman"/>
      <w:sz w:val="18"/>
      <w:szCs w:val="18"/>
    </w:rPr>
  </w:style>
  <w:style w:type="paragraph" w:customStyle="1" w:styleId="28">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CC6AC6-46FA-4B8D-8C53-C17118662245}">
  <ds:schemaRefs/>
</ds:datastoreItem>
</file>

<file path=docProps/app.xml><?xml version="1.0" encoding="utf-8"?>
<Properties xmlns="http://schemas.openxmlformats.org/officeDocument/2006/extended-properties" xmlns:vt="http://schemas.openxmlformats.org/officeDocument/2006/docPropsVTypes">
  <Template>Normal</Template>
  <Pages>14</Pages>
  <Words>1183</Words>
  <Characters>6747</Characters>
  <Lines>56</Lines>
  <Paragraphs>15</Paragraphs>
  <TotalTime>2</TotalTime>
  <ScaleCrop>false</ScaleCrop>
  <LinksUpToDate>false</LinksUpToDate>
  <CharactersWithSpaces>7915</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2015-11-13T01:35:00Z</dcterms:created>
  <dc:creator>qzy3472</dc:creator>
  <cp:lastModifiedBy>%E7%8E%8B%E4%BF%8A%E5%B3%B0</cp:lastModifiedBy>
  <cp:lastPrinted>2018-02-07T08:52:00Z</cp:lastPrinted>
  <dcterms:modified xsi:type="dcterms:W3CDTF">2019-02-27T23:50:39Z</dcterms:modified>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