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pPr>
      <w:r>
        <w:rPr>
          <w:rFonts w:hint="eastAsia" w:ascii="宋体"/>
          <w:sz w:val="24"/>
        </w:rPr>
        <w:t>第七节  技术资料和图纸</w:t>
      </w:r>
      <w:bookmarkStart w:id="0" w:name="_Toc357082526"/>
      <w:bookmarkStart w:id="1" w:name="_Toc356204538"/>
    </w:p>
    <w:p>
      <w:pPr>
        <w:widowControl/>
        <w:jc w:val="left"/>
      </w:pP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一、货物需求一览表</w:t>
      </w:r>
    </w:p>
    <w:tbl>
      <w:tblPr>
        <w:tblStyle w:val="14"/>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134"/>
        <w:gridCol w:w="709"/>
        <w:gridCol w:w="850"/>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参考型号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研磨机（粉碎机）</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7</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w:t>
            </w:r>
            <w:r>
              <w:rPr>
                <w:rFonts w:ascii="宋体" w:hAnsi="宋体"/>
                <w:szCs w:val="21"/>
              </w:rPr>
              <w:t>45</w:t>
            </w:r>
            <w:r>
              <w:rPr>
                <w:rFonts w:hint="eastAsia" w:ascii="宋体" w:hAnsi="宋体"/>
                <w:szCs w:val="21"/>
              </w:rPr>
              <w:t>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检测公司</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附属设备</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7</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7</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6</w:t>
            </w:r>
            <w:r>
              <w:rPr>
                <w:rFonts w:ascii="宋体" w:hAnsi="宋体"/>
                <w:szCs w:val="21"/>
              </w:rPr>
              <w:t xml:space="preserve"> </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312" w:beforeLines="100" w:line="360" w:lineRule="auto"/>
        <w:jc w:val="center"/>
        <w:rPr>
          <w:b/>
          <w:szCs w:val="21"/>
        </w:rPr>
      </w:pPr>
      <w:r>
        <w:rPr>
          <w:rFonts w:hint="eastAsia"/>
          <w:b/>
          <w:szCs w:val="21"/>
        </w:rPr>
        <w:t>分项报价表</w:t>
      </w:r>
    </w:p>
    <w:tbl>
      <w:tblPr>
        <w:tblStyle w:val="14"/>
        <w:tblW w:w="78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295"/>
        <w:gridCol w:w="900"/>
        <w:gridCol w:w="1499"/>
        <w:gridCol w:w="1199"/>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704"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2295"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900"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1499"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199"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226" w:type="dxa"/>
            <w:vAlign w:val="center"/>
          </w:tcPr>
          <w:p>
            <w:pPr>
              <w:widowControl/>
              <w:jc w:val="center"/>
              <w:rPr>
                <w:rFonts w:ascii="宋体" w:cs="宋体"/>
                <w:b/>
                <w:kern w:val="0"/>
                <w:szCs w:val="21"/>
              </w:rPr>
            </w:pPr>
            <w:r>
              <w:rPr>
                <w:rFonts w:hint="eastAsia" w:ascii="宋体" w:hAnsi="宋体" w:cs="宋体"/>
                <w:b/>
                <w:kern w:val="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1</w:t>
            </w:r>
          </w:p>
        </w:tc>
        <w:tc>
          <w:tcPr>
            <w:tcW w:w="229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b/>
                <w:color w:val="FF0000"/>
                <w:szCs w:val="21"/>
              </w:rPr>
            </w:pPr>
            <w:r>
              <w:rPr>
                <w:rFonts w:hint="eastAsia" w:ascii="宋体" w:hAnsi="宋体"/>
                <w:szCs w:val="21"/>
                <w:lang w:val="en-US" w:eastAsia="zh-CN"/>
              </w:rPr>
              <w:t>研磨机（粉碎机）</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b/>
                <w:szCs w:val="21"/>
              </w:rPr>
            </w:pPr>
            <w:r>
              <w:rPr>
                <w:rFonts w:hint="eastAsia" w:ascii="宋体" w:hAnsi="宋体" w:cs="宋体"/>
                <w:szCs w:val="21"/>
              </w:rPr>
              <w:t>台</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eastAsia="宋体" w:cs="宋体"/>
                <w:kern w:val="0"/>
                <w:szCs w:val="21"/>
                <w:lang w:eastAsia="zh-CN"/>
              </w:rPr>
            </w:pPr>
            <w:r>
              <w:rPr>
                <w:rFonts w:hint="eastAsia" w:ascii="宋体" w:cs="宋体"/>
                <w:kern w:val="0"/>
                <w:szCs w:val="21"/>
                <w:lang w:val="en-US" w:eastAsia="zh-CN"/>
              </w:rPr>
              <w:t>7</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p>
        </w:tc>
        <w:tc>
          <w:tcPr>
            <w:tcW w:w="229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hAnsi="宋体" w:cs="宋体"/>
                <w:bCs/>
                <w:szCs w:val="21"/>
              </w:rPr>
              <w:t>每台包括：</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1.1</w:t>
            </w:r>
          </w:p>
        </w:tc>
        <w:tc>
          <w:tcPr>
            <w:tcW w:w="229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szCs w:val="21"/>
              </w:rPr>
            </w:pPr>
            <w:r>
              <w:rPr>
                <w:rFonts w:hint="eastAsia" w:ascii="宋体" w:hAnsi="宋体" w:cs="宋体"/>
                <w:bCs/>
                <w:sz w:val="21"/>
                <w:szCs w:val="21"/>
              </w:rPr>
              <w:t>电机偏心锤</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1.2</w:t>
            </w:r>
          </w:p>
        </w:tc>
        <w:tc>
          <w:tcPr>
            <w:tcW w:w="229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szCs w:val="21"/>
              </w:rPr>
            </w:pPr>
            <w:r>
              <w:rPr>
                <w:rFonts w:hint="eastAsia" w:ascii="宋体" w:hAnsi="宋体" w:cs="宋体"/>
                <w:bCs/>
                <w:sz w:val="21"/>
                <w:szCs w:val="21"/>
              </w:rPr>
              <w:t>粉碎装置</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1.3</w:t>
            </w:r>
          </w:p>
        </w:tc>
        <w:tc>
          <w:tcPr>
            <w:tcW w:w="229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szCs w:val="21"/>
              </w:rPr>
            </w:pPr>
            <w:r>
              <w:rPr>
                <w:rFonts w:hint="eastAsia" w:ascii="宋体" w:hAnsi="宋体" w:cs="宋体"/>
                <w:bCs/>
                <w:sz w:val="21"/>
                <w:szCs w:val="21"/>
              </w:rPr>
              <w:t>压紧装置</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1.4</w:t>
            </w:r>
          </w:p>
        </w:tc>
        <w:tc>
          <w:tcPr>
            <w:tcW w:w="229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szCs w:val="21"/>
              </w:rPr>
            </w:pPr>
            <w:r>
              <w:rPr>
                <w:rFonts w:hint="eastAsia" w:ascii="宋体" w:hAnsi="宋体" w:cs="宋体"/>
                <w:bCs/>
                <w:sz w:val="21"/>
                <w:szCs w:val="21"/>
              </w:rPr>
              <w:t>机架</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1.5</w:t>
            </w:r>
          </w:p>
        </w:tc>
        <w:tc>
          <w:tcPr>
            <w:tcW w:w="229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szCs w:val="21"/>
              </w:rPr>
            </w:pPr>
            <w:r>
              <w:rPr>
                <w:rFonts w:hint="eastAsia" w:ascii="宋体" w:hAnsi="宋体" w:cs="宋体"/>
                <w:bCs/>
                <w:sz w:val="21"/>
                <w:szCs w:val="21"/>
              </w:rPr>
              <w:t>机壳</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hAnsi="宋体" w:cs="宋体"/>
                <w:szCs w:val="21"/>
              </w:rPr>
              <w:t>1.6</w:t>
            </w:r>
          </w:p>
        </w:tc>
        <w:tc>
          <w:tcPr>
            <w:tcW w:w="229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cs="宋体"/>
                <w:kern w:val="0"/>
                <w:szCs w:val="21"/>
                <w:lang w:eastAsia="zh-CN"/>
              </w:rPr>
              <w:t>数显控制面板</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szCs w:val="21"/>
              </w:rPr>
            </w:pPr>
            <w:r>
              <w:rPr>
                <w:rFonts w:hint="eastAsia" w:ascii="宋体" w:cs="宋体"/>
                <w:kern w:val="0"/>
                <w:szCs w:val="21"/>
                <w:lang w:eastAsia="zh-CN"/>
              </w:rPr>
              <w:t>个</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cs="宋体"/>
                <w:kern w:val="0"/>
                <w:szCs w:val="21"/>
                <w:lang w:val="en-US" w:eastAsia="zh-CN"/>
              </w:rPr>
              <w:t>5</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eastAsia="宋体" w:cs="宋体"/>
                <w:kern w:val="0"/>
                <w:szCs w:val="21"/>
                <w:lang w:val="en-US" w:eastAsia="zh-CN"/>
              </w:rPr>
            </w:pPr>
            <w:r>
              <w:rPr>
                <w:rFonts w:hint="eastAsia" w:ascii="宋体" w:cs="宋体"/>
                <w:kern w:val="0"/>
                <w:szCs w:val="21"/>
                <w:lang w:val="en-US" w:eastAsia="zh-CN"/>
              </w:rPr>
              <w:t>1.7</w:t>
            </w:r>
          </w:p>
        </w:tc>
        <w:tc>
          <w:tcPr>
            <w:tcW w:w="22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eastAsia="宋体" w:cs="宋体"/>
                <w:kern w:val="0"/>
                <w:szCs w:val="21"/>
                <w:lang w:eastAsia="zh-CN"/>
              </w:rPr>
            </w:pPr>
            <w:r>
              <w:rPr>
                <w:rFonts w:hint="eastAsia"/>
                <w:sz w:val="21"/>
                <w:szCs w:val="21"/>
                <w:highlight w:val="none"/>
              </w:rPr>
              <w:t>研磨料鉢</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eastAsia="宋体" w:cs="宋体"/>
                <w:kern w:val="0"/>
                <w:szCs w:val="21"/>
                <w:lang w:eastAsia="zh-CN"/>
              </w:rPr>
            </w:pPr>
            <w:r>
              <w:rPr>
                <w:rFonts w:hint="eastAsia" w:ascii="宋体" w:cs="宋体"/>
                <w:kern w:val="0"/>
                <w:szCs w:val="21"/>
                <w:lang w:eastAsia="zh-CN"/>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eastAsia="宋体" w:cs="宋体"/>
                <w:kern w:val="0"/>
                <w:szCs w:val="21"/>
                <w:lang w:val="en-US" w:eastAsia="zh-CN"/>
              </w:rPr>
            </w:pPr>
            <w:r>
              <w:rPr>
                <w:rFonts w:hint="eastAsia" w:ascii="宋体" w:cs="宋体"/>
                <w:kern w:val="0"/>
                <w:szCs w:val="21"/>
                <w:lang w:val="en-US" w:eastAsia="zh-CN"/>
              </w:rPr>
              <w:t>2</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1.8</w:t>
            </w:r>
          </w:p>
        </w:tc>
        <w:tc>
          <w:tcPr>
            <w:tcW w:w="229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left"/>
              <w:rPr>
                <w:rFonts w:ascii="宋体" w:hAnsi="宋体" w:cs="宋体"/>
                <w:kern w:val="0"/>
                <w:szCs w:val="21"/>
              </w:rPr>
            </w:pPr>
            <w:r>
              <w:rPr>
                <w:rFonts w:ascii="宋体" w:hAnsi="宋体"/>
                <w:szCs w:val="21"/>
              </w:rPr>
              <w:t>技术资料</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cs="宋体"/>
                <w:kern w:val="0"/>
                <w:szCs w:val="21"/>
                <w:lang w:eastAsia="zh-CN"/>
              </w:rPr>
            </w:pPr>
            <w:r>
              <w:rPr>
                <w:rFonts w:hint="eastAsia" w:ascii="宋体" w:hAnsi="宋体"/>
                <w:szCs w:val="21"/>
              </w:rPr>
              <w:t>套/台</w:t>
            </w:r>
          </w:p>
        </w:tc>
        <w:tc>
          <w:tcPr>
            <w:tcW w:w="149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cs="宋体"/>
                <w:kern w:val="0"/>
                <w:szCs w:val="21"/>
                <w:lang w:val="en-US" w:eastAsia="zh-CN"/>
              </w:rPr>
            </w:pPr>
            <w:r>
              <w:rPr>
                <w:rFonts w:hint="eastAsia" w:ascii="宋体" w:hAnsi="宋体"/>
                <w:szCs w:val="21"/>
              </w:rPr>
              <w:t>6</w:t>
            </w:r>
            <w:r>
              <w:rPr>
                <w:rFonts w:ascii="宋体" w:hAnsi="宋体"/>
                <w:szCs w:val="21"/>
              </w:rPr>
              <w:t xml:space="preserve"> </w:t>
            </w:r>
          </w:p>
        </w:tc>
        <w:tc>
          <w:tcPr>
            <w:tcW w:w="119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 xml:space="preserve">   +40℃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   -30℃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 xml:space="preserve">  +15℃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zCs w:val="21"/>
          <w:u w:val="single"/>
        </w:rPr>
        <w:t xml:space="preserve">  95％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 xml:space="preserve">     7级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w:t>
      </w:r>
      <w:r>
        <w:rPr>
          <w:rFonts w:hint="eastAsia" w:ascii="宋体" w:hAnsi="宋体"/>
          <w:szCs w:val="21"/>
          <w:u w:val="single"/>
        </w:rPr>
        <w:t xml:space="preserve">   ≤1400m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其它：</w:t>
      </w:r>
      <w:r>
        <w:rPr>
          <w:rFonts w:hint="eastAsia" w:ascii="宋体" w:hAnsi="宋体"/>
          <w:szCs w:val="21"/>
          <w:u w:val="single"/>
        </w:rPr>
        <w:t xml:space="preserve">                  </w:t>
      </w:r>
      <w:r>
        <w:rPr>
          <w:rFonts w:hint="eastAsia" w:ascii="宋体" w:hAnsi="宋体"/>
          <w:szCs w:val="21"/>
        </w:rPr>
        <w:t>。</w:t>
      </w:r>
    </w:p>
    <w:p>
      <w:pPr>
        <w:adjustRightInd w:val="0"/>
        <w:snapToGrid w:val="0"/>
        <w:spacing w:before="312" w:beforeLines="100" w:after="312" w:afterLines="100" w:line="360" w:lineRule="auto"/>
        <w:rPr>
          <w:b/>
          <w:szCs w:val="21"/>
        </w:rPr>
      </w:pPr>
      <w:r>
        <w:rPr>
          <w:rFonts w:hint="eastAsia"/>
          <w:b/>
          <w:szCs w:val="21"/>
        </w:rPr>
        <w:t>三、技术参数及要求</w:t>
      </w:r>
    </w:p>
    <w:p>
      <w:pPr>
        <w:pStyle w:val="19"/>
        <w:tabs>
          <w:tab w:val="left" w:pos="1290"/>
          <w:tab w:val="left" w:pos="1680"/>
        </w:tabs>
        <w:adjustRightInd w:val="0"/>
        <w:snapToGrid w:val="0"/>
        <w:spacing w:line="360" w:lineRule="auto"/>
        <w:rPr>
          <w:sz w:val="21"/>
          <w:szCs w:val="21"/>
          <w:highlight w:val="none"/>
        </w:rPr>
      </w:pPr>
      <w:r>
        <w:rPr>
          <w:sz w:val="21"/>
          <w:szCs w:val="21"/>
          <w:highlight w:val="none"/>
        </w:rPr>
        <w:t>1.</w:t>
      </w:r>
      <w:r>
        <w:rPr>
          <w:rFonts w:hint="eastAsia"/>
          <w:sz w:val="21"/>
          <w:szCs w:val="21"/>
          <w:highlight w:val="none"/>
        </w:rPr>
        <w:t xml:space="preserve"> </w:t>
      </w:r>
      <w:r>
        <w:rPr>
          <w:sz w:val="21"/>
          <w:szCs w:val="21"/>
          <w:highlight w:val="none"/>
        </w:rPr>
        <w:t>技术</w:t>
      </w:r>
      <w:r>
        <w:rPr>
          <w:rFonts w:hint="eastAsia"/>
          <w:sz w:val="21"/>
          <w:szCs w:val="21"/>
          <w:highlight w:val="none"/>
        </w:rPr>
        <w:t>参数</w:t>
      </w:r>
    </w:p>
    <w:p>
      <w:pPr>
        <w:pStyle w:val="19"/>
        <w:tabs>
          <w:tab w:val="left" w:pos="1290"/>
          <w:tab w:val="left" w:pos="1680"/>
        </w:tabs>
        <w:adjustRightInd w:val="0"/>
        <w:snapToGrid w:val="0"/>
        <w:spacing w:line="360" w:lineRule="auto"/>
        <w:rPr>
          <w:rFonts w:hint="eastAsia"/>
          <w:sz w:val="21"/>
          <w:szCs w:val="21"/>
          <w:highlight w:val="none"/>
        </w:rPr>
      </w:pPr>
      <w:r>
        <w:rPr>
          <w:rFonts w:hint="eastAsia"/>
          <w:sz w:val="21"/>
          <w:szCs w:val="21"/>
          <w:highlight w:val="none"/>
        </w:rPr>
        <w:t>*1.1、</w:t>
      </w:r>
      <w:r>
        <w:rPr>
          <w:rFonts w:hint="eastAsia"/>
          <w:sz w:val="21"/>
          <w:szCs w:val="21"/>
          <w:highlight w:val="none"/>
          <w:lang w:val="en-US" w:eastAsia="zh-CN"/>
        </w:rPr>
        <w:t>控制方式：数显控制</w:t>
      </w:r>
      <w:r>
        <w:rPr>
          <w:rFonts w:hint="eastAsia"/>
          <w:sz w:val="21"/>
          <w:szCs w:val="21"/>
          <w:highlight w:val="none"/>
          <w:lang w:eastAsia="zh-CN"/>
        </w:rPr>
        <w:t>；</w:t>
      </w:r>
    </w:p>
    <w:p>
      <w:pPr>
        <w:pStyle w:val="19"/>
        <w:tabs>
          <w:tab w:val="left" w:pos="1290"/>
          <w:tab w:val="left" w:pos="1680"/>
        </w:tabs>
        <w:adjustRightInd w:val="0"/>
        <w:snapToGrid w:val="0"/>
        <w:spacing w:line="360" w:lineRule="auto"/>
        <w:rPr>
          <w:rFonts w:hint="eastAsia"/>
          <w:sz w:val="21"/>
          <w:szCs w:val="21"/>
          <w:highlight w:val="none"/>
        </w:rPr>
      </w:pPr>
      <w:r>
        <w:rPr>
          <w:rFonts w:hint="eastAsia"/>
          <w:sz w:val="21"/>
          <w:szCs w:val="21"/>
          <w:highlight w:val="none"/>
        </w:rPr>
        <w:t>*1.2、出料粒度：</w:t>
      </w:r>
      <w:r>
        <w:rPr>
          <w:rFonts w:hint="eastAsia"/>
          <w:sz w:val="21"/>
          <w:szCs w:val="21"/>
          <w:highlight w:val="none"/>
          <w:lang w:val="en-US" w:eastAsia="zh-CN"/>
        </w:rPr>
        <w:t>不大于0.2mm</w:t>
      </w:r>
      <w:r>
        <w:rPr>
          <w:rFonts w:hint="eastAsia"/>
          <w:sz w:val="21"/>
          <w:szCs w:val="21"/>
          <w:highlight w:val="none"/>
          <w:lang w:eastAsia="zh-CN"/>
        </w:rPr>
        <w:t>；</w:t>
      </w:r>
    </w:p>
    <w:p>
      <w:pPr>
        <w:pStyle w:val="19"/>
        <w:tabs>
          <w:tab w:val="left" w:pos="1290"/>
          <w:tab w:val="left" w:pos="1680"/>
        </w:tabs>
        <w:adjustRightInd w:val="0"/>
        <w:snapToGrid w:val="0"/>
        <w:spacing w:line="360" w:lineRule="auto"/>
        <w:rPr>
          <w:rFonts w:hint="eastAsia"/>
          <w:sz w:val="21"/>
          <w:szCs w:val="21"/>
          <w:highlight w:val="none"/>
        </w:rPr>
      </w:pPr>
      <w:r>
        <w:rPr>
          <w:rFonts w:hint="eastAsia"/>
          <w:sz w:val="21"/>
          <w:szCs w:val="21"/>
          <w:highlight w:val="none"/>
        </w:rPr>
        <w:t>1.3、</w:t>
      </w:r>
      <w:r>
        <w:rPr>
          <w:rFonts w:hint="eastAsia"/>
          <w:sz w:val="21"/>
          <w:szCs w:val="21"/>
          <w:highlight w:val="none"/>
          <w:lang w:val="en-US" w:eastAsia="zh-CN"/>
        </w:rPr>
        <w:t>入料力度：不大于13mm；</w:t>
      </w:r>
    </w:p>
    <w:p>
      <w:pPr>
        <w:pStyle w:val="19"/>
        <w:tabs>
          <w:tab w:val="left" w:pos="1290"/>
          <w:tab w:val="left" w:pos="1680"/>
        </w:tabs>
        <w:adjustRightInd w:val="0"/>
        <w:snapToGrid w:val="0"/>
        <w:spacing w:line="360" w:lineRule="auto"/>
        <w:rPr>
          <w:rFonts w:hint="eastAsia"/>
          <w:sz w:val="21"/>
          <w:szCs w:val="21"/>
          <w:highlight w:val="none"/>
        </w:rPr>
      </w:pPr>
      <w:r>
        <w:rPr>
          <w:rFonts w:hint="eastAsia"/>
          <w:sz w:val="21"/>
          <w:szCs w:val="21"/>
          <w:highlight w:val="none"/>
        </w:rPr>
        <w:t>*1.4、研磨料鉢：</w:t>
      </w:r>
      <w:r>
        <w:rPr>
          <w:rFonts w:hint="eastAsia"/>
          <w:sz w:val="21"/>
          <w:szCs w:val="21"/>
          <w:highlight w:val="none"/>
          <w:lang w:eastAsia="zh-CN"/>
        </w:rPr>
        <w:t>不少于</w:t>
      </w:r>
      <w:r>
        <w:rPr>
          <w:rFonts w:hint="eastAsia"/>
          <w:sz w:val="21"/>
          <w:szCs w:val="21"/>
          <w:highlight w:val="none"/>
          <w:lang w:val="en-US" w:eastAsia="zh-CN"/>
        </w:rPr>
        <w:t>3个</w:t>
      </w:r>
      <w:r>
        <w:rPr>
          <w:rFonts w:hint="eastAsia"/>
          <w:sz w:val="21"/>
          <w:szCs w:val="21"/>
          <w:highlight w:val="none"/>
        </w:rPr>
        <w:t>料鉢</w:t>
      </w:r>
      <w:r>
        <w:rPr>
          <w:rFonts w:hint="eastAsia"/>
          <w:sz w:val="21"/>
          <w:szCs w:val="21"/>
          <w:highlight w:val="none"/>
          <w:lang w:eastAsia="zh-CN"/>
        </w:rPr>
        <w:t>，</w:t>
      </w:r>
      <w:r>
        <w:rPr>
          <w:rFonts w:hint="eastAsia"/>
          <w:sz w:val="21"/>
          <w:szCs w:val="21"/>
          <w:highlight w:val="none"/>
        </w:rPr>
        <w:t>锰钢材质、每次研磨</w:t>
      </w:r>
      <w:r>
        <w:rPr>
          <w:rFonts w:hint="eastAsia"/>
          <w:sz w:val="21"/>
          <w:szCs w:val="21"/>
          <w:highlight w:val="none"/>
          <w:lang w:val="en-US" w:eastAsia="zh-CN"/>
        </w:rPr>
        <w:t>总</w:t>
      </w:r>
      <w:r>
        <w:rPr>
          <w:rFonts w:hint="eastAsia"/>
          <w:sz w:val="21"/>
          <w:szCs w:val="21"/>
          <w:highlight w:val="none"/>
        </w:rPr>
        <w:t>量</w:t>
      </w:r>
      <w:r>
        <w:rPr>
          <w:rFonts w:hint="eastAsia"/>
          <w:sz w:val="21"/>
          <w:szCs w:val="21"/>
          <w:highlight w:val="none"/>
          <w:lang w:val="en-US" w:eastAsia="zh-CN"/>
        </w:rPr>
        <w:t>不少于30</w:t>
      </w:r>
      <w:r>
        <w:rPr>
          <w:rFonts w:hint="eastAsia"/>
          <w:sz w:val="21"/>
          <w:szCs w:val="21"/>
          <w:highlight w:val="none"/>
        </w:rPr>
        <w:t>0g</w:t>
      </w:r>
      <w:r>
        <w:rPr>
          <w:rFonts w:hint="eastAsia"/>
          <w:sz w:val="21"/>
          <w:szCs w:val="21"/>
          <w:highlight w:val="none"/>
          <w:lang w:eastAsia="zh-CN"/>
        </w:rPr>
        <w:t>；</w:t>
      </w:r>
    </w:p>
    <w:p>
      <w:pPr>
        <w:pStyle w:val="19"/>
        <w:tabs>
          <w:tab w:val="left" w:pos="1290"/>
          <w:tab w:val="left" w:pos="1680"/>
        </w:tabs>
        <w:adjustRightInd w:val="0"/>
        <w:snapToGrid w:val="0"/>
        <w:spacing w:line="360" w:lineRule="auto"/>
        <w:rPr>
          <w:rFonts w:hint="eastAsia"/>
          <w:sz w:val="21"/>
          <w:szCs w:val="21"/>
          <w:highlight w:val="none"/>
        </w:rPr>
      </w:pPr>
      <w:r>
        <w:rPr>
          <w:rFonts w:hint="eastAsia"/>
          <w:sz w:val="21"/>
          <w:szCs w:val="21"/>
          <w:highlight w:val="none"/>
        </w:rPr>
        <w:t>1.5、电机功率：</w:t>
      </w:r>
      <w:r>
        <w:rPr>
          <w:rFonts w:hint="eastAsia"/>
          <w:sz w:val="21"/>
          <w:szCs w:val="21"/>
          <w:highlight w:val="none"/>
          <w:lang w:val="en-US" w:eastAsia="zh-CN"/>
        </w:rPr>
        <w:t>不小于</w:t>
      </w:r>
      <w:r>
        <w:rPr>
          <w:rFonts w:hint="eastAsia"/>
          <w:sz w:val="21"/>
          <w:szCs w:val="21"/>
          <w:highlight w:val="none"/>
        </w:rPr>
        <w:t>1KW</w:t>
      </w:r>
      <w:r>
        <w:rPr>
          <w:rFonts w:hint="eastAsia"/>
          <w:sz w:val="21"/>
          <w:szCs w:val="21"/>
          <w:highlight w:val="none"/>
          <w:lang w:eastAsia="zh-CN"/>
        </w:rPr>
        <w:t>；</w:t>
      </w:r>
    </w:p>
    <w:p>
      <w:pPr>
        <w:pStyle w:val="19"/>
        <w:tabs>
          <w:tab w:val="left" w:pos="1290"/>
          <w:tab w:val="left" w:pos="1680"/>
        </w:tabs>
        <w:adjustRightInd w:val="0"/>
        <w:snapToGrid w:val="0"/>
        <w:spacing w:line="360" w:lineRule="auto"/>
        <w:rPr>
          <w:rFonts w:hint="eastAsia"/>
          <w:sz w:val="21"/>
          <w:szCs w:val="21"/>
          <w:highlight w:val="none"/>
          <w:lang w:eastAsia="zh-CN"/>
        </w:rPr>
      </w:pPr>
      <w:r>
        <w:rPr>
          <w:rFonts w:hint="eastAsia"/>
          <w:sz w:val="21"/>
          <w:szCs w:val="21"/>
          <w:highlight w:val="none"/>
        </w:rPr>
        <w:t>1.6、电机防护等级IP65</w:t>
      </w:r>
      <w:r>
        <w:rPr>
          <w:rFonts w:hint="eastAsia"/>
          <w:sz w:val="21"/>
          <w:szCs w:val="21"/>
          <w:highlight w:val="none"/>
          <w:lang w:eastAsia="zh-CN"/>
        </w:rPr>
        <w:t>；</w:t>
      </w:r>
    </w:p>
    <w:p>
      <w:pPr>
        <w:pStyle w:val="19"/>
        <w:tabs>
          <w:tab w:val="left" w:pos="1290"/>
          <w:tab w:val="left" w:pos="1680"/>
        </w:tabs>
        <w:adjustRightInd w:val="0"/>
        <w:snapToGrid w:val="0"/>
        <w:spacing w:line="360" w:lineRule="auto"/>
        <w:rPr>
          <w:rFonts w:hint="eastAsia"/>
          <w:sz w:val="21"/>
          <w:szCs w:val="21"/>
          <w:highlight w:val="none"/>
        </w:rPr>
      </w:pPr>
      <w:r>
        <w:rPr>
          <w:rFonts w:hint="eastAsia"/>
          <w:sz w:val="21"/>
          <w:szCs w:val="21"/>
          <w:highlight w:val="none"/>
        </w:rPr>
        <w:t>1.7、冷却方式IC411</w:t>
      </w:r>
      <w:r>
        <w:rPr>
          <w:rFonts w:hint="eastAsia"/>
          <w:sz w:val="21"/>
          <w:szCs w:val="21"/>
          <w:highlight w:val="none"/>
          <w:lang w:eastAsia="zh-CN"/>
        </w:rPr>
        <w:t>；</w:t>
      </w:r>
    </w:p>
    <w:p>
      <w:pPr>
        <w:pStyle w:val="19"/>
        <w:tabs>
          <w:tab w:val="left" w:pos="1290"/>
          <w:tab w:val="left" w:pos="1680"/>
        </w:tabs>
        <w:adjustRightInd w:val="0"/>
        <w:snapToGrid w:val="0"/>
        <w:spacing w:line="360" w:lineRule="auto"/>
        <w:rPr>
          <w:sz w:val="21"/>
          <w:szCs w:val="21"/>
          <w:highlight w:val="none"/>
        </w:rPr>
      </w:pPr>
      <w:r>
        <w:rPr>
          <w:sz w:val="21"/>
          <w:szCs w:val="21"/>
          <w:highlight w:val="none"/>
        </w:rPr>
        <w:t>2</w:t>
      </w:r>
      <w:r>
        <w:rPr>
          <w:rFonts w:hint="eastAsia"/>
          <w:sz w:val="21"/>
          <w:szCs w:val="21"/>
          <w:highlight w:val="none"/>
        </w:rPr>
        <w:t>. 技术性能要求</w:t>
      </w:r>
    </w:p>
    <w:p>
      <w:pPr>
        <w:adjustRightInd w:val="0"/>
        <w:snapToGrid w:val="0"/>
        <w:spacing w:line="360" w:lineRule="auto"/>
        <w:rPr>
          <w:rFonts w:hint="eastAsia" w:ascii="宋体" w:hAnsi="宋体"/>
          <w:szCs w:val="21"/>
          <w:highlight w:val="none"/>
        </w:rPr>
      </w:pPr>
      <w:r>
        <w:rPr>
          <w:rFonts w:hint="eastAsia" w:ascii="宋体" w:hAnsi="宋体"/>
          <w:szCs w:val="21"/>
          <w:highlight w:val="none"/>
        </w:rPr>
        <w:t>2.1、研磨出煤样的粒度均匀细微，经粉碎研磨后的试样可直接用于分析化验。</w:t>
      </w:r>
    </w:p>
    <w:p>
      <w:pPr>
        <w:adjustRightInd w:val="0"/>
        <w:snapToGrid w:val="0"/>
        <w:spacing w:line="360" w:lineRule="auto"/>
        <w:rPr>
          <w:rFonts w:hint="eastAsia" w:ascii="宋体" w:hAnsi="宋体"/>
          <w:szCs w:val="21"/>
          <w:highlight w:val="none"/>
        </w:rPr>
      </w:pPr>
      <w:r>
        <w:rPr>
          <w:rFonts w:hint="eastAsia"/>
          <w:sz w:val="21"/>
          <w:szCs w:val="21"/>
          <w:highlight w:val="none"/>
        </w:rPr>
        <w:t>*</w:t>
      </w:r>
      <w:r>
        <w:rPr>
          <w:rFonts w:hint="eastAsia" w:ascii="宋体" w:hAnsi="宋体"/>
          <w:szCs w:val="21"/>
          <w:highlight w:val="none"/>
        </w:rPr>
        <w:t>2.2、研磨机为快速压紧装置，</w:t>
      </w:r>
      <w:r>
        <w:rPr>
          <w:rFonts w:hint="eastAsia" w:ascii="宋体" w:hAnsi="宋体"/>
          <w:szCs w:val="21"/>
          <w:highlight w:val="none"/>
          <w:lang w:eastAsia="zh-CN"/>
        </w:rPr>
        <w:t>带自锁定功能，</w:t>
      </w:r>
      <w:r>
        <w:rPr>
          <w:rFonts w:hint="eastAsia" w:ascii="宋体" w:hAnsi="宋体"/>
          <w:szCs w:val="21"/>
          <w:highlight w:val="none"/>
        </w:rPr>
        <w:t>能快速压紧料鉢。</w:t>
      </w:r>
    </w:p>
    <w:p>
      <w:pPr>
        <w:adjustRightInd w:val="0"/>
        <w:snapToGrid w:val="0"/>
        <w:spacing w:line="360" w:lineRule="auto"/>
        <w:rPr>
          <w:rFonts w:hint="eastAsia" w:ascii="宋体" w:hAnsi="宋体"/>
          <w:szCs w:val="21"/>
          <w:highlight w:val="none"/>
        </w:rPr>
      </w:pPr>
      <w:r>
        <w:rPr>
          <w:rFonts w:hint="eastAsia" w:ascii="宋体" w:hAnsi="宋体"/>
          <w:szCs w:val="21"/>
          <w:highlight w:val="none"/>
        </w:rPr>
        <w:t>2.3、研磨料鉢密封结构，干法或湿法研磨均匀无样品损失。</w:t>
      </w:r>
    </w:p>
    <w:p>
      <w:pPr>
        <w:adjustRightInd w:val="0"/>
        <w:snapToGrid w:val="0"/>
        <w:spacing w:line="360" w:lineRule="auto"/>
        <w:rPr>
          <w:rFonts w:hint="eastAsia" w:ascii="宋体" w:hAnsi="宋体"/>
          <w:szCs w:val="21"/>
          <w:highlight w:val="none"/>
        </w:rPr>
      </w:pPr>
      <w:r>
        <w:rPr>
          <w:rFonts w:hint="eastAsia" w:ascii="宋体" w:hAnsi="宋体"/>
          <w:szCs w:val="21"/>
          <w:highlight w:val="none"/>
        </w:rPr>
        <w:t>2.4、整机密封设计，静电喷漆，噪音低（噪音（dB）：＜60）。</w:t>
      </w:r>
    </w:p>
    <w:p>
      <w:pPr>
        <w:adjustRightInd w:val="0"/>
        <w:snapToGrid w:val="0"/>
        <w:spacing w:line="360" w:lineRule="auto"/>
        <w:rPr>
          <w:rFonts w:hint="eastAsia" w:ascii="宋体" w:hAnsi="宋体"/>
          <w:szCs w:val="21"/>
          <w:highlight w:val="none"/>
        </w:rPr>
      </w:pPr>
      <w:r>
        <w:rPr>
          <w:rFonts w:hint="eastAsia"/>
          <w:sz w:val="21"/>
          <w:szCs w:val="21"/>
          <w:highlight w:val="none"/>
        </w:rPr>
        <w:t>*</w:t>
      </w:r>
      <w:r>
        <w:rPr>
          <w:rFonts w:hint="eastAsia" w:ascii="宋体" w:hAnsi="宋体"/>
          <w:szCs w:val="21"/>
          <w:highlight w:val="none"/>
        </w:rPr>
        <w:t>2.5、数显控制时间。</w:t>
      </w:r>
    </w:p>
    <w:p>
      <w:pPr>
        <w:adjustRightInd w:val="0"/>
        <w:snapToGrid w:val="0"/>
        <w:spacing w:line="360" w:lineRule="auto"/>
        <w:rPr>
          <w:rFonts w:hint="eastAsia" w:ascii="宋体" w:hAnsi="宋体"/>
          <w:szCs w:val="21"/>
          <w:highlight w:val="none"/>
        </w:rPr>
      </w:pPr>
      <w:r>
        <w:rPr>
          <w:rFonts w:hint="eastAsia" w:ascii="宋体" w:hAnsi="宋体"/>
          <w:szCs w:val="21"/>
          <w:highlight w:val="none"/>
        </w:rPr>
        <w:t>2.6、电机使用寿命长(</w:t>
      </w:r>
      <w:r>
        <w:rPr>
          <w:rFonts w:hint="eastAsia" w:ascii="宋体" w:hAnsi="宋体"/>
          <w:szCs w:val="21"/>
          <w:highlight w:val="none"/>
          <w:lang w:val="en-US" w:eastAsia="zh-CN"/>
        </w:rPr>
        <w:t>不小于6</w:t>
      </w:r>
      <w:r>
        <w:rPr>
          <w:rFonts w:hint="eastAsia" w:ascii="宋体" w:hAnsi="宋体"/>
          <w:szCs w:val="21"/>
          <w:highlight w:val="none"/>
        </w:rPr>
        <w:t>年)。</w:t>
      </w:r>
    </w:p>
    <w:p>
      <w:pPr>
        <w:adjustRightInd w:val="0"/>
        <w:snapToGrid w:val="0"/>
        <w:spacing w:line="360" w:lineRule="auto"/>
        <w:rPr>
          <w:rFonts w:hint="eastAsia" w:ascii="宋体" w:hAnsi="宋体"/>
          <w:szCs w:val="21"/>
          <w:highlight w:val="none"/>
        </w:rPr>
      </w:pPr>
      <w:r>
        <w:rPr>
          <w:rFonts w:hint="eastAsia" w:ascii="宋体" w:hAnsi="宋体"/>
          <w:szCs w:val="21"/>
          <w:highlight w:val="none"/>
        </w:rPr>
        <w:t>2.</w:t>
      </w:r>
      <w:r>
        <w:rPr>
          <w:rFonts w:hint="eastAsia" w:ascii="宋体" w:hAnsi="宋体"/>
          <w:szCs w:val="21"/>
          <w:highlight w:val="none"/>
          <w:lang w:val="en-US" w:eastAsia="zh-CN"/>
        </w:rPr>
        <w:t>7</w:t>
      </w:r>
      <w:r>
        <w:rPr>
          <w:rFonts w:hint="eastAsia" w:ascii="宋体" w:hAnsi="宋体"/>
          <w:szCs w:val="21"/>
          <w:highlight w:val="none"/>
        </w:rPr>
        <w:t>、研磨机底部有减震脚垫、无需固定。</w:t>
      </w:r>
    </w:p>
    <w:p>
      <w:pPr>
        <w:adjustRightInd w:val="0"/>
        <w:snapToGrid w:val="0"/>
        <w:spacing w:line="360" w:lineRule="auto"/>
        <w:rPr>
          <w:rFonts w:hint="eastAsia" w:ascii="宋体" w:hAnsi="宋体"/>
          <w:szCs w:val="21"/>
          <w:highlight w:val="none"/>
        </w:rPr>
      </w:pPr>
      <w:r>
        <w:rPr>
          <w:rFonts w:hint="eastAsia" w:ascii="宋体" w:hAnsi="宋体"/>
          <w:szCs w:val="21"/>
          <w:highlight w:val="none"/>
        </w:rPr>
        <w:t>2.</w:t>
      </w:r>
      <w:r>
        <w:rPr>
          <w:rFonts w:hint="eastAsia" w:ascii="宋体" w:hAnsi="宋体"/>
          <w:szCs w:val="21"/>
          <w:highlight w:val="none"/>
          <w:lang w:val="en-US" w:eastAsia="zh-CN"/>
        </w:rPr>
        <w:t>8</w:t>
      </w:r>
      <w:r>
        <w:rPr>
          <w:rFonts w:hint="eastAsia" w:ascii="宋体" w:hAnsi="宋体"/>
          <w:szCs w:val="21"/>
          <w:highlight w:val="none"/>
        </w:rPr>
        <w:t>、</w:t>
      </w:r>
      <w:r>
        <w:rPr>
          <w:rFonts w:hint="eastAsia" w:ascii="宋体" w:hAnsi="宋体"/>
          <w:szCs w:val="21"/>
          <w:highlight w:val="none"/>
          <w:lang w:val="en-US" w:eastAsia="zh-CN"/>
        </w:rPr>
        <w:t>设备为环保型设备</w:t>
      </w:r>
      <w:r>
        <w:rPr>
          <w:rFonts w:hint="eastAsia" w:ascii="宋体" w:hAnsi="宋体"/>
          <w:szCs w:val="21"/>
          <w:highlight w:val="none"/>
        </w:rPr>
        <w:t>。</w:t>
      </w:r>
      <w:bookmarkStart w:id="8" w:name="_GoBack"/>
      <w:bookmarkEnd w:id="8"/>
    </w:p>
    <w:p>
      <w:pPr>
        <w:numPr>
          <w:ilvl w:val="0"/>
          <w:numId w:val="1"/>
        </w:numPr>
        <w:adjustRightInd w:val="0"/>
        <w:snapToGrid w:val="0"/>
        <w:spacing w:line="360" w:lineRule="auto"/>
        <w:rPr>
          <w:rFonts w:hint="eastAsia" w:ascii="宋体" w:hAnsi="宋体"/>
          <w:szCs w:val="21"/>
          <w:highlight w:val="none"/>
        </w:rPr>
      </w:pPr>
      <w:r>
        <w:rPr>
          <w:rFonts w:hint="eastAsia" w:ascii="宋体" w:hAnsi="宋体"/>
          <w:szCs w:val="21"/>
          <w:highlight w:val="none"/>
        </w:rPr>
        <w:t>安全技术要求</w:t>
      </w:r>
    </w:p>
    <w:p>
      <w:pPr>
        <w:numPr>
          <w:ilvl w:val="0"/>
          <w:numId w:val="0"/>
        </w:numPr>
        <w:adjustRightInd w:val="0"/>
        <w:snapToGrid w:val="0"/>
        <w:spacing w:line="360" w:lineRule="auto"/>
        <w:rPr>
          <w:rFonts w:hint="eastAsia" w:ascii="宋体" w:hAnsi="宋体"/>
          <w:szCs w:val="21"/>
          <w:highlight w:val="none"/>
        </w:rPr>
      </w:pPr>
      <w:r>
        <w:rPr>
          <w:rFonts w:hint="eastAsia"/>
          <w:sz w:val="21"/>
          <w:szCs w:val="21"/>
          <w:highlight w:val="none"/>
        </w:rPr>
        <w:t>*</w:t>
      </w:r>
      <w:r>
        <w:rPr>
          <w:rFonts w:hint="eastAsia" w:ascii="宋体" w:hAnsi="宋体"/>
          <w:szCs w:val="21"/>
          <w:highlight w:val="none"/>
          <w:lang w:val="en-US" w:eastAsia="zh-CN"/>
        </w:rPr>
        <w:t>3.1、</w:t>
      </w:r>
      <w:r>
        <w:rPr>
          <w:rFonts w:hint="eastAsia" w:ascii="宋体" w:hAnsi="宋体"/>
          <w:szCs w:val="21"/>
          <w:highlight w:val="none"/>
        </w:rPr>
        <w:t>开盖自动断电保</w:t>
      </w:r>
      <w:r>
        <w:rPr>
          <w:rFonts w:hint="eastAsia" w:ascii="宋体" w:hAnsi="宋体"/>
          <w:szCs w:val="21"/>
          <w:highlight w:val="none"/>
          <w:lang w:eastAsia="zh-CN"/>
        </w:rPr>
        <w:t>；</w:t>
      </w:r>
    </w:p>
    <w:p>
      <w:pPr>
        <w:pStyle w:val="19"/>
        <w:tabs>
          <w:tab w:val="left" w:pos="1290"/>
          <w:tab w:val="left" w:pos="1680"/>
        </w:tabs>
        <w:adjustRightInd w:val="0"/>
        <w:snapToGrid w:val="0"/>
        <w:spacing w:line="360" w:lineRule="auto"/>
        <w:rPr>
          <w:sz w:val="21"/>
          <w:szCs w:val="21"/>
        </w:rPr>
      </w:pPr>
      <w:r>
        <w:rPr>
          <w:rFonts w:hint="eastAsia"/>
          <w:sz w:val="21"/>
          <w:szCs w:val="21"/>
        </w:rPr>
        <w:t>4.招标人提出的其它技术要求</w:t>
      </w:r>
    </w:p>
    <w:p>
      <w:pPr>
        <w:pStyle w:val="19"/>
        <w:tabs>
          <w:tab w:val="left" w:pos="1290"/>
          <w:tab w:val="left" w:pos="1680"/>
        </w:tabs>
        <w:adjustRightInd w:val="0"/>
        <w:snapToGrid w:val="0"/>
        <w:spacing w:line="360" w:lineRule="auto"/>
        <w:rPr>
          <w:sz w:val="21"/>
          <w:szCs w:val="21"/>
        </w:rPr>
      </w:pPr>
      <w:r>
        <w:rPr>
          <w:rFonts w:hint="eastAsia"/>
          <w:sz w:val="21"/>
          <w:szCs w:val="21"/>
        </w:rPr>
        <w:t>4.1.投标厂家必须对招标文件中的技术条款逐条解释并满足工作环境。</w:t>
      </w:r>
    </w:p>
    <w:p>
      <w:pPr>
        <w:pStyle w:val="19"/>
        <w:tabs>
          <w:tab w:val="left" w:pos="1290"/>
          <w:tab w:val="left" w:pos="1680"/>
        </w:tabs>
        <w:adjustRightInd w:val="0"/>
        <w:snapToGrid w:val="0"/>
        <w:spacing w:line="360" w:lineRule="auto"/>
        <w:rPr>
          <w:sz w:val="21"/>
          <w:szCs w:val="21"/>
        </w:rPr>
      </w:pPr>
      <w:r>
        <w:rPr>
          <w:rFonts w:hint="eastAsia"/>
          <w:sz w:val="21"/>
          <w:szCs w:val="21"/>
        </w:rPr>
        <w:t>4.2.投标产品必须满足相关的最新国家和行业标准要求，招标技术要求中相关条款指标高于国家行业要求的，按照招标文件要求条款执行。</w:t>
      </w:r>
    </w:p>
    <w:p>
      <w:pPr>
        <w:pStyle w:val="19"/>
        <w:tabs>
          <w:tab w:val="left" w:pos="1290"/>
          <w:tab w:val="left" w:pos="1680"/>
        </w:tabs>
        <w:adjustRightInd w:val="0"/>
        <w:snapToGrid w:val="0"/>
        <w:spacing w:line="360" w:lineRule="auto"/>
        <w:rPr>
          <w:sz w:val="21"/>
          <w:szCs w:val="21"/>
        </w:rPr>
      </w:pPr>
      <w:r>
        <w:rPr>
          <w:rFonts w:hint="eastAsia"/>
          <w:sz w:val="21"/>
          <w:szCs w:val="21"/>
        </w:rPr>
        <w:t>4</w:t>
      </w:r>
      <w:r>
        <w:rPr>
          <w:sz w:val="21"/>
          <w:szCs w:val="21"/>
        </w:rPr>
        <w:t>.3.</w:t>
      </w:r>
      <w:r>
        <w:rPr>
          <w:rFonts w:hint="eastAsia"/>
          <w:sz w:val="21"/>
          <w:szCs w:val="21"/>
        </w:rPr>
        <w:t>上表分项报价合计价格与投标报价设备总价格必须一致。</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19"/>
        <w:tabs>
          <w:tab w:val="left" w:pos="1290"/>
          <w:tab w:val="left" w:pos="1680"/>
        </w:tabs>
        <w:adjustRightInd w:val="0"/>
        <w:snapToGrid w:val="0"/>
        <w:spacing w:before="120" w:after="0" w:line="360" w:lineRule="auto"/>
        <w:rPr>
          <w:sz w:val="21"/>
          <w:szCs w:val="21"/>
        </w:rPr>
      </w:pPr>
      <w:r>
        <w:rPr>
          <w:rFonts w:hint="eastAsia"/>
          <w:sz w:val="21"/>
          <w:szCs w:val="21"/>
        </w:rPr>
        <w:t>5.</w:t>
      </w:r>
      <w:r>
        <w:rPr>
          <w:sz w:val="21"/>
          <w:szCs w:val="21"/>
        </w:rPr>
        <w:t>1.</w:t>
      </w:r>
      <w:r>
        <w:rPr>
          <w:rFonts w:hint="eastAsia"/>
          <w:sz w:val="21"/>
          <w:szCs w:val="21"/>
        </w:rPr>
        <w:t xml:space="preserve"> </w:t>
      </w:r>
      <w:r>
        <w:rPr>
          <w:sz w:val="21"/>
          <w:szCs w:val="21"/>
        </w:rPr>
        <w:t>所供应的货物将按下列标准（推荐）进行设计和制造</w:t>
      </w:r>
    </w:p>
    <w:p>
      <w:pPr>
        <w:pStyle w:val="19"/>
        <w:tabs>
          <w:tab w:val="left" w:pos="1290"/>
          <w:tab w:val="left" w:pos="1680"/>
        </w:tabs>
        <w:adjustRightInd w:val="0"/>
        <w:snapToGrid w:val="0"/>
        <w:spacing w:line="360" w:lineRule="auto"/>
        <w:rPr>
          <w:sz w:val="21"/>
          <w:szCs w:val="21"/>
        </w:rPr>
      </w:pPr>
      <w:r>
        <w:rPr>
          <w:rFonts w:hint="eastAsia"/>
          <w:sz w:val="21"/>
          <w:szCs w:val="21"/>
        </w:rPr>
        <w:t>GB/T212-2008《煤的工业分析方法》</w:t>
      </w:r>
    </w:p>
    <w:p>
      <w:pPr>
        <w:pStyle w:val="19"/>
        <w:tabs>
          <w:tab w:val="left" w:pos="1290"/>
          <w:tab w:val="left" w:pos="1680"/>
        </w:tabs>
        <w:adjustRightInd w:val="0"/>
        <w:snapToGrid w:val="0"/>
        <w:spacing w:line="360" w:lineRule="auto"/>
        <w:rPr>
          <w:sz w:val="21"/>
          <w:szCs w:val="21"/>
        </w:rPr>
      </w:pPr>
      <w:r>
        <w:rPr>
          <w:rFonts w:hint="eastAsia"/>
          <w:sz w:val="21"/>
          <w:szCs w:val="21"/>
        </w:rPr>
        <w:t>5.</w:t>
      </w:r>
      <w:r>
        <w:rPr>
          <w:sz w:val="21"/>
          <w:szCs w:val="21"/>
        </w:rPr>
        <w:t>2.</w:t>
      </w:r>
      <w:r>
        <w:rPr>
          <w:rFonts w:hint="eastAsia"/>
          <w:sz w:val="21"/>
          <w:szCs w:val="21"/>
        </w:rPr>
        <w:t xml:space="preserve"> </w:t>
      </w:r>
      <w:r>
        <w:rPr>
          <w:sz w:val="21"/>
          <w:szCs w:val="21"/>
        </w:rPr>
        <w:t>设备的设计与制造要求采用国际公制单位，个别部件采用英制单位应列出清单。</w:t>
      </w:r>
    </w:p>
    <w:p>
      <w:pPr>
        <w:adjustRightInd w:val="0"/>
        <w:snapToGrid w:val="0"/>
        <w:spacing w:line="360" w:lineRule="auto"/>
        <w:rPr>
          <w:szCs w:val="21"/>
        </w:rPr>
      </w:pPr>
      <w:r>
        <w:rPr>
          <w:rFonts w:hint="eastAsia" w:ascii="宋体" w:hAnsi="宋体"/>
          <w:szCs w:val="21"/>
        </w:rPr>
        <w:t>5.</w:t>
      </w:r>
      <w:r>
        <w:rPr>
          <w:rFonts w:ascii="宋体" w:hAnsi="宋体"/>
          <w:szCs w:val="21"/>
        </w:rPr>
        <w:t>3.</w:t>
      </w:r>
      <w:r>
        <w:rPr>
          <w:rFonts w:hint="eastAsia"/>
          <w:szCs w:val="21"/>
        </w:rPr>
        <w:t xml:space="preserve"> </w:t>
      </w:r>
      <w:r>
        <w:rPr>
          <w:szCs w:val="21"/>
        </w:rPr>
        <w:t>上述标准均应为</w:t>
      </w:r>
      <w:r>
        <w:rPr>
          <w:rFonts w:hint="eastAsia"/>
          <w:szCs w:val="21"/>
        </w:rPr>
        <w:t>投</w:t>
      </w:r>
      <w:r>
        <w:rPr>
          <w:szCs w:val="21"/>
        </w:rPr>
        <w:t>标截止日时的最新有效版</w:t>
      </w:r>
      <w:r>
        <w:rPr>
          <w:rFonts w:hint="eastAsia"/>
          <w:szCs w:val="21"/>
        </w:rPr>
        <w:t>。</w:t>
      </w:r>
    </w:p>
    <w:p>
      <w:pPr>
        <w:adjustRightInd w:val="0"/>
        <w:snapToGrid w:val="0"/>
        <w:spacing w:before="312" w:beforeLines="100" w:after="312" w:afterLines="100" w:line="360" w:lineRule="auto"/>
        <w:rPr>
          <w:rFonts w:ascii="宋体" w:hAnsi="宋体"/>
          <w:szCs w:val="21"/>
        </w:rPr>
      </w:pPr>
      <w:r>
        <w:rPr>
          <w:rFonts w:hint="eastAsia"/>
          <w:b/>
        </w:rPr>
        <w:t>四. 需投标人提供的技术参数</w:t>
      </w:r>
    </w:p>
    <w:p>
      <w:pPr>
        <w:adjustRightInd w:val="0"/>
        <w:snapToGrid w:val="0"/>
        <w:spacing w:line="360" w:lineRule="auto"/>
        <w:rPr>
          <w:rFonts w:ascii="宋体"/>
          <w:szCs w:val="21"/>
        </w:rPr>
      </w:pPr>
      <w:r>
        <w:rPr>
          <w:rFonts w:hint="eastAsia" w:ascii="宋体"/>
          <w:szCs w:val="21"/>
        </w:rPr>
        <w:t>2.投标人需要特别说明的其他问题</w:t>
      </w:r>
    </w:p>
    <w:p>
      <w:pPr>
        <w:widowControl/>
        <w:jc w:val="left"/>
        <w:rPr>
          <w:rFonts w:ascii="宋体"/>
          <w:szCs w:val="21"/>
        </w:rPr>
      </w:pPr>
      <w:r>
        <w:rPr>
          <w:rFonts w:ascii="宋体"/>
          <w:szCs w:val="21"/>
        </w:rPr>
        <w:br w:type="page"/>
      </w:r>
    </w:p>
    <w:p>
      <w:pPr>
        <w:pStyle w:val="16"/>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中标人应保证长期以最优惠的价格供给易损件和备件。如果备件发生设计变更，应将变更信息及时通知用户。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中标人备件价格在设备开始使用的3年内必须维持同期的市场价。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5年后在备件停止生产后，如果招标人要求，中标人应免费向招标人提供备件的蓝图、图纸和规格。</w:t>
      </w:r>
    </w:p>
    <w:p>
      <w:pPr>
        <w:pStyle w:val="6"/>
        <w:adjustRightInd w:val="0"/>
        <w:snapToGrid w:val="0"/>
        <w:spacing w:before="156" w:beforeLines="50" w:line="360" w:lineRule="auto"/>
        <w:rPr>
          <w:rFonts w:ascii="宋体" w:hAnsi="宋体"/>
          <w:szCs w:val="21"/>
        </w:rPr>
      </w:pPr>
      <w:r>
        <w:rPr>
          <w:rFonts w:hint="eastAsia" w:ascii="宋体" w:hAnsi="宋体"/>
          <w:szCs w:val="21"/>
        </w:rPr>
        <w:t xml:space="preserve"> </w:t>
      </w:r>
    </w:p>
    <w:p>
      <w:pPr>
        <w:pStyle w:val="16"/>
        <w:jc w:val="center"/>
      </w:pPr>
      <w:r>
        <w:rPr>
          <w:rFonts w:hint="eastAsia" w:ascii="宋体" w:hAnsi="宋体"/>
          <w:szCs w:val="21"/>
        </w:rPr>
        <w:br w:type="page"/>
      </w:r>
    </w:p>
    <w:p>
      <w:pPr>
        <w:pStyle w:val="16"/>
        <w:jc w:val="center"/>
        <w:rPr>
          <w:rFonts w:ascii="黑体" w:hAnsi="黑体" w:cs="Times New Roman"/>
          <w:b/>
          <w:bCs/>
          <w:sz w:val="32"/>
          <w:szCs w:val="24"/>
        </w:rPr>
      </w:pPr>
      <w:bookmarkStart w:id="3" w:name="_Toc357086144"/>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4" w:name="_Toc357086145"/>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6"/>
        <w:jc w:val="center"/>
      </w:pPr>
      <w:r>
        <w:rPr>
          <w:rFonts w:hint="eastAsia" w:ascii="宋体" w:hAnsi="宋体"/>
          <w:szCs w:val="21"/>
        </w:rPr>
        <w:br w:type="page"/>
      </w:r>
      <w:bookmarkStart w:id="5" w:name="_Toc357086146"/>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6"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pStyle w:val="16"/>
        <w:jc w:val="center"/>
        <w:rPr>
          <w:rFonts w:ascii="黑体" w:hAnsi="黑体" w:cs="Times New Roman"/>
          <w:b/>
          <w:bCs/>
          <w:sz w:val="32"/>
          <w:szCs w:val="24"/>
        </w:rPr>
      </w:pPr>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21"/>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7" w:name="_Toc357086148"/>
      <w:r>
        <w:rPr>
          <w:rFonts w:hint="eastAsia" w:ascii="黑体" w:hAnsi="黑体" w:cs="Times New Roman"/>
          <w:b/>
          <w:bCs/>
          <w:sz w:val="32"/>
          <w:szCs w:val="24"/>
        </w:rPr>
        <w:t>第七节 技术资料和图纸</w:t>
      </w:r>
      <w:bookmarkEnd w:id="7"/>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总装图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设备能力的计算和受力图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检验标准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电气原理图和技术说明书</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液压系统图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配套图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8、投标人提供的上述技术资料必须满足招标人用于标的物维修的需求。</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780827"/>
    <w:multiLevelType w:val="singleLevel"/>
    <w:tmpl w:val="5A78082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AED"/>
    <w:rsid w:val="00015381"/>
    <w:rsid w:val="000335D3"/>
    <w:rsid w:val="00034491"/>
    <w:rsid w:val="000349FF"/>
    <w:rsid w:val="00040FAA"/>
    <w:rsid w:val="00046393"/>
    <w:rsid w:val="00050F9D"/>
    <w:rsid w:val="00062A06"/>
    <w:rsid w:val="00074BAA"/>
    <w:rsid w:val="0008777B"/>
    <w:rsid w:val="00091069"/>
    <w:rsid w:val="000B4A8F"/>
    <w:rsid w:val="000C002E"/>
    <w:rsid w:val="000D5B51"/>
    <w:rsid w:val="000F7B2D"/>
    <w:rsid w:val="00106631"/>
    <w:rsid w:val="00135C44"/>
    <w:rsid w:val="00136D01"/>
    <w:rsid w:val="00142DC8"/>
    <w:rsid w:val="00152AAB"/>
    <w:rsid w:val="00155A24"/>
    <w:rsid w:val="001608A6"/>
    <w:rsid w:val="00162CD6"/>
    <w:rsid w:val="0017236C"/>
    <w:rsid w:val="00173B13"/>
    <w:rsid w:val="00175505"/>
    <w:rsid w:val="001803C1"/>
    <w:rsid w:val="001C2A35"/>
    <w:rsid w:val="0020094D"/>
    <w:rsid w:val="00205A97"/>
    <w:rsid w:val="00207DB2"/>
    <w:rsid w:val="00213B0F"/>
    <w:rsid w:val="0023500D"/>
    <w:rsid w:val="00243118"/>
    <w:rsid w:val="0024361C"/>
    <w:rsid w:val="00247066"/>
    <w:rsid w:val="00250640"/>
    <w:rsid w:val="00254199"/>
    <w:rsid w:val="002633A5"/>
    <w:rsid w:val="0026397C"/>
    <w:rsid w:val="00286088"/>
    <w:rsid w:val="002902C1"/>
    <w:rsid w:val="00292D0F"/>
    <w:rsid w:val="002947D6"/>
    <w:rsid w:val="002A0807"/>
    <w:rsid w:val="002C2B1B"/>
    <w:rsid w:val="002C7472"/>
    <w:rsid w:val="002D5BFD"/>
    <w:rsid w:val="002E17F4"/>
    <w:rsid w:val="002E4385"/>
    <w:rsid w:val="0030306D"/>
    <w:rsid w:val="003133E1"/>
    <w:rsid w:val="00315A14"/>
    <w:rsid w:val="00324547"/>
    <w:rsid w:val="00324AED"/>
    <w:rsid w:val="003370AA"/>
    <w:rsid w:val="003417A1"/>
    <w:rsid w:val="00343D04"/>
    <w:rsid w:val="003538D6"/>
    <w:rsid w:val="00355943"/>
    <w:rsid w:val="0035699D"/>
    <w:rsid w:val="0036001B"/>
    <w:rsid w:val="003708D1"/>
    <w:rsid w:val="00375D0E"/>
    <w:rsid w:val="00386656"/>
    <w:rsid w:val="003A43AD"/>
    <w:rsid w:val="003B3F9D"/>
    <w:rsid w:val="003D0832"/>
    <w:rsid w:val="003D621C"/>
    <w:rsid w:val="003F38A7"/>
    <w:rsid w:val="004013AD"/>
    <w:rsid w:val="0040143D"/>
    <w:rsid w:val="004021E7"/>
    <w:rsid w:val="00403A5C"/>
    <w:rsid w:val="00405B14"/>
    <w:rsid w:val="00413602"/>
    <w:rsid w:val="00415933"/>
    <w:rsid w:val="004171CC"/>
    <w:rsid w:val="00424C95"/>
    <w:rsid w:val="004328D4"/>
    <w:rsid w:val="00433399"/>
    <w:rsid w:val="00462545"/>
    <w:rsid w:val="0046284D"/>
    <w:rsid w:val="00465D62"/>
    <w:rsid w:val="00480ED0"/>
    <w:rsid w:val="00481D87"/>
    <w:rsid w:val="004842B2"/>
    <w:rsid w:val="004954E0"/>
    <w:rsid w:val="00496FE7"/>
    <w:rsid w:val="004A5487"/>
    <w:rsid w:val="004B5988"/>
    <w:rsid w:val="004D4587"/>
    <w:rsid w:val="004E0346"/>
    <w:rsid w:val="004E2FAB"/>
    <w:rsid w:val="004E39A5"/>
    <w:rsid w:val="004E5B57"/>
    <w:rsid w:val="004F3F2B"/>
    <w:rsid w:val="004F5D0C"/>
    <w:rsid w:val="00501850"/>
    <w:rsid w:val="00502BE3"/>
    <w:rsid w:val="0050670E"/>
    <w:rsid w:val="005210D7"/>
    <w:rsid w:val="005210E1"/>
    <w:rsid w:val="00522FE4"/>
    <w:rsid w:val="00524A09"/>
    <w:rsid w:val="005357F0"/>
    <w:rsid w:val="00543472"/>
    <w:rsid w:val="00555C10"/>
    <w:rsid w:val="00564646"/>
    <w:rsid w:val="00595E43"/>
    <w:rsid w:val="00596F47"/>
    <w:rsid w:val="005A6A5C"/>
    <w:rsid w:val="005B215D"/>
    <w:rsid w:val="005B7C05"/>
    <w:rsid w:val="005C1073"/>
    <w:rsid w:val="005C2EC1"/>
    <w:rsid w:val="005D117A"/>
    <w:rsid w:val="005E1806"/>
    <w:rsid w:val="005E2C8D"/>
    <w:rsid w:val="005F18CD"/>
    <w:rsid w:val="005F6C66"/>
    <w:rsid w:val="00604F0E"/>
    <w:rsid w:val="00607817"/>
    <w:rsid w:val="006118E4"/>
    <w:rsid w:val="00616668"/>
    <w:rsid w:val="00644CBA"/>
    <w:rsid w:val="0064539F"/>
    <w:rsid w:val="00674855"/>
    <w:rsid w:val="0068763C"/>
    <w:rsid w:val="00695B06"/>
    <w:rsid w:val="006B3D97"/>
    <w:rsid w:val="006C2B88"/>
    <w:rsid w:val="006C3017"/>
    <w:rsid w:val="006C3ED5"/>
    <w:rsid w:val="006D365C"/>
    <w:rsid w:val="006E52DC"/>
    <w:rsid w:val="006F7261"/>
    <w:rsid w:val="0072646E"/>
    <w:rsid w:val="00732254"/>
    <w:rsid w:val="0073246F"/>
    <w:rsid w:val="00734DF3"/>
    <w:rsid w:val="007404F7"/>
    <w:rsid w:val="0074278F"/>
    <w:rsid w:val="00765FB3"/>
    <w:rsid w:val="00782F74"/>
    <w:rsid w:val="00786A40"/>
    <w:rsid w:val="00786E22"/>
    <w:rsid w:val="00790A71"/>
    <w:rsid w:val="00796B6E"/>
    <w:rsid w:val="007A37E8"/>
    <w:rsid w:val="007A5778"/>
    <w:rsid w:val="007C2D24"/>
    <w:rsid w:val="007C39D7"/>
    <w:rsid w:val="007D1C2F"/>
    <w:rsid w:val="007D64C0"/>
    <w:rsid w:val="0080693E"/>
    <w:rsid w:val="00807102"/>
    <w:rsid w:val="008156D9"/>
    <w:rsid w:val="00821A39"/>
    <w:rsid w:val="00826E8C"/>
    <w:rsid w:val="00826F56"/>
    <w:rsid w:val="0082734A"/>
    <w:rsid w:val="0083250C"/>
    <w:rsid w:val="0083563D"/>
    <w:rsid w:val="00843418"/>
    <w:rsid w:val="00845825"/>
    <w:rsid w:val="008529D6"/>
    <w:rsid w:val="00853966"/>
    <w:rsid w:val="00855944"/>
    <w:rsid w:val="00864FD8"/>
    <w:rsid w:val="00881676"/>
    <w:rsid w:val="00882500"/>
    <w:rsid w:val="0088601A"/>
    <w:rsid w:val="00887079"/>
    <w:rsid w:val="00890998"/>
    <w:rsid w:val="00897BC6"/>
    <w:rsid w:val="008C2E31"/>
    <w:rsid w:val="008C3766"/>
    <w:rsid w:val="008E4684"/>
    <w:rsid w:val="008F6198"/>
    <w:rsid w:val="00905422"/>
    <w:rsid w:val="009054B3"/>
    <w:rsid w:val="0092369C"/>
    <w:rsid w:val="00943FA8"/>
    <w:rsid w:val="00947716"/>
    <w:rsid w:val="00947E03"/>
    <w:rsid w:val="009555BB"/>
    <w:rsid w:val="009555FC"/>
    <w:rsid w:val="0096100E"/>
    <w:rsid w:val="00966A36"/>
    <w:rsid w:val="00986153"/>
    <w:rsid w:val="00992860"/>
    <w:rsid w:val="00993163"/>
    <w:rsid w:val="009933CD"/>
    <w:rsid w:val="00996A9F"/>
    <w:rsid w:val="009A1731"/>
    <w:rsid w:val="009B7AFD"/>
    <w:rsid w:val="009C560A"/>
    <w:rsid w:val="009D05E6"/>
    <w:rsid w:val="009D16D9"/>
    <w:rsid w:val="009F0088"/>
    <w:rsid w:val="009F700A"/>
    <w:rsid w:val="00A0156C"/>
    <w:rsid w:val="00A1147B"/>
    <w:rsid w:val="00A116B9"/>
    <w:rsid w:val="00A11C7C"/>
    <w:rsid w:val="00A14213"/>
    <w:rsid w:val="00A2367D"/>
    <w:rsid w:val="00A2536A"/>
    <w:rsid w:val="00A25B21"/>
    <w:rsid w:val="00A3047A"/>
    <w:rsid w:val="00A30913"/>
    <w:rsid w:val="00A36918"/>
    <w:rsid w:val="00A6162C"/>
    <w:rsid w:val="00A678FB"/>
    <w:rsid w:val="00A67AA5"/>
    <w:rsid w:val="00A8273B"/>
    <w:rsid w:val="00A90896"/>
    <w:rsid w:val="00A9110C"/>
    <w:rsid w:val="00A93B21"/>
    <w:rsid w:val="00AA1072"/>
    <w:rsid w:val="00AA563E"/>
    <w:rsid w:val="00AB7D21"/>
    <w:rsid w:val="00AB7E73"/>
    <w:rsid w:val="00AC3394"/>
    <w:rsid w:val="00AD68D8"/>
    <w:rsid w:val="00AE2322"/>
    <w:rsid w:val="00AE3F1F"/>
    <w:rsid w:val="00AE53E0"/>
    <w:rsid w:val="00AE66AF"/>
    <w:rsid w:val="00AF260A"/>
    <w:rsid w:val="00B031C1"/>
    <w:rsid w:val="00B03A0D"/>
    <w:rsid w:val="00B045D4"/>
    <w:rsid w:val="00B078AA"/>
    <w:rsid w:val="00B10346"/>
    <w:rsid w:val="00B15920"/>
    <w:rsid w:val="00B1737F"/>
    <w:rsid w:val="00B24159"/>
    <w:rsid w:val="00B246C9"/>
    <w:rsid w:val="00B335EE"/>
    <w:rsid w:val="00B3745D"/>
    <w:rsid w:val="00B42553"/>
    <w:rsid w:val="00B45AE6"/>
    <w:rsid w:val="00B479F5"/>
    <w:rsid w:val="00B615D0"/>
    <w:rsid w:val="00B6712E"/>
    <w:rsid w:val="00B73000"/>
    <w:rsid w:val="00B80AC4"/>
    <w:rsid w:val="00B81CAE"/>
    <w:rsid w:val="00B8459D"/>
    <w:rsid w:val="00B93EF8"/>
    <w:rsid w:val="00BB380A"/>
    <w:rsid w:val="00BB3B5C"/>
    <w:rsid w:val="00BC1A1D"/>
    <w:rsid w:val="00BC7C25"/>
    <w:rsid w:val="00BD126A"/>
    <w:rsid w:val="00BD1CD0"/>
    <w:rsid w:val="00BD3068"/>
    <w:rsid w:val="00BF1B41"/>
    <w:rsid w:val="00C005E2"/>
    <w:rsid w:val="00C04844"/>
    <w:rsid w:val="00C077D1"/>
    <w:rsid w:val="00C22C5C"/>
    <w:rsid w:val="00C3204C"/>
    <w:rsid w:val="00C4031E"/>
    <w:rsid w:val="00C4115D"/>
    <w:rsid w:val="00C52F81"/>
    <w:rsid w:val="00C53DAE"/>
    <w:rsid w:val="00C53E96"/>
    <w:rsid w:val="00C56484"/>
    <w:rsid w:val="00C56E68"/>
    <w:rsid w:val="00C61510"/>
    <w:rsid w:val="00C61BEE"/>
    <w:rsid w:val="00C655FD"/>
    <w:rsid w:val="00C77077"/>
    <w:rsid w:val="00C82F57"/>
    <w:rsid w:val="00C87C9F"/>
    <w:rsid w:val="00C904D9"/>
    <w:rsid w:val="00C945CD"/>
    <w:rsid w:val="00CA1942"/>
    <w:rsid w:val="00CA2AAB"/>
    <w:rsid w:val="00CA6ADA"/>
    <w:rsid w:val="00CB68B2"/>
    <w:rsid w:val="00CC186D"/>
    <w:rsid w:val="00CD18CB"/>
    <w:rsid w:val="00CD5D1D"/>
    <w:rsid w:val="00CE2241"/>
    <w:rsid w:val="00CE2302"/>
    <w:rsid w:val="00CE6EE5"/>
    <w:rsid w:val="00CF3036"/>
    <w:rsid w:val="00D04856"/>
    <w:rsid w:val="00D10234"/>
    <w:rsid w:val="00D15AFD"/>
    <w:rsid w:val="00D32C0C"/>
    <w:rsid w:val="00D33006"/>
    <w:rsid w:val="00D404B3"/>
    <w:rsid w:val="00D43F0D"/>
    <w:rsid w:val="00D45A07"/>
    <w:rsid w:val="00D50A55"/>
    <w:rsid w:val="00D50DC1"/>
    <w:rsid w:val="00D53954"/>
    <w:rsid w:val="00D93117"/>
    <w:rsid w:val="00D95D3F"/>
    <w:rsid w:val="00DA4732"/>
    <w:rsid w:val="00DB6D4F"/>
    <w:rsid w:val="00DC0DF1"/>
    <w:rsid w:val="00DC42CF"/>
    <w:rsid w:val="00DD144E"/>
    <w:rsid w:val="00DD1B16"/>
    <w:rsid w:val="00DD3E50"/>
    <w:rsid w:val="00DE1BDB"/>
    <w:rsid w:val="00DE243A"/>
    <w:rsid w:val="00E00421"/>
    <w:rsid w:val="00E050EF"/>
    <w:rsid w:val="00E12326"/>
    <w:rsid w:val="00E12EBD"/>
    <w:rsid w:val="00E17E02"/>
    <w:rsid w:val="00E322AE"/>
    <w:rsid w:val="00E33525"/>
    <w:rsid w:val="00E4526B"/>
    <w:rsid w:val="00E461DF"/>
    <w:rsid w:val="00E62120"/>
    <w:rsid w:val="00E70FE5"/>
    <w:rsid w:val="00E73DE8"/>
    <w:rsid w:val="00E74C50"/>
    <w:rsid w:val="00E8366B"/>
    <w:rsid w:val="00EA3C6E"/>
    <w:rsid w:val="00EB08C9"/>
    <w:rsid w:val="00EB74FF"/>
    <w:rsid w:val="00EB7AB9"/>
    <w:rsid w:val="00EC35BC"/>
    <w:rsid w:val="00EC5962"/>
    <w:rsid w:val="00EC6DC0"/>
    <w:rsid w:val="00EE23A6"/>
    <w:rsid w:val="00EE66B8"/>
    <w:rsid w:val="00F02E92"/>
    <w:rsid w:val="00F15AC7"/>
    <w:rsid w:val="00F16511"/>
    <w:rsid w:val="00F24373"/>
    <w:rsid w:val="00F3355C"/>
    <w:rsid w:val="00F43474"/>
    <w:rsid w:val="00F54464"/>
    <w:rsid w:val="00F54953"/>
    <w:rsid w:val="00F76074"/>
    <w:rsid w:val="00F76586"/>
    <w:rsid w:val="00F86EA0"/>
    <w:rsid w:val="00F92D03"/>
    <w:rsid w:val="00FA6B21"/>
    <w:rsid w:val="00FB3542"/>
    <w:rsid w:val="00FC6B4B"/>
    <w:rsid w:val="00FD2101"/>
    <w:rsid w:val="00FD776B"/>
    <w:rsid w:val="00FE5241"/>
    <w:rsid w:val="00FF6988"/>
    <w:rsid w:val="034E139E"/>
    <w:rsid w:val="06337955"/>
    <w:rsid w:val="07BA1427"/>
    <w:rsid w:val="1E020045"/>
    <w:rsid w:val="24CD1CF1"/>
    <w:rsid w:val="37305FCB"/>
    <w:rsid w:val="430E396E"/>
    <w:rsid w:val="45D5010B"/>
    <w:rsid w:val="4D1A4218"/>
    <w:rsid w:val="54A553D5"/>
    <w:rsid w:val="57944200"/>
    <w:rsid w:val="5D967DD0"/>
    <w:rsid w:val="5EAB32FC"/>
    <w:rsid w:val="61B56B96"/>
    <w:rsid w:val="63173A8F"/>
    <w:rsid w:val="679F3121"/>
    <w:rsid w:val="69AB18A4"/>
    <w:rsid w:val="742E6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6"/>
    <w:unhideWhenUsed/>
    <w:uiPriority w:val="99"/>
    <w:rPr>
      <w:b/>
      <w:bCs/>
    </w:rPr>
  </w:style>
  <w:style w:type="paragraph" w:styleId="5">
    <w:name w:val="annotation text"/>
    <w:basedOn w:val="1"/>
    <w:link w:val="25"/>
    <w:unhideWhenUsed/>
    <w:uiPriority w:val="99"/>
    <w:pPr>
      <w:jc w:val="left"/>
    </w:pPr>
  </w:style>
  <w:style w:type="paragraph" w:styleId="6">
    <w:name w:val="Body Text"/>
    <w:basedOn w:val="1"/>
    <w:link w:val="20"/>
    <w:qFormat/>
    <w:uiPriority w:val="0"/>
    <w:pPr>
      <w:spacing w:after="120"/>
    </w:pPr>
  </w:style>
  <w:style w:type="paragraph" w:styleId="7">
    <w:name w:val="Balloon Text"/>
    <w:basedOn w:val="1"/>
    <w:link w:val="27"/>
    <w:unhideWhenUsed/>
    <w:qFormat/>
    <w:uiPriority w:val="99"/>
    <w:rPr>
      <w:sz w:val="18"/>
      <w:szCs w:val="18"/>
    </w:rPr>
  </w:style>
  <w:style w:type="paragraph" w:styleId="8">
    <w:name w:val="footer"/>
    <w:basedOn w:val="1"/>
    <w:link w:val="24"/>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17"/>
    <w:qFormat/>
    <w:uiPriority w:val="0"/>
    <w:pPr>
      <w:snapToGrid w:val="0"/>
      <w:jc w:val="left"/>
    </w:pPr>
    <w:rPr>
      <w:sz w:val="18"/>
      <w:szCs w:val="18"/>
    </w:rPr>
  </w:style>
  <w:style w:type="character" w:styleId="12">
    <w:name w:val="annotation reference"/>
    <w:basedOn w:val="11"/>
    <w:unhideWhenUsed/>
    <w:qFormat/>
    <w:uiPriority w:val="99"/>
    <w:rPr>
      <w:sz w:val="21"/>
      <w:szCs w:val="21"/>
    </w:rPr>
  </w:style>
  <w:style w:type="character" w:styleId="13">
    <w:name w:val="footnote reference"/>
    <w:qFormat/>
    <w:uiPriority w:val="0"/>
    <w:rPr>
      <w:vertAlign w:val="superscript"/>
    </w:rPr>
  </w:style>
  <w:style w:type="character" w:customStyle="1" w:styleId="15">
    <w:name w:val="标题 1 Char"/>
    <w:basedOn w:val="11"/>
    <w:link w:val="2"/>
    <w:qFormat/>
    <w:uiPriority w:val="0"/>
    <w:rPr>
      <w:rFonts w:ascii="Times New Roman" w:hAnsi="Times New Roman" w:eastAsia="宋体" w:cs="Times New Roman"/>
      <w:b/>
      <w:bCs/>
      <w:kern w:val="44"/>
      <w:sz w:val="44"/>
      <w:szCs w:val="44"/>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7">
    <w:name w:val="脚注文本 Char"/>
    <w:basedOn w:val="11"/>
    <w:link w:val="10"/>
    <w:qFormat/>
    <w:uiPriority w:val="0"/>
    <w:rPr>
      <w:rFonts w:ascii="Times New Roman" w:hAnsi="Times New Roman" w:eastAsia="宋体" w:cs="Times New Roman"/>
      <w:sz w:val="18"/>
      <w:szCs w:val="18"/>
    </w:rPr>
  </w:style>
  <w:style w:type="character" w:customStyle="1" w:styleId="18">
    <w:name w:val="标题 2 Char"/>
    <w:basedOn w:val="11"/>
    <w:link w:val="3"/>
    <w:semiHidden/>
    <w:qFormat/>
    <w:uiPriority w:val="9"/>
    <w:rPr>
      <w:rFonts w:asciiTheme="majorHAnsi" w:hAnsiTheme="majorHAnsi" w:eastAsiaTheme="majorEastAsia" w:cstheme="majorBidi"/>
      <w:b/>
      <w:bCs/>
      <w:sz w:val="32"/>
      <w:szCs w:val="32"/>
    </w:rPr>
  </w:style>
  <w:style w:type="paragraph" w:customStyle="1" w:styleId="19">
    <w:name w:val="普通 (Web)"/>
    <w:qFormat/>
    <w:uiPriority w:val="0"/>
    <w:pPr>
      <w:spacing w:before="100" w:after="100"/>
    </w:pPr>
    <w:rPr>
      <w:rFonts w:ascii="宋体" w:hAnsi="Times New Roman" w:eastAsia="宋体" w:cs="Times New Roman"/>
      <w:sz w:val="24"/>
      <w:lang w:val="en-US" w:eastAsia="zh-CN" w:bidi="ar-SA"/>
    </w:rPr>
  </w:style>
  <w:style w:type="character" w:customStyle="1" w:styleId="20">
    <w:name w:val="正文文本 Char"/>
    <w:basedOn w:val="11"/>
    <w:link w:val="6"/>
    <w:qFormat/>
    <w:uiPriority w:val="0"/>
    <w:rPr>
      <w:rFonts w:ascii="Times New Roman" w:hAnsi="Times New Roman" w:eastAsia="宋体" w:cs="Times New Roman"/>
      <w:szCs w:val="24"/>
    </w:rPr>
  </w:style>
  <w:style w:type="paragraph" w:customStyle="1" w:styleId="21">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2">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3">
    <w:name w:val="页眉 Char"/>
    <w:basedOn w:val="11"/>
    <w:link w:val="9"/>
    <w:qFormat/>
    <w:uiPriority w:val="99"/>
    <w:rPr>
      <w:rFonts w:ascii="Times New Roman" w:hAnsi="Times New Roman" w:eastAsia="宋体" w:cs="Times New Roman"/>
      <w:sz w:val="18"/>
      <w:szCs w:val="18"/>
    </w:rPr>
  </w:style>
  <w:style w:type="character" w:customStyle="1" w:styleId="24">
    <w:name w:val="页脚 Char"/>
    <w:basedOn w:val="11"/>
    <w:link w:val="8"/>
    <w:qFormat/>
    <w:uiPriority w:val="99"/>
    <w:rPr>
      <w:rFonts w:ascii="Times New Roman" w:hAnsi="Times New Roman" w:eastAsia="宋体" w:cs="Times New Roman"/>
      <w:sz w:val="18"/>
      <w:szCs w:val="18"/>
    </w:rPr>
  </w:style>
  <w:style w:type="character" w:customStyle="1" w:styleId="25">
    <w:name w:val="批注文字 Char"/>
    <w:basedOn w:val="11"/>
    <w:link w:val="5"/>
    <w:semiHidden/>
    <w:qFormat/>
    <w:uiPriority w:val="99"/>
    <w:rPr>
      <w:rFonts w:ascii="Times New Roman" w:hAnsi="Times New Roman" w:eastAsia="宋体" w:cs="Times New Roman"/>
      <w:szCs w:val="24"/>
    </w:rPr>
  </w:style>
  <w:style w:type="character" w:customStyle="1" w:styleId="26">
    <w:name w:val="批注主题 Char"/>
    <w:basedOn w:val="25"/>
    <w:link w:val="4"/>
    <w:semiHidden/>
    <w:qFormat/>
    <w:uiPriority w:val="99"/>
    <w:rPr>
      <w:rFonts w:ascii="Times New Roman" w:hAnsi="Times New Roman" w:eastAsia="宋体" w:cs="Times New Roman"/>
      <w:b/>
      <w:bCs/>
      <w:szCs w:val="24"/>
    </w:rPr>
  </w:style>
  <w:style w:type="character" w:customStyle="1" w:styleId="27">
    <w:name w:val="批注框文本 Char"/>
    <w:basedOn w:val="11"/>
    <w:link w:val="7"/>
    <w:semiHidden/>
    <w:qFormat/>
    <w:uiPriority w:val="99"/>
    <w:rPr>
      <w:rFonts w:ascii="Times New Roman" w:hAnsi="Times New Roman" w:eastAsia="宋体" w:cs="Times New Roman"/>
      <w:sz w:val="18"/>
      <w:szCs w:val="18"/>
    </w:rPr>
  </w:style>
  <w:style w:type="paragraph" w:customStyle="1" w:styleId="28">
    <w:name w:val="修订1"/>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E9630F-3D7D-470D-BDD7-8811F7074BA0}">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837</Words>
  <Characters>4776</Characters>
  <Lines>39</Lines>
  <Paragraphs>11</Paragraphs>
  <TotalTime>3</TotalTime>
  <ScaleCrop>false</ScaleCrop>
  <LinksUpToDate>false</LinksUpToDate>
  <CharactersWithSpaces>5602</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2015-11-13T01:35:00Z</dcterms:created>
  <dc:creator>qzy3472</dc:creator>
  <cp:lastModifiedBy>bo</cp:lastModifiedBy>
  <dcterms:modified xsi:type="dcterms:W3CDTF">2019-01-24T06:33:32Z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