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ascii="黑体" w:hAnsi="黑体" w:eastAsia="黑体"/>
          <w:b/>
          <w:bCs/>
          <w:sz w:val="32"/>
        </w:rPr>
      </w:pPr>
      <w:r>
        <w:rPr>
          <w:rFonts w:hint="eastAsia" w:ascii="黑体" w:hAnsi="黑体" w:eastAsia="黑体"/>
          <w:b/>
          <w:bCs/>
          <w:sz w:val="32"/>
        </w:rPr>
        <w:t>设备技术要求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pPr>
      <w:r>
        <w:rPr>
          <w:rFonts w:hint="eastAsia" w:ascii="宋体"/>
          <w:sz w:val="24"/>
        </w:rPr>
        <w:t>第七节  技术资料和图纸</w:t>
      </w:r>
      <w:bookmarkStart w:id="0" w:name="_Toc356204538"/>
      <w:bookmarkStart w:id="1" w:name="_Toc357082526"/>
    </w:p>
    <w:p>
      <w:pPr>
        <w:widowControl/>
        <w:jc w:val="left"/>
      </w:pP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一、货物需求一览表</w:t>
      </w:r>
    </w:p>
    <w:tbl>
      <w:tblPr>
        <w:tblStyle w:val="14"/>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参考型号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量热仪</w:t>
            </w:r>
            <w:r>
              <w:rPr>
                <w:rFonts w:hint="eastAsia" w:ascii="宋体"/>
                <w:szCs w:val="21"/>
              </w:rPr>
              <w:t>（双控）</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8</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w:t>
            </w:r>
            <w:r>
              <w:rPr>
                <w:rFonts w:ascii="宋体" w:hAnsi="宋体"/>
                <w:szCs w:val="21"/>
              </w:rPr>
              <w:t>45</w:t>
            </w:r>
            <w:r>
              <w:rPr>
                <w:rFonts w:hint="eastAsia" w:ascii="宋体" w:hAnsi="宋体"/>
                <w:szCs w:val="21"/>
              </w:rPr>
              <w:t>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检测公司</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2</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附属设备</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套</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8</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同上</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同上</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3</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专用工具</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批</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8</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同上</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同上</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4</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技术资料</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套/台</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6</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同上</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同上</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line="360" w:lineRule="auto"/>
        <w:jc w:val="center"/>
        <w:rPr>
          <w:b/>
          <w:szCs w:val="21"/>
        </w:rPr>
      </w:pPr>
      <w:r>
        <w:rPr>
          <w:rFonts w:hint="eastAsia"/>
          <w:b/>
          <w:szCs w:val="21"/>
        </w:rPr>
        <w:t>分项报价表</w:t>
      </w:r>
    </w:p>
    <w:tbl>
      <w:tblPr>
        <w:tblStyle w:val="14"/>
        <w:tblW w:w="782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099"/>
        <w:gridCol w:w="900"/>
        <w:gridCol w:w="1499"/>
        <w:gridCol w:w="1199"/>
        <w:gridCol w:w="12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tblHeader/>
          <w:jc w:val="center"/>
        </w:trPr>
        <w:tc>
          <w:tcPr>
            <w:tcW w:w="900" w:type="dxa"/>
            <w:vAlign w:val="center"/>
          </w:tcPr>
          <w:p>
            <w:pPr>
              <w:widowControl/>
              <w:jc w:val="center"/>
              <w:rPr>
                <w:rFonts w:ascii="宋体" w:cs="宋体"/>
                <w:b/>
                <w:kern w:val="0"/>
                <w:szCs w:val="21"/>
              </w:rPr>
            </w:pPr>
            <w:r>
              <w:rPr>
                <w:rFonts w:hint="eastAsia" w:ascii="宋体" w:hAnsi="宋体" w:cs="宋体"/>
                <w:b/>
                <w:kern w:val="0"/>
                <w:szCs w:val="21"/>
              </w:rPr>
              <w:t>序号</w:t>
            </w:r>
          </w:p>
        </w:tc>
        <w:tc>
          <w:tcPr>
            <w:tcW w:w="2099" w:type="dxa"/>
            <w:vAlign w:val="center"/>
          </w:tcPr>
          <w:p>
            <w:pPr>
              <w:widowControl/>
              <w:jc w:val="center"/>
              <w:rPr>
                <w:rFonts w:ascii="宋体" w:cs="宋体"/>
                <w:b/>
                <w:kern w:val="0"/>
                <w:szCs w:val="21"/>
              </w:rPr>
            </w:pPr>
            <w:r>
              <w:rPr>
                <w:rFonts w:hint="eastAsia" w:ascii="宋体" w:hAnsi="宋体" w:cs="宋体"/>
                <w:b/>
                <w:kern w:val="0"/>
                <w:szCs w:val="21"/>
              </w:rPr>
              <w:t>名称</w:t>
            </w:r>
          </w:p>
        </w:tc>
        <w:tc>
          <w:tcPr>
            <w:tcW w:w="900" w:type="dxa"/>
            <w:vAlign w:val="center"/>
          </w:tcPr>
          <w:p>
            <w:pPr>
              <w:widowControl/>
              <w:jc w:val="center"/>
              <w:rPr>
                <w:rFonts w:ascii="宋体" w:cs="宋体"/>
                <w:b/>
                <w:kern w:val="0"/>
                <w:szCs w:val="21"/>
              </w:rPr>
            </w:pPr>
            <w:r>
              <w:rPr>
                <w:rFonts w:hint="eastAsia" w:ascii="宋体" w:hAnsi="宋体" w:cs="宋体"/>
                <w:b/>
                <w:kern w:val="0"/>
                <w:szCs w:val="21"/>
              </w:rPr>
              <w:t>单位</w:t>
            </w:r>
          </w:p>
        </w:tc>
        <w:tc>
          <w:tcPr>
            <w:tcW w:w="1499" w:type="dxa"/>
            <w:vAlign w:val="center"/>
          </w:tcPr>
          <w:p>
            <w:pPr>
              <w:widowControl/>
              <w:jc w:val="center"/>
              <w:rPr>
                <w:rFonts w:ascii="宋体" w:cs="宋体"/>
                <w:b/>
                <w:kern w:val="0"/>
                <w:szCs w:val="21"/>
              </w:rPr>
            </w:pPr>
            <w:r>
              <w:rPr>
                <w:rFonts w:hint="eastAsia" w:ascii="宋体" w:hAnsi="宋体" w:cs="宋体"/>
                <w:b/>
                <w:kern w:val="0"/>
                <w:szCs w:val="21"/>
              </w:rPr>
              <w:t>数量</w:t>
            </w:r>
          </w:p>
        </w:tc>
        <w:tc>
          <w:tcPr>
            <w:tcW w:w="1199" w:type="dxa"/>
            <w:vAlign w:val="center"/>
          </w:tcPr>
          <w:p>
            <w:pPr>
              <w:widowControl/>
              <w:jc w:val="center"/>
              <w:rPr>
                <w:rFonts w:ascii="宋体" w:cs="宋体"/>
                <w:b/>
                <w:kern w:val="0"/>
                <w:szCs w:val="21"/>
              </w:rPr>
            </w:pPr>
            <w:r>
              <w:rPr>
                <w:rFonts w:hint="eastAsia" w:ascii="宋体" w:hAnsi="宋体" w:cs="宋体"/>
                <w:b/>
                <w:kern w:val="0"/>
                <w:szCs w:val="21"/>
              </w:rPr>
              <w:t>单价（元）</w:t>
            </w:r>
          </w:p>
        </w:tc>
        <w:tc>
          <w:tcPr>
            <w:tcW w:w="1226" w:type="dxa"/>
            <w:vAlign w:val="center"/>
          </w:tcPr>
          <w:p>
            <w:pPr>
              <w:widowControl/>
              <w:jc w:val="center"/>
              <w:rPr>
                <w:rFonts w:ascii="宋体" w:cs="宋体"/>
                <w:b/>
                <w:kern w:val="0"/>
                <w:szCs w:val="21"/>
              </w:rPr>
            </w:pPr>
            <w:r>
              <w:rPr>
                <w:rFonts w:hint="eastAsia" w:ascii="宋体" w:hAnsi="宋体" w:cs="宋体"/>
                <w:b/>
                <w:kern w:val="0"/>
                <w:szCs w:val="21"/>
              </w:rPr>
              <w:t>总价（元）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1" w:hRule="atLeast"/>
          <w:jc w:val="center"/>
        </w:trPr>
        <w:tc>
          <w:tcPr>
            <w:tcW w:w="900" w:type="dxa"/>
          </w:tcPr>
          <w:p>
            <w:pPr>
              <w:spacing w:line="400" w:lineRule="exact"/>
              <w:jc w:val="center"/>
              <w:rPr>
                <w:rFonts w:ascii="宋体"/>
                <w:szCs w:val="21"/>
              </w:rPr>
            </w:pPr>
          </w:p>
        </w:tc>
        <w:tc>
          <w:tcPr>
            <w:tcW w:w="2099" w:type="dxa"/>
          </w:tcPr>
          <w:p>
            <w:pPr>
              <w:spacing w:line="400" w:lineRule="exact"/>
              <w:jc w:val="left"/>
              <w:rPr>
                <w:rFonts w:ascii="宋体"/>
                <w:b/>
                <w:color w:val="FF0000"/>
                <w:szCs w:val="21"/>
              </w:rPr>
            </w:pPr>
            <w:r>
              <w:rPr>
                <w:rFonts w:hint="eastAsia" w:ascii="宋体"/>
                <w:szCs w:val="21"/>
              </w:rPr>
              <w:t>量热仪（双控）</w:t>
            </w:r>
          </w:p>
        </w:tc>
        <w:tc>
          <w:tcPr>
            <w:tcW w:w="900" w:type="dxa"/>
          </w:tcPr>
          <w:p>
            <w:pPr>
              <w:spacing w:line="400" w:lineRule="exact"/>
              <w:jc w:val="center"/>
              <w:rPr>
                <w:rFonts w:asciiTheme="minorEastAsia" w:hAnsiTheme="minorEastAsia" w:eastAsiaTheme="minorEastAsia" w:cstheme="minorEastAsia"/>
                <w:b/>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台</w:t>
            </w:r>
          </w:p>
        </w:tc>
        <w:tc>
          <w:tcPr>
            <w:tcW w:w="1499" w:type="dxa"/>
            <w:vAlign w:val="center"/>
          </w:tcPr>
          <w:p>
            <w:pPr>
              <w:widowControl/>
              <w:jc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8</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p>
        </w:tc>
        <w:tc>
          <w:tcPr>
            <w:tcW w:w="2099" w:type="dxa"/>
          </w:tcPr>
          <w:p>
            <w:pPr>
              <w:spacing w:line="400" w:lineRule="exact"/>
              <w:jc w:val="left"/>
              <w:rPr>
                <w:rFonts w:ascii="宋体"/>
                <w:szCs w:val="21"/>
              </w:rPr>
            </w:pPr>
            <w:r>
              <w:rPr>
                <w:rFonts w:hint="eastAsia" w:ascii="宋体"/>
                <w:szCs w:val="21"/>
              </w:rPr>
              <w:t>每台包括：</w:t>
            </w:r>
          </w:p>
        </w:tc>
        <w:tc>
          <w:tcPr>
            <w:tcW w:w="900" w:type="dxa"/>
          </w:tcPr>
          <w:p>
            <w:pPr>
              <w:spacing w:line="400" w:lineRule="exact"/>
              <w:jc w:val="center"/>
              <w:rPr>
                <w:rFonts w:asciiTheme="minorEastAsia" w:hAnsiTheme="minorEastAsia" w:eastAsiaTheme="minorEastAsia" w:cstheme="minorEastAsia"/>
                <w:color w:val="000000" w:themeColor="text1"/>
                <w:szCs w:val="21"/>
                <w14:textFill>
                  <w14:solidFill>
                    <w14:schemeClr w14:val="tx1"/>
                  </w14:solidFill>
                </w14:textFill>
              </w:rPr>
            </w:pPr>
          </w:p>
        </w:tc>
        <w:tc>
          <w:tcPr>
            <w:tcW w:w="1499" w:type="dxa"/>
            <w:vAlign w:val="center"/>
          </w:tcPr>
          <w:p>
            <w:pPr>
              <w:widowControl/>
              <w:jc w:val="center"/>
              <w:rPr>
                <w:rFonts w:asciiTheme="minorEastAsia" w:hAnsiTheme="minorEastAsia" w:eastAsiaTheme="minorEastAsia" w:cstheme="minorEastAsia"/>
                <w:color w:val="000000" w:themeColor="text1"/>
                <w:kern w:val="0"/>
                <w:szCs w:val="21"/>
                <w14:textFill>
                  <w14:solidFill>
                    <w14:schemeClr w14:val="tx1"/>
                  </w14:solidFill>
                </w14:textFill>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r>
              <w:rPr>
                <w:rFonts w:hint="eastAsia" w:ascii="宋体"/>
                <w:szCs w:val="21"/>
              </w:rPr>
              <w:t>1.1</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szCs w:val="21"/>
              </w:rPr>
              <w:t>主控机箱</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台</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r>
              <w:rPr>
                <w:rFonts w:hint="eastAsia" w:ascii="宋体"/>
                <w:szCs w:val="21"/>
              </w:rPr>
              <w:t>1.2</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szCs w:val="21"/>
              </w:rPr>
              <w:t>温控机箱</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台</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r>
              <w:rPr>
                <w:rFonts w:hint="eastAsia" w:ascii="宋体"/>
                <w:szCs w:val="21"/>
              </w:rPr>
              <w:t>1.3</w:t>
            </w:r>
          </w:p>
        </w:tc>
        <w:tc>
          <w:tcPr>
            <w:tcW w:w="2099" w:type="dxa"/>
            <w:tcBorders>
              <w:top w:val="single" w:color="auto" w:sz="4" w:space="0"/>
              <w:left w:val="single" w:color="auto" w:sz="4" w:space="0"/>
              <w:bottom w:val="single" w:color="auto" w:sz="4" w:space="0"/>
              <w:right w:val="single" w:color="auto" w:sz="4" w:space="0"/>
            </w:tcBorders>
            <w:vAlign w:val="center"/>
          </w:tcPr>
          <w:p>
            <w:pPr>
              <w:spacing w:line="400" w:lineRule="exact"/>
              <w:jc w:val="left"/>
              <w:rPr>
                <w:rFonts w:ascii="宋体"/>
                <w:szCs w:val="21"/>
              </w:rPr>
            </w:pPr>
            <w:r>
              <w:rPr>
                <w:rFonts w:hint="eastAsia" w:ascii="宋体"/>
                <w:szCs w:val="21"/>
              </w:rPr>
              <w:t>氧弹支架</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件</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r>
              <w:rPr>
                <w:rFonts w:hint="eastAsia" w:ascii="宋体"/>
                <w:szCs w:val="21"/>
              </w:rPr>
              <w:t>1.4</w:t>
            </w:r>
          </w:p>
        </w:tc>
        <w:tc>
          <w:tcPr>
            <w:tcW w:w="2099" w:type="dxa"/>
            <w:tcBorders>
              <w:top w:val="single" w:color="auto" w:sz="4" w:space="0"/>
              <w:left w:val="single" w:color="auto" w:sz="4" w:space="0"/>
              <w:bottom w:val="single" w:color="auto" w:sz="4" w:space="0"/>
              <w:right w:val="single" w:color="auto" w:sz="4" w:space="0"/>
            </w:tcBorders>
          </w:tcPr>
          <w:p>
            <w:pPr>
              <w:spacing w:line="400" w:lineRule="exact"/>
              <w:jc w:val="left"/>
              <w:rPr>
                <w:rFonts w:ascii="宋体"/>
                <w:szCs w:val="21"/>
              </w:rPr>
            </w:pPr>
            <w:r>
              <w:rPr>
                <w:rFonts w:hint="eastAsia" w:ascii="宋体"/>
                <w:szCs w:val="21"/>
              </w:rPr>
              <w:t>氧弹</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个</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kern w:val="0"/>
                <w:szCs w:val="21"/>
                <w14:textFill>
                  <w14:solidFill>
                    <w14:schemeClr w14:val="tx1"/>
                  </w14:solidFill>
                </w14:textFill>
              </w:rPr>
              <w:t>4</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tcPr>
          <w:p>
            <w:pPr>
              <w:spacing w:line="400" w:lineRule="exact"/>
              <w:jc w:val="center"/>
              <w:rPr>
                <w:rFonts w:ascii="宋体"/>
                <w:szCs w:val="21"/>
              </w:rPr>
            </w:pPr>
            <w:r>
              <w:rPr>
                <w:rFonts w:hint="eastAsia" w:ascii="宋体"/>
                <w:szCs w:val="21"/>
              </w:rPr>
              <w:t>1.5</w:t>
            </w:r>
          </w:p>
        </w:tc>
        <w:tc>
          <w:tcPr>
            <w:tcW w:w="2099" w:type="dxa"/>
            <w:tcBorders>
              <w:top w:val="single" w:color="auto" w:sz="4" w:space="0"/>
              <w:left w:val="single" w:color="auto" w:sz="4" w:space="0"/>
              <w:bottom w:val="single" w:color="auto" w:sz="4" w:space="0"/>
              <w:right w:val="single" w:color="auto" w:sz="4" w:space="0"/>
            </w:tcBorders>
          </w:tcPr>
          <w:p>
            <w:pPr>
              <w:spacing w:line="400" w:lineRule="exact"/>
              <w:jc w:val="left"/>
              <w:rPr>
                <w:rFonts w:ascii="宋体"/>
                <w:szCs w:val="21"/>
              </w:rPr>
            </w:pPr>
            <w:r>
              <w:rPr>
                <w:rFonts w:hint="eastAsia" w:ascii="宋体"/>
                <w:szCs w:val="21"/>
              </w:rPr>
              <w:t>内筒组件</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szCs w:val="21"/>
              </w:rPr>
            </w:pPr>
            <w:r>
              <w:rPr>
                <w:rFonts w:hint="eastAsia" w:ascii="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cs="宋体"/>
                <w:kern w:val="0"/>
                <w:szCs w:val="21"/>
              </w:rPr>
              <w:t>2</w:t>
            </w: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1.6</w:t>
            </w:r>
          </w:p>
        </w:tc>
        <w:tc>
          <w:tcPr>
            <w:tcW w:w="2099" w:type="dxa"/>
            <w:tcBorders>
              <w:top w:val="single" w:color="auto" w:sz="4" w:space="0"/>
              <w:left w:val="single" w:color="auto" w:sz="4" w:space="0"/>
              <w:bottom w:val="single" w:color="auto" w:sz="4" w:space="0"/>
              <w:right w:val="single" w:color="auto" w:sz="4" w:space="0"/>
            </w:tcBorders>
          </w:tcPr>
          <w:p>
            <w:pPr>
              <w:widowControl/>
              <w:jc w:val="left"/>
              <w:rPr>
                <w:rFonts w:ascii="宋体" w:hAnsi="宋体" w:cs="宋体"/>
                <w:kern w:val="0"/>
                <w:szCs w:val="21"/>
              </w:rPr>
            </w:pPr>
            <w:r>
              <w:rPr>
                <w:rFonts w:hint="eastAsia" w:ascii="宋体"/>
                <w:szCs w:val="21"/>
              </w:rPr>
              <w:t>外筒组件</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cs="宋体"/>
                <w:kern w:val="0"/>
                <w:szCs w:val="21"/>
              </w:rPr>
            </w:pPr>
            <w:r>
              <w:rPr>
                <w:rFonts w:hint="eastAsia" w:ascii="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cs="宋体"/>
                <w:kern w:val="0"/>
                <w:szCs w:val="21"/>
              </w:rPr>
              <w:t>2</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1.7</w:t>
            </w:r>
          </w:p>
        </w:tc>
        <w:tc>
          <w:tcPr>
            <w:tcW w:w="2099" w:type="dxa"/>
            <w:tcBorders>
              <w:top w:val="single" w:color="auto" w:sz="4" w:space="0"/>
              <w:left w:val="single" w:color="auto" w:sz="4" w:space="0"/>
              <w:bottom w:val="single" w:color="auto" w:sz="4" w:space="0"/>
              <w:right w:val="single" w:color="auto" w:sz="4" w:space="0"/>
            </w:tcBorders>
          </w:tcPr>
          <w:p>
            <w:pPr>
              <w:widowControl/>
              <w:jc w:val="left"/>
              <w:rPr>
                <w:rFonts w:ascii="宋体"/>
                <w:szCs w:val="21"/>
              </w:rPr>
            </w:pPr>
            <w:r>
              <w:rPr>
                <w:rFonts w:hint="eastAsia" w:ascii="宋体"/>
                <w:szCs w:val="21"/>
              </w:rPr>
              <w:t>水阀组件</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cs="宋体"/>
                <w:kern w:val="0"/>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9"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1.8</w:t>
            </w:r>
          </w:p>
        </w:tc>
        <w:tc>
          <w:tcPr>
            <w:tcW w:w="2099" w:type="dxa"/>
            <w:tcBorders>
              <w:top w:val="single" w:color="auto" w:sz="4" w:space="0"/>
              <w:left w:val="single" w:color="auto" w:sz="4" w:space="0"/>
              <w:bottom w:val="single" w:color="auto" w:sz="4" w:space="0"/>
              <w:right w:val="single" w:color="auto" w:sz="4" w:space="0"/>
            </w:tcBorders>
          </w:tcPr>
          <w:p>
            <w:pPr>
              <w:widowControl/>
              <w:jc w:val="left"/>
              <w:rPr>
                <w:rFonts w:ascii="宋体"/>
                <w:szCs w:val="21"/>
              </w:rPr>
            </w:pPr>
            <w:r>
              <w:rPr>
                <w:rFonts w:hint="eastAsia" w:ascii="宋体"/>
                <w:szCs w:val="21"/>
              </w:rPr>
              <w:t xml:space="preserve">气阀组件 </w:t>
            </w:r>
          </w:p>
        </w:tc>
        <w:tc>
          <w:tcPr>
            <w:tcW w:w="900" w:type="dxa"/>
            <w:tcBorders>
              <w:top w:val="single" w:color="auto" w:sz="4" w:space="0"/>
              <w:left w:val="single" w:color="auto" w:sz="4" w:space="0"/>
              <w:bottom w:val="single" w:color="auto" w:sz="4" w:space="0"/>
              <w:right w:val="single" w:color="auto" w:sz="4" w:space="0"/>
            </w:tcBorders>
            <w:vAlign w:val="center"/>
          </w:tcPr>
          <w:p>
            <w:pPr>
              <w:spacing w:line="400" w:lineRule="exact"/>
              <w:jc w:val="center"/>
              <w:rPr>
                <w:rFonts w:ascii="宋体" w:hAnsi="宋体" w:cs="宋体"/>
                <w:szCs w:val="21"/>
              </w:rPr>
            </w:pPr>
            <w:r>
              <w:rPr>
                <w:rFonts w:hint="eastAsia" w:ascii="宋体"/>
                <w:szCs w:val="21"/>
              </w:rPr>
              <w:t>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cs="宋体"/>
                <w:kern w:val="0"/>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1.9</w:t>
            </w:r>
          </w:p>
        </w:tc>
        <w:tc>
          <w:tcPr>
            <w:tcW w:w="2099" w:type="dxa"/>
            <w:tcBorders>
              <w:top w:val="single" w:color="auto" w:sz="4" w:space="0"/>
              <w:left w:val="single" w:color="auto" w:sz="4" w:space="0"/>
              <w:bottom w:val="single" w:color="auto" w:sz="4" w:space="0"/>
              <w:right w:val="single" w:color="auto" w:sz="4" w:space="0"/>
            </w:tcBorders>
          </w:tcPr>
          <w:p>
            <w:pPr>
              <w:widowControl/>
              <w:jc w:val="left"/>
              <w:rPr>
                <w:rFonts w:ascii="宋体"/>
                <w:szCs w:val="21"/>
              </w:rPr>
            </w:pPr>
            <w:r>
              <w:rPr>
                <w:rFonts w:hint="eastAsia" w:ascii="宋体"/>
                <w:szCs w:val="21"/>
              </w:rPr>
              <w:t>升降控制板</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szCs w:val="21"/>
              </w:rPr>
              <w:t>块</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cs="宋体"/>
                <w:kern w:val="0"/>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1.10</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szCs w:val="21"/>
              </w:rPr>
              <w:t>硅胶管</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szCs w:val="21"/>
              </w:rPr>
            </w:pPr>
            <w:r>
              <w:rPr>
                <w:rFonts w:hint="eastAsia" w:ascii="宋体"/>
                <w:szCs w:val="21"/>
              </w:rPr>
              <w:t>米</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szCs w:val="21"/>
              </w:rPr>
            </w:pPr>
            <w:r>
              <w:rPr>
                <w:rFonts w:hint="eastAsia" w:ascii="宋体"/>
                <w:szCs w:val="21"/>
              </w:rPr>
              <w:t>20</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1.11</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szCs w:val="21"/>
              </w:rPr>
              <w:t>坩埚架</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szCs w:val="21"/>
              </w:rPr>
            </w:pPr>
            <w:r>
              <w:rPr>
                <w:rFonts w:hint="eastAsia" w:ascii="宋体"/>
                <w:szCs w:val="21"/>
              </w:rPr>
              <w:t>件</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szCs w:val="21"/>
              </w:rPr>
            </w:pPr>
            <w:r>
              <w:rPr>
                <w:rFonts w:hint="eastAsia" w:ascii="宋体"/>
                <w:szCs w:val="21"/>
              </w:rPr>
              <w:t>4</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1.12</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szCs w:val="21"/>
              </w:rPr>
              <w:t>充氧导管</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szCs w:val="21"/>
              </w:rPr>
            </w:pPr>
            <w:r>
              <w:rPr>
                <w:rFonts w:hint="eastAsia" w:ascii="宋体"/>
                <w:szCs w:val="21"/>
              </w:rPr>
              <w:t>件</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szCs w:val="21"/>
              </w:rPr>
            </w:pPr>
            <w:r>
              <w:rPr>
                <w:rFonts w:hint="eastAsia" w:ascii="宋体"/>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1.13</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szCs w:val="21"/>
              </w:rPr>
              <w:t>氧弹坩埚</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szCs w:val="21"/>
              </w:rPr>
            </w:pPr>
            <w:r>
              <w:rPr>
                <w:rFonts w:hint="eastAsia" w:ascii="宋体"/>
                <w:szCs w:val="21"/>
              </w:rPr>
              <w:t>个</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szCs w:val="21"/>
              </w:rPr>
            </w:pPr>
            <w:r>
              <w:rPr>
                <w:rFonts w:hint="eastAsia" w:ascii="宋体"/>
                <w:szCs w:val="21"/>
              </w:rPr>
              <w:t>50</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8"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1.14</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szCs w:val="21"/>
              </w:rPr>
              <w:t>苯甲酸</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szCs w:val="21"/>
              </w:rPr>
            </w:pPr>
            <w:r>
              <w:rPr>
                <w:rFonts w:hint="eastAsia" w:ascii="宋体"/>
                <w:szCs w:val="21"/>
              </w:rPr>
              <w:t>瓶</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szCs w:val="21"/>
              </w:rPr>
            </w:pPr>
            <w:r>
              <w:rPr>
                <w:rFonts w:hint="eastAsia" w:ascii="宋体"/>
                <w:szCs w:val="21"/>
              </w:rPr>
              <w:t>5</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2</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ascii="宋体"/>
                <w:szCs w:val="21"/>
              </w:rPr>
              <w:t>计算机</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ascii="宋体"/>
                <w:szCs w:val="21"/>
              </w:rPr>
              <w:t>台</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cs="宋体"/>
                <w:kern w:val="0"/>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3</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szCs w:val="21"/>
              </w:rPr>
              <w:t>点火丝</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szCs w:val="21"/>
              </w:rPr>
              <w:t>盒</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cs="宋体"/>
                <w:kern w:val="0"/>
                <w:szCs w:val="21"/>
              </w:rPr>
              <w:t>4</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4</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宋体"/>
                <w:szCs w:val="21"/>
              </w:rPr>
            </w:pPr>
            <w:r>
              <w:rPr>
                <w:rFonts w:hint="eastAsia" w:ascii="宋体"/>
                <w:szCs w:val="21"/>
              </w:rPr>
              <w:t>外置打印机</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hAnsi="宋体" w:cs="宋体"/>
                <w:szCs w:val="21"/>
              </w:rPr>
              <w:t>台</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hAnsi="宋体" w:cs="宋体"/>
                <w:szCs w:val="21"/>
              </w:rPr>
            </w:pPr>
            <w:r>
              <w:rPr>
                <w:rFonts w:hint="eastAsia" w:ascii="宋体" w:cs="宋体"/>
                <w:kern w:val="0"/>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5</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tabs>
                <w:tab w:val="center" w:pos="941"/>
              </w:tabs>
              <w:jc w:val="left"/>
              <w:rPr>
                <w:rFonts w:ascii="宋体"/>
                <w:szCs w:val="21"/>
              </w:rPr>
            </w:pPr>
            <w:r>
              <w:rPr>
                <w:rFonts w:hint="eastAsia" w:ascii="宋体"/>
                <w:szCs w:val="21"/>
              </w:rPr>
              <w:t>计算器</w:t>
            </w:r>
          </w:p>
        </w:tc>
        <w:tc>
          <w:tcPr>
            <w:tcW w:w="90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szCs w:val="21"/>
              </w:rPr>
            </w:pPr>
            <w:r>
              <w:rPr>
                <w:rFonts w:hint="eastAsia" w:ascii="宋体"/>
                <w:szCs w:val="21"/>
              </w:rPr>
              <w:t>个</w:t>
            </w:r>
          </w:p>
        </w:tc>
        <w:tc>
          <w:tcPr>
            <w:tcW w:w="1499"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宋体" w:cs="宋体"/>
                <w:kern w:val="0"/>
                <w:szCs w:val="21"/>
              </w:rPr>
            </w:pPr>
            <w:r>
              <w:rPr>
                <w:rFonts w:hint="eastAsia" w:ascii="宋体" w:cs="宋体"/>
                <w:kern w:val="0"/>
                <w:szCs w:val="21"/>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6</w:t>
            </w:r>
          </w:p>
        </w:tc>
        <w:tc>
          <w:tcPr>
            <w:tcW w:w="2099"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仪器罩布</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块</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7</w:t>
            </w:r>
          </w:p>
        </w:tc>
        <w:tc>
          <w:tcPr>
            <w:tcW w:w="2099" w:type="dxa"/>
            <w:tcBorders>
              <w:top w:val="single" w:color="auto" w:sz="4" w:space="0"/>
              <w:left w:val="single" w:color="auto" w:sz="4" w:space="0"/>
              <w:bottom w:val="single" w:color="auto" w:sz="4" w:space="0"/>
              <w:right w:val="single" w:color="auto" w:sz="4" w:space="0"/>
            </w:tcBorders>
            <w:vAlign w:val="center"/>
          </w:tcPr>
          <w:p>
            <w:pPr>
              <w:jc w:val="left"/>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十字起</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把</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8</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一字起</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把</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9</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内六角扳手</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把</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10</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双头开口呆扳手</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把</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11</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活动扳手</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把</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9"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12</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小镊子(尖咀特强型ST-16)</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个</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13</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不锈钢勺子</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把</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2</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2" w:hRule="exact"/>
          <w:jc w:val="center"/>
        </w:trPr>
        <w:tc>
          <w:tcPr>
            <w:tcW w:w="900" w:type="dxa"/>
            <w:vAlign w:val="center"/>
          </w:tcPr>
          <w:p>
            <w:pPr>
              <w:widowControl/>
              <w:jc w:val="center"/>
              <w:rPr>
                <w:rFonts w:ascii="宋体" w:hAnsi="宋体" w:cs="宋体"/>
                <w:kern w:val="0"/>
                <w:szCs w:val="21"/>
              </w:rPr>
            </w:pPr>
            <w:r>
              <w:rPr>
                <w:rFonts w:hint="eastAsia" w:ascii="宋体" w:hAnsi="宋体" w:cs="宋体"/>
                <w:kern w:val="0"/>
                <w:szCs w:val="21"/>
              </w:rPr>
              <w:t>14</w:t>
            </w:r>
          </w:p>
        </w:tc>
        <w:tc>
          <w:tcPr>
            <w:tcW w:w="2099" w:type="dxa"/>
            <w:tcBorders>
              <w:top w:val="single" w:color="auto" w:sz="4" w:space="0"/>
              <w:left w:val="single" w:color="auto" w:sz="4" w:space="0"/>
              <w:bottom w:val="single" w:color="auto" w:sz="4" w:space="0"/>
              <w:right w:val="single" w:color="auto" w:sz="4" w:space="0"/>
            </w:tcBorders>
            <w:vAlign w:val="center"/>
          </w:tcPr>
          <w:p>
            <w:pPr>
              <w:widowControl/>
              <w:jc w:val="left"/>
              <w:rPr>
                <w:rFonts w:asciiTheme="minorEastAsia" w:hAnsiTheme="minorEastAsia" w:eastAsiaTheme="minorEastAsia" w:cstheme="minorEastAsia"/>
                <w:szCs w:val="21"/>
              </w:rPr>
            </w:pPr>
            <w:r>
              <w:rPr>
                <w:rFonts w:hint="eastAsia" w:asciiTheme="minorEastAsia" w:hAnsiTheme="minorEastAsia" w:eastAsiaTheme="minorEastAsia" w:cstheme="minorEastAsia"/>
                <w:szCs w:val="21"/>
              </w:rPr>
              <w:t>多功能接线盒(多用插座)</w:t>
            </w:r>
          </w:p>
        </w:tc>
        <w:tc>
          <w:tcPr>
            <w:tcW w:w="900"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只</w:t>
            </w:r>
          </w:p>
        </w:tc>
        <w:tc>
          <w:tcPr>
            <w:tcW w:w="1499"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cstheme="minorEastAsia"/>
                <w:color w:val="000000" w:themeColor="text1"/>
                <w:kern w:val="0"/>
                <w:szCs w:val="21"/>
                <w14:textFill>
                  <w14:solidFill>
                    <w14:schemeClr w14:val="tx1"/>
                  </w14:solidFill>
                </w14:textFill>
              </w:rPr>
            </w:pPr>
            <w:r>
              <w:rPr>
                <w:rFonts w:hint="eastAsia" w:asciiTheme="minorEastAsia" w:hAnsiTheme="minorEastAsia" w:eastAsiaTheme="minorEastAsia" w:cstheme="minorEastAsia"/>
                <w:color w:val="000000" w:themeColor="text1"/>
                <w:szCs w:val="21"/>
                <w14:textFill>
                  <w14:solidFill>
                    <w14:schemeClr w14:val="tx1"/>
                  </w14:solidFill>
                </w14:textFill>
              </w:rPr>
              <w:t>1</w:t>
            </w:r>
          </w:p>
        </w:tc>
        <w:tc>
          <w:tcPr>
            <w:tcW w:w="1199" w:type="dxa"/>
            <w:vAlign w:val="center"/>
          </w:tcPr>
          <w:p>
            <w:pPr>
              <w:widowControl/>
              <w:jc w:val="center"/>
              <w:rPr>
                <w:rFonts w:ascii="宋体" w:hAnsi="宋体" w:cs="宋体"/>
                <w:kern w:val="0"/>
                <w:szCs w:val="21"/>
              </w:rPr>
            </w:pPr>
          </w:p>
        </w:tc>
        <w:tc>
          <w:tcPr>
            <w:tcW w:w="1226" w:type="dxa"/>
            <w:vAlign w:val="center"/>
          </w:tcPr>
          <w:p>
            <w:pPr>
              <w:widowControl/>
              <w:jc w:val="center"/>
              <w:rPr>
                <w:rFonts w:ascii="宋体" w:hAnsi="宋体" w:cs="宋体"/>
                <w:kern w:val="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30" w:hRule="exact"/>
          <w:jc w:val="center"/>
        </w:trPr>
        <w:tc>
          <w:tcPr>
            <w:tcW w:w="900" w:type="dxa"/>
            <w:vAlign w:val="center"/>
          </w:tcPr>
          <w:p>
            <w:pPr>
              <w:widowControl/>
              <w:jc w:val="center"/>
              <w:rPr>
                <w:rFonts w:ascii="宋体" w:cs="宋体"/>
                <w:kern w:val="0"/>
                <w:szCs w:val="21"/>
              </w:rPr>
            </w:pPr>
          </w:p>
        </w:tc>
        <w:tc>
          <w:tcPr>
            <w:tcW w:w="2099" w:type="dxa"/>
            <w:vAlign w:val="center"/>
          </w:tcPr>
          <w:p>
            <w:pPr>
              <w:widowControl/>
              <w:jc w:val="center"/>
              <w:rPr>
                <w:rFonts w:asciiTheme="minorEastAsia" w:hAnsiTheme="minorEastAsia" w:eastAsiaTheme="minorEastAsia" w:cstheme="minorEastAsia"/>
                <w:kern w:val="0"/>
                <w:szCs w:val="21"/>
              </w:rPr>
            </w:pPr>
            <w:r>
              <w:rPr>
                <w:rFonts w:hint="eastAsia" w:asciiTheme="minorEastAsia" w:hAnsiTheme="minorEastAsia" w:eastAsiaTheme="minorEastAsia" w:cstheme="minorEastAsia"/>
                <w:kern w:val="0"/>
                <w:szCs w:val="21"/>
              </w:rPr>
              <w:t>合计</w:t>
            </w:r>
          </w:p>
        </w:tc>
        <w:tc>
          <w:tcPr>
            <w:tcW w:w="900" w:type="dxa"/>
            <w:vAlign w:val="center"/>
          </w:tcPr>
          <w:p>
            <w:pPr>
              <w:widowControl/>
              <w:jc w:val="center"/>
              <w:rPr>
                <w:rFonts w:asciiTheme="minorEastAsia" w:hAnsiTheme="minorEastAsia" w:eastAsiaTheme="minorEastAsia" w:cstheme="minorEastAsia"/>
                <w:kern w:val="0"/>
                <w:szCs w:val="21"/>
              </w:rPr>
            </w:pPr>
          </w:p>
        </w:tc>
        <w:tc>
          <w:tcPr>
            <w:tcW w:w="1499" w:type="dxa"/>
            <w:vAlign w:val="center"/>
          </w:tcPr>
          <w:p>
            <w:pPr>
              <w:widowControl/>
              <w:jc w:val="center"/>
              <w:rPr>
                <w:rFonts w:asciiTheme="minorEastAsia" w:hAnsiTheme="minorEastAsia" w:eastAsiaTheme="minorEastAsia" w:cstheme="minorEastAsia"/>
                <w:kern w:val="0"/>
                <w:szCs w:val="21"/>
              </w:rPr>
            </w:pPr>
          </w:p>
        </w:tc>
        <w:tc>
          <w:tcPr>
            <w:tcW w:w="1199" w:type="dxa"/>
            <w:vAlign w:val="center"/>
          </w:tcPr>
          <w:p>
            <w:pPr>
              <w:widowControl/>
              <w:jc w:val="center"/>
              <w:rPr>
                <w:rFonts w:ascii="宋体" w:cs="宋体"/>
                <w:kern w:val="0"/>
                <w:szCs w:val="21"/>
              </w:rPr>
            </w:pPr>
          </w:p>
        </w:tc>
        <w:tc>
          <w:tcPr>
            <w:tcW w:w="1226" w:type="dxa"/>
            <w:vAlign w:val="center"/>
          </w:tcPr>
          <w:p>
            <w:pPr>
              <w:widowControl/>
              <w:jc w:val="center"/>
              <w:rPr>
                <w:rFonts w:ascii="宋体" w:cs="宋体"/>
                <w:kern w:val="0"/>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hAnsi="宋体"/>
          <w:szCs w:val="21"/>
        </w:rPr>
      </w:pPr>
      <w:r>
        <w:rPr>
          <w:rFonts w:hint="eastAsia" w:ascii="宋体" w:hAnsi="宋体"/>
          <w:szCs w:val="21"/>
        </w:rPr>
        <w:t>1. 工作环境</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最高温度：</w:t>
      </w:r>
      <w:r>
        <w:rPr>
          <w:rFonts w:hint="eastAsia" w:ascii="宋体" w:hAnsi="宋体"/>
          <w:szCs w:val="21"/>
          <w:u w:val="single"/>
        </w:rPr>
        <w:t xml:space="preserve">   +40℃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最低温度：</w:t>
      </w:r>
      <w:r>
        <w:rPr>
          <w:rFonts w:hint="eastAsia" w:ascii="宋体" w:hAnsi="宋体"/>
          <w:szCs w:val="21"/>
          <w:u w:val="single"/>
        </w:rPr>
        <w:t xml:space="preserve">   -20℃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年平均气温：</w:t>
      </w:r>
      <w:r>
        <w:rPr>
          <w:rFonts w:hint="eastAsia" w:ascii="宋体" w:hAnsi="宋体"/>
          <w:szCs w:val="21"/>
          <w:u w:val="single"/>
        </w:rPr>
        <w:t xml:space="preserve">  +15℃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环境相对湿度：</w:t>
      </w:r>
      <w:r>
        <w:rPr>
          <w:rFonts w:hint="eastAsia" w:ascii="宋体" w:hAnsi="宋体"/>
          <w:szCs w:val="21"/>
          <w:u w:val="single"/>
        </w:rPr>
        <w:t xml:space="preserve">  95％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地震烈度：</w:t>
      </w:r>
      <w:r>
        <w:rPr>
          <w:rFonts w:hint="eastAsia" w:ascii="宋体" w:hAnsi="宋体"/>
          <w:szCs w:val="21"/>
          <w:u w:val="single"/>
        </w:rPr>
        <w:t xml:space="preserve">     7级     </w:t>
      </w:r>
      <w:r>
        <w:rPr>
          <w:rFonts w:hint="eastAsia" w:ascii="宋体" w:hAnsi="宋体"/>
          <w:szCs w:val="21"/>
        </w:rPr>
        <w:t>。</w:t>
      </w:r>
    </w:p>
    <w:p>
      <w:pPr>
        <w:adjustRightInd w:val="0"/>
        <w:snapToGrid w:val="0"/>
        <w:spacing w:line="360" w:lineRule="auto"/>
        <w:ind w:left="707" w:leftChars="135" w:hanging="424" w:hangingChars="202"/>
        <w:rPr>
          <w:rFonts w:ascii="宋体" w:hAnsi="宋体"/>
          <w:szCs w:val="21"/>
        </w:rPr>
      </w:pPr>
      <w:r>
        <w:rPr>
          <w:rFonts w:hint="eastAsia" w:ascii="宋体" w:hAnsi="宋体"/>
          <w:szCs w:val="21"/>
        </w:rPr>
        <w:t>海拔高度：</w:t>
      </w:r>
      <w:r>
        <w:rPr>
          <w:rFonts w:hint="eastAsia" w:ascii="宋体" w:hAnsi="宋体"/>
          <w:szCs w:val="21"/>
          <w:u w:val="single"/>
        </w:rPr>
        <w:t xml:space="preserve">   ≤1400m   </w:t>
      </w:r>
      <w:r>
        <w:rPr>
          <w:rFonts w:hint="eastAsia" w:ascii="宋体" w:hAnsi="宋体"/>
          <w:szCs w:val="21"/>
        </w:rPr>
        <w:t>。</w:t>
      </w:r>
    </w:p>
    <w:p>
      <w:pPr>
        <w:adjustRightInd w:val="0"/>
        <w:snapToGrid w:val="0"/>
        <w:spacing w:before="312" w:beforeLines="100" w:after="312" w:afterLines="100" w:line="360" w:lineRule="auto"/>
        <w:rPr>
          <w:b/>
          <w:szCs w:val="21"/>
        </w:rPr>
      </w:pPr>
      <w:r>
        <w:rPr>
          <w:rFonts w:hint="eastAsia"/>
          <w:b/>
          <w:szCs w:val="21"/>
        </w:rPr>
        <w:t>三、技术参数及要求</w:t>
      </w:r>
    </w:p>
    <w:p>
      <w:pPr>
        <w:pStyle w:val="19"/>
        <w:tabs>
          <w:tab w:val="left" w:pos="1290"/>
          <w:tab w:val="left" w:pos="1680"/>
        </w:tabs>
        <w:adjustRightInd w:val="0"/>
        <w:snapToGrid w:val="0"/>
        <w:spacing w:line="240" w:lineRule="auto"/>
        <w:rPr>
          <w:sz w:val="21"/>
          <w:szCs w:val="21"/>
        </w:rPr>
      </w:pPr>
      <w:r>
        <w:rPr>
          <w:rFonts w:hint="eastAsia"/>
          <w:sz w:val="21"/>
          <w:szCs w:val="21"/>
        </w:rPr>
        <w:t>1. 技术参数</w:t>
      </w:r>
    </w:p>
    <w:p>
      <w:pPr>
        <w:pStyle w:val="19"/>
        <w:tabs>
          <w:tab w:val="left" w:pos="1290"/>
          <w:tab w:val="left" w:pos="1680"/>
        </w:tabs>
        <w:adjustRightInd w:val="0"/>
        <w:snapToGrid w:val="0"/>
        <w:spacing w:line="240" w:lineRule="auto"/>
        <w:ind w:firstLine="210" w:firstLineChars="100"/>
        <w:rPr>
          <w:sz w:val="21"/>
          <w:szCs w:val="21"/>
        </w:rPr>
      </w:pPr>
      <w:r>
        <w:rPr>
          <w:rFonts w:hint="eastAsia"/>
          <w:sz w:val="21"/>
          <w:szCs w:val="21"/>
        </w:rPr>
        <w:t>*1.1温度分辨率：0.0001℃；</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*1.2样品测试周期：≤10分钟；</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*1.3精密度：≤0.10%；</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1.4热容量波动：一年内≤0.20%；</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*1.5连续做样个数：无限制；</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1.6外筒恒温控制方式：半导体；</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*1.</w:t>
      </w:r>
      <w:r>
        <w:rPr>
          <w:rFonts w:hint="eastAsia"/>
          <w:sz w:val="21"/>
          <w:szCs w:val="21"/>
          <w:lang w:val="en-US" w:eastAsia="zh-CN"/>
        </w:rPr>
        <w:t>7</w:t>
      </w:r>
      <w:r>
        <w:rPr>
          <w:rFonts w:hint="eastAsia"/>
          <w:sz w:val="21"/>
          <w:szCs w:val="21"/>
        </w:rPr>
        <w:t>氧弹容积：不小于260ml；</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1.</w:t>
      </w:r>
      <w:r>
        <w:rPr>
          <w:rFonts w:hint="eastAsia"/>
          <w:sz w:val="21"/>
          <w:szCs w:val="21"/>
          <w:lang w:val="en-US" w:eastAsia="zh-CN"/>
        </w:rPr>
        <w:t>8</w:t>
      </w:r>
      <w:r>
        <w:rPr>
          <w:rFonts w:hint="eastAsia"/>
          <w:sz w:val="21"/>
          <w:szCs w:val="21"/>
        </w:rPr>
        <w:t>液位可视：具有液位可视功能；</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lang w:val="en-US" w:eastAsia="zh-CN"/>
        </w:rPr>
        <w:t>1.9有效热容量适用范围：≥15000J-35000J</w:t>
      </w:r>
      <w:r>
        <w:rPr>
          <w:rFonts w:hint="eastAsia"/>
          <w:sz w:val="21"/>
          <w:szCs w:val="21"/>
        </w:rPr>
        <w:t>；</w:t>
      </w:r>
    </w:p>
    <w:p>
      <w:pPr>
        <w:pStyle w:val="19"/>
        <w:tabs>
          <w:tab w:val="left" w:pos="1290"/>
          <w:tab w:val="left" w:pos="1680"/>
        </w:tabs>
        <w:adjustRightInd w:val="0"/>
        <w:snapToGrid w:val="0"/>
        <w:spacing w:line="240" w:lineRule="auto"/>
        <w:ind w:firstLine="210" w:firstLineChars="100"/>
        <w:rPr>
          <w:rFonts w:hint="eastAsia"/>
          <w:sz w:val="21"/>
          <w:szCs w:val="21"/>
          <w:lang w:val="en-US" w:eastAsia="zh-CN"/>
        </w:rPr>
      </w:pPr>
      <w:r>
        <w:rPr>
          <w:rFonts w:hint="eastAsia"/>
          <w:sz w:val="21"/>
          <w:szCs w:val="21"/>
        </w:rPr>
        <w:t>*</w:t>
      </w:r>
      <w:r>
        <w:rPr>
          <w:rFonts w:hint="eastAsia"/>
          <w:sz w:val="21"/>
          <w:szCs w:val="21"/>
          <w:lang w:val="en-US" w:eastAsia="zh-CN"/>
        </w:rPr>
        <w:t>1.10.整机最大功率≤700W；</w:t>
      </w:r>
    </w:p>
    <w:p>
      <w:pPr>
        <w:pStyle w:val="19"/>
        <w:numPr>
          <w:ilvl w:val="0"/>
          <w:numId w:val="1"/>
        </w:numPr>
        <w:tabs>
          <w:tab w:val="left" w:pos="1290"/>
          <w:tab w:val="left" w:pos="1680"/>
        </w:tabs>
        <w:adjustRightInd w:val="0"/>
        <w:snapToGrid w:val="0"/>
        <w:spacing w:line="240" w:lineRule="auto"/>
        <w:rPr>
          <w:sz w:val="21"/>
          <w:szCs w:val="21"/>
        </w:rPr>
      </w:pPr>
      <w:bookmarkStart w:id="8" w:name="_GoBack"/>
      <w:bookmarkEnd w:id="8"/>
      <w:r>
        <w:rPr>
          <w:rFonts w:hint="eastAsia"/>
          <w:sz w:val="21"/>
          <w:szCs w:val="21"/>
        </w:rPr>
        <w:t>技术性能要求</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*2.1量热仪为双控型，可氧弹自动升降、自动识别氧弹、自动充放氧、自动检测充氧压力、自动检测点火丝安装是否正常、氧弹气密性自动检测、自动内桶定水量</w:t>
      </w:r>
      <w:r>
        <w:rPr>
          <w:rFonts w:hint="eastAsia"/>
          <w:sz w:val="21"/>
          <w:szCs w:val="21"/>
          <w:lang w:val="en-US" w:eastAsia="zh-CN"/>
        </w:rPr>
        <w:t>(定量瓶定水量)</w:t>
      </w:r>
      <w:r>
        <w:rPr>
          <w:rFonts w:hint="eastAsia"/>
          <w:sz w:val="21"/>
          <w:szCs w:val="21"/>
        </w:rPr>
        <w:t>、自动调节内桶水温。</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*2.2准确度：标准煤样发热量测试结果与标准值之差在不确定度范围内；苯甲酸发热量测试重复性限不大于100J/g，在规定条件下测得热值与标准值之差不超过60J/g；</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*2.3能够读取与称量器具相配套通讯接口信息，实现数据自动传输，并对数据存储存取、数据上传接口能与神东数据采集系统联网使用，可以将化验数据上传至神东数据采集系统。</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2.4磁式氧弹识别装置：用来自动区分带磁和不带磁的氧弹。</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*2.5设备具备样品称重范围自动警示，可实时监控实验室环境温度和湿度，具备超差的结果自动提示。</w:t>
      </w:r>
    </w:p>
    <w:p>
      <w:pPr>
        <w:pStyle w:val="19"/>
        <w:tabs>
          <w:tab w:val="left" w:pos="1290"/>
          <w:tab w:val="left" w:pos="1680"/>
        </w:tabs>
        <w:adjustRightInd w:val="0"/>
        <w:snapToGrid w:val="0"/>
        <w:spacing w:line="240" w:lineRule="auto"/>
        <w:ind w:firstLine="210" w:firstLineChars="100"/>
        <w:rPr>
          <w:rFonts w:hint="eastAsia" w:eastAsia="宋体"/>
          <w:sz w:val="21"/>
          <w:szCs w:val="21"/>
          <w:lang w:eastAsia="zh-CN"/>
        </w:rPr>
      </w:pPr>
      <w:r>
        <w:rPr>
          <w:rFonts w:hint="eastAsia"/>
          <w:sz w:val="21"/>
          <w:szCs w:val="21"/>
        </w:rPr>
        <w:t>2.6计算机：四核CPU,主频不小于2.5GHZ， 硬盘不小于500G存储，内存不小于4G，液晶显示器不小于19寸</w:t>
      </w:r>
      <w:r>
        <w:rPr>
          <w:rFonts w:hint="eastAsia"/>
          <w:sz w:val="21"/>
          <w:szCs w:val="21"/>
          <w:lang w:eastAsia="zh-CN"/>
        </w:rPr>
        <w:t>。</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2.7外置打印机：A4激光打印机。</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2.8设备可实现样品编码和重量信息自动传送，测试数据备份和上传，实验数据防篡改。</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*2.9设备带有对自动升降到位，自动充氧到位等故障自检功能。</w:t>
      </w:r>
    </w:p>
    <w:p>
      <w:pPr>
        <w:pStyle w:val="19"/>
        <w:tabs>
          <w:tab w:val="left" w:pos="1290"/>
          <w:tab w:val="left" w:pos="1680"/>
        </w:tabs>
        <w:adjustRightInd w:val="0"/>
        <w:snapToGrid w:val="0"/>
        <w:spacing w:line="240" w:lineRule="auto"/>
        <w:ind w:firstLine="210" w:firstLineChars="100"/>
        <w:rPr>
          <w:rFonts w:hint="eastAsia"/>
          <w:sz w:val="21"/>
          <w:szCs w:val="21"/>
        </w:rPr>
      </w:pPr>
      <w:r>
        <w:rPr>
          <w:rFonts w:hint="eastAsia"/>
          <w:sz w:val="21"/>
          <w:szCs w:val="21"/>
        </w:rPr>
        <w:t>*2.10设备外壳为金属外壳。</w:t>
      </w:r>
    </w:p>
    <w:p>
      <w:pPr>
        <w:pStyle w:val="19"/>
        <w:tabs>
          <w:tab w:val="left" w:pos="1290"/>
          <w:tab w:val="left" w:pos="1680"/>
        </w:tabs>
        <w:adjustRightInd w:val="0"/>
        <w:snapToGrid w:val="0"/>
        <w:spacing w:line="240" w:lineRule="auto"/>
        <w:ind w:firstLine="210" w:firstLineChars="100"/>
        <w:rPr>
          <w:rFonts w:hint="eastAsia"/>
          <w:sz w:val="21"/>
          <w:szCs w:val="21"/>
          <w:lang w:eastAsia="zh-CN"/>
        </w:rPr>
      </w:pPr>
      <w:r>
        <w:rPr>
          <w:rFonts w:hint="eastAsia"/>
          <w:sz w:val="21"/>
          <w:szCs w:val="21"/>
        </w:rPr>
        <w:t>*</w:t>
      </w:r>
      <w:r>
        <w:rPr>
          <w:rFonts w:hint="eastAsia"/>
          <w:sz w:val="21"/>
          <w:szCs w:val="21"/>
          <w:lang w:val="en-US" w:eastAsia="zh-CN"/>
        </w:rPr>
        <w:t>2.11氧弹点火方式</w:t>
      </w:r>
      <w:r>
        <w:rPr>
          <w:rFonts w:hint="eastAsia"/>
          <w:sz w:val="21"/>
          <w:szCs w:val="21"/>
        </w:rPr>
        <w:t>支持点火丝</w:t>
      </w:r>
      <w:r>
        <w:rPr>
          <w:rFonts w:hint="eastAsia"/>
          <w:sz w:val="21"/>
          <w:szCs w:val="21"/>
          <w:lang w:val="en-US" w:eastAsia="zh-CN"/>
        </w:rPr>
        <w:t>和</w:t>
      </w:r>
      <w:r>
        <w:rPr>
          <w:rFonts w:hint="eastAsia"/>
          <w:sz w:val="21"/>
          <w:szCs w:val="21"/>
        </w:rPr>
        <w:t>棉线两种点火方式</w:t>
      </w:r>
      <w:r>
        <w:rPr>
          <w:rFonts w:hint="eastAsia"/>
          <w:sz w:val="21"/>
          <w:szCs w:val="21"/>
          <w:lang w:eastAsia="zh-CN"/>
        </w:rPr>
        <w:t>。</w:t>
      </w:r>
    </w:p>
    <w:p>
      <w:pPr>
        <w:pStyle w:val="19"/>
        <w:tabs>
          <w:tab w:val="left" w:pos="1290"/>
          <w:tab w:val="left" w:pos="1680"/>
        </w:tabs>
        <w:adjustRightInd w:val="0"/>
        <w:snapToGrid w:val="0"/>
        <w:spacing w:line="240" w:lineRule="auto"/>
        <w:ind w:firstLine="210" w:firstLineChars="100"/>
        <w:rPr>
          <w:rFonts w:hint="eastAsia"/>
          <w:sz w:val="21"/>
          <w:szCs w:val="21"/>
          <w:lang w:val="en-US" w:eastAsia="zh-CN"/>
        </w:rPr>
      </w:pPr>
      <w:r>
        <w:rPr>
          <w:rFonts w:hint="eastAsia"/>
          <w:sz w:val="21"/>
          <w:szCs w:val="21"/>
        </w:rPr>
        <w:t>*</w:t>
      </w:r>
      <w:r>
        <w:rPr>
          <w:rFonts w:hint="eastAsia"/>
          <w:sz w:val="21"/>
          <w:szCs w:val="21"/>
          <w:lang w:val="en-US" w:eastAsia="zh-CN"/>
        </w:rPr>
        <w:t>2.12制冷单元制冷效果良好，产生的热量小，对实验室室内环境温度影响较小，箱体周围温度不大于25℃。</w:t>
      </w:r>
    </w:p>
    <w:p>
      <w:pPr>
        <w:pStyle w:val="19"/>
        <w:tabs>
          <w:tab w:val="left" w:pos="1290"/>
          <w:tab w:val="left" w:pos="1680"/>
        </w:tabs>
        <w:adjustRightInd w:val="0"/>
        <w:snapToGrid w:val="0"/>
        <w:spacing w:line="360" w:lineRule="auto"/>
        <w:rPr>
          <w:sz w:val="21"/>
          <w:szCs w:val="21"/>
        </w:rPr>
      </w:pPr>
      <w:r>
        <w:rPr>
          <w:rFonts w:hint="eastAsia"/>
          <w:sz w:val="21"/>
          <w:szCs w:val="21"/>
        </w:rPr>
        <w:t>3．安全技术要求</w:t>
      </w:r>
    </w:p>
    <w:p>
      <w:pPr>
        <w:pStyle w:val="19"/>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rPr>
        <w:t>3.1、设备到货时提供出厂验收合格证书。</w:t>
      </w:r>
    </w:p>
    <w:p>
      <w:pPr>
        <w:pStyle w:val="19"/>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rPr>
        <w:t>3.2、设备到货应随机提供出厂验收报告。</w:t>
      </w:r>
    </w:p>
    <w:p>
      <w:pPr>
        <w:pStyle w:val="19"/>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rPr>
        <w:t>*3.3、产品符合相关标准，由生产厂家负责到现场安装、调试、培训工作。</w:t>
      </w:r>
    </w:p>
    <w:p>
      <w:pPr>
        <w:pStyle w:val="19"/>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rPr>
        <w:t>3.5、量热仪的设计、制造、包装、运输、安装符合有关的中国国家标准(GB)的要求。</w:t>
      </w:r>
    </w:p>
    <w:p>
      <w:pPr>
        <w:pStyle w:val="19"/>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rPr>
        <w:t>3.6、应装有齐全、可靠的电气和机械防护装置。</w:t>
      </w:r>
    </w:p>
    <w:p>
      <w:pPr>
        <w:pStyle w:val="19"/>
        <w:tabs>
          <w:tab w:val="left" w:pos="1290"/>
          <w:tab w:val="left" w:pos="1680"/>
        </w:tabs>
        <w:adjustRightInd w:val="0"/>
        <w:snapToGrid w:val="0"/>
        <w:spacing w:line="360" w:lineRule="auto"/>
        <w:rPr>
          <w:sz w:val="21"/>
          <w:szCs w:val="21"/>
        </w:rPr>
      </w:pPr>
      <w:r>
        <w:rPr>
          <w:rFonts w:hint="eastAsia"/>
          <w:sz w:val="21"/>
          <w:szCs w:val="21"/>
        </w:rPr>
        <w:t>4.招标人提出的其它技术要求</w:t>
      </w:r>
    </w:p>
    <w:p>
      <w:pPr>
        <w:pStyle w:val="19"/>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rPr>
        <w:t>4.1.投标厂家必须对招标文件中的技术条款逐条解释并满足工作环境。</w:t>
      </w:r>
    </w:p>
    <w:p>
      <w:pPr>
        <w:pStyle w:val="19"/>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rPr>
        <w:t>4.2.投标产品必须满足相关的最新国家和行业标准要求，招标技术要求中相关条款指标高于国家行业要求的，按照招标文件要求条款执行。</w:t>
      </w:r>
    </w:p>
    <w:p>
      <w:pPr>
        <w:pStyle w:val="19"/>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rPr>
        <w:t>4.3.上表分项报价合计价格与投标报价设备总价格必须一致。</w:t>
      </w:r>
    </w:p>
    <w:p>
      <w:pPr>
        <w:pStyle w:val="19"/>
        <w:tabs>
          <w:tab w:val="left" w:pos="1290"/>
          <w:tab w:val="left" w:pos="1680"/>
        </w:tabs>
        <w:adjustRightInd w:val="0"/>
        <w:snapToGrid w:val="0"/>
        <w:spacing w:line="360" w:lineRule="auto"/>
        <w:rPr>
          <w:sz w:val="21"/>
          <w:szCs w:val="21"/>
        </w:rPr>
      </w:pPr>
      <w:r>
        <w:rPr>
          <w:rFonts w:hint="eastAsia"/>
          <w:sz w:val="21"/>
          <w:szCs w:val="21"/>
        </w:rPr>
        <w:t>5.标准</w:t>
      </w:r>
    </w:p>
    <w:p>
      <w:pPr>
        <w:pStyle w:val="19"/>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rPr>
        <w:t>5.1. 所供应的货物将按下列标准（推荐）进行设计和制造</w:t>
      </w:r>
    </w:p>
    <w:p>
      <w:pPr>
        <w:pStyle w:val="19"/>
        <w:tabs>
          <w:tab w:val="left" w:pos="1290"/>
          <w:tab w:val="left" w:pos="1680"/>
        </w:tabs>
        <w:adjustRightInd w:val="0"/>
        <w:snapToGrid w:val="0"/>
        <w:spacing w:line="360" w:lineRule="auto"/>
        <w:ind w:firstLine="1050" w:firstLineChars="500"/>
        <w:rPr>
          <w:rFonts w:hint="eastAsia"/>
          <w:sz w:val="21"/>
          <w:szCs w:val="21"/>
        </w:rPr>
      </w:pPr>
      <w:r>
        <w:rPr>
          <w:rFonts w:hint="eastAsia"/>
          <w:sz w:val="21"/>
          <w:szCs w:val="21"/>
        </w:rPr>
        <w:t>GB/T213-2008</w:t>
      </w:r>
    </w:p>
    <w:p>
      <w:pPr>
        <w:pStyle w:val="19"/>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rPr>
        <w:t>5.2. 设备的设计与制造要求采用国际公制单位，个别部件采用英制单位应列出清单。</w:t>
      </w:r>
    </w:p>
    <w:p>
      <w:pPr>
        <w:pStyle w:val="19"/>
        <w:tabs>
          <w:tab w:val="left" w:pos="1290"/>
          <w:tab w:val="left" w:pos="1680"/>
        </w:tabs>
        <w:adjustRightInd w:val="0"/>
        <w:snapToGrid w:val="0"/>
        <w:spacing w:line="360" w:lineRule="auto"/>
        <w:ind w:firstLine="210" w:firstLineChars="100"/>
        <w:rPr>
          <w:rFonts w:hint="eastAsia"/>
          <w:sz w:val="21"/>
          <w:szCs w:val="21"/>
        </w:rPr>
      </w:pPr>
      <w:r>
        <w:rPr>
          <w:rFonts w:hint="eastAsia"/>
          <w:sz w:val="21"/>
          <w:szCs w:val="21"/>
        </w:rPr>
        <w:t>5.3. 上述标准均应为投标截止日时的最新有效版。</w:t>
      </w:r>
    </w:p>
    <w:p>
      <w:pPr>
        <w:adjustRightInd w:val="0"/>
        <w:snapToGrid w:val="0"/>
        <w:spacing w:before="312" w:beforeLines="100" w:after="312" w:afterLines="100" w:line="360" w:lineRule="auto"/>
        <w:rPr>
          <w:b/>
        </w:rPr>
      </w:pPr>
      <w:r>
        <w:rPr>
          <w:rFonts w:hint="eastAsia"/>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pStyle w:val="19"/>
        <w:tabs>
          <w:tab w:val="left" w:pos="1290"/>
          <w:tab w:val="left" w:pos="1680"/>
        </w:tabs>
        <w:adjustRightInd w:val="0"/>
        <w:snapToGrid w:val="0"/>
        <w:spacing w:line="360" w:lineRule="auto"/>
        <w:rPr>
          <w:sz w:val="21"/>
          <w:szCs w:val="21"/>
        </w:rPr>
      </w:pPr>
      <w:r>
        <w:rPr>
          <w:rFonts w:hint="eastAsia"/>
          <w:sz w:val="21"/>
          <w:szCs w:val="21"/>
        </w:rPr>
        <w:t>1.2温度分辨率：</w:t>
      </w:r>
    </w:p>
    <w:p>
      <w:pPr>
        <w:pStyle w:val="19"/>
        <w:tabs>
          <w:tab w:val="left" w:pos="1290"/>
          <w:tab w:val="left" w:pos="1680"/>
        </w:tabs>
        <w:adjustRightInd w:val="0"/>
        <w:snapToGrid w:val="0"/>
        <w:spacing w:line="360" w:lineRule="auto"/>
        <w:rPr>
          <w:sz w:val="21"/>
          <w:szCs w:val="21"/>
        </w:rPr>
      </w:pPr>
      <w:r>
        <w:rPr>
          <w:rFonts w:hint="eastAsia"/>
          <w:sz w:val="21"/>
          <w:szCs w:val="21"/>
        </w:rPr>
        <w:t>1.3试验周期：</w:t>
      </w:r>
    </w:p>
    <w:p>
      <w:pPr>
        <w:pStyle w:val="19"/>
        <w:tabs>
          <w:tab w:val="left" w:pos="1290"/>
          <w:tab w:val="left" w:pos="1680"/>
        </w:tabs>
        <w:adjustRightInd w:val="0"/>
        <w:snapToGrid w:val="0"/>
        <w:spacing w:line="360" w:lineRule="auto"/>
        <w:rPr>
          <w:sz w:val="21"/>
          <w:szCs w:val="21"/>
        </w:rPr>
      </w:pPr>
      <w:r>
        <w:rPr>
          <w:rFonts w:hint="eastAsia"/>
          <w:sz w:val="21"/>
          <w:szCs w:val="21"/>
        </w:rPr>
        <w:t>1.4精密度：</w:t>
      </w:r>
    </w:p>
    <w:p>
      <w:pPr>
        <w:pStyle w:val="19"/>
        <w:tabs>
          <w:tab w:val="left" w:pos="1290"/>
          <w:tab w:val="left" w:pos="1680"/>
        </w:tabs>
        <w:adjustRightInd w:val="0"/>
        <w:snapToGrid w:val="0"/>
        <w:spacing w:line="360" w:lineRule="auto"/>
        <w:rPr>
          <w:sz w:val="21"/>
          <w:szCs w:val="21"/>
        </w:rPr>
      </w:pPr>
      <w:r>
        <w:rPr>
          <w:rFonts w:hint="eastAsia"/>
          <w:sz w:val="21"/>
          <w:szCs w:val="21"/>
        </w:rPr>
        <w:t>1.5热容量波动：</w:t>
      </w:r>
    </w:p>
    <w:p>
      <w:pPr>
        <w:pStyle w:val="19"/>
        <w:tabs>
          <w:tab w:val="left" w:pos="1290"/>
          <w:tab w:val="left" w:pos="1680"/>
        </w:tabs>
        <w:adjustRightInd w:val="0"/>
        <w:snapToGrid w:val="0"/>
        <w:spacing w:line="360" w:lineRule="auto"/>
        <w:rPr>
          <w:sz w:val="21"/>
          <w:szCs w:val="21"/>
        </w:rPr>
      </w:pPr>
      <w:r>
        <w:rPr>
          <w:rFonts w:hint="eastAsia"/>
          <w:sz w:val="21"/>
          <w:szCs w:val="21"/>
        </w:rPr>
        <w:t>1.6连续做样个数：</w:t>
      </w:r>
    </w:p>
    <w:p>
      <w:pPr>
        <w:pStyle w:val="19"/>
        <w:tabs>
          <w:tab w:val="left" w:pos="1290"/>
          <w:tab w:val="left" w:pos="1680"/>
        </w:tabs>
        <w:adjustRightInd w:val="0"/>
        <w:snapToGrid w:val="0"/>
        <w:spacing w:line="360" w:lineRule="auto"/>
        <w:rPr>
          <w:sz w:val="21"/>
          <w:szCs w:val="21"/>
        </w:rPr>
      </w:pPr>
      <w:r>
        <w:rPr>
          <w:rFonts w:hint="eastAsia"/>
          <w:sz w:val="21"/>
          <w:szCs w:val="21"/>
        </w:rPr>
        <w:t>1.7外筒恒温控制方式：</w:t>
      </w:r>
    </w:p>
    <w:p>
      <w:pPr>
        <w:pStyle w:val="19"/>
        <w:tabs>
          <w:tab w:val="left" w:pos="1290"/>
          <w:tab w:val="left" w:pos="1680"/>
        </w:tabs>
        <w:adjustRightInd w:val="0"/>
        <w:snapToGrid w:val="0"/>
        <w:spacing w:line="360" w:lineRule="auto"/>
        <w:rPr>
          <w:sz w:val="21"/>
          <w:szCs w:val="21"/>
        </w:rPr>
      </w:pPr>
      <w:r>
        <w:rPr>
          <w:rFonts w:hint="eastAsia"/>
          <w:sz w:val="21"/>
          <w:szCs w:val="21"/>
        </w:rPr>
        <w:t>1.8定量方式：</w:t>
      </w:r>
    </w:p>
    <w:p>
      <w:pPr>
        <w:pStyle w:val="19"/>
        <w:tabs>
          <w:tab w:val="left" w:pos="1290"/>
          <w:tab w:val="left" w:pos="1680"/>
        </w:tabs>
        <w:adjustRightInd w:val="0"/>
        <w:snapToGrid w:val="0"/>
        <w:spacing w:line="360" w:lineRule="auto"/>
        <w:rPr>
          <w:sz w:val="21"/>
          <w:szCs w:val="21"/>
        </w:rPr>
      </w:pPr>
      <w:r>
        <w:rPr>
          <w:rFonts w:hint="eastAsia"/>
          <w:sz w:val="21"/>
          <w:szCs w:val="21"/>
        </w:rPr>
        <w:t>1.9连续做样个数：</w:t>
      </w:r>
    </w:p>
    <w:p>
      <w:pPr>
        <w:adjustRightInd w:val="0"/>
        <w:snapToGrid w:val="0"/>
        <w:spacing w:line="360" w:lineRule="auto"/>
        <w:rPr>
          <w:rFonts w:ascii="宋体"/>
          <w:szCs w:val="21"/>
        </w:rPr>
      </w:pPr>
      <w:r>
        <w:rPr>
          <w:rFonts w:hint="eastAsia" w:ascii="宋体"/>
          <w:szCs w:val="21"/>
        </w:rPr>
        <w:t>2.投标人需要特别说明的其他问题</w:t>
      </w:r>
      <w:r>
        <w:rPr>
          <w:rFonts w:ascii="宋体"/>
          <w:szCs w:val="21"/>
        </w:rPr>
        <w:br w:type="page"/>
      </w:r>
    </w:p>
    <w:p>
      <w:pPr>
        <w:pStyle w:val="1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备件和工具</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所有为设备的组装、空载试验、带载试验、试运行、质保期内和质保期后1年必备的备件</w:t>
      </w:r>
      <w:r>
        <w:rPr>
          <w:rFonts w:hint="eastAsia" w:ascii="宋体" w:hAnsi="宋体"/>
          <w:color w:val="FF0000"/>
          <w:szCs w:val="21"/>
        </w:rPr>
        <w:t>，</w:t>
      </w:r>
      <w:r>
        <w:rPr>
          <w:rFonts w:hint="eastAsia" w:ascii="宋体" w:hAnsi="宋体"/>
          <w:szCs w:val="21"/>
        </w:rPr>
        <w:t>包括专用工具、仪器、仪表等，在设备交货时提供。推迟的交货期将按照设备推迟交货计算。</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中标人应提供完整备件手册、备件件号、数量、规格型号、价格表的CD盘，随同设备发货。</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中标人应保证所有零部件均有唯一编码，如属外购标准件，要求必须按照原厂家编码执行。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中标人还将进一步提供可靠信息以及机械与电气设备上的所需的备件、易耗品及标准件的货源地，包括润滑油脂。</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设备采用的外购、外协件应提供原产地证明及检验合格证书。</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如因为中标人提供1年期备件（不超过主机价格的5%）明细不准确，导致招标人误采购或按明细提供数量不足以满足生产需求，中标人应免费提供相应的备件。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中标人应保证长期以最优惠的价格供给易损件和备件。如果备件发生设计变更，应将变更信息及时通知用户。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中标人备件价格在设备开始使用的3年内必须维持同期的市场价。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9. 在5年内，因中标人技术升级导致部分备件不能提供时，中标人要免费为用户升级设备。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10. 5年后在备件停止生产的情况下，中标人应事先将要停止生产的计划通知招标人使招标人有足够的时间采购所需的备件。</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11. 5年后在备件停止生产后，如果招标人要求，+中标人应免费向招标人提供备件的蓝图、图纸和规格。</w:t>
      </w:r>
    </w:p>
    <w:p>
      <w:pPr>
        <w:pStyle w:val="6"/>
        <w:adjustRightInd w:val="0"/>
        <w:snapToGrid w:val="0"/>
        <w:spacing w:before="156" w:beforeLines="50" w:line="360" w:lineRule="auto"/>
        <w:rPr>
          <w:rFonts w:ascii="宋体" w:hAnsi="宋体"/>
          <w:szCs w:val="21"/>
        </w:rPr>
      </w:pPr>
    </w:p>
    <w:p>
      <w:pPr>
        <w:pStyle w:val="16"/>
        <w:jc w:val="center"/>
      </w:pPr>
      <w:r>
        <w:rPr>
          <w:rFonts w:hint="eastAsia" w:ascii="宋体" w:hAnsi="宋体"/>
          <w:szCs w:val="21"/>
        </w:rPr>
        <w:br w:type="page"/>
      </w:r>
    </w:p>
    <w:p>
      <w:pPr>
        <w:pStyle w:val="16"/>
        <w:jc w:val="center"/>
        <w:rPr>
          <w:rFonts w:ascii="黑体" w:hAnsi="黑体" w:cs="Times New Roman"/>
          <w:b/>
          <w:bCs/>
          <w:sz w:val="32"/>
          <w:szCs w:val="24"/>
        </w:rPr>
      </w:pPr>
      <w:bookmarkStart w:id="3" w:name="_Toc357086144"/>
      <w:r>
        <w:rPr>
          <w:rFonts w:hint="eastAsia" w:ascii="黑体" w:hAnsi="黑体" w:cs="Times New Roman"/>
          <w:b/>
          <w:bCs/>
          <w:sz w:val="32"/>
          <w:szCs w:val="24"/>
        </w:rPr>
        <w:t>第三节 设备出厂前检验</w:t>
      </w:r>
      <w:bookmarkEnd w:id="3"/>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pStyle w:val="6"/>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4" w:name="_Toc357086145"/>
      <w:r>
        <w:rPr>
          <w:rFonts w:hint="eastAsia" w:ascii="黑体" w:hAnsi="黑体" w:cs="Times New Roman"/>
          <w:b/>
          <w:bCs/>
          <w:sz w:val="32"/>
          <w:szCs w:val="24"/>
        </w:rPr>
        <w:t>第四节 技术服务</w:t>
      </w:r>
      <w:bookmarkEnd w:id="4"/>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1. 中标人应派出有技术、有能力胜任的服务工程师到现场，提供有关安装管理、调试、空载测试、性能测试、试运转、维修及现场培训维修人员的服务。中标人服务工程师的主要责任与任务如下：</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——给招标人安装人员提供完整的技术指导。</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——指导招标人人员进行合同设备的试运转，运行测试和性能测试。</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w:t>
      </w:r>
      <w:r>
        <w:rPr>
          <w:rFonts w:hint="eastAsia" w:ascii="宋体" w:hAnsi="宋体"/>
          <w:color w:val="FF0000"/>
          <w:szCs w:val="21"/>
        </w:rPr>
        <w:t>矿区现场培训设备操作人员。</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——设备投入使用后提供现场运行技术支持。</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——质保期内技术服务。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2. 安装前，应由中标人的技术服务人员给予招标人安装人员提供合同设备的装配介绍、讲课与培训；详细解释技术文件、图纸和操作手册以及设备运行和相关的预防措施等；回答和解决招标人人员提出的技术问题。中标人技术人员的指导必须是正确的，如果出现由于非正确技术指导而造成的损失，中标人将自出资金维修、更换或补偿损失部分。</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3. 中标人将提供所有的关于装配与组装所用的专用工具,例如:专用测试仪、测量仪和机械工具。</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4. 在现场举行由双方参加的会议，对所提供设备进行安装的准备工作进行讨论。</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5. 对于安装指导、测试运转、性能测试、试运转和验收，包括招标人操作和维修人员的现场培训,中标人需免费提供。</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6. 中标人应提供用于招标人自行培训人员需要使用的相关培训材料。</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7. 设备过质保期后，在设备使用寿命内，如招标人需要，中标人应确保服务工程师到现场进行技术服务。</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pStyle w:val="16"/>
        <w:jc w:val="center"/>
      </w:pPr>
      <w:r>
        <w:rPr>
          <w:rFonts w:hint="eastAsia" w:ascii="宋体" w:hAnsi="宋体"/>
          <w:szCs w:val="21"/>
        </w:rPr>
        <w:br w:type="page"/>
      </w:r>
      <w:bookmarkStart w:id="5" w:name="_Toc357086146"/>
      <w:r>
        <w:rPr>
          <w:rFonts w:hint="eastAsia" w:ascii="黑体" w:hAnsi="黑体" w:cs="Times New Roman"/>
          <w:b/>
          <w:bCs/>
          <w:sz w:val="32"/>
          <w:szCs w:val="24"/>
        </w:rPr>
        <w:t>第五节 安装、检验、调试、试运行及验收</w:t>
      </w:r>
      <w:bookmarkEnd w:id="5"/>
    </w:p>
    <w:p>
      <w:pPr>
        <w:adjustRightInd w:val="0"/>
        <w:snapToGrid w:val="0"/>
        <w:spacing w:line="360" w:lineRule="auto"/>
        <w:jc w:val="center"/>
        <w:rPr>
          <w:rFonts w:ascii="宋体" w:hAnsi="宋体"/>
          <w:szCs w:val="21"/>
        </w:rPr>
      </w:pPr>
    </w:p>
    <w:p>
      <w:pPr>
        <w:adjustRightInd w:val="0"/>
        <w:snapToGrid w:val="0"/>
        <w:spacing w:line="360" w:lineRule="auto"/>
        <w:ind w:left="420" w:hanging="420" w:hangingChars="200"/>
        <w:rPr>
          <w:rFonts w:ascii="宋体" w:hAnsi="宋体"/>
          <w:szCs w:val="21"/>
        </w:rPr>
      </w:pPr>
      <w:bookmarkStart w:id="6" w:name="_Toc357086147"/>
      <w:r>
        <w:rPr>
          <w:rFonts w:hint="eastAsia" w:ascii="宋体" w:hAnsi="宋体"/>
          <w:szCs w:val="21"/>
        </w:rPr>
        <w:t>1. 在该附录中：</w:t>
      </w:r>
    </w:p>
    <w:p>
      <w:pPr>
        <w:adjustRightInd w:val="0"/>
        <w:snapToGrid w:val="0"/>
        <w:spacing w:line="360" w:lineRule="auto"/>
        <w:ind w:left="420" w:hanging="420" w:hangingChars="20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line="360" w:lineRule="auto"/>
        <w:ind w:left="420" w:hanging="420" w:hangingChars="200"/>
        <w:rPr>
          <w:rFonts w:ascii="宋体" w:hAnsi="宋体"/>
          <w:szCs w:val="21"/>
        </w:rPr>
      </w:pPr>
      <w:r>
        <w:rPr>
          <w:rFonts w:hint="eastAsia" w:ascii="宋体" w:hAnsi="宋体"/>
          <w:szCs w:val="21"/>
        </w:rPr>
        <w:t>试运转：即为在空载条件下测试该设备。</w:t>
      </w:r>
    </w:p>
    <w:p>
      <w:pPr>
        <w:adjustRightInd w:val="0"/>
        <w:snapToGrid w:val="0"/>
        <w:spacing w:line="360" w:lineRule="auto"/>
        <w:ind w:left="420" w:hanging="420" w:hangingChars="20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line="360" w:lineRule="auto"/>
        <w:ind w:left="420" w:hanging="420" w:hangingChars="200"/>
        <w:rPr>
          <w:rFonts w:ascii="宋体" w:hAnsi="宋体"/>
          <w:szCs w:val="21"/>
        </w:rPr>
      </w:pPr>
      <w:r>
        <w:rPr>
          <w:rFonts w:hint="eastAsia" w:ascii="宋体" w:hAnsi="宋体"/>
          <w:szCs w:val="21"/>
        </w:rPr>
        <w:t>试运行：即为设备按照合同要求性能投入运转。</w:t>
      </w:r>
    </w:p>
    <w:p>
      <w:pPr>
        <w:adjustRightInd w:val="0"/>
        <w:snapToGrid w:val="0"/>
        <w:spacing w:line="360" w:lineRule="auto"/>
        <w:ind w:left="420" w:hanging="420" w:hangingChars="20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line="360" w:lineRule="auto"/>
        <w:ind w:left="420" w:hanging="420" w:hangingChars="200"/>
        <w:rPr>
          <w:rFonts w:ascii="宋体" w:hAnsi="宋体"/>
          <w:szCs w:val="21"/>
        </w:rPr>
      </w:pPr>
      <w:r>
        <w:rPr>
          <w:rFonts w:hint="eastAsia" w:ascii="宋体" w:hAnsi="宋体"/>
          <w:szCs w:val="21"/>
        </w:rPr>
        <w:t>2. 设备到货应随机提供出厂验收报告。</w:t>
      </w:r>
    </w:p>
    <w:p>
      <w:pPr>
        <w:adjustRightInd w:val="0"/>
        <w:snapToGrid w:val="0"/>
        <w:spacing w:line="360" w:lineRule="auto"/>
        <w:ind w:left="420" w:hanging="420" w:hangingChars="200"/>
        <w:rPr>
          <w:rFonts w:ascii="宋体" w:hAnsi="宋体"/>
          <w:color w:val="FF0000"/>
          <w:szCs w:val="21"/>
        </w:rPr>
      </w:pPr>
      <w:r>
        <w:rPr>
          <w:rFonts w:hint="eastAsia" w:ascii="宋体" w:hAnsi="宋体"/>
          <w:szCs w:val="21"/>
        </w:rPr>
        <w:t>3．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adjustRightInd w:val="0"/>
        <w:snapToGrid w:val="0"/>
        <w:spacing w:line="360" w:lineRule="auto"/>
        <w:ind w:left="420" w:hanging="420" w:hangingChars="200"/>
        <w:rPr>
          <w:rFonts w:ascii="宋体" w:hAnsi="宋体"/>
          <w:color w:val="FF0000"/>
          <w:szCs w:val="21"/>
        </w:rPr>
      </w:pPr>
    </w:p>
    <w:p>
      <w:pPr>
        <w:pStyle w:val="16"/>
        <w:jc w:val="center"/>
        <w:rPr>
          <w:rFonts w:ascii="黑体" w:hAnsi="黑体" w:cs="Times New Roman"/>
          <w:b/>
          <w:bCs/>
          <w:sz w:val="32"/>
          <w:szCs w:val="24"/>
        </w:rPr>
      </w:pPr>
      <w:r>
        <w:rPr>
          <w:rFonts w:hint="eastAsia" w:ascii="黑体" w:hAnsi="黑体" w:cs="Times New Roman"/>
          <w:b/>
          <w:bCs/>
          <w:sz w:val="32"/>
          <w:szCs w:val="24"/>
        </w:rPr>
        <w:t>第六节 质量保证</w:t>
      </w:r>
      <w:bookmarkEnd w:id="6"/>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质保期应为</w:t>
      </w:r>
      <w:r>
        <w:rPr>
          <w:rFonts w:hint="eastAsia"/>
        </w:rPr>
        <w:t>自</w:t>
      </w:r>
      <w:r>
        <w:t>使用之日起</w:t>
      </w:r>
      <w:r>
        <w:rPr>
          <w:rFonts w:hint="eastAsia"/>
        </w:rPr>
        <w:t>12个</w:t>
      </w:r>
      <w:r>
        <w:t>月或到货验收合格后</w:t>
      </w:r>
      <w:r>
        <w:rPr>
          <w:rFonts w:hint="eastAsia"/>
        </w:rPr>
        <w:t>18个</w:t>
      </w:r>
      <w:r>
        <w:t>月，先到为准</w:t>
      </w:r>
      <w:r>
        <w:rPr>
          <w:rFonts w:hint="eastAsia" w:ascii="宋体" w:hAnsi="宋体"/>
          <w:szCs w:val="21"/>
        </w:rPr>
        <w:t>。对由于设计或质量问题而引起的设备故障，中标方应进一步对此负责。专用合同条款对质保有特殊规定的从其规定。</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中标方质保期内应免费对产品进行维修服务，无偿更换零件、部件,更换、维修后的部件质保期从产品正常运行之日起重新计算。</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中标方对设备大修周期、使用寿命及各主要部件的寿命承诺。</w:t>
      </w:r>
    </w:p>
    <w:p>
      <w:pPr>
        <w:pStyle w:val="21"/>
        <w:adjustRightInd w:val="0"/>
        <w:snapToGrid w:val="0"/>
        <w:spacing w:line="360" w:lineRule="auto"/>
        <w:ind w:left="426" w:leftChars="202" w:hanging="2" w:firstLineChars="0"/>
        <w:rPr>
          <w:rFonts w:ascii="宋体" w:hAnsi="宋体"/>
          <w:szCs w:val="21"/>
        </w:rPr>
      </w:pPr>
    </w:p>
    <w:p>
      <w:pPr>
        <w:adjustRightInd w:val="0"/>
        <w:snapToGrid w:val="0"/>
        <w:spacing w:line="360" w:lineRule="auto"/>
        <w:rPr>
          <w:rFonts w:ascii="宋体" w:hAnsi="宋体"/>
          <w:szCs w:val="21"/>
        </w:rPr>
      </w:pPr>
    </w:p>
    <w:p>
      <w:pPr>
        <w:pStyle w:val="16"/>
        <w:jc w:val="center"/>
      </w:pPr>
      <w:r>
        <w:rPr>
          <w:rFonts w:hint="eastAsia" w:ascii="宋体" w:hAnsi="宋体"/>
          <w:szCs w:val="21"/>
        </w:rPr>
        <w:br w:type="page"/>
      </w:r>
      <w:bookmarkStart w:id="7" w:name="_Toc357086148"/>
      <w:r>
        <w:rPr>
          <w:rFonts w:hint="eastAsia" w:ascii="黑体" w:hAnsi="黑体" w:cs="Times New Roman"/>
          <w:b/>
          <w:bCs/>
          <w:sz w:val="32"/>
          <w:szCs w:val="24"/>
        </w:rPr>
        <w:t>第七节 技术资料和图纸</w:t>
      </w:r>
      <w:bookmarkEnd w:id="7"/>
    </w:p>
    <w:p>
      <w:pPr>
        <w:adjustRightInd w:val="0"/>
        <w:snapToGrid w:val="0"/>
        <w:spacing w:before="156" w:beforeLines="50" w:line="360" w:lineRule="auto"/>
        <w:ind w:left="283" w:hanging="283" w:hangingChars="135"/>
        <w:rPr>
          <w:rFonts w:ascii="宋体" w:hAnsi="宋体"/>
          <w:szCs w:val="21"/>
        </w:rPr>
      </w:pP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1. 中标人按规定给招标人提供全面的、详细的技术资料，</w:t>
      </w:r>
      <w:r>
        <w:rPr>
          <w:rFonts w:hint="eastAsia" w:ascii="宋体" w:hAnsi="宋体"/>
          <w:color w:val="FF0000"/>
          <w:szCs w:val="21"/>
        </w:rPr>
        <w:t>包括印刷版和电子版的图纸、</w:t>
      </w:r>
      <w:r>
        <w:rPr>
          <w:rFonts w:hint="eastAsia" w:ascii="宋体" w:hAnsi="宋体"/>
          <w:szCs w:val="21"/>
        </w:rPr>
        <w:t>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3. 如果中标人交付的技术文件和图纸在运输途中发现不完整、丢失或损坏，中标人在接到招标人索要不完整、丢失或损坏部分的技术文件和图纸的通知后的30天内,应免费向招标人增补丢失或损坏部分的技术文件与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4. 中标人有义务对该</w:t>
      </w:r>
      <w:r>
        <w:rPr>
          <w:rFonts w:hint="eastAsia" w:ascii="宋体" w:hAnsi="宋体"/>
          <w:color w:val="FF0000"/>
          <w:szCs w:val="21"/>
        </w:rPr>
        <w:t>设备的控制软件、管理软件进行升级换代</w:t>
      </w:r>
      <w:r>
        <w:rPr>
          <w:rFonts w:hint="eastAsia" w:ascii="宋体" w:hAnsi="宋体"/>
          <w:szCs w:val="21"/>
        </w:rPr>
        <w:t>。</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5. 中标人定期对设备进行回访，并对用户提出的问题进行解决。</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6. 中标人要提供下列相关的技术资料及图纸：</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总装图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设备能力的计算和受力图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制造标准、防爆标准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检验标准</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电气原理图和技术说明书</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液压系统图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配套图</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7. 技术资料与设备同属合同供货范围，如不能按照上述条款交货，将按照推迟合同交货期执行。</w:t>
      </w:r>
    </w:p>
    <w:p>
      <w:pPr>
        <w:adjustRightInd w:val="0"/>
        <w:snapToGrid w:val="0"/>
        <w:spacing w:before="156" w:beforeLines="50" w:line="360" w:lineRule="auto"/>
        <w:ind w:left="283" w:hanging="283" w:hangingChars="135"/>
        <w:rPr>
          <w:rFonts w:ascii="宋体" w:hAnsi="宋体"/>
          <w:szCs w:val="21"/>
        </w:rPr>
      </w:pPr>
      <w:r>
        <w:rPr>
          <w:rFonts w:hint="eastAsia" w:ascii="宋体" w:hAnsi="宋体"/>
          <w:szCs w:val="21"/>
        </w:rPr>
        <w:t>8、投标人提供的上述技术资料必须满足招标人用于标的物维修的需求。</w:t>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A1DC0C"/>
    <w:multiLevelType w:val="singleLevel"/>
    <w:tmpl w:val="5AA1DC0C"/>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ED"/>
    <w:rsid w:val="00005EA4"/>
    <w:rsid w:val="00015381"/>
    <w:rsid w:val="0002372A"/>
    <w:rsid w:val="000335D3"/>
    <w:rsid w:val="00034491"/>
    <w:rsid w:val="000349FF"/>
    <w:rsid w:val="00040FAA"/>
    <w:rsid w:val="00046393"/>
    <w:rsid w:val="0005053C"/>
    <w:rsid w:val="00062A06"/>
    <w:rsid w:val="00074BAA"/>
    <w:rsid w:val="0008777B"/>
    <w:rsid w:val="00091069"/>
    <w:rsid w:val="000B4A8F"/>
    <w:rsid w:val="000C002E"/>
    <w:rsid w:val="000D5B51"/>
    <w:rsid w:val="000F7B2D"/>
    <w:rsid w:val="00106631"/>
    <w:rsid w:val="00112DFB"/>
    <w:rsid w:val="00135C44"/>
    <w:rsid w:val="00136D01"/>
    <w:rsid w:val="00142DC8"/>
    <w:rsid w:val="00152AAB"/>
    <w:rsid w:val="00155A24"/>
    <w:rsid w:val="001608A6"/>
    <w:rsid w:val="00162CD6"/>
    <w:rsid w:val="0017236C"/>
    <w:rsid w:val="00173B13"/>
    <w:rsid w:val="00175505"/>
    <w:rsid w:val="001803C1"/>
    <w:rsid w:val="00186B13"/>
    <w:rsid w:val="00190E51"/>
    <w:rsid w:val="001C2A35"/>
    <w:rsid w:val="001C7D30"/>
    <w:rsid w:val="001D4AC8"/>
    <w:rsid w:val="0020094D"/>
    <w:rsid w:val="00205A97"/>
    <w:rsid w:val="00207DB2"/>
    <w:rsid w:val="00213B0F"/>
    <w:rsid w:val="0023500D"/>
    <w:rsid w:val="00243118"/>
    <w:rsid w:val="0024361C"/>
    <w:rsid w:val="00244C73"/>
    <w:rsid w:val="002466BB"/>
    <w:rsid w:val="00247066"/>
    <w:rsid w:val="00250640"/>
    <w:rsid w:val="00254199"/>
    <w:rsid w:val="002633A5"/>
    <w:rsid w:val="0026397C"/>
    <w:rsid w:val="00285129"/>
    <w:rsid w:val="002902C1"/>
    <w:rsid w:val="00292D0F"/>
    <w:rsid w:val="002A0807"/>
    <w:rsid w:val="002C2B1B"/>
    <w:rsid w:val="002D5BFD"/>
    <w:rsid w:val="002E17F4"/>
    <w:rsid w:val="002E4385"/>
    <w:rsid w:val="0030306D"/>
    <w:rsid w:val="003133E1"/>
    <w:rsid w:val="00315A14"/>
    <w:rsid w:val="00324547"/>
    <w:rsid w:val="00324AED"/>
    <w:rsid w:val="003370AA"/>
    <w:rsid w:val="003417A1"/>
    <w:rsid w:val="00343D04"/>
    <w:rsid w:val="003538D6"/>
    <w:rsid w:val="00355943"/>
    <w:rsid w:val="0035699D"/>
    <w:rsid w:val="0036001B"/>
    <w:rsid w:val="003708D1"/>
    <w:rsid w:val="00375D0E"/>
    <w:rsid w:val="00386656"/>
    <w:rsid w:val="003A43AD"/>
    <w:rsid w:val="003B3F9D"/>
    <w:rsid w:val="003D0832"/>
    <w:rsid w:val="003D621C"/>
    <w:rsid w:val="003E4003"/>
    <w:rsid w:val="003F38A7"/>
    <w:rsid w:val="004013AD"/>
    <w:rsid w:val="004021E7"/>
    <w:rsid w:val="00405B14"/>
    <w:rsid w:val="00411194"/>
    <w:rsid w:val="00413602"/>
    <w:rsid w:val="00415933"/>
    <w:rsid w:val="004171CC"/>
    <w:rsid w:val="00424C95"/>
    <w:rsid w:val="004328D4"/>
    <w:rsid w:val="00433399"/>
    <w:rsid w:val="00462545"/>
    <w:rsid w:val="0046284D"/>
    <w:rsid w:val="00481D87"/>
    <w:rsid w:val="004842B2"/>
    <w:rsid w:val="004954E0"/>
    <w:rsid w:val="004A5487"/>
    <w:rsid w:val="004D4587"/>
    <w:rsid w:val="004E0346"/>
    <w:rsid w:val="004E39A5"/>
    <w:rsid w:val="004E5B57"/>
    <w:rsid w:val="004F3F2B"/>
    <w:rsid w:val="004F5D0C"/>
    <w:rsid w:val="00501850"/>
    <w:rsid w:val="00502BE3"/>
    <w:rsid w:val="0050670E"/>
    <w:rsid w:val="005210D7"/>
    <w:rsid w:val="005210E1"/>
    <w:rsid w:val="00522FE4"/>
    <w:rsid w:val="00524A09"/>
    <w:rsid w:val="005357F0"/>
    <w:rsid w:val="00543472"/>
    <w:rsid w:val="00564646"/>
    <w:rsid w:val="00595E43"/>
    <w:rsid w:val="00596F47"/>
    <w:rsid w:val="005A6A5C"/>
    <w:rsid w:val="005B215D"/>
    <w:rsid w:val="005B7C05"/>
    <w:rsid w:val="005C1073"/>
    <w:rsid w:val="005C2EC1"/>
    <w:rsid w:val="005D117A"/>
    <w:rsid w:val="005E1806"/>
    <w:rsid w:val="005E2C8D"/>
    <w:rsid w:val="005F6C66"/>
    <w:rsid w:val="00604F0E"/>
    <w:rsid w:val="00607817"/>
    <w:rsid w:val="006118E4"/>
    <w:rsid w:val="00616668"/>
    <w:rsid w:val="00644CBA"/>
    <w:rsid w:val="0064539F"/>
    <w:rsid w:val="00674855"/>
    <w:rsid w:val="0068763C"/>
    <w:rsid w:val="00695B06"/>
    <w:rsid w:val="006B3D97"/>
    <w:rsid w:val="006C2B88"/>
    <w:rsid w:val="006C3017"/>
    <w:rsid w:val="006C3ED5"/>
    <w:rsid w:val="006D365C"/>
    <w:rsid w:val="006E205F"/>
    <w:rsid w:val="006E52DC"/>
    <w:rsid w:val="006E7F21"/>
    <w:rsid w:val="006F7261"/>
    <w:rsid w:val="007023AA"/>
    <w:rsid w:val="0072646E"/>
    <w:rsid w:val="0073246F"/>
    <w:rsid w:val="00734DF3"/>
    <w:rsid w:val="007404F7"/>
    <w:rsid w:val="0074278F"/>
    <w:rsid w:val="00745D94"/>
    <w:rsid w:val="00765FB3"/>
    <w:rsid w:val="00782F74"/>
    <w:rsid w:val="00786A40"/>
    <w:rsid w:val="00786E22"/>
    <w:rsid w:val="00790A71"/>
    <w:rsid w:val="00796B6E"/>
    <w:rsid w:val="007A37E8"/>
    <w:rsid w:val="007A5778"/>
    <w:rsid w:val="007C39D7"/>
    <w:rsid w:val="007C6924"/>
    <w:rsid w:val="007D1C2F"/>
    <w:rsid w:val="007F6FBE"/>
    <w:rsid w:val="0080693E"/>
    <w:rsid w:val="00807102"/>
    <w:rsid w:val="008156D9"/>
    <w:rsid w:val="00821A39"/>
    <w:rsid w:val="00826E8C"/>
    <w:rsid w:val="00826F56"/>
    <w:rsid w:val="0083250C"/>
    <w:rsid w:val="0083563D"/>
    <w:rsid w:val="00843418"/>
    <w:rsid w:val="00845825"/>
    <w:rsid w:val="00853966"/>
    <w:rsid w:val="00855944"/>
    <w:rsid w:val="00881676"/>
    <w:rsid w:val="00882500"/>
    <w:rsid w:val="0088601A"/>
    <w:rsid w:val="00890998"/>
    <w:rsid w:val="00897BC6"/>
    <w:rsid w:val="008C2E31"/>
    <w:rsid w:val="008E4684"/>
    <w:rsid w:val="008F6198"/>
    <w:rsid w:val="00905422"/>
    <w:rsid w:val="009054B3"/>
    <w:rsid w:val="0092369C"/>
    <w:rsid w:val="00943FA8"/>
    <w:rsid w:val="00947716"/>
    <w:rsid w:val="00947E03"/>
    <w:rsid w:val="00950F40"/>
    <w:rsid w:val="009555FC"/>
    <w:rsid w:val="0096100E"/>
    <w:rsid w:val="00981B85"/>
    <w:rsid w:val="00986153"/>
    <w:rsid w:val="00992860"/>
    <w:rsid w:val="00993163"/>
    <w:rsid w:val="009933CD"/>
    <w:rsid w:val="00996A9F"/>
    <w:rsid w:val="009A1731"/>
    <w:rsid w:val="009B7AFD"/>
    <w:rsid w:val="009C560A"/>
    <w:rsid w:val="009D05E6"/>
    <w:rsid w:val="009D16D9"/>
    <w:rsid w:val="009D4BEB"/>
    <w:rsid w:val="009F0088"/>
    <w:rsid w:val="009F700A"/>
    <w:rsid w:val="00A0156C"/>
    <w:rsid w:val="00A1147B"/>
    <w:rsid w:val="00A116B9"/>
    <w:rsid w:val="00A14213"/>
    <w:rsid w:val="00A2367D"/>
    <w:rsid w:val="00A25B21"/>
    <w:rsid w:val="00A3047A"/>
    <w:rsid w:val="00A30913"/>
    <w:rsid w:val="00A30C65"/>
    <w:rsid w:val="00A36918"/>
    <w:rsid w:val="00A36C0B"/>
    <w:rsid w:val="00A50C2D"/>
    <w:rsid w:val="00A6162C"/>
    <w:rsid w:val="00A678FB"/>
    <w:rsid w:val="00A67AA5"/>
    <w:rsid w:val="00A8273B"/>
    <w:rsid w:val="00A90896"/>
    <w:rsid w:val="00A9110C"/>
    <w:rsid w:val="00AA1072"/>
    <w:rsid w:val="00AA563E"/>
    <w:rsid w:val="00AB7D21"/>
    <w:rsid w:val="00AB7E73"/>
    <w:rsid w:val="00AC3394"/>
    <w:rsid w:val="00AD68D8"/>
    <w:rsid w:val="00AE2322"/>
    <w:rsid w:val="00AE3F1F"/>
    <w:rsid w:val="00AE53E0"/>
    <w:rsid w:val="00AE66AF"/>
    <w:rsid w:val="00AF260A"/>
    <w:rsid w:val="00B031C1"/>
    <w:rsid w:val="00B03A0D"/>
    <w:rsid w:val="00B045D4"/>
    <w:rsid w:val="00B078AA"/>
    <w:rsid w:val="00B10346"/>
    <w:rsid w:val="00B15920"/>
    <w:rsid w:val="00B1737F"/>
    <w:rsid w:val="00B24159"/>
    <w:rsid w:val="00B24162"/>
    <w:rsid w:val="00B246C9"/>
    <w:rsid w:val="00B324E4"/>
    <w:rsid w:val="00B335EE"/>
    <w:rsid w:val="00B42553"/>
    <w:rsid w:val="00B45AE6"/>
    <w:rsid w:val="00B479F5"/>
    <w:rsid w:val="00B615D0"/>
    <w:rsid w:val="00B6712E"/>
    <w:rsid w:val="00B73000"/>
    <w:rsid w:val="00B81CAE"/>
    <w:rsid w:val="00B8459D"/>
    <w:rsid w:val="00B93EF8"/>
    <w:rsid w:val="00BB380A"/>
    <w:rsid w:val="00BB3B5C"/>
    <w:rsid w:val="00BC1A1D"/>
    <w:rsid w:val="00BC7C25"/>
    <w:rsid w:val="00BD126A"/>
    <w:rsid w:val="00BD1CD0"/>
    <w:rsid w:val="00BD3068"/>
    <w:rsid w:val="00BF1B41"/>
    <w:rsid w:val="00C005E2"/>
    <w:rsid w:val="00C00E22"/>
    <w:rsid w:val="00C04844"/>
    <w:rsid w:val="00C077D1"/>
    <w:rsid w:val="00C22C5C"/>
    <w:rsid w:val="00C3204C"/>
    <w:rsid w:val="00C4031E"/>
    <w:rsid w:val="00C4115D"/>
    <w:rsid w:val="00C52F81"/>
    <w:rsid w:val="00C53DAE"/>
    <w:rsid w:val="00C53E96"/>
    <w:rsid w:val="00C56484"/>
    <w:rsid w:val="00C56E68"/>
    <w:rsid w:val="00C61510"/>
    <w:rsid w:val="00C61BEE"/>
    <w:rsid w:val="00C655FD"/>
    <w:rsid w:val="00C6715A"/>
    <w:rsid w:val="00C82F57"/>
    <w:rsid w:val="00C87C9F"/>
    <w:rsid w:val="00C904D9"/>
    <w:rsid w:val="00C945CD"/>
    <w:rsid w:val="00CA1942"/>
    <w:rsid w:val="00CA2AAB"/>
    <w:rsid w:val="00CA6ADA"/>
    <w:rsid w:val="00CB68B2"/>
    <w:rsid w:val="00CC186D"/>
    <w:rsid w:val="00CD5D1D"/>
    <w:rsid w:val="00CE2302"/>
    <w:rsid w:val="00CE342B"/>
    <w:rsid w:val="00CE6EE5"/>
    <w:rsid w:val="00CF3036"/>
    <w:rsid w:val="00CF48E8"/>
    <w:rsid w:val="00D04856"/>
    <w:rsid w:val="00D10234"/>
    <w:rsid w:val="00D15AFD"/>
    <w:rsid w:val="00D32C0C"/>
    <w:rsid w:val="00D33006"/>
    <w:rsid w:val="00D404B3"/>
    <w:rsid w:val="00D43F0D"/>
    <w:rsid w:val="00D45A07"/>
    <w:rsid w:val="00D50A55"/>
    <w:rsid w:val="00D93117"/>
    <w:rsid w:val="00D95D3F"/>
    <w:rsid w:val="00DA4732"/>
    <w:rsid w:val="00DB6D4F"/>
    <w:rsid w:val="00DC0DF1"/>
    <w:rsid w:val="00DC42CF"/>
    <w:rsid w:val="00DC48C5"/>
    <w:rsid w:val="00DD144E"/>
    <w:rsid w:val="00DD1B16"/>
    <w:rsid w:val="00DD3E50"/>
    <w:rsid w:val="00DE1BDB"/>
    <w:rsid w:val="00DE243A"/>
    <w:rsid w:val="00E00421"/>
    <w:rsid w:val="00E050EF"/>
    <w:rsid w:val="00E12326"/>
    <w:rsid w:val="00E12EBD"/>
    <w:rsid w:val="00E17E02"/>
    <w:rsid w:val="00E322AE"/>
    <w:rsid w:val="00E33525"/>
    <w:rsid w:val="00E4526B"/>
    <w:rsid w:val="00E461DF"/>
    <w:rsid w:val="00E46E83"/>
    <w:rsid w:val="00E62120"/>
    <w:rsid w:val="00E70FE5"/>
    <w:rsid w:val="00E73DE8"/>
    <w:rsid w:val="00E74C50"/>
    <w:rsid w:val="00E8366B"/>
    <w:rsid w:val="00EA3C6E"/>
    <w:rsid w:val="00EB08C9"/>
    <w:rsid w:val="00EB74FF"/>
    <w:rsid w:val="00EB7AB9"/>
    <w:rsid w:val="00EC35BC"/>
    <w:rsid w:val="00EC5962"/>
    <w:rsid w:val="00EE0BC1"/>
    <w:rsid w:val="00EE23A6"/>
    <w:rsid w:val="00EE66B8"/>
    <w:rsid w:val="00EF7F2F"/>
    <w:rsid w:val="00F02E92"/>
    <w:rsid w:val="00F06A7C"/>
    <w:rsid w:val="00F15AC7"/>
    <w:rsid w:val="00F164C7"/>
    <w:rsid w:val="00F16511"/>
    <w:rsid w:val="00F24373"/>
    <w:rsid w:val="00F33062"/>
    <w:rsid w:val="00F3355C"/>
    <w:rsid w:val="00F37B67"/>
    <w:rsid w:val="00F43474"/>
    <w:rsid w:val="00F54464"/>
    <w:rsid w:val="00F54953"/>
    <w:rsid w:val="00F61392"/>
    <w:rsid w:val="00F72761"/>
    <w:rsid w:val="00F76074"/>
    <w:rsid w:val="00F76586"/>
    <w:rsid w:val="00F86EA0"/>
    <w:rsid w:val="00F914C5"/>
    <w:rsid w:val="00F92D03"/>
    <w:rsid w:val="00F96E80"/>
    <w:rsid w:val="00FA6B21"/>
    <w:rsid w:val="00FB3542"/>
    <w:rsid w:val="00FC6B4B"/>
    <w:rsid w:val="00FD2101"/>
    <w:rsid w:val="00FD776B"/>
    <w:rsid w:val="00FE5241"/>
    <w:rsid w:val="00FE5C25"/>
    <w:rsid w:val="00FF6988"/>
    <w:rsid w:val="03F92F70"/>
    <w:rsid w:val="08E97B35"/>
    <w:rsid w:val="09621BA5"/>
    <w:rsid w:val="09F24E3A"/>
    <w:rsid w:val="0A094EDA"/>
    <w:rsid w:val="0A72586F"/>
    <w:rsid w:val="0A8D7174"/>
    <w:rsid w:val="0B7E68E0"/>
    <w:rsid w:val="0E4B13D7"/>
    <w:rsid w:val="0EB056A4"/>
    <w:rsid w:val="0EB57624"/>
    <w:rsid w:val="0F3B290E"/>
    <w:rsid w:val="110178DF"/>
    <w:rsid w:val="13484E97"/>
    <w:rsid w:val="138D3DC0"/>
    <w:rsid w:val="15586DAE"/>
    <w:rsid w:val="192B219A"/>
    <w:rsid w:val="1A5E7141"/>
    <w:rsid w:val="2167413D"/>
    <w:rsid w:val="22E95333"/>
    <w:rsid w:val="24E27FD7"/>
    <w:rsid w:val="264E7413"/>
    <w:rsid w:val="283011A1"/>
    <w:rsid w:val="2B0C2F34"/>
    <w:rsid w:val="2BC00BE2"/>
    <w:rsid w:val="2E1377ED"/>
    <w:rsid w:val="2EAD7877"/>
    <w:rsid w:val="312F4B66"/>
    <w:rsid w:val="31310FA5"/>
    <w:rsid w:val="347856D3"/>
    <w:rsid w:val="364E5A63"/>
    <w:rsid w:val="37A54056"/>
    <w:rsid w:val="38726D84"/>
    <w:rsid w:val="3A43554F"/>
    <w:rsid w:val="3BDD03D9"/>
    <w:rsid w:val="3D7F3BC1"/>
    <w:rsid w:val="3F9B31AE"/>
    <w:rsid w:val="4151686C"/>
    <w:rsid w:val="428D6930"/>
    <w:rsid w:val="43CC7129"/>
    <w:rsid w:val="44FE5426"/>
    <w:rsid w:val="47444F8D"/>
    <w:rsid w:val="47973D2B"/>
    <w:rsid w:val="47C612D8"/>
    <w:rsid w:val="48505D81"/>
    <w:rsid w:val="492A6738"/>
    <w:rsid w:val="496E5969"/>
    <w:rsid w:val="4AAF6E14"/>
    <w:rsid w:val="4F8A2F55"/>
    <w:rsid w:val="4FB37583"/>
    <w:rsid w:val="526635D7"/>
    <w:rsid w:val="5623671A"/>
    <w:rsid w:val="566302A6"/>
    <w:rsid w:val="56BA5960"/>
    <w:rsid w:val="57CE406C"/>
    <w:rsid w:val="59202FC2"/>
    <w:rsid w:val="5A742CF2"/>
    <w:rsid w:val="5B6C7D60"/>
    <w:rsid w:val="67714E8D"/>
    <w:rsid w:val="6967158D"/>
    <w:rsid w:val="6ABF0E3A"/>
    <w:rsid w:val="6AC4212E"/>
    <w:rsid w:val="6B617F53"/>
    <w:rsid w:val="6D4B57C8"/>
    <w:rsid w:val="6FA14E9F"/>
    <w:rsid w:val="700644CF"/>
    <w:rsid w:val="71AD0CE1"/>
    <w:rsid w:val="733A690A"/>
    <w:rsid w:val="741014F1"/>
    <w:rsid w:val="749023C5"/>
    <w:rsid w:val="75CA4742"/>
    <w:rsid w:val="76CC0748"/>
    <w:rsid w:val="77BB6D32"/>
    <w:rsid w:val="793062A2"/>
    <w:rsid w:val="7C9D0824"/>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nhideWhenUsed/>
    <w:uiPriority w:val="1"/>
  </w:style>
  <w:style w:type="table" w:default="1" w:styleId="14">
    <w:name w:val="Normal Table"/>
    <w:semiHidden/>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26"/>
    <w:unhideWhenUsed/>
    <w:qFormat/>
    <w:uiPriority w:val="99"/>
    <w:rPr>
      <w:b/>
      <w:bCs/>
    </w:rPr>
  </w:style>
  <w:style w:type="paragraph" w:styleId="5">
    <w:name w:val="annotation text"/>
    <w:basedOn w:val="1"/>
    <w:link w:val="25"/>
    <w:unhideWhenUsed/>
    <w:qFormat/>
    <w:uiPriority w:val="99"/>
    <w:pPr>
      <w:jc w:val="left"/>
    </w:pPr>
  </w:style>
  <w:style w:type="paragraph" w:styleId="6">
    <w:name w:val="Body Text"/>
    <w:basedOn w:val="1"/>
    <w:link w:val="20"/>
    <w:qFormat/>
    <w:uiPriority w:val="0"/>
    <w:pPr>
      <w:spacing w:after="120"/>
    </w:pPr>
  </w:style>
  <w:style w:type="paragraph" w:styleId="7">
    <w:name w:val="Balloon Text"/>
    <w:basedOn w:val="1"/>
    <w:link w:val="27"/>
    <w:unhideWhenUsed/>
    <w:qFormat/>
    <w:uiPriority w:val="99"/>
    <w:rPr>
      <w:sz w:val="18"/>
      <w:szCs w:val="18"/>
    </w:rPr>
  </w:style>
  <w:style w:type="paragraph" w:styleId="8">
    <w:name w:val="footer"/>
    <w:basedOn w:val="1"/>
    <w:link w:val="24"/>
    <w:unhideWhenUsed/>
    <w:qFormat/>
    <w:uiPriority w:val="99"/>
    <w:pPr>
      <w:tabs>
        <w:tab w:val="center" w:pos="4153"/>
        <w:tab w:val="right" w:pos="8306"/>
      </w:tabs>
      <w:snapToGrid w:val="0"/>
      <w:jc w:val="left"/>
    </w:pPr>
    <w:rPr>
      <w:sz w:val="18"/>
      <w:szCs w:val="18"/>
    </w:rPr>
  </w:style>
  <w:style w:type="paragraph" w:styleId="9">
    <w:name w:val="header"/>
    <w:basedOn w:val="1"/>
    <w:link w:val="2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17"/>
    <w:qFormat/>
    <w:uiPriority w:val="0"/>
    <w:pPr>
      <w:snapToGrid w:val="0"/>
      <w:jc w:val="left"/>
    </w:pPr>
    <w:rPr>
      <w:sz w:val="18"/>
      <w:szCs w:val="18"/>
    </w:rPr>
  </w:style>
  <w:style w:type="character" w:styleId="12">
    <w:name w:val="annotation reference"/>
    <w:basedOn w:val="11"/>
    <w:unhideWhenUsed/>
    <w:qFormat/>
    <w:uiPriority w:val="99"/>
    <w:rPr>
      <w:sz w:val="21"/>
      <w:szCs w:val="21"/>
    </w:rPr>
  </w:style>
  <w:style w:type="character" w:styleId="13">
    <w:name w:val="footnote reference"/>
    <w:qFormat/>
    <w:uiPriority w:val="0"/>
    <w:rPr>
      <w:vertAlign w:val="superscript"/>
    </w:rPr>
  </w:style>
  <w:style w:type="character" w:customStyle="1" w:styleId="15">
    <w:name w:val="标题 1 字符"/>
    <w:basedOn w:val="11"/>
    <w:link w:val="2"/>
    <w:qFormat/>
    <w:uiPriority w:val="0"/>
    <w:rPr>
      <w:rFonts w:ascii="Times New Roman" w:hAnsi="Times New Roman" w:eastAsia="宋体" w:cs="Times New Roman"/>
      <w:b/>
      <w:bCs/>
      <w:kern w:val="44"/>
      <w:sz w:val="44"/>
      <w:szCs w:val="44"/>
    </w:rPr>
  </w:style>
  <w:style w:type="paragraph" w:customStyle="1" w:styleId="1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17">
    <w:name w:val="脚注文本 字符"/>
    <w:basedOn w:val="11"/>
    <w:link w:val="10"/>
    <w:qFormat/>
    <w:uiPriority w:val="0"/>
    <w:rPr>
      <w:rFonts w:ascii="Times New Roman" w:hAnsi="Times New Roman" w:eastAsia="宋体" w:cs="Times New Roman"/>
      <w:sz w:val="18"/>
      <w:szCs w:val="18"/>
    </w:rPr>
  </w:style>
  <w:style w:type="character" w:customStyle="1" w:styleId="18">
    <w:name w:val="标题 2 字符"/>
    <w:basedOn w:val="11"/>
    <w:link w:val="3"/>
    <w:semiHidden/>
    <w:qFormat/>
    <w:uiPriority w:val="9"/>
    <w:rPr>
      <w:rFonts w:asciiTheme="majorHAnsi" w:hAnsiTheme="majorHAnsi" w:eastAsiaTheme="majorEastAsia" w:cstheme="majorBidi"/>
      <w:b/>
      <w:bCs/>
      <w:sz w:val="32"/>
      <w:szCs w:val="32"/>
    </w:rPr>
  </w:style>
  <w:style w:type="paragraph" w:customStyle="1" w:styleId="19">
    <w:name w:val="普通 (Web)"/>
    <w:qFormat/>
    <w:uiPriority w:val="0"/>
    <w:pPr>
      <w:spacing w:before="100" w:after="100"/>
    </w:pPr>
    <w:rPr>
      <w:rFonts w:ascii="宋体" w:hAnsi="Times New Roman" w:eastAsia="宋体" w:cs="Times New Roman"/>
      <w:sz w:val="24"/>
      <w:lang w:val="en-US" w:eastAsia="zh-CN" w:bidi="ar-SA"/>
    </w:rPr>
  </w:style>
  <w:style w:type="character" w:customStyle="1" w:styleId="20">
    <w:name w:val="正文文本 字符"/>
    <w:basedOn w:val="11"/>
    <w:link w:val="6"/>
    <w:qFormat/>
    <w:uiPriority w:val="0"/>
    <w:rPr>
      <w:rFonts w:ascii="Times New Roman" w:hAnsi="Times New Roman" w:eastAsia="宋体" w:cs="Times New Roman"/>
      <w:szCs w:val="24"/>
    </w:rPr>
  </w:style>
  <w:style w:type="paragraph" w:customStyle="1" w:styleId="21">
    <w:name w:val="列出段落1"/>
    <w:qFormat/>
    <w:uiPriority w:val="34"/>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22">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sz w:val="24"/>
      <w:lang w:val="en-US" w:eastAsia="zh-CN" w:bidi="ar-SA"/>
    </w:rPr>
  </w:style>
  <w:style w:type="character" w:customStyle="1" w:styleId="23">
    <w:name w:val="页眉 字符"/>
    <w:basedOn w:val="11"/>
    <w:link w:val="9"/>
    <w:qFormat/>
    <w:uiPriority w:val="99"/>
    <w:rPr>
      <w:rFonts w:ascii="Times New Roman" w:hAnsi="Times New Roman" w:eastAsia="宋体" w:cs="Times New Roman"/>
      <w:sz w:val="18"/>
      <w:szCs w:val="18"/>
    </w:rPr>
  </w:style>
  <w:style w:type="character" w:customStyle="1" w:styleId="24">
    <w:name w:val="页脚 字符"/>
    <w:basedOn w:val="11"/>
    <w:link w:val="8"/>
    <w:qFormat/>
    <w:uiPriority w:val="99"/>
    <w:rPr>
      <w:rFonts w:ascii="Times New Roman" w:hAnsi="Times New Roman" w:eastAsia="宋体" w:cs="Times New Roman"/>
      <w:sz w:val="18"/>
      <w:szCs w:val="18"/>
    </w:rPr>
  </w:style>
  <w:style w:type="character" w:customStyle="1" w:styleId="25">
    <w:name w:val="批注文字 字符"/>
    <w:basedOn w:val="11"/>
    <w:link w:val="5"/>
    <w:semiHidden/>
    <w:qFormat/>
    <w:uiPriority w:val="99"/>
    <w:rPr>
      <w:rFonts w:ascii="Times New Roman" w:hAnsi="Times New Roman" w:eastAsia="宋体" w:cs="Times New Roman"/>
      <w:szCs w:val="24"/>
    </w:rPr>
  </w:style>
  <w:style w:type="character" w:customStyle="1" w:styleId="26">
    <w:name w:val="批注主题 字符"/>
    <w:basedOn w:val="25"/>
    <w:link w:val="4"/>
    <w:semiHidden/>
    <w:qFormat/>
    <w:uiPriority w:val="99"/>
    <w:rPr>
      <w:rFonts w:ascii="Times New Roman" w:hAnsi="Times New Roman" w:eastAsia="宋体" w:cs="Times New Roman"/>
      <w:b/>
      <w:bCs/>
      <w:szCs w:val="24"/>
    </w:rPr>
  </w:style>
  <w:style w:type="character" w:customStyle="1" w:styleId="27">
    <w:name w:val="批注框文本 字符"/>
    <w:basedOn w:val="11"/>
    <w:link w:val="7"/>
    <w:semiHidden/>
    <w:qFormat/>
    <w:uiPriority w:val="99"/>
    <w:rPr>
      <w:rFonts w:ascii="Times New Roman" w:hAnsi="Times New Roman" w:eastAsia="宋体" w:cs="Times New Roman"/>
      <w:sz w:val="18"/>
      <w:szCs w:val="18"/>
    </w:rPr>
  </w:style>
  <w:style w:type="paragraph" w:customStyle="1" w:styleId="28">
    <w:name w:val="修订1"/>
    <w:hidden/>
    <w:semiHidden/>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F8344A2-0C56-412C-8ED2-A4A5FC452E6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779</Words>
  <Characters>4446</Characters>
  <Lines>37</Lines>
  <Paragraphs>10</Paragraphs>
  <TotalTime>38</TotalTime>
  <ScaleCrop>false</ScaleCrop>
  <LinksUpToDate>false</LinksUpToDate>
  <CharactersWithSpaces>5215</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2015-11-13T01:35:00Z</dcterms:created>
  <dc:creator>qzy3472</dc:creator>
  <cp:lastModifiedBy>bo</cp:lastModifiedBy>
  <cp:lastPrinted>2019-03-27T06:27:40Z</cp:lastPrinted>
  <dcterms:modified xsi:type="dcterms:W3CDTF">2019-03-27T06:57:35Z</dcterms:modified>
  <cp:revision>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ies>
</file>