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1"/>
        <w:rPr>
          <w:rFonts w:hint="eastAsia" w:ascii="宋体" w:hAnsi="宋体" w:eastAsia="宋体" w:cs="宋体"/>
          <w:color w:val="auto"/>
          <w:sz w:val="36"/>
          <w:szCs w:val="24"/>
          <w:highlight w:val="none"/>
          <w:lang w:eastAsia="zh-CN"/>
        </w:rPr>
      </w:pPr>
      <w:bookmarkStart w:id="0" w:name="_Toc8241"/>
      <w:bookmarkStart w:id="1" w:name="_Toc3043"/>
      <w:bookmarkStart w:id="2" w:name="_Toc8649"/>
      <w:bookmarkStart w:id="3" w:name="_Toc7077"/>
      <w:r>
        <w:rPr>
          <w:rFonts w:hint="eastAsia" w:ascii="宋体" w:hAnsi="宋体" w:eastAsia="宋体" w:cs="宋体"/>
          <w:color w:val="auto"/>
          <w:sz w:val="36"/>
          <w:szCs w:val="24"/>
          <w:highlight w:val="none"/>
          <w:lang w:eastAsia="zh-CN"/>
        </w:rPr>
        <w:t>第一包：陶瓷纤维马弗炉等</w:t>
      </w:r>
      <w:r>
        <w:rPr>
          <w:rFonts w:hint="eastAsia" w:ascii="宋体" w:hAnsi="宋体" w:eastAsia="宋体" w:cs="宋体"/>
          <w:color w:val="auto"/>
          <w:sz w:val="36"/>
          <w:szCs w:val="24"/>
          <w:highlight w:val="none"/>
          <w:lang w:val="en-US" w:eastAsia="zh-CN"/>
        </w:rPr>
        <w:t>3项设备</w:t>
      </w:r>
      <w:r>
        <w:rPr>
          <w:rFonts w:hint="eastAsia" w:ascii="宋体" w:hAnsi="宋体" w:eastAsia="宋体" w:cs="宋体"/>
          <w:color w:val="auto"/>
          <w:sz w:val="36"/>
          <w:szCs w:val="24"/>
          <w:highlight w:val="none"/>
          <w:lang w:eastAsia="zh-CN"/>
        </w:rPr>
        <w:t>技术要求</w:t>
      </w:r>
      <w:bookmarkEnd w:id="0"/>
      <w:bookmarkEnd w:id="1"/>
      <w:bookmarkEnd w:id="2"/>
      <w:bookmarkEnd w:id="3"/>
    </w:p>
    <w:p>
      <w:pPr>
        <w:tabs>
          <w:tab w:val="left" w:pos="426"/>
        </w:tabs>
        <w:snapToGrid w:val="0"/>
        <w:spacing w:line="360" w:lineRule="auto"/>
        <w:rPr>
          <w:rStyle w:val="14"/>
          <w:rFonts w:hint="default" w:ascii="Times New Roman" w:hAnsi="Times New Roman" w:eastAsia="宋体" w:cs="Times New Roman"/>
          <w:b/>
          <w:bCs/>
          <w:sz w:val="21"/>
          <w:szCs w:val="21"/>
          <w:highlight w:val="none"/>
        </w:rPr>
      </w:pPr>
      <w:bookmarkStart w:id="4" w:name="_Toc5232"/>
      <w:r>
        <w:rPr>
          <w:rStyle w:val="14"/>
          <w:rFonts w:hint="default" w:ascii="Times New Roman" w:hAnsi="Times New Roman" w:eastAsia="宋体" w:cs="Times New Roman"/>
          <w:b/>
          <w:bCs/>
          <w:sz w:val="21"/>
          <w:szCs w:val="21"/>
          <w:highlight w:val="none"/>
        </w:rPr>
        <w:t>1.货物需求</w:t>
      </w:r>
    </w:p>
    <w:p>
      <w:pPr>
        <w:tabs>
          <w:tab w:val="left" w:pos="60"/>
        </w:tabs>
        <w:spacing w:line="360" w:lineRule="auto"/>
        <w:ind w:firstLine="420" w:firstLineChars="200"/>
        <w:outlineLvl w:val="9"/>
        <w:rPr>
          <w:rFonts w:hint="default" w:ascii="Times New Roman" w:hAnsi="Times New Roman" w:cs="Times New Roman"/>
          <w:szCs w:val="21"/>
          <w:highlight w:val="none"/>
        </w:rPr>
      </w:pPr>
      <w:r>
        <w:rPr>
          <w:rFonts w:hint="default" w:ascii="Times New Roman" w:hAnsi="Times New Roman" w:cs="Times New Roman"/>
          <w:szCs w:val="21"/>
          <w:highlight w:val="none"/>
        </w:rPr>
        <w:t>1.1货物需求一览表</w:t>
      </w:r>
    </w:p>
    <w:tbl>
      <w:tblPr>
        <w:tblStyle w:val="16"/>
        <w:tblW w:w="9116" w:type="dxa"/>
        <w:tblInd w:w="0" w:type="dxa"/>
        <w:tblLayout w:type="fixed"/>
        <w:tblCellMar>
          <w:top w:w="0" w:type="dxa"/>
          <w:left w:w="108" w:type="dxa"/>
          <w:bottom w:w="0" w:type="dxa"/>
          <w:right w:w="108" w:type="dxa"/>
        </w:tblCellMar>
      </w:tblPr>
      <w:tblGrid>
        <w:gridCol w:w="869"/>
        <w:gridCol w:w="2417"/>
        <w:gridCol w:w="981"/>
        <w:gridCol w:w="846"/>
        <w:gridCol w:w="1568"/>
        <w:gridCol w:w="2435"/>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序号</w:t>
            </w:r>
          </w:p>
        </w:tc>
        <w:tc>
          <w:tcPr>
            <w:tcW w:w="2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设备名称</w:t>
            </w:r>
          </w:p>
        </w:tc>
        <w:tc>
          <w:tcPr>
            <w:tcW w:w="9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单位</w:t>
            </w:r>
          </w:p>
        </w:tc>
        <w:tc>
          <w:tcPr>
            <w:tcW w:w="8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数量</w:t>
            </w:r>
          </w:p>
        </w:tc>
        <w:tc>
          <w:tcPr>
            <w:tcW w:w="15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型号</w:t>
            </w:r>
            <w:r>
              <w:rPr>
                <w:rFonts w:hint="default" w:ascii="Times New Roman" w:hAnsi="Times New Roman" w:cs="Times New Roman"/>
                <w:szCs w:val="21"/>
                <w:highlight w:val="none"/>
                <w:lang w:eastAsia="zh-CN"/>
              </w:rPr>
              <w:t>（产地）</w:t>
            </w:r>
          </w:p>
        </w:tc>
        <w:tc>
          <w:tcPr>
            <w:tcW w:w="24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1</w:t>
            </w:r>
          </w:p>
        </w:tc>
        <w:tc>
          <w:tcPr>
            <w:tcW w:w="2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陶瓷纤维马弗炉</w:t>
            </w:r>
          </w:p>
        </w:tc>
        <w:tc>
          <w:tcPr>
            <w:tcW w:w="9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台</w:t>
            </w:r>
          </w:p>
        </w:tc>
        <w:tc>
          <w:tcPr>
            <w:tcW w:w="8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9</w:t>
            </w:r>
          </w:p>
        </w:tc>
        <w:tc>
          <w:tcPr>
            <w:tcW w:w="15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p>
        </w:tc>
        <w:tc>
          <w:tcPr>
            <w:tcW w:w="24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2018年设备购置计划</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2</w:t>
            </w:r>
          </w:p>
        </w:tc>
        <w:tc>
          <w:tcPr>
            <w:tcW w:w="2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马弗炉</w:t>
            </w:r>
          </w:p>
        </w:tc>
        <w:tc>
          <w:tcPr>
            <w:tcW w:w="9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台</w:t>
            </w:r>
          </w:p>
        </w:tc>
        <w:tc>
          <w:tcPr>
            <w:tcW w:w="8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2</w:t>
            </w:r>
          </w:p>
        </w:tc>
        <w:tc>
          <w:tcPr>
            <w:tcW w:w="15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p>
        </w:tc>
        <w:tc>
          <w:tcPr>
            <w:tcW w:w="24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imes New Roman" w:hAnsi="Times New Roman" w:eastAsia="宋体" w:cs="Times New Roman"/>
                <w:szCs w:val="21"/>
                <w:highlight w:val="none"/>
                <w:lang w:eastAsia="zh-CN"/>
              </w:rPr>
            </w:pPr>
            <w:r>
              <w:rPr>
                <w:rFonts w:hint="eastAsia" w:cs="Times New Roman"/>
                <w:szCs w:val="21"/>
                <w:highlight w:val="none"/>
                <w:lang w:eastAsia="zh-CN"/>
              </w:rPr>
              <w:t>分析检测项目</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default" w:ascii="Times New Roman" w:hAnsi="Times New Roman" w:cs="Times New Roman"/>
                <w:szCs w:val="21"/>
                <w:highlight w:val="none"/>
                <w:lang w:val="en-US" w:eastAsia="zh-CN"/>
              </w:rPr>
              <w:t>3</w:t>
            </w:r>
          </w:p>
        </w:tc>
        <w:tc>
          <w:tcPr>
            <w:tcW w:w="2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rPr>
            </w:pPr>
            <w:r>
              <w:rPr>
                <w:rFonts w:hint="default" w:ascii="Times New Roman" w:hAnsi="Times New Roman" w:cs="Times New Roman"/>
                <w:szCs w:val="21"/>
                <w:highlight w:val="none"/>
              </w:rPr>
              <w:t>马弗炉</w:t>
            </w:r>
          </w:p>
        </w:tc>
        <w:tc>
          <w:tcPr>
            <w:tcW w:w="9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lang w:val="en-US" w:eastAsia="zh-CN"/>
              </w:rPr>
              <w:t>台</w:t>
            </w:r>
          </w:p>
        </w:tc>
        <w:tc>
          <w:tcPr>
            <w:tcW w:w="8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default" w:ascii="Times New Roman" w:hAnsi="Times New Roman" w:cs="Times New Roman"/>
                <w:szCs w:val="21"/>
                <w:highlight w:val="none"/>
                <w:lang w:val="en-US" w:eastAsia="zh-CN"/>
              </w:rPr>
              <w:t>1</w:t>
            </w:r>
          </w:p>
        </w:tc>
        <w:tc>
          <w:tcPr>
            <w:tcW w:w="15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p>
        </w:tc>
        <w:tc>
          <w:tcPr>
            <w:tcW w:w="243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imes New Roman" w:hAnsi="Times New Roman" w:eastAsia="宋体" w:cs="Times New Roman"/>
                <w:szCs w:val="21"/>
                <w:highlight w:val="none"/>
                <w:lang w:eastAsia="zh-CN"/>
              </w:rPr>
            </w:pPr>
            <w:r>
              <w:rPr>
                <w:rFonts w:hint="eastAsia" w:cs="Times New Roman"/>
                <w:szCs w:val="21"/>
                <w:highlight w:val="none"/>
                <w:lang w:eastAsia="zh-CN"/>
              </w:rPr>
              <w:t>流态化焙烧项目</w:t>
            </w:r>
          </w:p>
        </w:tc>
      </w:tr>
    </w:tbl>
    <w:p>
      <w:pPr>
        <w:spacing w:line="360" w:lineRule="auto"/>
        <w:ind w:firstLine="420" w:firstLineChars="200"/>
        <w:outlineLvl w:val="9"/>
        <w:rPr>
          <w:rFonts w:hint="default" w:ascii="Times New Roman" w:hAnsi="Times New Roman" w:cs="Times New Roman"/>
          <w:bCs/>
          <w:color w:val="000000"/>
          <w:szCs w:val="21"/>
          <w:highlight w:val="none"/>
          <w:lang w:bidi="ar-SA"/>
        </w:rPr>
      </w:pPr>
      <w:r>
        <w:rPr>
          <w:rFonts w:hint="default" w:ascii="Times New Roman" w:hAnsi="Times New Roman" w:cs="Times New Roman"/>
          <w:bCs/>
          <w:color w:val="000000"/>
          <w:szCs w:val="21"/>
          <w:highlight w:val="none"/>
          <w:lang w:bidi="ar-SA"/>
        </w:rPr>
        <w:t>1.2交货时间:自合同签订之日起</w:t>
      </w:r>
      <w:r>
        <w:rPr>
          <w:rFonts w:hint="default" w:ascii="Times New Roman" w:hAnsi="Times New Roman" w:cs="Times New Roman"/>
          <w:bCs/>
          <w:color w:val="000000"/>
          <w:szCs w:val="21"/>
          <w:highlight w:val="none"/>
          <w:u w:val="single"/>
          <w:lang w:bidi="ar-SA"/>
        </w:rPr>
        <w:t xml:space="preserve">  </w:t>
      </w:r>
      <w:r>
        <w:rPr>
          <w:rFonts w:hint="default" w:ascii="Times New Roman" w:hAnsi="Times New Roman" w:cs="Times New Roman"/>
          <w:bCs/>
          <w:color w:val="000000"/>
          <w:szCs w:val="21"/>
          <w:highlight w:val="none"/>
          <w:u w:val="single"/>
          <w:lang w:val="en-US" w:eastAsia="zh-CN" w:bidi="ar-SA"/>
        </w:rPr>
        <w:t>1</w:t>
      </w:r>
      <w:r>
        <w:rPr>
          <w:rFonts w:hint="default" w:ascii="Times New Roman" w:hAnsi="Times New Roman" w:cs="Times New Roman"/>
          <w:bCs/>
          <w:color w:val="000000"/>
          <w:szCs w:val="21"/>
          <w:highlight w:val="none"/>
          <w:u w:val="single"/>
          <w:lang w:bidi="ar-SA"/>
        </w:rPr>
        <w:t xml:space="preserve">  </w:t>
      </w:r>
      <w:r>
        <w:rPr>
          <w:rFonts w:hint="default" w:ascii="Times New Roman" w:hAnsi="Times New Roman" w:cs="Times New Roman"/>
          <w:bCs/>
          <w:color w:val="000000"/>
          <w:szCs w:val="21"/>
          <w:highlight w:val="none"/>
          <w:lang w:bidi="ar-SA"/>
        </w:rPr>
        <w:t>个月内</w:t>
      </w:r>
      <w:r>
        <w:rPr>
          <w:rFonts w:hint="default" w:ascii="Times New Roman" w:hAnsi="Times New Roman" w:cs="Times New Roman"/>
          <w:bCs/>
          <w:szCs w:val="21"/>
          <w:highlight w:val="none"/>
        </w:rPr>
        <w:t>到达</w:t>
      </w:r>
      <w:r>
        <w:rPr>
          <w:rFonts w:hint="default" w:ascii="Times New Roman" w:hAnsi="Times New Roman" w:cs="Times New Roman"/>
          <w:bCs/>
          <w:color w:val="000000"/>
          <w:szCs w:val="21"/>
          <w:highlight w:val="none"/>
          <w:lang w:bidi="ar-SA"/>
        </w:rPr>
        <w:t>交货地点。</w:t>
      </w:r>
    </w:p>
    <w:p>
      <w:pPr>
        <w:spacing w:line="360" w:lineRule="auto"/>
        <w:ind w:firstLine="420" w:firstLineChars="200"/>
        <w:outlineLvl w:val="9"/>
        <w:rPr>
          <w:rFonts w:hint="default" w:ascii="Times New Roman" w:hAnsi="Times New Roman" w:cs="Times New Roman"/>
          <w:bCs/>
          <w:szCs w:val="21"/>
          <w:highlight w:val="none"/>
        </w:rPr>
      </w:pPr>
      <w:r>
        <w:rPr>
          <w:rFonts w:hint="default" w:ascii="Times New Roman" w:hAnsi="Times New Roman" w:cs="Times New Roman"/>
          <w:bCs/>
          <w:color w:val="000000"/>
          <w:szCs w:val="21"/>
          <w:highlight w:val="none"/>
          <w:lang w:bidi="ar-SA"/>
        </w:rPr>
        <w:t>交货地点:</w:t>
      </w:r>
      <w:r>
        <w:rPr>
          <w:rFonts w:hint="default" w:ascii="Times New Roman" w:hAnsi="Times New Roman" w:cs="Times New Roman"/>
          <w:bCs/>
          <w:color w:val="000000"/>
          <w:szCs w:val="21"/>
          <w:highlight w:val="none"/>
          <w:u w:val="single"/>
          <w:lang w:bidi="ar-SA"/>
        </w:rPr>
        <w:t xml:space="preserve"> </w:t>
      </w:r>
      <w:r>
        <w:rPr>
          <w:rFonts w:hint="default" w:ascii="Times New Roman" w:hAnsi="Times New Roman" w:cs="Times New Roman"/>
          <w:bCs/>
          <w:color w:val="000000"/>
          <w:szCs w:val="21"/>
          <w:highlight w:val="none"/>
          <w:u w:val="single"/>
          <w:lang w:val="en-US" w:eastAsia="zh-CN" w:bidi="ar-SA"/>
        </w:rPr>
        <w:t xml:space="preserve"> 内蒙古鄂尔多斯薛家湾神华准资</w:t>
      </w:r>
      <w:r>
        <w:rPr>
          <w:rFonts w:hint="default" w:ascii="Times New Roman" w:hAnsi="Times New Roman" w:cs="Times New Roman"/>
          <w:bCs/>
          <w:color w:val="000000"/>
          <w:szCs w:val="21"/>
          <w:highlight w:val="none"/>
          <w:u w:val="single"/>
          <w:lang w:eastAsia="zh-CN" w:bidi="ar-SA"/>
        </w:rPr>
        <w:t>研发中心</w:t>
      </w:r>
      <w:r>
        <w:rPr>
          <w:rFonts w:hint="default" w:ascii="Times New Roman" w:hAnsi="Times New Roman" w:cs="Times New Roman"/>
          <w:bCs/>
          <w:color w:val="000000"/>
          <w:szCs w:val="21"/>
          <w:highlight w:val="none"/>
          <w:u w:val="single"/>
          <w:lang w:bidi="ar-SA"/>
        </w:rPr>
        <w:t xml:space="preserve">  </w:t>
      </w:r>
      <w:r>
        <w:rPr>
          <w:rFonts w:hint="default" w:ascii="Times New Roman" w:hAnsi="Times New Roman" w:cs="Times New Roman"/>
          <w:bCs/>
          <w:color w:val="000000"/>
          <w:szCs w:val="21"/>
          <w:highlight w:val="none"/>
          <w:lang w:bidi="ar-SA"/>
        </w:rPr>
        <w:t>。</w:t>
      </w:r>
    </w:p>
    <w:p>
      <w:pPr>
        <w:tabs>
          <w:tab w:val="left" w:pos="426"/>
        </w:tabs>
        <w:snapToGrid w:val="0"/>
        <w:spacing w:line="360" w:lineRule="auto"/>
        <w:rPr>
          <w:rStyle w:val="14"/>
          <w:rFonts w:hint="default" w:ascii="Times New Roman" w:hAnsi="Times New Roman" w:eastAsia="宋体" w:cs="Times New Roman"/>
          <w:b/>
          <w:bCs/>
          <w:sz w:val="21"/>
          <w:szCs w:val="21"/>
          <w:highlight w:val="none"/>
        </w:rPr>
      </w:pPr>
      <w:r>
        <w:rPr>
          <w:rStyle w:val="14"/>
          <w:rFonts w:hint="default" w:ascii="Times New Roman" w:hAnsi="Times New Roman" w:eastAsia="宋体" w:cs="Times New Roman"/>
          <w:b/>
          <w:bCs/>
          <w:sz w:val="21"/>
          <w:szCs w:val="21"/>
          <w:highlight w:val="none"/>
        </w:rPr>
        <w:t>2.使用条件</w:t>
      </w:r>
    </w:p>
    <w:p>
      <w:pPr>
        <w:tabs>
          <w:tab w:val="left" w:pos="426"/>
        </w:tabs>
        <w:spacing w:line="360" w:lineRule="auto"/>
        <w:ind w:firstLine="420" w:firstLineChars="200"/>
        <w:outlineLvl w:val="9"/>
        <w:rPr>
          <w:rStyle w:val="14"/>
          <w:rFonts w:hint="default" w:ascii="Times New Roman" w:hAnsi="Times New Roman" w:eastAsia="宋体" w:cs="Times New Roman"/>
          <w:b w:val="0"/>
          <w:sz w:val="21"/>
          <w:szCs w:val="21"/>
          <w:highlight w:val="none"/>
        </w:rPr>
      </w:pPr>
      <w:r>
        <w:rPr>
          <w:rStyle w:val="14"/>
          <w:rFonts w:hint="default" w:ascii="Times New Roman" w:hAnsi="Times New Roman" w:eastAsia="宋体" w:cs="Times New Roman"/>
          <w:b w:val="0"/>
          <w:sz w:val="21"/>
          <w:szCs w:val="21"/>
          <w:highlight w:val="none"/>
        </w:rPr>
        <w:t>2.1气候条件及工作环境</w:t>
      </w:r>
    </w:p>
    <w:p>
      <w:pPr>
        <w:spacing w:line="360" w:lineRule="auto"/>
        <w:ind w:firstLine="420" w:firstLineChars="200"/>
        <w:rPr>
          <w:rFonts w:hint="default" w:ascii="Times New Roman" w:hAnsi="Times New Roman" w:cs="Times New Roman"/>
          <w:szCs w:val="21"/>
          <w:highlight w:val="none"/>
        </w:rPr>
      </w:pPr>
      <w:r>
        <w:rPr>
          <w:rFonts w:hint="default" w:ascii="Times New Roman" w:hAnsi="Times New Roman" w:cs="Times New Roman"/>
          <w:szCs w:val="21"/>
          <w:highlight w:val="none"/>
        </w:rPr>
        <w:t>年平均温度</w:t>
      </w:r>
      <w:r>
        <w:rPr>
          <w:rFonts w:hint="default" w:ascii="Times New Roman" w:hAnsi="Times New Roman" w:cs="Times New Roman"/>
          <w:color w:val="000000"/>
          <w:szCs w:val="21"/>
          <w:highlight w:val="none"/>
        </w:rPr>
        <w:t>6.2</w:t>
      </w:r>
      <w:r>
        <w:rPr>
          <w:rFonts w:hint="default" w:ascii="Times New Roman" w:hAnsi="Times New Roman" w:cs="Times New Roman"/>
          <w:color w:val="000000"/>
          <w:szCs w:val="21"/>
          <w:highlight w:val="none"/>
          <w:lang w:bidi="ar-SA"/>
        </w:rPr>
        <w:t>℃</w:t>
      </w:r>
      <w:r>
        <w:rPr>
          <w:rFonts w:hint="default" w:ascii="Times New Roman" w:hAnsi="Times New Roman" w:cs="Times New Roman"/>
          <w:color w:val="000000"/>
          <w:szCs w:val="21"/>
          <w:highlight w:val="none"/>
        </w:rPr>
        <w:t>～8.7</w:t>
      </w:r>
      <w:r>
        <w:rPr>
          <w:rFonts w:hint="default" w:ascii="Times New Roman" w:hAnsi="Times New Roman" w:cs="Times New Roman"/>
          <w:color w:val="000000"/>
          <w:szCs w:val="21"/>
          <w:highlight w:val="none"/>
          <w:lang w:bidi="ar-SA"/>
        </w:rPr>
        <w:t>℃</w:t>
      </w:r>
      <w:r>
        <w:rPr>
          <w:rFonts w:hint="default" w:ascii="Times New Roman" w:hAnsi="Times New Roman" w:cs="Times New Roman"/>
          <w:szCs w:val="21"/>
          <w:highlight w:val="none"/>
        </w:rPr>
        <w:t>，最高气温达39℃，最低气温为</w:t>
      </w:r>
      <w:r>
        <w:rPr>
          <w:rFonts w:hint="default" w:ascii="Times New Roman" w:hAnsi="Times New Roman" w:cs="Times New Roman"/>
          <w:color w:val="000000"/>
          <w:szCs w:val="21"/>
          <w:highlight w:val="none"/>
        </w:rPr>
        <w:t>-32.8</w:t>
      </w:r>
      <w:r>
        <w:rPr>
          <w:rFonts w:hint="default" w:ascii="Times New Roman" w:hAnsi="Times New Roman" w:cs="Times New Roman"/>
          <w:szCs w:val="21"/>
          <w:highlight w:val="none"/>
        </w:rPr>
        <w:t>℃；</w:t>
      </w:r>
      <w:r>
        <w:rPr>
          <w:rFonts w:hint="default" w:ascii="Times New Roman" w:hAnsi="Times New Roman" w:cs="Times New Roman"/>
          <w:szCs w:val="21"/>
          <w:highlight w:val="none"/>
          <w:lang w:val="zh-CN" w:eastAsia="zh-CN" w:bidi="ar-SA"/>
        </w:rPr>
        <w:t>海拔高度1200m；该地区的地震等级为7级</w:t>
      </w:r>
      <w:r>
        <w:rPr>
          <w:rFonts w:hint="default" w:ascii="Times New Roman" w:hAnsi="Times New Roman" w:cs="Times New Roman"/>
          <w:szCs w:val="21"/>
          <w:highlight w:val="none"/>
        </w:rPr>
        <w:t>。</w:t>
      </w:r>
    </w:p>
    <w:p>
      <w:pPr>
        <w:spacing w:line="360" w:lineRule="auto"/>
        <w:ind w:firstLine="420" w:firstLineChars="200"/>
        <w:outlineLvl w:val="9"/>
        <w:rPr>
          <w:rFonts w:hint="default" w:ascii="Times New Roman" w:hAnsi="Times New Roman" w:cs="Times New Roman"/>
          <w:szCs w:val="21"/>
          <w:highlight w:val="none"/>
        </w:rPr>
      </w:pPr>
      <w:r>
        <w:rPr>
          <w:rFonts w:hint="default" w:ascii="Times New Roman" w:hAnsi="Times New Roman" w:cs="Times New Roman"/>
          <w:szCs w:val="21"/>
          <w:highlight w:val="none"/>
        </w:rPr>
        <w:t>2.2供电自然条件</w:t>
      </w:r>
    </w:p>
    <w:p>
      <w:pPr>
        <w:spacing w:line="360" w:lineRule="auto"/>
        <w:ind w:firstLine="420" w:firstLineChars="200"/>
        <w:rPr>
          <w:rFonts w:hint="default" w:ascii="Times New Roman" w:hAnsi="Times New Roman" w:cs="Times New Roman"/>
          <w:bCs/>
          <w:snapToGrid w:val="0"/>
          <w:kern w:val="0"/>
          <w:szCs w:val="21"/>
          <w:highlight w:val="none"/>
        </w:rPr>
      </w:pPr>
      <w:r>
        <w:rPr>
          <w:rFonts w:hint="default" w:ascii="Times New Roman" w:hAnsi="Times New Roman" w:cs="Times New Roman"/>
          <w:bCs/>
          <w:snapToGrid w:val="0"/>
          <w:kern w:val="0"/>
          <w:szCs w:val="21"/>
          <w:highlight w:val="none"/>
        </w:rPr>
        <w:t>招标方</w:t>
      </w:r>
      <w:r>
        <w:rPr>
          <w:rFonts w:hint="default" w:ascii="Times New Roman" w:hAnsi="Times New Roman" w:cs="Times New Roman"/>
          <w:bCs/>
          <w:snapToGrid w:val="0"/>
          <w:kern w:val="0"/>
          <w:szCs w:val="21"/>
          <w:highlight w:val="none"/>
          <w:lang w:eastAsia="zh-CN"/>
        </w:rPr>
        <w:t>可</w:t>
      </w:r>
      <w:r>
        <w:rPr>
          <w:rFonts w:hint="default" w:ascii="Times New Roman" w:hAnsi="Times New Roman" w:cs="Times New Roman"/>
          <w:bCs/>
          <w:snapToGrid w:val="0"/>
          <w:kern w:val="0"/>
          <w:szCs w:val="21"/>
          <w:highlight w:val="none"/>
        </w:rPr>
        <w:t>提供</w:t>
      </w:r>
      <w:r>
        <w:rPr>
          <w:rFonts w:hint="default" w:ascii="Times New Roman" w:hAnsi="Times New Roman" w:cs="Times New Roman"/>
          <w:bCs/>
          <w:snapToGrid w:val="0"/>
          <w:kern w:val="0"/>
          <w:szCs w:val="21"/>
          <w:highlight w:val="none"/>
          <w:lang w:val="en-US" w:eastAsia="zh-CN"/>
        </w:rPr>
        <w:t xml:space="preserve"> </w:t>
      </w:r>
      <w:r>
        <w:rPr>
          <w:rFonts w:hint="default" w:ascii="Times New Roman" w:hAnsi="Times New Roman" w:cs="Times New Roman"/>
          <w:bCs/>
          <w:snapToGrid w:val="0"/>
          <w:kern w:val="0"/>
          <w:szCs w:val="21"/>
          <w:highlight w:val="none"/>
          <w:u w:val="single"/>
          <w:lang w:val="en-US" w:eastAsia="zh-CN"/>
        </w:rPr>
        <w:t xml:space="preserve">  AC</w:t>
      </w:r>
      <w:r>
        <w:rPr>
          <w:rFonts w:hint="default" w:ascii="Times New Roman" w:hAnsi="Times New Roman" w:cs="Times New Roman"/>
          <w:bCs/>
          <w:color w:val="000000"/>
          <w:szCs w:val="21"/>
          <w:highlight w:val="none"/>
          <w:u w:val="single"/>
          <w:lang w:val="en-US" w:eastAsia="zh-CN" w:bidi="ar-SA"/>
        </w:rPr>
        <w:t xml:space="preserve">220或380  </w:t>
      </w:r>
      <w:r>
        <w:rPr>
          <w:rFonts w:hint="default" w:ascii="Times New Roman" w:hAnsi="Times New Roman" w:cs="Times New Roman"/>
          <w:szCs w:val="21"/>
          <w:highlight w:val="none"/>
        </w:rPr>
        <w:t>V电源，电源电压偏移±</w:t>
      </w:r>
      <w:r>
        <w:rPr>
          <w:rFonts w:hint="default" w:ascii="Times New Roman" w:hAnsi="Times New Roman" w:cs="Times New Roman"/>
          <w:bCs/>
          <w:color w:val="000000"/>
          <w:szCs w:val="21"/>
          <w:highlight w:val="none"/>
          <w:u w:val="single"/>
          <w:lang w:bidi="ar-SA"/>
        </w:rPr>
        <w:t xml:space="preserve"> </w:t>
      </w:r>
      <w:r>
        <w:rPr>
          <w:rFonts w:hint="default" w:ascii="Times New Roman" w:hAnsi="Times New Roman" w:cs="Times New Roman"/>
          <w:bCs/>
          <w:color w:val="000000"/>
          <w:szCs w:val="21"/>
          <w:highlight w:val="none"/>
          <w:u w:val="single"/>
          <w:lang w:val="en-US" w:eastAsia="zh-CN" w:bidi="ar-SA"/>
        </w:rPr>
        <w:t>15</w:t>
      </w:r>
      <w:r>
        <w:rPr>
          <w:rFonts w:hint="default" w:ascii="Times New Roman" w:hAnsi="Times New Roman" w:cs="Times New Roman"/>
          <w:bCs/>
          <w:color w:val="000000"/>
          <w:szCs w:val="21"/>
          <w:highlight w:val="none"/>
          <w:u w:val="single"/>
          <w:lang w:bidi="ar-SA"/>
        </w:rPr>
        <w:t xml:space="preserve"> </w:t>
      </w:r>
      <w:r>
        <w:rPr>
          <w:rFonts w:hint="default" w:ascii="Times New Roman" w:hAnsi="Times New Roman" w:cs="Times New Roman"/>
          <w:szCs w:val="21"/>
          <w:highlight w:val="none"/>
        </w:rPr>
        <w:t xml:space="preserve"> %，频率偏移50Hz±</w:t>
      </w:r>
      <w:r>
        <w:rPr>
          <w:rFonts w:hint="default" w:ascii="Times New Roman" w:hAnsi="Times New Roman" w:cs="Times New Roman"/>
          <w:bCs/>
          <w:color w:val="000000"/>
          <w:szCs w:val="21"/>
          <w:highlight w:val="none"/>
          <w:u w:val="single"/>
          <w:lang w:bidi="ar-SA"/>
        </w:rPr>
        <w:t xml:space="preserve"> </w:t>
      </w:r>
      <w:r>
        <w:rPr>
          <w:rFonts w:hint="default" w:ascii="Times New Roman" w:hAnsi="Times New Roman" w:cs="Times New Roman"/>
          <w:bCs/>
          <w:color w:val="000000"/>
          <w:szCs w:val="21"/>
          <w:highlight w:val="none"/>
          <w:u w:val="single"/>
          <w:lang w:val="en-US" w:eastAsia="zh-CN" w:bidi="ar-SA"/>
        </w:rPr>
        <w:t>1</w:t>
      </w:r>
      <w:r>
        <w:rPr>
          <w:rFonts w:hint="default" w:ascii="Times New Roman" w:hAnsi="Times New Roman" w:cs="Times New Roman"/>
          <w:bCs/>
          <w:color w:val="000000"/>
          <w:szCs w:val="21"/>
          <w:highlight w:val="none"/>
          <w:u w:val="single"/>
          <w:lang w:bidi="ar-SA"/>
        </w:rPr>
        <w:t xml:space="preserve"> </w:t>
      </w:r>
      <w:r>
        <w:rPr>
          <w:rFonts w:hint="default" w:ascii="Times New Roman" w:hAnsi="Times New Roman" w:cs="Times New Roman"/>
          <w:szCs w:val="21"/>
          <w:highlight w:val="none"/>
        </w:rPr>
        <w:t xml:space="preserve"> %</w:t>
      </w:r>
      <w:r>
        <w:rPr>
          <w:rFonts w:hint="default" w:ascii="Times New Roman" w:hAnsi="Times New Roman" w:cs="Times New Roman"/>
          <w:bCs/>
          <w:snapToGrid w:val="0"/>
          <w:kern w:val="0"/>
          <w:szCs w:val="21"/>
          <w:highlight w:val="none"/>
        </w:rPr>
        <w:t>。投标方保证提供的设备能正常运行。</w:t>
      </w:r>
    </w:p>
    <w:p>
      <w:pPr>
        <w:spacing w:line="360" w:lineRule="auto"/>
        <w:ind w:firstLine="420" w:firstLineChars="200"/>
        <w:outlineLvl w:val="9"/>
        <w:rPr>
          <w:rFonts w:hint="default" w:ascii="Times New Roman" w:hAnsi="Times New Roman" w:cs="Times New Roman"/>
          <w:szCs w:val="21"/>
          <w:highlight w:val="none"/>
        </w:rPr>
      </w:pPr>
      <w:r>
        <w:rPr>
          <w:rFonts w:hint="default" w:ascii="Times New Roman" w:hAnsi="Times New Roman" w:cs="Times New Roman"/>
          <w:szCs w:val="21"/>
          <w:highlight w:val="none"/>
        </w:rPr>
        <w:t>2.3设备用途</w:t>
      </w:r>
    </w:p>
    <w:p>
      <w:pPr>
        <w:snapToGrid w:val="0"/>
        <w:spacing w:line="360" w:lineRule="auto"/>
        <w:ind w:left="0" w:leftChars="0" w:firstLine="420" w:firstLineChars="200"/>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Cs w:val="21"/>
          <w:highlight w:val="none"/>
        </w:rPr>
        <w:t>用于氧化铝灼减测试</w:t>
      </w:r>
      <w:r>
        <w:rPr>
          <w:rFonts w:hint="default" w:ascii="Times New Roman" w:hAnsi="Times New Roman" w:cs="Times New Roman"/>
          <w:color w:val="000000"/>
          <w:szCs w:val="21"/>
          <w:highlight w:val="none"/>
          <w:lang w:eastAsia="zh-CN"/>
        </w:rPr>
        <w:t>，</w:t>
      </w:r>
      <w:r>
        <w:rPr>
          <w:rFonts w:hint="default" w:ascii="Times New Roman" w:hAnsi="Times New Roman" w:cs="Times New Roman"/>
          <w:color w:val="000000"/>
          <w:szCs w:val="21"/>
          <w:highlight w:val="none"/>
          <w:lang w:val="en-US" w:eastAsia="zh-CN"/>
        </w:rPr>
        <w:t>粉煤灰高温活化实验，结晶氯化铝、氧化铝焙烧，</w:t>
      </w:r>
      <w:r>
        <w:rPr>
          <w:rFonts w:hint="default" w:ascii="Times New Roman" w:hAnsi="Times New Roman" w:cs="Times New Roman"/>
          <w:color w:val="000000"/>
          <w:szCs w:val="21"/>
          <w:highlight w:val="none"/>
        </w:rPr>
        <w:t>无机物的灰化、磺化、熔融、干燥、脱水等的</w:t>
      </w:r>
      <w:r>
        <w:rPr>
          <w:rFonts w:hint="default" w:ascii="Times New Roman" w:hAnsi="Times New Roman" w:cs="Times New Roman"/>
          <w:color w:val="000000"/>
          <w:szCs w:val="21"/>
          <w:highlight w:val="none"/>
          <w:lang w:val="en-US" w:eastAsia="zh-CN"/>
        </w:rPr>
        <w:t>实验研究，以及</w:t>
      </w:r>
      <w:r>
        <w:rPr>
          <w:rFonts w:hint="default" w:ascii="Times New Roman" w:hAnsi="Times New Roman" w:cs="Times New Roman"/>
          <w:color w:val="000000"/>
          <w:szCs w:val="21"/>
          <w:highlight w:val="none"/>
        </w:rPr>
        <w:t>新材料的合成制备、各种流体或溶液环境的合成、各类金属合金的熔炼与热处理、陶瓷烧结、粉末冶金、材料的高温压缩变形</w:t>
      </w:r>
      <w:r>
        <w:rPr>
          <w:rFonts w:hint="default" w:ascii="Times New Roman" w:hAnsi="Times New Roman" w:cs="Times New Roman"/>
          <w:color w:val="000000"/>
          <w:szCs w:val="21"/>
          <w:highlight w:val="none"/>
          <w:lang w:val="en-US" w:eastAsia="zh-CN"/>
        </w:rPr>
        <w:t>和</w:t>
      </w:r>
      <w:r>
        <w:rPr>
          <w:rFonts w:hint="default" w:ascii="Times New Roman" w:hAnsi="Times New Roman" w:cs="Times New Roman"/>
          <w:color w:val="000000"/>
          <w:szCs w:val="21"/>
          <w:highlight w:val="none"/>
        </w:rPr>
        <w:t>高温拉伸</w:t>
      </w:r>
      <w:r>
        <w:rPr>
          <w:rFonts w:hint="default" w:ascii="Times New Roman" w:hAnsi="Times New Roman" w:cs="Times New Roman"/>
          <w:color w:val="000000"/>
          <w:szCs w:val="21"/>
          <w:highlight w:val="none"/>
          <w:lang w:val="en-US" w:eastAsia="zh-CN"/>
        </w:rPr>
        <w:t>实验</w:t>
      </w:r>
      <w:r>
        <w:rPr>
          <w:rFonts w:hint="default" w:ascii="Times New Roman" w:hAnsi="Times New Roman" w:cs="Times New Roman"/>
          <w:color w:val="000000"/>
          <w:sz w:val="21"/>
          <w:szCs w:val="21"/>
          <w:lang w:val="en-US" w:eastAsia="zh-CN"/>
        </w:rPr>
        <w:t>。</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Style w:val="14"/>
          <w:rFonts w:hint="default" w:ascii="Times New Roman" w:hAnsi="Times New Roman" w:eastAsia="宋体" w:cs="Times New Roman"/>
          <w:b/>
          <w:bCs/>
          <w:kern w:val="0"/>
          <w:sz w:val="21"/>
          <w:szCs w:val="21"/>
          <w:highlight w:val="none"/>
          <w:lang w:val="en-US" w:eastAsia="zh-CN" w:bidi="ar-SA"/>
        </w:rPr>
        <w:t>3技术要求</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3.1</w:t>
      </w:r>
      <w:r>
        <w:rPr>
          <w:rFonts w:hint="default" w:ascii="Times New Roman" w:hAnsi="Times New Roman" w:cs="Times New Roman"/>
          <w:color w:val="000000"/>
          <w:szCs w:val="21"/>
          <w:highlight w:val="none"/>
        </w:rPr>
        <w:t>炉膛材料：陶瓷纤维（氧化铝多晶体纤维）</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3.2</w:t>
      </w:r>
      <w:r>
        <w:rPr>
          <w:rFonts w:hint="default" w:ascii="Times New Roman" w:hAnsi="Times New Roman" w:cs="Times New Roman"/>
          <w:color w:val="000000"/>
          <w:szCs w:val="21"/>
          <w:highlight w:val="none"/>
        </w:rPr>
        <w:t>控温方式：PID控温系统（需多工步程序控制，工步数≥30），升温速度可控，具有斜率控制功能</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3.3</w:t>
      </w:r>
      <w:r>
        <w:rPr>
          <w:rFonts w:hint="default" w:ascii="Times New Roman" w:hAnsi="Times New Roman" w:cs="Times New Roman"/>
          <w:color w:val="000000"/>
          <w:szCs w:val="21"/>
          <w:highlight w:val="none"/>
        </w:rPr>
        <w:t xml:space="preserve">温度上升时间：100-1200℃＜40min； </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3.4</w:t>
      </w:r>
      <w:r>
        <w:rPr>
          <w:rFonts w:hint="default" w:ascii="Times New Roman" w:hAnsi="Times New Roman" w:cs="Times New Roman"/>
          <w:color w:val="000000"/>
          <w:szCs w:val="21"/>
          <w:highlight w:val="none"/>
        </w:rPr>
        <w:t>发热体类型：HRE超高温合金（可随时更换）；</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3.5</w:t>
      </w:r>
      <w:r>
        <w:rPr>
          <w:rFonts w:hint="default" w:ascii="Times New Roman" w:hAnsi="Times New Roman" w:cs="Times New Roman"/>
          <w:color w:val="000000"/>
          <w:szCs w:val="21"/>
          <w:highlight w:val="none"/>
        </w:rPr>
        <w:t>控温精度：±1℃；</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3.6</w:t>
      </w:r>
      <w:r>
        <w:rPr>
          <w:rFonts w:hint="default" w:ascii="Times New Roman" w:hAnsi="Times New Roman" w:cs="Times New Roman"/>
          <w:color w:val="000000"/>
          <w:szCs w:val="21"/>
          <w:highlight w:val="none"/>
        </w:rPr>
        <w:t>温度稳定性：0.1%FS</w:t>
      </w:r>
      <w:r>
        <w:rPr>
          <w:rFonts w:hint="default" w:ascii="Times New Roman" w:hAnsi="Times New Roman" w:cs="Times New Roman"/>
          <w:color w:val="000000"/>
          <w:szCs w:val="21"/>
          <w:highlight w:val="none"/>
          <w:lang w:eastAsia="zh-CN"/>
        </w:rPr>
        <w:t>；</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3.7</w:t>
      </w:r>
      <w:r>
        <w:rPr>
          <w:rFonts w:hint="default" w:ascii="Times New Roman" w:hAnsi="Times New Roman" w:cs="Times New Roman"/>
          <w:color w:val="000000"/>
          <w:szCs w:val="21"/>
          <w:highlight w:val="none"/>
        </w:rPr>
        <w:t>保温层厚度：≥100(mm)</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3.8</w:t>
      </w:r>
      <w:r>
        <w:rPr>
          <w:rFonts w:hint="default" w:ascii="Times New Roman" w:hAnsi="Times New Roman" w:cs="Times New Roman"/>
          <w:color w:val="000000"/>
          <w:szCs w:val="21"/>
          <w:highlight w:val="none"/>
        </w:rPr>
        <w:t>炉膛尺寸（W×D×H）：200×300×150mm</w:t>
      </w:r>
      <w:r>
        <w:rPr>
          <w:rFonts w:hint="default" w:ascii="Times New Roman" w:hAnsi="Times New Roman" w:cs="Times New Roman"/>
          <w:color w:val="000000"/>
          <w:szCs w:val="21"/>
          <w:highlight w:val="none"/>
          <w:lang w:eastAsia="zh-CN"/>
        </w:rPr>
        <w:t>；</w:t>
      </w:r>
      <w:r>
        <w:rPr>
          <w:rFonts w:hint="default" w:ascii="Times New Roman" w:hAnsi="Times New Roman" w:cs="Times New Roman"/>
          <w:color w:val="000000"/>
          <w:szCs w:val="21"/>
          <w:highlight w:val="none"/>
        </w:rPr>
        <w:t>炉体尺寸（W×D×H）：580×590×430mm</w:t>
      </w:r>
      <w:r>
        <w:rPr>
          <w:rFonts w:hint="default" w:ascii="Times New Roman" w:hAnsi="Times New Roman" w:cs="Times New Roman"/>
          <w:color w:val="000000"/>
          <w:szCs w:val="21"/>
          <w:highlight w:val="none"/>
          <w:lang w:eastAsia="zh-CN"/>
        </w:rPr>
        <w:t>；</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3.9</w:t>
      </w:r>
      <w:r>
        <w:rPr>
          <w:rFonts w:hint="default" w:ascii="Times New Roman" w:hAnsi="Times New Roman" w:cs="Times New Roman"/>
          <w:color w:val="000000"/>
          <w:szCs w:val="21"/>
          <w:highlight w:val="none"/>
        </w:rPr>
        <w:t>炉膛体积：9L</w:t>
      </w:r>
      <w:r>
        <w:rPr>
          <w:rFonts w:hint="default" w:ascii="Times New Roman" w:hAnsi="Times New Roman" w:cs="Times New Roman"/>
          <w:color w:val="000000"/>
          <w:szCs w:val="21"/>
          <w:highlight w:val="none"/>
          <w:lang w:eastAsia="zh-CN"/>
        </w:rPr>
        <w:t>；</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3.10</w:t>
      </w:r>
      <w:r>
        <w:rPr>
          <w:rFonts w:hint="default" w:ascii="Times New Roman" w:hAnsi="Times New Roman" w:cs="Times New Roman"/>
          <w:color w:val="000000"/>
          <w:szCs w:val="21"/>
          <w:highlight w:val="none"/>
        </w:rPr>
        <w:t>传感器类型：S 型 (铂铑10-铂 热电偶)</w:t>
      </w:r>
      <w:r>
        <w:rPr>
          <w:rFonts w:hint="default" w:ascii="Times New Roman" w:hAnsi="Times New Roman" w:cs="Times New Roman"/>
          <w:color w:val="000000"/>
          <w:szCs w:val="21"/>
          <w:highlight w:val="none"/>
          <w:lang w:eastAsia="zh-CN"/>
        </w:rPr>
        <w:t>；</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3.11</w:t>
      </w:r>
      <w:r>
        <w:rPr>
          <w:rFonts w:hint="default" w:ascii="Times New Roman" w:hAnsi="Times New Roman" w:cs="Times New Roman"/>
          <w:color w:val="000000"/>
          <w:szCs w:val="21"/>
          <w:highlight w:val="none"/>
        </w:rPr>
        <w:t>保温时间设定（min）：0-9999</w:t>
      </w:r>
      <w:r>
        <w:rPr>
          <w:rFonts w:hint="default" w:ascii="Times New Roman" w:hAnsi="Times New Roman" w:cs="Times New Roman"/>
          <w:color w:val="000000"/>
          <w:szCs w:val="21"/>
          <w:highlight w:val="none"/>
          <w:lang w:eastAsia="zh-CN"/>
        </w:rPr>
        <w:t>；</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3.12</w:t>
      </w:r>
      <w:r>
        <w:rPr>
          <w:rFonts w:hint="default" w:ascii="Times New Roman" w:hAnsi="Times New Roman" w:cs="Times New Roman"/>
          <w:color w:val="000000"/>
          <w:szCs w:val="21"/>
          <w:highlight w:val="none"/>
        </w:rPr>
        <w:t>主机工艺要求：静电吸附喷塑工艺处理</w:t>
      </w:r>
      <w:r>
        <w:rPr>
          <w:rFonts w:hint="default" w:ascii="Times New Roman" w:hAnsi="Times New Roman" w:cs="Times New Roman"/>
          <w:color w:val="000000"/>
          <w:szCs w:val="21"/>
          <w:highlight w:val="none"/>
          <w:lang w:eastAsia="zh-CN"/>
        </w:rPr>
        <w:t>；</w:t>
      </w:r>
    </w:p>
    <w:p>
      <w:pPr>
        <w:snapToGrid w:val="0"/>
        <w:spacing w:line="360" w:lineRule="auto"/>
        <w:ind w:left="0" w:leftChars="0" w:firstLine="0" w:firstLineChars="0"/>
        <w:rPr>
          <w:rFonts w:hint="default" w:ascii="Times New Roman" w:hAnsi="Times New Roman" w:cs="Times New Roman"/>
          <w:color w:val="000000"/>
          <w:szCs w:val="21"/>
          <w:highlight w:val="none"/>
          <w:lang w:val="en-US" w:eastAsia="zh-CN"/>
        </w:rPr>
      </w:pPr>
      <w:r>
        <w:rPr>
          <w:rFonts w:hint="default" w:ascii="Times New Roman" w:hAnsi="Times New Roman" w:cs="Times New Roman"/>
          <w:color w:val="000000"/>
          <w:szCs w:val="21"/>
          <w:highlight w:val="none"/>
          <w:lang w:val="en-US" w:eastAsia="zh-CN"/>
        </w:rPr>
        <w:t>3.13</w:t>
      </w:r>
      <w:r>
        <w:rPr>
          <w:rFonts w:hint="default" w:ascii="Times New Roman" w:hAnsi="Times New Roman" w:cs="Times New Roman"/>
          <w:color w:val="000000"/>
          <w:szCs w:val="21"/>
          <w:highlight w:val="none"/>
        </w:rPr>
        <w:t>具有开门自动断电功能</w:t>
      </w:r>
      <w:r>
        <w:rPr>
          <w:rFonts w:hint="default" w:ascii="Times New Roman" w:hAnsi="Times New Roman" w:cs="Times New Roman"/>
          <w:color w:val="000000"/>
          <w:szCs w:val="21"/>
          <w:highlight w:val="none"/>
          <w:lang w:eastAsia="zh-CN"/>
        </w:rPr>
        <w:t>；</w:t>
      </w:r>
    </w:p>
    <w:p>
      <w:pPr>
        <w:snapToGrid w:val="0"/>
        <w:spacing w:line="360" w:lineRule="auto"/>
        <w:ind w:left="0" w:leftChars="0" w:firstLine="0" w:firstLineChars="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3.14排烟管：耐腐蚀陶瓷管；</w:t>
      </w:r>
    </w:p>
    <w:p>
      <w:pPr>
        <w:snapToGrid w:val="0"/>
        <w:spacing w:line="360" w:lineRule="auto"/>
        <w:ind w:left="0" w:leftChars="0" w:firstLine="0" w:firstLineChars="0"/>
        <w:rPr>
          <w:rFonts w:hint="default" w:ascii="Times New Roman" w:hAnsi="Times New Roman" w:cs="Times New Roman"/>
          <w:color w:val="000000"/>
          <w:szCs w:val="21"/>
          <w:highlight w:val="none"/>
          <w:lang w:val="en-US" w:eastAsia="zh-CN"/>
        </w:rPr>
      </w:pPr>
      <w:r>
        <w:rPr>
          <w:rFonts w:hint="default" w:ascii="Times New Roman" w:hAnsi="Times New Roman" w:cs="Times New Roman"/>
          <w:color w:val="000000"/>
          <w:szCs w:val="21"/>
          <w:highlight w:val="none"/>
          <w:lang w:val="en-US" w:eastAsia="zh-CN"/>
        </w:rPr>
        <w:t>3.15功率：不大于3KW；电源类型：AC 220V 16A；</w:t>
      </w:r>
    </w:p>
    <w:p>
      <w:pPr>
        <w:snapToGrid w:val="0"/>
        <w:spacing w:line="360" w:lineRule="auto"/>
        <w:ind w:left="0" w:leftChars="0" w:firstLine="0" w:firstLineChars="0"/>
        <w:rPr>
          <w:rFonts w:hint="default" w:ascii="Times New Roman" w:hAnsi="Times New Roman" w:cs="Times New Roman"/>
          <w:color w:val="000000"/>
          <w:szCs w:val="21"/>
          <w:highlight w:val="none"/>
          <w:lang w:val="en-US" w:eastAsia="zh-CN"/>
        </w:rPr>
      </w:pPr>
      <w:r>
        <w:rPr>
          <w:rFonts w:hint="default" w:ascii="Times New Roman" w:hAnsi="Times New Roman" w:cs="Times New Roman"/>
          <w:color w:val="000000"/>
          <w:szCs w:val="21"/>
          <w:highlight w:val="none"/>
          <w:lang w:val="en-US" w:eastAsia="zh-CN"/>
        </w:rPr>
        <w:t>3.16重量：不大于85KG；</w:t>
      </w:r>
    </w:p>
    <w:p>
      <w:pPr>
        <w:snapToGrid w:val="0"/>
        <w:spacing w:line="360" w:lineRule="auto"/>
        <w:ind w:left="0" w:leftChars="0" w:firstLine="0" w:firstLineChars="0"/>
        <w:rPr>
          <w:rFonts w:hint="default" w:ascii="Times New Roman" w:hAnsi="Times New Roman" w:cs="Times New Roman"/>
          <w:color w:val="000000"/>
          <w:szCs w:val="21"/>
          <w:highlight w:val="none"/>
          <w:lang w:val="en-US" w:eastAsia="zh-CN"/>
        </w:rPr>
      </w:pPr>
      <w:r>
        <w:rPr>
          <w:rFonts w:hint="default" w:ascii="Times New Roman" w:hAnsi="Times New Roman" w:cs="Times New Roman"/>
          <w:color w:val="000000"/>
          <w:szCs w:val="21"/>
          <w:highlight w:val="none"/>
          <w:lang w:val="en-US" w:eastAsia="zh-CN"/>
        </w:rPr>
        <w:t>3.17标准：设备满足国家标准符合国标GB/T 1006 7.4-2005。</w:t>
      </w:r>
    </w:p>
    <w:p>
      <w:pPr>
        <w:tabs>
          <w:tab w:val="left" w:pos="284"/>
        </w:tabs>
        <w:adjustRightInd/>
        <w:snapToGrid w:val="0"/>
        <w:spacing w:line="360" w:lineRule="auto"/>
        <w:jc w:val="both"/>
        <w:textAlignment w:val="auto"/>
        <w:outlineLvl w:val="9"/>
        <w:rPr>
          <w:rFonts w:hint="default" w:ascii="Times New Roman" w:hAnsi="Times New Roman" w:cs="Times New Roman"/>
          <w:b/>
          <w:bCs/>
          <w:kern w:val="0"/>
          <w:szCs w:val="21"/>
          <w:highlight w:val="none"/>
        </w:rPr>
      </w:pPr>
      <w:r>
        <w:rPr>
          <w:rFonts w:hint="default" w:ascii="Times New Roman" w:hAnsi="Times New Roman" w:cs="Times New Roman"/>
          <w:b/>
          <w:bCs/>
          <w:kern w:val="0"/>
          <w:szCs w:val="21"/>
          <w:highlight w:val="none"/>
        </w:rPr>
        <w:t>4.</w:t>
      </w:r>
      <w:r>
        <w:rPr>
          <w:rStyle w:val="14"/>
        </w:rPr>
        <w:t>供货</w:t>
      </w:r>
      <w:r>
        <w:rPr>
          <w:rFonts w:hint="default" w:ascii="Times New Roman" w:hAnsi="Times New Roman" w:cs="Times New Roman"/>
          <w:b/>
          <w:bCs/>
          <w:kern w:val="0"/>
          <w:szCs w:val="21"/>
          <w:highlight w:val="none"/>
        </w:rPr>
        <w:t>范围</w:t>
      </w:r>
    </w:p>
    <w:p>
      <w:pPr>
        <w:snapToGrid w:val="0"/>
        <w:spacing w:line="360" w:lineRule="auto"/>
        <w:ind w:left="10" w:leftChars="0" w:firstLine="409" w:firstLineChars="195"/>
        <w:rPr>
          <w:rFonts w:hint="default" w:ascii="Times New Roman" w:hAnsi="Times New Roman" w:cs="Times New Roman"/>
          <w:szCs w:val="21"/>
          <w:highlight w:val="none"/>
        </w:rPr>
      </w:pPr>
      <w:r>
        <w:rPr>
          <w:rFonts w:hint="default" w:ascii="Times New Roman" w:hAnsi="Times New Roman" w:cs="Times New Roman"/>
          <w:szCs w:val="21"/>
          <w:highlight w:val="none"/>
        </w:rPr>
        <w:t>完整的、全新的、符合制造标准的、满足本招标技术附件各项条件及技术要求的</w:t>
      </w:r>
      <w:r>
        <w:rPr>
          <w:rFonts w:hint="default" w:ascii="Times New Roman" w:hAnsi="Times New Roman" w:cs="Times New Roman"/>
          <w:szCs w:val="21"/>
          <w:highlight w:val="none"/>
          <w:lang w:eastAsia="zh-CN"/>
        </w:rPr>
        <w:t>设备</w:t>
      </w:r>
      <w:r>
        <w:rPr>
          <w:rFonts w:hint="default" w:ascii="Times New Roman" w:hAnsi="Times New Roman" w:cs="Times New Roman"/>
          <w:szCs w:val="21"/>
          <w:highlight w:val="none"/>
        </w:rPr>
        <w:t>，以及安装调试所需用的全部材料和零件</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lang w:val="en-US" w:eastAsia="zh-CN"/>
        </w:rPr>
        <w:t>包括但不限于此</w:t>
      </w:r>
      <w:r>
        <w:rPr>
          <w:rFonts w:hint="default" w:ascii="Times New Roman" w:hAnsi="Times New Roman" w:cs="Times New Roman"/>
          <w:szCs w:val="21"/>
          <w:highlight w:val="none"/>
          <w:lang w:eastAsia="zh-CN"/>
        </w:rPr>
        <w:t>）</w:t>
      </w:r>
      <w:r>
        <w:rPr>
          <w:rFonts w:hint="default" w:ascii="Times New Roman" w:hAnsi="Times New Roman" w:cs="Times New Roman"/>
          <w:szCs w:val="21"/>
          <w:highlight w:val="none"/>
        </w:rPr>
        <w:t>。</w:t>
      </w:r>
    </w:p>
    <w:tbl>
      <w:tblPr>
        <w:tblStyle w:val="16"/>
        <w:tblW w:w="8520" w:type="dxa"/>
        <w:tblInd w:w="0" w:type="dxa"/>
        <w:tblLayout w:type="fixed"/>
        <w:tblCellMar>
          <w:top w:w="0" w:type="dxa"/>
          <w:left w:w="108" w:type="dxa"/>
          <w:bottom w:w="0" w:type="dxa"/>
          <w:right w:w="108" w:type="dxa"/>
        </w:tblCellMar>
      </w:tblPr>
      <w:tblGrid>
        <w:gridCol w:w="653"/>
        <w:gridCol w:w="1980"/>
        <w:gridCol w:w="682"/>
        <w:gridCol w:w="652"/>
        <w:gridCol w:w="1439"/>
        <w:gridCol w:w="3114"/>
      </w:tblGrid>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序号</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设备名称</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单位</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数量</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型号</w:t>
            </w:r>
            <w:r>
              <w:rPr>
                <w:rFonts w:hint="default" w:ascii="Times New Roman" w:hAnsi="Times New Roman" w:cs="Times New Roman"/>
                <w:szCs w:val="21"/>
                <w:highlight w:val="none"/>
                <w:lang w:eastAsia="zh-CN"/>
              </w:rPr>
              <w:t>及产地</w:t>
            </w: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备注</w:t>
            </w: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Cs w:val="21"/>
                <w:highlight w:val="none"/>
                <w:lang w:eastAsia="zh-CN"/>
              </w:rPr>
            </w:pPr>
            <w:r>
              <w:rPr>
                <w:rFonts w:hint="default" w:ascii="Times New Roman" w:hAnsi="Times New Roman" w:cs="Times New Roman"/>
                <w:szCs w:val="21"/>
                <w:highlight w:val="none"/>
                <w:lang w:eastAsia="zh-CN"/>
              </w:rPr>
              <w:t>一</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陶瓷纤维马弗炉</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台</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default" w:ascii="Times New Roman" w:hAnsi="Times New Roman" w:cs="Times New Roman"/>
                <w:szCs w:val="21"/>
                <w:highlight w:val="none"/>
                <w:lang w:val="en-US" w:eastAsia="zh-CN"/>
              </w:rPr>
              <w:t>9</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eastAsia" w:cs="Times New Roman"/>
                <w:szCs w:val="21"/>
                <w:highlight w:val="none"/>
                <w:lang w:val="en-US" w:eastAsia="zh-CN"/>
              </w:rPr>
              <w:t>2018年设备购置计划</w:t>
            </w: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lang w:val="en-US" w:eastAsia="zh-CN"/>
              </w:rPr>
              <w:t>二</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马弗炉</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台</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2</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eastAsia" w:cs="Times New Roman"/>
                <w:szCs w:val="21"/>
                <w:highlight w:val="none"/>
                <w:lang w:eastAsia="zh-CN"/>
              </w:rPr>
              <w:t>分析检测项目</w:t>
            </w: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cs="Times New Roman"/>
                <w:i w:val="0"/>
                <w:color w:val="000000"/>
                <w:kern w:val="0"/>
                <w:sz w:val="21"/>
                <w:szCs w:val="21"/>
                <w:u w:val="none"/>
                <w:lang w:val="en-US" w:eastAsia="zh-CN" w:bidi="ar"/>
              </w:rPr>
              <w:t>三</w:t>
            </w:r>
          </w:p>
        </w:tc>
        <w:tc>
          <w:tcPr>
            <w:tcW w:w="198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szCs w:val="21"/>
                <w:highlight w:val="none"/>
              </w:rPr>
              <w:t>马弗炉</w:t>
            </w:r>
          </w:p>
        </w:tc>
        <w:tc>
          <w:tcPr>
            <w:tcW w:w="68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val="en-US" w:eastAsia="zh-CN"/>
              </w:rPr>
            </w:pPr>
            <w:r>
              <w:rPr>
                <w:rFonts w:hint="eastAsia" w:ascii="Times New Roman" w:hAnsi="Times New Roman" w:cs="Times New Roman"/>
                <w:i w:val="0"/>
                <w:color w:val="000000"/>
                <w:sz w:val="21"/>
                <w:szCs w:val="21"/>
                <w:u w:val="none"/>
                <w:lang w:val="en-US" w:eastAsia="zh-CN"/>
              </w:rPr>
              <w:t>台</w:t>
            </w:r>
          </w:p>
        </w:tc>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cs="Times New Roman"/>
                <w:i w:val="0"/>
                <w:color w:val="000000"/>
                <w:kern w:val="0"/>
                <w:sz w:val="21"/>
                <w:szCs w:val="21"/>
                <w:u w:val="none"/>
                <w:lang w:val="en-US" w:eastAsia="zh-CN" w:bidi="ar"/>
              </w:rPr>
              <w:t>1</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eastAsia" w:cs="Times New Roman"/>
                <w:szCs w:val="21"/>
                <w:highlight w:val="none"/>
                <w:lang w:eastAsia="zh-CN"/>
              </w:rPr>
              <w:t>流态化焙烧项目</w:t>
            </w:r>
          </w:p>
        </w:tc>
      </w:tr>
    </w:tbl>
    <w:p>
      <w:pPr>
        <w:tabs>
          <w:tab w:val="left" w:pos="284"/>
        </w:tabs>
        <w:adjustRightInd w:val="0"/>
        <w:spacing w:line="360" w:lineRule="auto"/>
        <w:jc w:val="left"/>
        <w:textAlignment w:val="baseline"/>
        <w:rPr>
          <w:rFonts w:hint="default" w:ascii="Times New Roman" w:hAnsi="Times New Roman" w:cs="Times New Roman"/>
          <w:b/>
          <w:bCs/>
          <w:kern w:val="0"/>
          <w:szCs w:val="21"/>
          <w:highlight w:val="none"/>
        </w:rPr>
      </w:pPr>
      <w:r>
        <w:rPr>
          <w:rFonts w:hint="default" w:ascii="Times New Roman" w:hAnsi="Times New Roman" w:cs="Times New Roman"/>
          <w:b/>
          <w:bCs/>
          <w:kern w:val="0"/>
          <w:szCs w:val="21"/>
          <w:highlight w:val="none"/>
        </w:rPr>
        <w:t>5.技术资料</w:t>
      </w:r>
    </w:p>
    <w:p>
      <w:pPr>
        <w:tabs>
          <w:tab w:val="left" w:pos="945"/>
        </w:tabs>
        <w:spacing w:line="360" w:lineRule="auto"/>
        <w:rPr>
          <w:rFonts w:hint="default" w:ascii="Times New Roman" w:hAnsi="Times New Roman" w:cs="Times New Roman"/>
          <w:szCs w:val="21"/>
          <w:highlight w:val="none"/>
        </w:rPr>
      </w:pPr>
      <w:r>
        <w:rPr>
          <w:rFonts w:hint="default" w:ascii="Times New Roman" w:hAnsi="Times New Roman" w:cs="Times New Roman"/>
          <w:szCs w:val="21"/>
          <w:highlight w:val="none"/>
        </w:rPr>
        <w:t>5.1投标方必须提供下表所列技术资料(但不限于此)，并按下表要求时间交货。</w:t>
      </w:r>
    </w:p>
    <w:tbl>
      <w:tblPr>
        <w:tblStyle w:val="16"/>
        <w:tblW w:w="86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043"/>
        <w:gridCol w:w="1305"/>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745" w:type="dxa"/>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序号</w:t>
            </w:r>
          </w:p>
        </w:tc>
        <w:tc>
          <w:tcPr>
            <w:tcW w:w="4043" w:type="dxa"/>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名称</w:t>
            </w:r>
          </w:p>
        </w:tc>
        <w:tc>
          <w:tcPr>
            <w:tcW w:w="1305" w:type="dxa"/>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数量</w:t>
            </w:r>
          </w:p>
        </w:tc>
        <w:tc>
          <w:tcPr>
            <w:tcW w:w="2507" w:type="dxa"/>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745" w:type="dxa"/>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1</w:t>
            </w:r>
          </w:p>
        </w:tc>
        <w:tc>
          <w:tcPr>
            <w:tcW w:w="4043" w:type="dxa"/>
            <w:vAlign w:val="center"/>
          </w:tcPr>
          <w:p>
            <w:pPr>
              <w:spacing w:line="360" w:lineRule="auto"/>
              <w:jc w:val="center"/>
              <w:rPr>
                <w:rFonts w:hint="default" w:ascii="Times New Roman" w:hAnsi="Times New Roman" w:cs="Times New Roman"/>
                <w:bCs/>
                <w:szCs w:val="21"/>
                <w:highlight w:val="none"/>
              </w:rPr>
            </w:pPr>
            <w:r>
              <w:rPr>
                <w:rFonts w:hint="default" w:ascii="Times New Roman" w:hAnsi="Times New Roman" w:cs="Times New Roman"/>
                <w:bCs/>
                <w:szCs w:val="21"/>
                <w:highlight w:val="none"/>
                <w:lang w:val="en-US" w:eastAsia="zh-CN"/>
              </w:rPr>
              <w:t>产品</w:t>
            </w:r>
            <w:r>
              <w:rPr>
                <w:rFonts w:hint="default" w:ascii="Times New Roman" w:hAnsi="Times New Roman" w:cs="Times New Roman"/>
                <w:bCs/>
                <w:szCs w:val="21"/>
                <w:highlight w:val="none"/>
              </w:rPr>
              <w:t>使用说明书</w:t>
            </w:r>
          </w:p>
        </w:tc>
        <w:tc>
          <w:tcPr>
            <w:tcW w:w="1305" w:type="dxa"/>
            <w:vAlign w:val="center"/>
          </w:tcPr>
          <w:p>
            <w:pPr>
              <w:spacing w:line="360" w:lineRule="auto"/>
              <w:jc w:val="center"/>
              <w:rPr>
                <w:rFonts w:hint="default" w:ascii="Times New Roman" w:hAnsi="Times New Roman" w:cs="Times New Roman"/>
                <w:bCs/>
                <w:szCs w:val="21"/>
                <w:highlight w:val="none"/>
                <w:lang w:val="en-US" w:eastAsia="zh-CN"/>
              </w:rPr>
            </w:pPr>
            <w:r>
              <w:rPr>
                <w:rFonts w:hint="default" w:ascii="Times New Roman" w:hAnsi="Times New Roman" w:cs="Times New Roman"/>
                <w:bCs/>
                <w:szCs w:val="21"/>
                <w:highlight w:val="none"/>
                <w:lang w:val="en-US" w:eastAsia="zh-CN"/>
              </w:rPr>
              <w:t>各一份</w:t>
            </w:r>
          </w:p>
        </w:tc>
        <w:tc>
          <w:tcPr>
            <w:tcW w:w="2507" w:type="dxa"/>
            <w:vAlign w:val="center"/>
          </w:tcPr>
          <w:p>
            <w:pPr>
              <w:spacing w:line="360" w:lineRule="auto"/>
              <w:jc w:val="center"/>
              <w:rPr>
                <w:rFonts w:hint="default" w:ascii="Times New Roman" w:hAnsi="Times New Roman" w:cs="Times New Roman"/>
                <w:bCs/>
                <w:szCs w:val="21"/>
                <w:highlight w:val="none"/>
              </w:rPr>
            </w:pPr>
            <w:r>
              <w:rPr>
                <w:rFonts w:hint="default" w:ascii="Times New Roman" w:hAnsi="Times New Roman" w:cs="Times New Roman"/>
                <w:bCs/>
                <w:szCs w:val="21"/>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45" w:type="dxa"/>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2</w:t>
            </w:r>
          </w:p>
        </w:tc>
        <w:tc>
          <w:tcPr>
            <w:tcW w:w="4043" w:type="dxa"/>
            <w:vAlign w:val="center"/>
          </w:tcPr>
          <w:p>
            <w:pPr>
              <w:spacing w:line="360" w:lineRule="auto"/>
              <w:jc w:val="center"/>
              <w:rPr>
                <w:rFonts w:hint="default" w:ascii="Times New Roman" w:hAnsi="Times New Roman" w:cs="Times New Roman"/>
                <w:bCs/>
                <w:szCs w:val="21"/>
                <w:highlight w:val="none"/>
              </w:rPr>
            </w:pPr>
            <w:r>
              <w:rPr>
                <w:rFonts w:hint="default" w:ascii="Times New Roman" w:hAnsi="Times New Roman" w:cs="Times New Roman"/>
                <w:bCs/>
                <w:szCs w:val="21"/>
                <w:highlight w:val="none"/>
                <w:lang w:val="en-US" w:eastAsia="zh-CN"/>
              </w:rPr>
              <w:t>产品合格证</w:t>
            </w:r>
          </w:p>
        </w:tc>
        <w:tc>
          <w:tcPr>
            <w:tcW w:w="1305" w:type="dxa"/>
            <w:vAlign w:val="center"/>
          </w:tcPr>
          <w:p>
            <w:pPr>
              <w:spacing w:line="360" w:lineRule="auto"/>
              <w:jc w:val="center"/>
              <w:rPr>
                <w:rFonts w:hint="default" w:ascii="Times New Roman" w:hAnsi="Times New Roman" w:cs="Times New Roman"/>
                <w:bCs/>
                <w:szCs w:val="21"/>
                <w:highlight w:val="none"/>
                <w:lang w:val="en-US" w:eastAsia="zh-CN"/>
              </w:rPr>
            </w:pPr>
            <w:r>
              <w:rPr>
                <w:rFonts w:hint="default" w:ascii="Times New Roman" w:hAnsi="Times New Roman" w:cs="Times New Roman"/>
                <w:bCs/>
                <w:szCs w:val="21"/>
                <w:highlight w:val="none"/>
                <w:lang w:val="en-US" w:eastAsia="zh-CN"/>
              </w:rPr>
              <w:t>各一份</w:t>
            </w:r>
          </w:p>
        </w:tc>
        <w:tc>
          <w:tcPr>
            <w:tcW w:w="2507" w:type="dxa"/>
            <w:vAlign w:val="center"/>
          </w:tcPr>
          <w:p>
            <w:pPr>
              <w:spacing w:line="360" w:lineRule="auto"/>
              <w:jc w:val="center"/>
              <w:rPr>
                <w:rFonts w:hint="default" w:ascii="Times New Roman" w:hAnsi="Times New Roman" w:cs="Times New Roman"/>
                <w:bCs/>
                <w:szCs w:val="21"/>
                <w:highlight w:val="none"/>
              </w:rPr>
            </w:pPr>
            <w:r>
              <w:rPr>
                <w:rFonts w:hint="default" w:ascii="Times New Roman" w:hAnsi="Times New Roman" w:cs="Times New Roman"/>
                <w:bCs/>
                <w:szCs w:val="21"/>
                <w:highlight w:val="none"/>
                <w:lang w:val="en-US" w:eastAsia="zh-CN"/>
              </w:rPr>
              <w:t>与设备同时交付</w:t>
            </w:r>
          </w:p>
        </w:tc>
      </w:tr>
    </w:tbl>
    <w:p>
      <w:pPr>
        <w:tabs>
          <w:tab w:val="left" w:pos="945"/>
        </w:tabs>
        <w:spacing w:line="360" w:lineRule="auto"/>
        <w:rPr>
          <w:rFonts w:hint="default" w:ascii="Times New Roman" w:hAnsi="Times New Roman" w:cs="Times New Roman"/>
          <w:szCs w:val="21"/>
          <w:highlight w:val="none"/>
        </w:rPr>
      </w:pPr>
      <w:r>
        <w:rPr>
          <w:rFonts w:hint="default" w:ascii="Times New Roman" w:hAnsi="Times New Roman" w:cs="Times New Roman"/>
          <w:szCs w:val="21"/>
          <w:highlight w:val="none"/>
        </w:rPr>
        <w:t xml:space="preserve">5.2 </w:t>
      </w:r>
      <w:r>
        <w:rPr>
          <w:rFonts w:hint="default" w:ascii="Times New Roman" w:hAnsi="Times New Roman" w:cs="Times New Roman"/>
          <w:bCs/>
          <w:szCs w:val="21"/>
          <w:highlight w:val="none"/>
        </w:rPr>
        <w:t>投标人必须交付全新的、完整的、与提供设备相符的、招标方认可的技术资料。对于缺失损坏、不符合要求的技术资料，投标方在</w:t>
      </w:r>
      <w:r>
        <w:rPr>
          <w:rFonts w:hint="default" w:ascii="Times New Roman" w:hAnsi="Times New Roman" w:cs="Times New Roman"/>
          <w:bCs/>
          <w:szCs w:val="21"/>
          <w:highlight w:val="none"/>
          <w:u w:val="single"/>
        </w:rPr>
        <w:t xml:space="preserve"> </w:t>
      </w:r>
      <w:r>
        <w:rPr>
          <w:rFonts w:hint="default" w:ascii="Times New Roman" w:hAnsi="Times New Roman" w:cs="Times New Roman"/>
          <w:bCs/>
          <w:szCs w:val="21"/>
          <w:highlight w:val="none"/>
          <w:u w:val="single"/>
          <w:lang w:val="en-US" w:eastAsia="zh-CN"/>
        </w:rPr>
        <w:t xml:space="preserve"> 5 </w:t>
      </w:r>
      <w:r>
        <w:rPr>
          <w:rFonts w:hint="default" w:ascii="Times New Roman" w:hAnsi="Times New Roman" w:cs="Times New Roman"/>
          <w:bCs/>
          <w:szCs w:val="21"/>
          <w:highlight w:val="none"/>
          <w:u w:val="single"/>
        </w:rPr>
        <w:t xml:space="preserve"> </w:t>
      </w:r>
      <w:r>
        <w:rPr>
          <w:rFonts w:hint="default" w:ascii="Times New Roman" w:hAnsi="Times New Roman" w:cs="Times New Roman"/>
          <w:bCs/>
          <w:szCs w:val="21"/>
          <w:highlight w:val="none"/>
        </w:rPr>
        <w:t>日内，补齐、更换。</w:t>
      </w:r>
    </w:p>
    <w:p>
      <w:pPr>
        <w:tabs>
          <w:tab w:val="left" w:pos="945"/>
        </w:tabs>
        <w:spacing w:line="360" w:lineRule="auto"/>
        <w:rPr>
          <w:rFonts w:hint="default" w:ascii="Times New Roman" w:hAnsi="Times New Roman" w:cs="Times New Roman"/>
          <w:szCs w:val="21"/>
          <w:highlight w:val="none"/>
        </w:rPr>
      </w:pPr>
      <w:r>
        <w:rPr>
          <w:rFonts w:hint="default" w:ascii="Times New Roman" w:hAnsi="Times New Roman" w:cs="Times New Roman"/>
          <w:szCs w:val="21"/>
          <w:highlight w:val="none"/>
        </w:rPr>
        <w:t>5.</w:t>
      </w:r>
      <w:r>
        <w:rPr>
          <w:rFonts w:hint="default" w:ascii="Times New Roman" w:hAnsi="Times New Roman" w:cs="Times New Roman"/>
          <w:szCs w:val="21"/>
          <w:highlight w:val="none"/>
          <w:lang w:val="en-US" w:eastAsia="zh-CN"/>
        </w:rPr>
        <w:t>3仪器设备如有</w:t>
      </w:r>
      <w:r>
        <w:rPr>
          <w:rFonts w:hint="default" w:ascii="Times New Roman" w:hAnsi="Times New Roman" w:cs="Times New Roman"/>
          <w:bCs/>
          <w:szCs w:val="21"/>
          <w:highlight w:val="none"/>
        </w:rPr>
        <w:t>采用外购</w:t>
      </w:r>
      <w:r>
        <w:rPr>
          <w:rFonts w:hint="default" w:ascii="Times New Roman" w:hAnsi="Times New Roman" w:cs="Times New Roman"/>
          <w:bCs/>
          <w:szCs w:val="21"/>
          <w:highlight w:val="none"/>
          <w:lang w:eastAsia="zh-CN"/>
        </w:rPr>
        <w:t>或</w:t>
      </w:r>
      <w:r>
        <w:rPr>
          <w:rFonts w:hint="default" w:ascii="Times New Roman" w:hAnsi="Times New Roman" w:cs="Times New Roman"/>
          <w:bCs/>
          <w:szCs w:val="21"/>
          <w:highlight w:val="none"/>
        </w:rPr>
        <w:t>外协件</w:t>
      </w:r>
      <w:r>
        <w:rPr>
          <w:rFonts w:hint="default" w:ascii="Times New Roman" w:hAnsi="Times New Roman" w:cs="Times New Roman"/>
          <w:bCs/>
          <w:szCs w:val="21"/>
          <w:highlight w:val="none"/>
          <w:lang w:eastAsia="zh-CN"/>
        </w:rPr>
        <w:t>，</w:t>
      </w:r>
      <w:r>
        <w:rPr>
          <w:rFonts w:hint="default" w:ascii="Times New Roman" w:hAnsi="Times New Roman" w:cs="Times New Roman"/>
          <w:bCs/>
          <w:szCs w:val="21"/>
          <w:highlight w:val="none"/>
        </w:rPr>
        <w:t>应提供原产地证明</w:t>
      </w:r>
      <w:r>
        <w:rPr>
          <w:rFonts w:hint="default" w:ascii="Times New Roman" w:hAnsi="Times New Roman" w:cs="Times New Roman"/>
          <w:bCs/>
          <w:szCs w:val="21"/>
          <w:highlight w:val="none"/>
          <w:lang w:eastAsia="zh-CN"/>
        </w:rPr>
        <w:t>或</w:t>
      </w:r>
      <w:r>
        <w:rPr>
          <w:rFonts w:hint="default" w:ascii="Times New Roman" w:hAnsi="Times New Roman" w:cs="Times New Roman"/>
          <w:bCs/>
          <w:szCs w:val="21"/>
          <w:highlight w:val="none"/>
        </w:rPr>
        <w:t>检验合格证书。</w:t>
      </w:r>
    </w:p>
    <w:p>
      <w:pPr>
        <w:tabs>
          <w:tab w:val="left" w:pos="284"/>
        </w:tabs>
        <w:adjustRightInd/>
        <w:snapToGrid w:val="0"/>
        <w:spacing w:line="360" w:lineRule="auto"/>
        <w:jc w:val="both"/>
        <w:textAlignment w:val="auto"/>
        <w:outlineLvl w:val="9"/>
        <w:rPr>
          <w:rFonts w:hint="default" w:ascii="Times New Roman" w:hAnsi="Times New Roman" w:cs="Times New Roman"/>
          <w:b/>
          <w:bCs/>
          <w:kern w:val="0"/>
          <w:szCs w:val="21"/>
          <w:highlight w:val="none"/>
        </w:rPr>
      </w:pPr>
      <w:r>
        <w:rPr>
          <w:rFonts w:hint="default" w:ascii="Times New Roman" w:hAnsi="Times New Roman" w:cs="Times New Roman"/>
          <w:b/>
          <w:bCs/>
          <w:kern w:val="0"/>
          <w:szCs w:val="21"/>
          <w:highlight w:val="none"/>
        </w:rPr>
        <w:t>6.</w:t>
      </w:r>
      <w:r>
        <w:rPr>
          <w:rStyle w:val="14"/>
        </w:rPr>
        <w:t>技术</w:t>
      </w:r>
      <w:r>
        <w:rPr>
          <w:rFonts w:hint="default" w:ascii="Times New Roman" w:hAnsi="Times New Roman" w:cs="Times New Roman"/>
          <w:b/>
          <w:bCs/>
          <w:kern w:val="0"/>
          <w:szCs w:val="21"/>
          <w:highlight w:val="none"/>
        </w:rPr>
        <w:t>服务及培训</w:t>
      </w:r>
    </w:p>
    <w:p>
      <w:pPr>
        <w:spacing w:line="360" w:lineRule="auto"/>
        <w:rPr>
          <w:rFonts w:hint="default" w:ascii="Times New Roman" w:hAnsi="Times New Roman" w:cs="Times New Roman"/>
          <w:szCs w:val="21"/>
          <w:highlight w:val="none"/>
        </w:rPr>
      </w:pPr>
      <w:r>
        <w:rPr>
          <w:rFonts w:hint="default" w:ascii="Times New Roman" w:hAnsi="Times New Roman" w:cs="Times New Roman"/>
          <w:szCs w:val="21"/>
          <w:highlight w:val="none"/>
        </w:rPr>
        <w:t>6.1技术服务</w:t>
      </w:r>
    </w:p>
    <w:p>
      <w:pPr>
        <w:spacing w:line="360" w:lineRule="auto"/>
        <w:ind w:firstLine="420" w:firstLineChars="200"/>
        <w:rPr>
          <w:rFonts w:hint="default" w:ascii="Times New Roman" w:hAnsi="Times New Roman" w:cs="Times New Roman"/>
          <w:szCs w:val="21"/>
          <w:highlight w:val="none"/>
        </w:rPr>
      </w:pPr>
      <w:r>
        <w:rPr>
          <w:rFonts w:hint="default" w:ascii="Times New Roman" w:hAnsi="Times New Roman" w:cs="Times New Roman"/>
          <w:szCs w:val="21"/>
          <w:highlight w:val="none"/>
        </w:rPr>
        <w:t>在</w:t>
      </w:r>
      <w:r>
        <w:rPr>
          <w:rFonts w:hint="default" w:ascii="Times New Roman" w:hAnsi="Times New Roman" w:cs="Times New Roman"/>
          <w:szCs w:val="21"/>
          <w:highlight w:val="none"/>
          <w:lang w:eastAsia="zh-CN"/>
        </w:rPr>
        <w:t>设备安</w:t>
      </w:r>
      <w:r>
        <w:rPr>
          <w:rFonts w:hint="default" w:ascii="Times New Roman" w:hAnsi="Times New Roman" w:cs="Times New Roman"/>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default" w:ascii="Times New Roman" w:hAnsi="Times New Roman" w:cs="Times New Roman"/>
          <w:szCs w:val="21"/>
          <w:highlight w:val="none"/>
          <w:lang w:eastAsia="zh-CN"/>
        </w:rPr>
        <w:t>仪器</w:t>
      </w:r>
      <w:r>
        <w:rPr>
          <w:rFonts w:hint="default" w:ascii="Times New Roman" w:hAnsi="Times New Roman" w:cs="Times New Roman"/>
          <w:szCs w:val="21"/>
          <w:highlight w:val="none"/>
        </w:rPr>
        <w:t>能顺利投入使用。</w:t>
      </w:r>
    </w:p>
    <w:p>
      <w:pPr>
        <w:spacing w:line="360" w:lineRule="auto"/>
        <w:outlineLvl w:val="9"/>
        <w:rPr>
          <w:rFonts w:hint="default" w:ascii="Times New Roman" w:hAnsi="Times New Roman" w:cs="Times New Roman"/>
          <w:szCs w:val="21"/>
          <w:highlight w:val="none"/>
        </w:rPr>
      </w:pPr>
      <w:r>
        <w:rPr>
          <w:rFonts w:hint="default" w:ascii="Times New Roman" w:hAnsi="Times New Roman" w:cs="Times New Roman"/>
          <w:szCs w:val="21"/>
          <w:highlight w:val="none"/>
        </w:rPr>
        <w:t>6.2技术培训</w:t>
      </w:r>
    </w:p>
    <w:p>
      <w:pPr>
        <w:spacing w:line="360" w:lineRule="auto"/>
        <w:ind w:firstLine="420" w:firstLineChars="200"/>
        <w:rPr>
          <w:rFonts w:hint="default" w:ascii="Times New Roman" w:hAnsi="Times New Roman" w:cs="Times New Roman"/>
          <w:szCs w:val="21"/>
          <w:highlight w:val="none"/>
        </w:rPr>
      </w:pPr>
      <w:r>
        <w:rPr>
          <w:rFonts w:hint="default" w:ascii="Times New Roman" w:hAnsi="Times New Roman" w:cs="Times New Roman"/>
          <w:szCs w:val="21"/>
          <w:highlight w:val="none"/>
        </w:rPr>
        <w:t>设备到货后，投标方要派遣培训专家到招标方现场，为招标方操作人员</w:t>
      </w:r>
      <w:r>
        <w:rPr>
          <w:rFonts w:hint="default" w:ascii="Times New Roman" w:hAnsi="Times New Roman" w:cs="Times New Roman"/>
          <w:szCs w:val="21"/>
          <w:highlight w:val="none"/>
          <w:lang w:eastAsia="zh-CN"/>
        </w:rPr>
        <w:t>进行基础操作培训</w:t>
      </w:r>
      <w:r>
        <w:rPr>
          <w:rFonts w:hint="default" w:ascii="Times New Roman" w:hAnsi="Times New Roman" w:cs="Times New Roman"/>
          <w:szCs w:val="21"/>
          <w:highlight w:val="none"/>
        </w:rPr>
        <w:t>。</w:t>
      </w:r>
    </w:p>
    <w:p>
      <w:pPr>
        <w:tabs>
          <w:tab w:val="left" w:pos="284"/>
        </w:tabs>
        <w:adjustRightInd/>
        <w:snapToGrid w:val="0"/>
        <w:spacing w:line="360" w:lineRule="auto"/>
        <w:jc w:val="both"/>
        <w:textAlignment w:val="auto"/>
        <w:outlineLvl w:val="9"/>
        <w:rPr>
          <w:rFonts w:hint="default" w:ascii="Times New Roman" w:hAnsi="Times New Roman" w:cs="Times New Roman"/>
          <w:b/>
          <w:bCs/>
          <w:kern w:val="0"/>
          <w:szCs w:val="21"/>
          <w:highlight w:val="none"/>
        </w:rPr>
      </w:pPr>
      <w:r>
        <w:rPr>
          <w:rFonts w:hint="default" w:ascii="Times New Roman" w:hAnsi="Times New Roman" w:cs="Times New Roman"/>
          <w:b/>
          <w:bCs/>
          <w:kern w:val="0"/>
          <w:szCs w:val="21"/>
          <w:highlight w:val="none"/>
        </w:rPr>
        <w:t>7.安装</w:t>
      </w:r>
      <w:r>
        <w:rPr>
          <w:rStyle w:val="14"/>
        </w:rPr>
        <w:t>调试</w:t>
      </w:r>
      <w:r>
        <w:rPr>
          <w:rFonts w:hint="default" w:ascii="Times New Roman" w:hAnsi="Times New Roman" w:cs="Times New Roman"/>
          <w:b/>
          <w:bCs/>
          <w:kern w:val="0"/>
          <w:szCs w:val="21"/>
          <w:highlight w:val="none"/>
        </w:rPr>
        <w:t>、性能测试及考核验收</w:t>
      </w:r>
    </w:p>
    <w:p>
      <w:pPr>
        <w:snapToGrid w:val="0"/>
        <w:spacing w:line="360" w:lineRule="auto"/>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7.1 安装调试</w:t>
      </w:r>
    </w:p>
    <w:p>
      <w:pPr>
        <w:snapToGrid w:val="0"/>
        <w:spacing w:line="360" w:lineRule="auto"/>
        <w:ind w:firstLine="420" w:firstLineChars="200"/>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default" w:ascii="Times New Roman" w:hAnsi="Times New Roman" w:cs="Times New Roman"/>
          <w:szCs w:val="21"/>
          <w:highlight w:val="none"/>
        </w:rPr>
      </w:pPr>
      <w:r>
        <w:rPr>
          <w:rFonts w:hint="default" w:ascii="Times New Roman" w:hAnsi="Times New Roman" w:cs="Times New Roman"/>
          <w:color w:val="000000"/>
          <w:szCs w:val="21"/>
          <w:highlight w:val="none"/>
        </w:rPr>
        <w:t xml:space="preserve">7.2 </w:t>
      </w:r>
      <w:r>
        <w:rPr>
          <w:rFonts w:hint="default" w:ascii="Times New Roman" w:hAnsi="Times New Roman" w:cs="Times New Roman"/>
          <w:bCs/>
          <w:color w:val="000000"/>
          <w:szCs w:val="21"/>
          <w:highlight w:val="none"/>
          <w:lang w:bidi="ar-SA"/>
        </w:rPr>
        <w:t>试运转将由招标方操作人员在投标方技术人员的密切具体指导下进行。试运转过程中，设备所出现的故障由投标方负责解决，招标方给予协助。</w:t>
      </w:r>
    </w:p>
    <w:p>
      <w:pPr>
        <w:spacing w:line="360" w:lineRule="auto"/>
        <w:rPr>
          <w:rFonts w:hint="default" w:ascii="Times New Roman" w:hAnsi="Times New Roman" w:cs="Times New Roman"/>
          <w:szCs w:val="21"/>
          <w:highlight w:val="none"/>
        </w:rPr>
      </w:pPr>
      <w:r>
        <w:rPr>
          <w:rFonts w:hint="default" w:ascii="Times New Roman" w:hAnsi="Times New Roman" w:cs="Times New Roman"/>
          <w:szCs w:val="21"/>
          <w:highlight w:val="none"/>
        </w:rPr>
        <w:t>7.3考核验收</w:t>
      </w:r>
    </w:p>
    <w:p>
      <w:pPr>
        <w:spacing w:line="360" w:lineRule="auto"/>
        <w:ind w:firstLine="0" w:firstLineChars="0"/>
        <w:rPr>
          <w:rFonts w:hint="eastAsia"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7.3.1</w:t>
      </w:r>
      <w:r>
        <w:rPr>
          <w:rFonts w:hint="default" w:ascii="Times New Roman" w:hAnsi="Times New Roman" w:cs="Times New Roman"/>
          <w:szCs w:val="21"/>
          <w:highlight w:val="none"/>
          <w:lang w:eastAsia="zh-CN"/>
        </w:rPr>
        <w:t>考核要求：在</w:t>
      </w:r>
      <w:r>
        <w:rPr>
          <w:rFonts w:hint="default" w:ascii="Times New Roman" w:hAnsi="Times New Roman" w:cs="Times New Roman"/>
          <w:szCs w:val="21"/>
          <w:highlight w:val="none"/>
          <w:lang w:val="en-US" w:eastAsia="zh-CN"/>
        </w:rPr>
        <w:t>900-1200℃，进行3次</w:t>
      </w:r>
      <w:r>
        <w:rPr>
          <w:rFonts w:hint="default" w:ascii="Times New Roman" w:hAnsi="Times New Roman" w:cs="Times New Roman"/>
          <w:szCs w:val="21"/>
          <w:highlight w:val="none"/>
        </w:rPr>
        <w:t>焙烧</w:t>
      </w:r>
      <w:r>
        <w:rPr>
          <w:rFonts w:hint="default" w:ascii="Times New Roman" w:hAnsi="Times New Roman" w:cs="Times New Roman"/>
          <w:szCs w:val="21"/>
          <w:highlight w:val="none"/>
          <w:lang w:eastAsia="zh-CN"/>
        </w:rPr>
        <w:t>实验，每次连续工作</w:t>
      </w:r>
      <w:r>
        <w:rPr>
          <w:rFonts w:hint="default" w:ascii="Times New Roman" w:hAnsi="Times New Roman" w:cs="Times New Roman"/>
          <w:szCs w:val="21"/>
          <w:highlight w:val="none"/>
          <w:lang w:val="en-US" w:eastAsia="zh-CN"/>
        </w:rPr>
        <w:t>3小时，无故障</w:t>
      </w:r>
      <w:r>
        <w:rPr>
          <w:rFonts w:hint="eastAsia" w:cs="Times New Roman"/>
          <w:szCs w:val="21"/>
          <w:highlight w:val="none"/>
          <w:lang w:val="en-US" w:eastAsia="zh-CN"/>
        </w:rPr>
        <w:t>。</w:t>
      </w:r>
    </w:p>
    <w:p>
      <w:pPr>
        <w:spacing w:line="360" w:lineRule="auto"/>
        <w:rPr>
          <w:rFonts w:hint="default" w:ascii="Times New Roman" w:hAnsi="Times New Roman" w:cs="Times New Roman"/>
          <w:szCs w:val="21"/>
          <w:highlight w:val="none"/>
        </w:rPr>
      </w:pPr>
      <w:r>
        <w:rPr>
          <w:rFonts w:hint="default" w:ascii="Times New Roman" w:hAnsi="Times New Roman" w:cs="Times New Roman"/>
          <w:szCs w:val="21"/>
          <w:highlight w:val="none"/>
          <w:lang w:val="en-US" w:eastAsia="zh-CN"/>
        </w:rPr>
        <w:t>7.3.2</w:t>
      </w:r>
      <w:r>
        <w:rPr>
          <w:rFonts w:hint="default" w:ascii="Times New Roman" w:hAnsi="Times New Roman" w:cs="Times New Roman"/>
          <w:szCs w:val="21"/>
          <w:highlight w:val="none"/>
        </w:rPr>
        <w:t>设备在上述考核合格后，招标方和投标方签署验收报告。</w:t>
      </w:r>
    </w:p>
    <w:p>
      <w:pPr>
        <w:tabs>
          <w:tab w:val="left" w:pos="284"/>
        </w:tabs>
        <w:adjustRightInd/>
        <w:snapToGrid w:val="0"/>
        <w:spacing w:line="360" w:lineRule="auto"/>
        <w:jc w:val="both"/>
        <w:textAlignment w:val="auto"/>
        <w:outlineLvl w:val="9"/>
        <w:rPr>
          <w:rFonts w:hint="default" w:ascii="Times New Roman" w:hAnsi="Times New Roman" w:cs="Times New Roman"/>
          <w:b/>
          <w:bCs/>
          <w:kern w:val="0"/>
          <w:szCs w:val="21"/>
          <w:highlight w:val="none"/>
        </w:rPr>
      </w:pPr>
      <w:r>
        <w:rPr>
          <w:rFonts w:hint="default" w:ascii="Times New Roman" w:hAnsi="Times New Roman" w:cs="Times New Roman"/>
          <w:b/>
          <w:bCs/>
          <w:kern w:val="0"/>
          <w:szCs w:val="21"/>
          <w:highlight w:val="none"/>
        </w:rPr>
        <w:t>8.</w:t>
      </w:r>
      <w:r>
        <w:rPr>
          <w:rStyle w:val="14"/>
        </w:rPr>
        <w:t>质量</w:t>
      </w:r>
      <w:r>
        <w:rPr>
          <w:rFonts w:hint="default" w:ascii="Times New Roman" w:hAnsi="Times New Roman" w:cs="Times New Roman"/>
          <w:b/>
          <w:bCs/>
          <w:kern w:val="0"/>
          <w:szCs w:val="21"/>
          <w:highlight w:val="none"/>
        </w:rPr>
        <w:t>保证</w:t>
      </w:r>
    </w:p>
    <w:p>
      <w:pPr>
        <w:spacing w:line="360" w:lineRule="auto"/>
        <w:ind w:firstLine="420" w:firstLineChars="200"/>
        <w:rPr>
          <w:rFonts w:hint="default" w:ascii="Times New Roman" w:hAnsi="Times New Roman" w:cs="Times New Roman"/>
          <w:szCs w:val="21"/>
          <w:highlight w:val="none"/>
        </w:rPr>
      </w:pPr>
      <w:r>
        <w:rPr>
          <w:rFonts w:hint="default" w:ascii="Times New Roman" w:hAnsi="Times New Roman" w:cs="Times New Roman"/>
          <w:szCs w:val="21"/>
          <w:highlight w:val="none"/>
        </w:rPr>
        <w:t>质量保证期限为12个月。保证期限从该设备安装调试能力考核合格双方签字之日算起。质保期内</w:t>
      </w:r>
      <w:r>
        <w:rPr>
          <w:rFonts w:hint="default" w:ascii="Times New Roman" w:hAnsi="Times New Roman" w:cs="Times New Roman"/>
          <w:bCs/>
          <w:color w:val="000000"/>
          <w:szCs w:val="21"/>
          <w:highlight w:val="none"/>
          <w:lang w:bidi="ar-SA"/>
        </w:rPr>
        <w:t>投标方</w:t>
      </w:r>
      <w:r>
        <w:rPr>
          <w:rFonts w:hint="default" w:ascii="Times New Roman" w:hAnsi="Times New Roman" w:cs="Times New Roman"/>
          <w:szCs w:val="21"/>
          <w:highlight w:val="none"/>
        </w:rPr>
        <w:t>所供设备由于设备设计缺陷、制造质量、材料质量等原因引起的设备零部件损坏，投标方负责免费更换或维修。</w:t>
      </w:r>
    </w:p>
    <w:p>
      <w:pPr>
        <w:snapToGrid w:val="0"/>
        <w:spacing w:line="360" w:lineRule="auto"/>
        <w:outlineLvl w:val="9"/>
        <w:rPr>
          <w:rFonts w:hint="default" w:ascii="Times New Roman" w:hAnsi="Times New Roman" w:cs="Times New Roman"/>
          <w:b/>
          <w:bCs/>
          <w:color w:val="000000"/>
          <w:szCs w:val="21"/>
          <w:highlight w:val="none"/>
        </w:rPr>
      </w:pPr>
      <w:r>
        <w:rPr>
          <w:rFonts w:hint="default" w:ascii="Times New Roman" w:hAnsi="Times New Roman" w:cs="Times New Roman"/>
          <w:b/>
          <w:bCs/>
          <w:color w:val="000000"/>
          <w:szCs w:val="21"/>
          <w:highlight w:val="none"/>
        </w:rPr>
        <w:t>9.</w:t>
      </w:r>
      <w:r>
        <w:rPr>
          <w:rStyle w:val="14"/>
        </w:rPr>
        <w:t>售后</w:t>
      </w:r>
      <w:r>
        <w:rPr>
          <w:rFonts w:hint="default" w:ascii="Times New Roman" w:hAnsi="Times New Roman" w:cs="Times New Roman"/>
          <w:b/>
          <w:bCs/>
          <w:color w:val="000000"/>
          <w:szCs w:val="21"/>
          <w:highlight w:val="none"/>
        </w:rPr>
        <w:t>支持</w:t>
      </w:r>
    </w:p>
    <w:p>
      <w:pPr>
        <w:snapToGrid w:val="0"/>
        <w:spacing w:line="360" w:lineRule="auto"/>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9.1 技术支持</w:t>
      </w:r>
    </w:p>
    <w:p>
      <w:pPr>
        <w:spacing w:line="360" w:lineRule="auto"/>
        <w:ind w:firstLine="420" w:firstLineChars="200"/>
        <w:jc w:val="both"/>
        <w:rPr>
          <w:rFonts w:hint="default" w:ascii="Times New Roman" w:hAnsi="Times New Roman" w:cs="Times New Roman"/>
          <w:szCs w:val="21"/>
          <w:highlight w:val="none"/>
        </w:rPr>
      </w:pPr>
      <w:r>
        <w:rPr>
          <w:rFonts w:hint="default" w:ascii="Times New Roman" w:hAnsi="Times New Roman" w:cs="Times New Roman"/>
          <w:szCs w:val="21"/>
          <w:highlight w:val="none"/>
        </w:rPr>
        <w:t>投标方应在报价中说明质保期满后对所供设备提供有偿售后服务，只收取配件费用，不收取人工费。</w:t>
      </w:r>
    </w:p>
    <w:p>
      <w:pPr>
        <w:spacing w:line="360" w:lineRule="auto"/>
        <w:ind w:firstLine="0" w:firstLineChars="0"/>
        <w:rPr>
          <w:rFonts w:hint="default" w:ascii="Times New Roman" w:hAnsi="Times New Roman" w:cs="Times New Roman"/>
          <w:color w:val="000000"/>
          <w:szCs w:val="21"/>
          <w:highlight w:val="none"/>
        </w:rPr>
      </w:pPr>
      <w:r>
        <w:rPr>
          <w:rFonts w:hint="default"/>
          <w:b w:val="0"/>
          <w:bCs w:val="0"/>
          <w:color w:val="000000"/>
          <w:sz w:val="21"/>
          <w:szCs w:val="21"/>
          <w:highlight w:val="none"/>
          <w:lang w:val="en-US" w:eastAsia="zh-CN"/>
        </w:rPr>
        <w:t>9.</w:t>
      </w:r>
      <w:r>
        <w:rPr>
          <w:rFonts w:hint="eastAsia"/>
          <w:b w:val="0"/>
          <w:bCs w:val="0"/>
          <w:color w:val="000000"/>
          <w:sz w:val="21"/>
          <w:szCs w:val="21"/>
          <w:highlight w:val="none"/>
          <w:lang w:val="en-US" w:eastAsia="zh-CN"/>
        </w:rPr>
        <w:t>2</w:t>
      </w:r>
      <w:r>
        <w:rPr>
          <w:rFonts w:hint="default" w:ascii="Times New Roman" w:hAnsi="Times New Roman" w:cs="Times New Roman"/>
          <w:color w:val="000000"/>
          <w:szCs w:val="21"/>
          <w:highlight w:val="none"/>
        </w:rPr>
        <w:t>维修支持</w:t>
      </w:r>
    </w:p>
    <w:p>
      <w:pPr>
        <w:spacing w:line="360" w:lineRule="auto"/>
        <w:ind w:firstLine="420" w:firstLineChars="200"/>
        <w:rPr>
          <w:rFonts w:hint="default" w:ascii="Times New Roman" w:hAnsi="Times New Roman" w:cs="Times New Roman"/>
          <w:szCs w:val="21"/>
          <w:highlight w:val="none"/>
        </w:rPr>
        <w:sectPr>
          <w:footerReference r:id="rId3" w:type="default"/>
          <w:footerReference r:id="rId4" w:type="even"/>
          <w:pgSz w:w="11906" w:h="16838"/>
          <w:pgMar w:top="1134" w:right="1134" w:bottom="1134" w:left="1134" w:header="851" w:footer="992" w:gutter="0"/>
          <w:pgNumType w:start="3"/>
          <w:cols w:space="720" w:num="1"/>
          <w:docGrid w:type="lines" w:linePitch="312" w:charSpace="0"/>
        </w:sectPr>
      </w:pPr>
      <w:r>
        <w:rPr>
          <w:rFonts w:hint="default" w:ascii="Times New Roman" w:hAnsi="Times New Roman" w:cs="Times New Roman"/>
          <w:szCs w:val="21"/>
          <w:highlight w:val="none"/>
        </w:rPr>
        <w:t>投标方应在报价中说明质保期满后，投标方在设备维修方面能给招标方的支持。对于招标方遇到的紧急故障需要投标方帮助处理时，投标方</w:t>
      </w:r>
      <w:r>
        <w:rPr>
          <w:rFonts w:hint="default" w:ascii="Times New Roman" w:hAnsi="Times New Roman" w:cs="Times New Roman"/>
          <w:szCs w:val="21"/>
          <w:highlight w:val="none"/>
          <w:lang w:eastAsia="zh-CN"/>
        </w:rPr>
        <w:t>需</w:t>
      </w:r>
      <w:r>
        <w:rPr>
          <w:rFonts w:hint="default" w:ascii="Times New Roman" w:hAnsi="Times New Roman" w:cs="Times New Roman"/>
          <w:szCs w:val="21"/>
          <w:highlight w:val="none"/>
        </w:rPr>
        <w:t>以最快的速度给予支持。</w:t>
      </w:r>
    </w:p>
    <w:bookmarkEnd w:id="4"/>
    <w:p>
      <w:pPr>
        <w:snapToGrid w:val="0"/>
        <w:spacing w:line="240" w:lineRule="auto"/>
        <w:jc w:val="center"/>
        <w:rPr>
          <w:rFonts w:hint="eastAsia" w:ascii="宋体" w:hAnsi="宋体" w:eastAsia="宋体" w:cs="宋体"/>
          <w:b/>
          <w:bCs/>
          <w:color w:val="auto"/>
          <w:sz w:val="36"/>
          <w:szCs w:val="24"/>
          <w:highlight w:val="none"/>
          <w:lang w:eastAsia="zh-CN"/>
        </w:rPr>
      </w:pPr>
      <w:bookmarkStart w:id="5" w:name="_Toc21862"/>
      <w:bookmarkStart w:id="6" w:name="_Toc10004"/>
      <w:bookmarkStart w:id="7" w:name="_Toc8880"/>
      <w:bookmarkStart w:id="8" w:name="_Toc4671"/>
      <w:r>
        <w:rPr>
          <w:rFonts w:hint="eastAsia" w:ascii="宋体" w:hAnsi="宋体" w:cs="宋体"/>
          <w:b/>
          <w:bCs/>
          <w:color w:val="auto"/>
          <w:sz w:val="36"/>
          <w:szCs w:val="24"/>
          <w:highlight w:val="none"/>
          <w:lang w:eastAsia="zh-CN"/>
        </w:rPr>
        <w:t>第二</w:t>
      </w:r>
      <w:r>
        <w:rPr>
          <w:rStyle w:val="17"/>
          <w:rFonts w:hint="eastAsia" w:ascii="宋体" w:hAnsi="宋体" w:eastAsia="宋体" w:cs="宋体"/>
          <w:b/>
          <w:bCs/>
          <w:color w:val="auto"/>
          <w:sz w:val="36"/>
          <w:szCs w:val="24"/>
          <w:highlight w:val="none"/>
          <w:lang w:eastAsia="zh-CN"/>
        </w:rPr>
        <w:t>包：显微硬度测试仪等</w:t>
      </w:r>
      <w:r>
        <w:rPr>
          <w:rStyle w:val="17"/>
          <w:rFonts w:hint="eastAsia" w:ascii="宋体" w:hAnsi="宋体" w:cs="宋体"/>
          <w:b/>
          <w:bCs/>
          <w:color w:val="auto"/>
          <w:sz w:val="36"/>
          <w:szCs w:val="24"/>
          <w:highlight w:val="none"/>
          <w:lang w:eastAsia="zh-CN"/>
        </w:rPr>
        <w:t>设备</w:t>
      </w:r>
      <w:r>
        <w:rPr>
          <w:rStyle w:val="17"/>
          <w:rFonts w:hint="eastAsia" w:ascii="宋体" w:hAnsi="宋体" w:eastAsia="宋体" w:cs="宋体"/>
          <w:b/>
          <w:bCs/>
          <w:color w:val="auto"/>
          <w:sz w:val="36"/>
          <w:szCs w:val="24"/>
          <w:highlight w:val="none"/>
          <w:lang w:eastAsia="zh-CN"/>
        </w:rPr>
        <w:t>技术要求</w:t>
      </w:r>
      <w:bookmarkEnd w:id="5"/>
      <w:bookmarkEnd w:id="6"/>
      <w:bookmarkEnd w:id="7"/>
    </w:p>
    <w:p>
      <w:pPr>
        <w:pStyle w:val="11"/>
        <w:numPr>
          <w:ilvl w:val="0"/>
          <w:numId w:val="0"/>
        </w:numPr>
        <w:tabs>
          <w:tab w:val="left" w:pos="426"/>
        </w:tabs>
        <w:spacing w:line="360" w:lineRule="auto"/>
        <w:jc w:val="both"/>
        <w:rPr>
          <w:rStyle w:val="14"/>
          <w:rFonts w:hint="default" w:ascii="Times New Roman" w:hAnsi="Times New Roman" w:eastAsia="宋体" w:cs="Times New Roman"/>
          <w:b/>
          <w:bCs/>
          <w:sz w:val="21"/>
          <w:szCs w:val="21"/>
        </w:rPr>
      </w:pPr>
      <w:r>
        <w:rPr>
          <w:rStyle w:val="14"/>
          <w:rFonts w:hint="default" w:ascii="Times New Roman" w:hAnsi="Times New Roman" w:eastAsia="宋体" w:cs="Times New Roman"/>
          <w:b/>
          <w:bCs/>
          <w:sz w:val="21"/>
          <w:szCs w:val="21"/>
        </w:rPr>
        <w:t>1.货物需求</w:t>
      </w:r>
    </w:p>
    <w:p>
      <w:pPr>
        <w:tabs>
          <w:tab w:val="left" w:pos="60"/>
        </w:tabs>
        <w:spacing w:line="360" w:lineRule="auto"/>
        <w:outlineLvl w:val="9"/>
        <w:rPr>
          <w:rFonts w:hint="default"/>
        </w:rPr>
      </w:pPr>
      <w:r>
        <w:rPr>
          <w:rFonts w:hint="default"/>
        </w:rPr>
        <w:t>1.1货物需求一览表</w:t>
      </w:r>
    </w:p>
    <w:tbl>
      <w:tblPr>
        <w:tblStyle w:val="16"/>
        <w:tblW w:w="9116" w:type="dxa"/>
        <w:tblInd w:w="0" w:type="dxa"/>
        <w:tblLayout w:type="fixed"/>
        <w:tblCellMar>
          <w:top w:w="0" w:type="dxa"/>
          <w:left w:w="108" w:type="dxa"/>
          <w:bottom w:w="0" w:type="dxa"/>
          <w:right w:w="108" w:type="dxa"/>
        </w:tblCellMar>
      </w:tblPr>
      <w:tblGrid>
        <w:gridCol w:w="869"/>
        <w:gridCol w:w="3025"/>
        <w:gridCol w:w="1075"/>
        <w:gridCol w:w="890"/>
        <w:gridCol w:w="1650"/>
        <w:gridCol w:w="1607"/>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设备名称</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单位</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数量</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型号</w:t>
            </w:r>
            <w:r>
              <w:rPr>
                <w:rFonts w:hint="default" w:ascii="Times New Roman" w:hAnsi="Times New Roman" w:cs="Times New Roman"/>
                <w:sz w:val="21"/>
                <w:szCs w:val="21"/>
                <w:lang w:eastAsia="zh-CN"/>
              </w:rPr>
              <w:t>（产地）</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显微硬度测试仪</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台</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rPr>
            </w:pP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2</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highlight w:val="none"/>
              </w:rPr>
            </w:pPr>
            <w:r>
              <w:rPr>
                <w:rFonts w:hint="default" w:ascii="Times New Roman" w:hAnsi="Times New Roman" w:cs="Times New Roman"/>
                <w:szCs w:val="21"/>
                <w:highlight w:val="none"/>
              </w:rPr>
              <w:t>数显洛氏硬度计</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highlight w:val="none"/>
              </w:rPr>
            </w:pPr>
            <w:r>
              <w:rPr>
                <w:rFonts w:hint="default" w:ascii="Times New Roman" w:hAnsi="Times New Roman" w:cs="Times New Roman"/>
                <w:szCs w:val="21"/>
                <w:highlight w:val="none"/>
              </w:rPr>
              <w:t>台</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rPr>
            </w:pPr>
          </w:p>
        </w:tc>
      </w:tr>
    </w:tbl>
    <w:p>
      <w:pPr>
        <w:spacing w:line="360" w:lineRule="auto"/>
        <w:rPr>
          <w:rFonts w:hint="default" w:ascii="Times New Roman" w:hAnsi="Times New Roman" w:cs="Times New Roman"/>
          <w:bCs/>
          <w:color w:val="000000"/>
          <w:sz w:val="21"/>
          <w:szCs w:val="21"/>
          <w:lang w:bidi="ar-SA"/>
        </w:rPr>
      </w:pPr>
      <w:r>
        <w:rPr>
          <w:rFonts w:hint="default" w:ascii="Times New Roman" w:hAnsi="Times New Roman" w:cs="Times New Roman"/>
          <w:bCs/>
          <w:color w:val="000000"/>
          <w:sz w:val="21"/>
          <w:szCs w:val="21"/>
          <w:lang w:bidi="ar-SA"/>
        </w:rPr>
        <w:t>1.2交货时间:自合同签订之日起</w:t>
      </w:r>
      <w:r>
        <w:rPr>
          <w:rFonts w:hint="default" w:ascii="Times New Roman" w:hAnsi="Times New Roman" w:cs="Times New Roman"/>
          <w:bCs/>
          <w:color w:val="000000"/>
          <w:sz w:val="21"/>
          <w:szCs w:val="21"/>
          <w:u w:val="single"/>
          <w:lang w:bidi="ar-SA"/>
        </w:rPr>
        <w:t xml:space="preserve">  </w:t>
      </w:r>
      <w:r>
        <w:rPr>
          <w:rFonts w:hint="default" w:ascii="Times New Roman" w:hAnsi="Times New Roman" w:cs="Times New Roman"/>
          <w:bCs/>
          <w:color w:val="000000"/>
          <w:sz w:val="21"/>
          <w:szCs w:val="21"/>
          <w:u w:val="single"/>
          <w:lang w:val="en-US" w:eastAsia="zh-CN" w:bidi="ar-SA"/>
        </w:rPr>
        <w:t>1</w:t>
      </w:r>
      <w:r>
        <w:rPr>
          <w:rFonts w:hint="default" w:ascii="Times New Roman" w:hAnsi="Times New Roman" w:cs="Times New Roman"/>
          <w:bCs/>
          <w:color w:val="000000"/>
          <w:sz w:val="21"/>
          <w:szCs w:val="21"/>
          <w:u w:val="single"/>
          <w:lang w:bidi="ar-SA"/>
        </w:rPr>
        <w:t xml:space="preserve">  </w:t>
      </w:r>
      <w:r>
        <w:rPr>
          <w:rFonts w:hint="default" w:ascii="Times New Roman" w:hAnsi="Times New Roman" w:cs="Times New Roman"/>
          <w:bCs/>
          <w:color w:val="000000"/>
          <w:sz w:val="21"/>
          <w:szCs w:val="21"/>
          <w:lang w:bidi="ar-SA"/>
        </w:rPr>
        <w:t>个月内</w:t>
      </w:r>
      <w:r>
        <w:rPr>
          <w:rFonts w:hint="default" w:ascii="Times New Roman" w:hAnsi="Times New Roman" w:cs="Times New Roman"/>
          <w:bCs/>
          <w:sz w:val="21"/>
          <w:szCs w:val="21"/>
        </w:rPr>
        <w:t>到达</w:t>
      </w:r>
      <w:r>
        <w:rPr>
          <w:rFonts w:hint="default" w:ascii="Times New Roman" w:hAnsi="Times New Roman" w:cs="Times New Roman"/>
          <w:bCs/>
          <w:color w:val="000000"/>
          <w:sz w:val="21"/>
          <w:szCs w:val="21"/>
          <w:lang w:bidi="ar-SA"/>
        </w:rPr>
        <w:t>交货地点。</w:t>
      </w:r>
    </w:p>
    <w:p>
      <w:pPr>
        <w:spacing w:line="360" w:lineRule="auto"/>
        <w:rPr>
          <w:rFonts w:hint="default" w:ascii="Times New Roman" w:hAnsi="Times New Roman" w:cs="Times New Roman"/>
          <w:bCs/>
          <w:sz w:val="21"/>
          <w:szCs w:val="21"/>
        </w:rPr>
      </w:pPr>
      <w:r>
        <w:rPr>
          <w:rFonts w:hint="default" w:ascii="Times New Roman" w:hAnsi="Times New Roman" w:cs="Times New Roman"/>
          <w:bCs/>
          <w:color w:val="000000"/>
          <w:sz w:val="21"/>
          <w:szCs w:val="21"/>
          <w:lang w:bidi="ar-SA"/>
        </w:rPr>
        <w:t>交货地点:</w:t>
      </w:r>
      <w:r>
        <w:rPr>
          <w:rFonts w:hint="default" w:ascii="Times New Roman" w:hAnsi="Times New Roman" w:cs="Times New Roman"/>
          <w:bCs/>
          <w:color w:val="000000"/>
          <w:sz w:val="21"/>
          <w:szCs w:val="21"/>
          <w:u w:val="single"/>
          <w:lang w:bidi="ar-SA"/>
        </w:rPr>
        <w:t xml:space="preserve"> </w:t>
      </w:r>
      <w:r>
        <w:rPr>
          <w:rFonts w:hint="default" w:ascii="Times New Roman" w:hAnsi="Times New Roman" w:cs="Times New Roman"/>
          <w:bCs/>
          <w:color w:val="000000"/>
          <w:sz w:val="21"/>
          <w:szCs w:val="21"/>
          <w:u w:val="single"/>
          <w:lang w:val="en-US" w:eastAsia="zh-CN" w:bidi="ar-SA"/>
        </w:rPr>
        <w:t xml:space="preserve"> 内蒙古鄂尔多斯薛家湾神华准资</w:t>
      </w:r>
      <w:r>
        <w:rPr>
          <w:rFonts w:hint="default" w:ascii="Times New Roman" w:hAnsi="Times New Roman" w:cs="Times New Roman"/>
          <w:bCs/>
          <w:color w:val="000000"/>
          <w:sz w:val="21"/>
          <w:szCs w:val="21"/>
          <w:u w:val="single"/>
          <w:lang w:eastAsia="zh-CN" w:bidi="ar-SA"/>
        </w:rPr>
        <w:t>研发中心</w:t>
      </w:r>
      <w:r>
        <w:rPr>
          <w:rFonts w:hint="default" w:ascii="Times New Roman" w:hAnsi="Times New Roman" w:cs="Times New Roman"/>
          <w:bCs/>
          <w:color w:val="000000"/>
          <w:sz w:val="21"/>
          <w:szCs w:val="21"/>
          <w:u w:val="single"/>
          <w:lang w:bidi="ar-SA"/>
        </w:rPr>
        <w:t xml:space="preserve">  </w:t>
      </w:r>
      <w:r>
        <w:rPr>
          <w:rFonts w:hint="default" w:ascii="Times New Roman" w:hAnsi="Times New Roman" w:cs="Times New Roman"/>
          <w:bCs/>
          <w:color w:val="000000"/>
          <w:sz w:val="21"/>
          <w:szCs w:val="21"/>
          <w:lang w:bidi="ar-SA"/>
        </w:rPr>
        <w:t>。</w:t>
      </w:r>
    </w:p>
    <w:p>
      <w:pPr>
        <w:tabs>
          <w:tab w:val="left" w:pos="426"/>
        </w:tabs>
        <w:spacing w:line="360" w:lineRule="auto"/>
        <w:outlineLvl w:val="9"/>
        <w:rPr>
          <w:rStyle w:val="14"/>
          <w:rFonts w:hint="default" w:ascii="Times New Roman" w:hAnsi="Times New Roman" w:eastAsia="宋体" w:cs="Times New Roman"/>
          <w:b/>
          <w:bCs/>
          <w:sz w:val="21"/>
          <w:szCs w:val="21"/>
        </w:rPr>
      </w:pPr>
      <w:r>
        <w:rPr>
          <w:rStyle w:val="14"/>
          <w:rFonts w:hint="default" w:ascii="Times New Roman" w:hAnsi="Times New Roman" w:eastAsia="宋体" w:cs="Times New Roman"/>
          <w:b/>
          <w:bCs/>
          <w:sz w:val="21"/>
          <w:szCs w:val="21"/>
        </w:rPr>
        <w:t>2.使用条件</w:t>
      </w:r>
    </w:p>
    <w:p>
      <w:pPr>
        <w:pStyle w:val="11"/>
        <w:numPr>
          <w:ilvl w:val="0"/>
          <w:numId w:val="0"/>
        </w:numPr>
        <w:tabs>
          <w:tab w:val="left" w:pos="426"/>
        </w:tabs>
        <w:rPr>
          <w:rStyle w:val="14"/>
          <w:rFonts w:hint="default" w:ascii="Times New Roman" w:hAnsi="Times New Roman" w:eastAsia="宋体" w:cs="Times New Roman"/>
          <w:b w:val="0"/>
          <w:sz w:val="21"/>
          <w:szCs w:val="21"/>
        </w:rPr>
      </w:pPr>
      <w:r>
        <w:rPr>
          <w:rStyle w:val="14"/>
          <w:rFonts w:hint="default" w:ascii="Times New Roman" w:hAnsi="Times New Roman" w:eastAsia="宋体" w:cs="Times New Roman"/>
          <w:b w:val="0"/>
          <w:sz w:val="21"/>
          <w:szCs w:val="21"/>
        </w:rPr>
        <w:t>2.1气候条件及工作环境</w:t>
      </w:r>
    </w:p>
    <w:p>
      <w:pPr>
        <w:spacing w:line="36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年平均温度</w:t>
      </w:r>
      <w:r>
        <w:rPr>
          <w:rFonts w:hint="default" w:ascii="Times New Roman" w:hAnsi="Times New Roman" w:cs="Times New Roman"/>
          <w:color w:val="000000"/>
          <w:sz w:val="21"/>
          <w:szCs w:val="21"/>
        </w:rPr>
        <w:t>6.2</w:t>
      </w:r>
      <w:r>
        <w:rPr>
          <w:rFonts w:hint="default" w:ascii="Times New Roman" w:hAnsi="Times New Roman" w:cs="Times New Roman"/>
          <w:color w:val="000000"/>
          <w:sz w:val="21"/>
          <w:szCs w:val="21"/>
          <w:lang w:bidi="ar-SA"/>
        </w:rPr>
        <w:t>℃</w:t>
      </w:r>
      <w:r>
        <w:rPr>
          <w:rFonts w:hint="default" w:ascii="Times New Roman" w:hAnsi="Times New Roman" w:cs="Times New Roman"/>
          <w:color w:val="000000"/>
          <w:sz w:val="21"/>
          <w:szCs w:val="21"/>
        </w:rPr>
        <w:t>～8.7</w:t>
      </w:r>
      <w:r>
        <w:rPr>
          <w:rFonts w:hint="default" w:ascii="Times New Roman" w:hAnsi="Times New Roman" w:cs="Times New Roman"/>
          <w:color w:val="000000"/>
          <w:sz w:val="21"/>
          <w:szCs w:val="21"/>
          <w:lang w:bidi="ar-SA"/>
        </w:rPr>
        <w:t>℃</w:t>
      </w:r>
      <w:r>
        <w:rPr>
          <w:rFonts w:hint="default" w:ascii="Times New Roman" w:hAnsi="Times New Roman" w:cs="Times New Roman"/>
          <w:sz w:val="21"/>
          <w:szCs w:val="21"/>
        </w:rPr>
        <w:t>，最高气温达39℃，最低气温为</w:t>
      </w:r>
      <w:r>
        <w:rPr>
          <w:rFonts w:hint="default" w:ascii="Times New Roman" w:hAnsi="Times New Roman" w:cs="Times New Roman"/>
          <w:color w:val="000000"/>
          <w:sz w:val="21"/>
          <w:szCs w:val="21"/>
        </w:rPr>
        <w:t>-32.8</w:t>
      </w:r>
      <w:r>
        <w:rPr>
          <w:rFonts w:hint="default" w:ascii="Times New Roman" w:hAnsi="Times New Roman" w:cs="Times New Roman"/>
          <w:sz w:val="21"/>
          <w:szCs w:val="21"/>
        </w:rPr>
        <w:t>℃；</w:t>
      </w:r>
      <w:r>
        <w:rPr>
          <w:rFonts w:hint="default" w:ascii="Times New Roman" w:hAnsi="Times New Roman" w:cs="Times New Roman"/>
          <w:sz w:val="21"/>
          <w:szCs w:val="21"/>
          <w:lang w:val="zh-CN" w:eastAsia="zh-CN" w:bidi="ar-SA"/>
        </w:rPr>
        <w:t>海拔高度1200m；该地区的地震等级为7级</w:t>
      </w:r>
      <w:r>
        <w:rPr>
          <w:rFonts w:hint="default" w:ascii="Times New Roman" w:hAnsi="Times New Roman" w:cs="Times New Roman"/>
          <w:sz w:val="21"/>
          <w:szCs w:val="21"/>
        </w:rPr>
        <w:t>。</w:t>
      </w:r>
    </w:p>
    <w:p>
      <w:pPr>
        <w:spacing w:line="360" w:lineRule="auto"/>
        <w:outlineLvl w:val="9"/>
        <w:rPr>
          <w:rFonts w:hint="default" w:ascii="Times New Roman" w:hAnsi="Times New Roman" w:cs="Times New Roman"/>
          <w:sz w:val="21"/>
          <w:szCs w:val="21"/>
        </w:rPr>
      </w:pPr>
      <w:r>
        <w:rPr>
          <w:rFonts w:hint="default" w:ascii="Times New Roman" w:hAnsi="Times New Roman" w:cs="Times New Roman"/>
          <w:sz w:val="21"/>
          <w:szCs w:val="21"/>
        </w:rPr>
        <w:t>2.2供电自然条件</w:t>
      </w:r>
    </w:p>
    <w:p>
      <w:pPr>
        <w:spacing w:line="360" w:lineRule="auto"/>
        <w:ind w:firstLine="420" w:firstLineChars="200"/>
        <w:rPr>
          <w:rFonts w:hint="default" w:ascii="Times New Roman" w:hAnsi="Times New Roman" w:cs="Times New Roman"/>
          <w:bCs/>
          <w:snapToGrid w:val="0"/>
          <w:kern w:val="0"/>
          <w:sz w:val="21"/>
          <w:szCs w:val="21"/>
          <w:highlight w:val="none"/>
        </w:rPr>
      </w:pPr>
      <w:r>
        <w:rPr>
          <w:rFonts w:hint="default" w:ascii="Times New Roman" w:hAnsi="Times New Roman" w:cs="Times New Roman"/>
          <w:bCs/>
          <w:snapToGrid w:val="0"/>
          <w:kern w:val="0"/>
          <w:sz w:val="21"/>
          <w:szCs w:val="21"/>
        </w:rPr>
        <w:t>招标方只提供</w:t>
      </w:r>
      <w:r>
        <w:rPr>
          <w:rFonts w:hint="default" w:ascii="Times New Roman" w:hAnsi="Times New Roman" w:cs="Times New Roman"/>
          <w:bCs/>
          <w:snapToGrid w:val="0"/>
          <w:kern w:val="0"/>
          <w:sz w:val="21"/>
          <w:szCs w:val="21"/>
          <w:lang w:val="en-US" w:eastAsia="zh-CN"/>
        </w:rPr>
        <w:t xml:space="preserve"> </w:t>
      </w:r>
      <w:r>
        <w:rPr>
          <w:rFonts w:hint="default" w:ascii="Times New Roman" w:hAnsi="Times New Roman" w:cs="Times New Roman"/>
          <w:bCs/>
          <w:snapToGrid w:val="0"/>
          <w:kern w:val="0"/>
          <w:sz w:val="21"/>
          <w:szCs w:val="21"/>
          <w:highlight w:val="none"/>
          <w:u w:val="single"/>
          <w:lang w:val="en-US" w:eastAsia="zh-CN"/>
        </w:rPr>
        <w:t xml:space="preserve">  AC</w:t>
      </w:r>
      <w:r>
        <w:rPr>
          <w:rFonts w:hint="default" w:ascii="Times New Roman" w:hAnsi="Times New Roman" w:cs="Times New Roman"/>
          <w:bCs/>
          <w:color w:val="000000"/>
          <w:sz w:val="21"/>
          <w:szCs w:val="21"/>
          <w:highlight w:val="none"/>
          <w:u w:val="single"/>
          <w:lang w:val="en-US" w:eastAsia="zh-CN" w:bidi="ar-SA"/>
        </w:rPr>
        <w:t xml:space="preserve">220  </w:t>
      </w:r>
      <w:r>
        <w:rPr>
          <w:rFonts w:hint="default" w:ascii="Times New Roman" w:hAnsi="Times New Roman" w:cs="Times New Roman"/>
          <w:sz w:val="21"/>
          <w:szCs w:val="21"/>
          <w:highlight w:val="none"/>
        </w:rPr>
        <w:t>V电源，电源电压偏移±</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u w:val="single"/>
          <w:lang w:val="en-US" w:eastAsia="zh-CN" w:bidi="ar-SA"/>
        </w:rPr>
        <w:t>15</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sz w:val="21"/>
          <w:szCs w:val="21"/>
          <w:highlight w:val="none"/>
        </w:rPr>
        <w:t xml:space="preserve"> %，频率偏移50Hz±</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u w:val="single"/>
          <w:lang w:val="en-US" w:eastAsia="zh-CN" w:bidi="ar-SA"/>
        </w:rPr>
        <w:t>1</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sz w:val="21"/>
          <w:szCs w:val="21"/>
          <w:highlight w:val="none"/>
        </w:rPr>
        <w:t xml:space="preserve"> %</w:t>
      </w:r>
      <w:r>
        <w:rPr>
          <w:rFonts w:hint="default" w:ascii="Times New Roman" w:hAnsi="Times New Roman" w:cs="Times New Roman"/>
          <w:bCs/>
          <w:snapToGrid w:val="0"/>
          <w:kern w:val="0"/>
          <w:sz w:val="21"/>
          <w:szCs w:val="21"/>
          <w:highlight w:val="none"/>
        </w:rPr>
        <w:t>。投标方保证提供的设备能正常运行。</w:t>
      </w:r>
    </w:p>
    <w:p>
      <w:pPr>
        <w:spacing w:line="360" w:lineRule="auto"/>
        <w:outlineLvl w:val="9"/>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2.3设备用途</w:t>
      </w:r>
    </w:p>
    <w:p>
      <w:pPr>
        <w:tabs>
          <w:tab w:val="left" w:pos="426"/>
        </w:tabs>
        <w:spacing w:line="360" w:lineRule="auto"/>
        <w:outlineLvl w:val="9"/>
        <w:rPr>
          <w:rStyle w:val="14"/>
          <w:rFonts w:hint="default" w:ascii="Times New Roman" w:hAnsi="Times New Roman" w:eastAsia="宋体" w:cs="Times New Roman"/>
          <w:b/>
          <w:bCs/>
          <w:sz w:val="21"/>
          <w:szCs w:val="21"/>
          <w:highlight w:val="none"/>
        </w:rPr>
      </w:pPr>
      <w:r>
        <w:rPr>
          <w:rStyle w:val="14"/>
          <w:rFonts w:hint="default" w:ascii="Times New Roman" w:hAnsi="Times New Roman" w:eastAsia="宋体" w:cs="Times New Roman"/>
          <w:b/>
          <w:bCs/>
          <w:sz w:val="21"/>
          <w:szCs w:val="21"/>
          <w:highlight w:val="none"/>
          <w:lang w:eastAsia="zh-CN"/>
        </w:rPr>
        <w:t>适</w:t>
      </w:r>
      <w:r>
        <w:rPr>
          <w:rStyle w:val="14"/>
          <w:rFonts w:hint="default" w:ascii="Times New Roman" w:hAnsi="Times New Roman" w:eastAsia="宋体" w:cs="Times New Roman"/>
          <w:b/>
          <w:bCs/>
          <w:sz w:val="21"/>
          <w:szCs w:val="21"/>
          <w:highlight w:val="none"/>
        </w:rPr>
        <w:t>用于各种</w:t>
      </w:r>
      <w:r>
        <w:rPr>
          <w:rStyle w:val="14"/>
          <w:rFonts w:hint="default" w:ascii="Times New Roman" w:hAnsi="Times New Roman" w:eastAsia="宋体" w:cs="Times New Roman"/>
          <w:b/>
          <w:bCs/>
          <w:sz w:val="21"/>
          <w:szCs w:val="21"/>
          <w:highlight w:val="none"/>
          <w:lang w:eastAsia="zh-CN"/>
        </w:rPr>
        <w:t>金属、陶瓷、耐酸砖、胶黏剂、玻璃钢等</w:t>
      </w:r>
      <w:r>
        <w:rPr>
          <w:rStyle w:val="14"/>
          <w:rFonts w:hint="default" w:ascii="Times New Roman" w:hAnsi="Times New Roman" w:eastAsia="宋体" w:cs="Times New Roman"/>
          <w:b/>
          <w:bCs/>
          <w:sz w:val="21"/>
          <w:szCs w:val="21"/>
          <w:highlight w:val="none"/>
        </w:rPr>
        <w:t>材料的</w:t>
      </w:r>
      <w:r>
        <w:rPr>
          <w:rStyle w:val="14"/>
          <w:rFonts w:hint="default" w:ascii="Times New Roman" w:hAnsi="Times New Roman" w:eastAsia="宋体" w:cs="Times New Roman"/>
          <w:b/>
          <w:bCs/>
          <w:sz w:val="21"/>
          <w:szCs w:val="21"/>
          <w:highlight w:val="none"/>
          <w:lang w:eastAsia="zh-CN"/>
        </w:rPr>
        <w:t>显微</w:t>
      </w:r>
      <w:r>
        <w:rPr>
          <w:rStyle w:val="14"/>
          <w:rFonts w:hint="default" w:ascii="Times New Roman" w:hAnsi="Times New Roman" w:eastAsia="宋体" w:cs="Times New Roman"/>
          <w:b/>
          <w:bCs/>
          <w:sz w:val="21"/>
          <w:szCs w:val="21"/>
          <w:highlight w:val="none"/>
        </w:rPr>
        <w:t>硬度测试。</w:t>
      </w:r>
    </w:p>
    <w:p>
      <w:pPr>
        <w:tabs>
          <w:tab w:val="left" w:pos="426"/>
        </w:tabs>
        <w:spacing w:line="360" w:lineRule="auto"/>
        <w:outlineLvl w:val="9"/>
        <w:rPr>
          <w:rStyle w:val="14"/>
          <w:rFonts w:hint="default" w:ascii="Times New Roman" w:hAnsi="Times New Roman" w:eastAsia="宋体" w:cs="Times New Roman"/>
          <w:b/>
          <w:bCs/>
          <w:sz w:val="21"/>
          <w:szCs w:val="21"/>
          <w:highlight w:val="none"/>
        </w:rPr>
      </w:pPr>
      <w:r>
        <w:rPr>
          <w:rStyle w:val="14"/>
          <w:rFonts w:hint="default" w:ascii="Times New Roman" w:hAnsi="Times New Roman" w:eastAsia="宋体" w:cs="Times New Roman"/>
          <w:b/>
          <w:bCs/>
          <w:sz w:val="21"/>
          <w:szCs w:val="21"/>
          <w:highlight w:val="none"/>
        </w:rPr>
        <w:t>3.技术要求</w:t>
      </w:r>
    </w:p>
    <w:p>
      <w:pPr>
        <w:tabs>
          <w:tab w:val="left" w:pos="426"/>
        </w:tabs>
        <w:spacing w:line="360" w:lineRule="auto"/>
        <w:rPr>
          <w:rStyle w:val="14"/>
          <w:rFonts w:hint="default" w:ascii="Times New Roman" w:hAnsi="Times New Roman" w:eastAsia="宋体" w:cs="Times New Roman"/>
          <w:b/>
          <w:bCs/>
          <w:sz w:val="21"/>
          <w:szCs w:val="21"/>
        </w:rPr>
      </w:pPr>
      <w:r>
        <w:rPr>
          <w:rStyle w:val="14"/>
          <w:rFonts w:hint="default" w:ascii="Times New Roman" w:hAnsi="Times New Roman" w:eastAsia="宋体" w:cs="Times New Roman"/>
          <w:b/>
          <w:bCs/>
          <w:sz w:val="21"/>
          <w:szCs w:val="21"/>
          <w:lang w:val="en-US" w:eastAsia="zh-CN"/>
        </w:rPr>
        <w:t>3.1显微硬度测试仪</w:t>
      </w:r>
      <w:r>
        <w:rPr>
          <w:rStyle w:val="14"/>
          <w:rFonts w:hint="default" w:ascii="Times New Roman" w:hAnsi="Times New Roman" w:eastAsia="宋体" w:cs="Times New Roman"/>
          <w:b/>
          <w:bCs/>
          <w:sz w:val="21"/>
          <w:szCs w:val="21"/>
        </w:rPr>
        <w:t>基本技术参数</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3.1.1测试方法：维氏；</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3.1.2载荷范围：1g～10kg；</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3.1.3试验力控制精度：1g～49g相对误差＜0.1%标称值；50g～10kg相对误差＜0.02%标称值；</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3.1.4力值控制方式：全自动闭环式传感器控制；</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3.1.5高度调整：通过旋钮进行动态高度调整；</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3.1.6测试高度/喉深：145/160mm；</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3.1.7最大工件重量：50kg；</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3.1.8 满足不同的应用需求：从手动操作到全自动操作；</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3.1.9全自动电机控制加载载荷；</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3.1.10光学测试系统具有自动聚焦的功能，操作简单，图像清晰，聚焦准确，测试速度快；</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3.1.11硬度测试压力头由电机驱动自动高度调整，测试高度为140mm；</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3.1.12通过USB相机CMOS 1/2"和LED照明进行自动或手动图像分析；</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3.1.13根据材料和表面进行自动亮度调节；</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3.1.14可安装多个硬度压力头和目镜的可自动旋转六位测量转塔台；</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3.1.15拥有高精度光栅技术测量系统的全自动XY-滑块（可重复性准确度±0.001）；</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3.1.16具有多种菜单和测量功能，如可根据客户的标准、数据管理、统计及数据输出功能和文本的各种要求（PDF格式或直接打印）输出测试报告</w:t>
      </w:r>
      <w:r>
        <w:rPr>
          <w:rStyle w:val="14"/>
          <w:rFonts w:hint="default" w:ascii="Times New Roman" w:eastAsia="宋体" w:cs="Times New Roman"/>
          <w:b w:val="0"/>
          <w:sz w:val="21"/>
          <w:szCs w:val="21"/>
          <w:lang w:val="en-US" w:eastAsia="zh-CN"/>
        </w:rPr>
        <w:t>；</w:t>
      </w:r>
    </w:p>
    <w:p>
      <w:pPr>
        <w:tabs>
          <w:tab w:val="left" w:pos="900"/>
        </w:tabs>
        <w:spacing w:line="360" w:lineRule="auto"/>
        <w:rPr>
          <w:rFonts w:hint="default" w:ascii="Times New Roman" w:hAnsi="Times New Roman" w:cs="Times New Roman"/>
          <w:bCs w:val="0"/>
          <w:sz w:val="21"/>
          <w:szCs w:val="21"/>
          <w:highlight w:val="none"/>
          <w:lang w:val="en-US" w:eastAsia="zh-CN"/>
        </w:rPr>
      </w:pPr>
      <w:r>
        <w:rPr>
          <w:rFonts w:hint="default" w:ascii="Times New Roman" w:hAnsi="Times New Roman" w:cs="Times New Roman"/>
          <w:sz w:val="21"/>
          <w:szCs w:val="21"/>
          <w:highlight w:val="none"/>
        </w:rPr>
        <w:t>3.</w:t>
      </w:r>
      <w:r>
        <w:rPr>
          <w:rFonts w:hint="default" w:cs="Times New Roman"/>
          <w:sz w:val="21"/>
          <w:szCs w:val="21"/>
          <w:highlight w:val="none"/>
          <w:lang w:val="en-US" w:eastAsia="zh-CN"/>
        </w:rPr>
        <w:t>1.17</w:t>
      </w:r>
      <w:r>
        <w:rPr>
          <w:rFonts w:hint="default" w:ascii="Times New Roman" w:hAnsi="Times New Roman" w:cs="Times New Roman"/>
          <w:bCs w:val="0"/>
          <w:color w:val="000000"/>
          <w:sz w:val="21"/>
          <w:szCs w:val="21"/>
          <w:highlight w:val="none"/>
          <w:lang w:bidi="ar-SA"/>
        </w:rPr>
        <w:t>标准</w:t>
      </w:r>
      <w:r>
        <w:rPr>
          <w:rFonts w:hint="default" w:cs="Times New Roman"/>
          <w:bCs w:val="0"/>
          <w:color w:val="000000"/>
          <w:sz w:val="21"/>
          <w:szCs w:val="21"/>
          <w:highlight w:val="none"/>
          <w:lang w:eastAsia="zh-CN" w:bidi="ar-SA"/>
        </w:rPr>
        <w:t>：</w:t>
      </w:r>
      <w:r>
        <w:rPr>
          <w:rFonts w:hint="default" w:ascii="Times New Roman" w:hAnsi="Times New Roman" w:cs="Times New Roman"/>
          <w:bCs w:val="0"/>
          <w:sz w:val="21"/>
          <w:szCs w:val="21"/>
          <w:highlight w:val="none"/>
        </w:rPr>
        <w:tab/>
      </w:r>
      <w:r>
        <w:rPr>
          <w:rFonts w:hint="default" w:ascii="Times New Roman" w:hAnsi="Times New Roman" w:cs="Times New Roman"/>
          <w:bCs w:val="0"/>
          <w:sz w:val="21"/>
          <w:szCs w:val="21"/>
          <w:highlight w:val="none"/>
          <w:lang w:val="en-US" w:eastAsia="zh-CN"/>
        </w:rPr>
        <w:t>产品需通过ISO9001质量标准体系认证。</w:t>
      </w:r>
    </w:p>
    <w:p>
      <w:pPr>
        <w:tabs>
          <w:tab w:val="left" w:pos="426"/>
        </w:tabs>
        <w:spacing w:line="360" w:lineRule="auto"/>
        <w:rPr>
          <w:rStyle w:val="14"/>
          <w:rFonts w:hint="default" w:ascii="Times New Roman" w:hAnsi="Times New Roman" w:eastAsia="宋体" w:cs="Times New Roman"/>
          <w:b/>
          <w:bCs/>
          <w:sz w:val="21"/>
          <w:szCs w:val="21"/>
        </w:rPr>
      </w:pPr>
      <w:r>
        <w:rPr>
          <w:rStyle w:val="14"/>
          <w:rFonts w:hint="default" w:ascii="Times New Roman" w:hAnsi="Times New Roman" w:eastAsia="宋体" w:cs="Times New Roman"/>
          <w:b/>
          <w:bCs/>
          <w:sz w:val="21"/>
          <w:szCs w:val="21"/>
          <w:lang w:val="en-US" w:eastAsia="zh-CN"/>
        </w:rPr>
        <w:t>3.</w:t>
      </w:r>
      <w:r>
        <w:rPr>
          <w:rStyle w:val="14"/>
          <w:rFonts w:hint="eastAsia" w:ascii="Times New Roman" w:hAnsi="Times New Roman" w:eastAsia="宋体" w:cs="Times New Roman"/>
          <w:b/>
          <w:bCs/>
          <w:sz w:val="21"/>
          <w:szCs w:val="21"/>
          <w:lang w:val="en-US" w:eastAsia="zh-CN"/>
        </w:rPr>
        <w:t>2</w:t>
      </w:r>
      <w:r>
        <w:rPr>
          <w:rStyle w:val="14"/>
          <w:rFonts w:hint="default" w:ascii="Times New Roman" w:hAnsi="Times New Roman" w:eastAsia="宋体" w:cs="Times New Roman"/>
          <w:b/>
          <w:bCs/>
          <w:sz w:val="21"/>
          <w:szCs w:val="21"/>
          <w:lang w:val="en-US" w:eastAsia="zh-CN"/>
        </w:rPr>
        <w:t>数显洛式硬度计基本技术参数</w:t>
      </w:r>
    </w:p>
    <w:p>
      <w:pPr>
        <w:tabs>
          <w:tab w:val="left" w:pos="426"/>
        </w:tabs>
        <w:spacing w:line="360" w:lineRule="auto"/>
        <w:rPr>
          <w:rStyle w:val="14"/>
          <w:rFonts w:hint="default" w:ascii="Times New Roman" w:hAnsi="Times New Roman" w:eastAsia="宋体" w:cs="Times New Roman"/>
          <w:b w:val="0"/>
          <w:sz w:val="21"/>
          <w:szCs w:val="21"/>
        </w:rPr>
      </w:pPr>
      <w:r>
        <w:rPr>
          <w:rStyle w:val="14"/>
          <w:rFonts w:hint="default" w:ascii="Times New Roman" w:hAnsi="Times New Roman" w:eastAsia="宋体" w:cs="Times New Roman"/>
          <w:b w:val="0"/>
          <w:sz w:val="21"/>
          <w:szCs w:val="21"/>
          <w:lang w:val="en-US" w:eastAsia="zh-CN"/>
        </w:rPr>
        <w:t>3.2.1</w:t>
      </w:r>
      <w:r>
        <w:rPr>
          <w:rStyle w:val="14"/>
          <w:rFonts w:hint="default" w:ascii="Times New Roman" w:hAnsi="Times New Roman" w:eastAsia="宋体" w:cs="Times New Roman"/>
          <w:b w:val="0"/>
          <w:sz w:val="21"/>
          <w:szCs w:val="21"/>
        </w:rPr>
        <w:t>初试验力：</w:t>
      </w:r>
      <w:r>
        <w:rPr>
          <w:rStyle w:val="14"/>
          <w:rFonts w:hint="default" w:ascii="Times New Roman" w:hAnsi="Times New Roman" w:eastAsia="宋体" w:cs="Times New Roman"/>
          <w:b w:val="0"/>
          <w:sz w:val="21"/>
          <w:szCs w:val="21"/>
          <w:lang w:val="en-US" w:eastAsia="zh-CN"/>
        </w:rPr>
        <w:t>10kgf(98.07N)</w:t>
      </w:r>
      <w:r>
        <w:rPr>
          <w:rStyle w:val="14"/>
          <w:rFonts w:hint="default" w:ascii="Times New Roman" w:hAnsi="Times New Roman" w:eastAsia="宋体" w:cs="Times New Roman"/>
          <w:b w:val="0"/>
          <w:sz w:val="21"/>
          <w:szCs w:val="21"/>
        </w:rPr>
        <w:t>；</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3.2.2试验力： 60kgf(588N)、100kgf(980N)、150kgf(1471N)；</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3.2.3硬度读取：数字式液晶显示屏；</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3.2.4压头规格：φ3.175mm钢球压头；φ6.35mm钢球压头；φ12.7mm钢球压头；</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3.2.5洛氏标尺：HRA、HRB、HRC、HRD、HRE、HRF、HRG、HRH、HRK；</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3.2.6硬度测试范围：HRA:20-88、HRB:20-100、HRC:20-70、HRD:40-77、HRF:60-100、HRG:30-94、HRH:80-100、HRK:40-100；</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3.2.7保荷时间：1-30s。</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3.2.8其他要求：配备配套的钢球压头3只，硬度块（HRE,HRL,HRM,HRR）1套，砝码1套，大、中、 V型试台1套，仪器灯泡2只，保险丝2根及防尘塑料罩1个</w:t>
      </w:r>
    </w:p>
    <w:p>
      <w:pPr>
        <w:tabs>
          <w:tab w:val="left" w:pos="426"/>
        </w:tabs>
        <w:spacing w:line="360" w:lineRule="auto"/>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3.2.9标准：设备满足国家标准符合国标GB7407-JJG884-招标技术规范书。</w:t>
      </w:r>
    </w:p>
    <w:p>
      <w:pPr>
        <w:tabs>
          <w:tab w:val="left" w:pos="284"/>
        </w:tabs>
        <w:adjustRightInd/>
        <w:spacing w:line="360" w:lineRule="auto"/>
        <w:jc w:val="both"/>
        <w:textAlignment w:val="auto"/>
        <w:outlineLvl w:val="9"/>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4.供货范围</w:t>
      </w:r>
    </w:p>
    <w:p>
      <w:pPr>
        <w:snapToGrid w:val="0"/>
        <w:spacing w:line="360" w:lineRule="auto"/>
        <w:ind w:left="10" w:leftChars="0" w:firstLine="409" w:firstLineChars="195"/>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完整的、全新的、符合制造标准的、满足本招标技术附件各项条件及技术要求的</w:t>
      </w:r>
      <w:r>
        <w:rPr>
          <w:rFonts w:hint="default" w:ascii="Times New Roman" w:hAnsi="Times New Roman" w:eastAsia="宋体" w:cs="Times New Roman"/>
          <w:sz w:val="21"/>
          <w:szCs w:val="21"/>
          <w:highlight w:val="none"/>
          <w:lang w:eastAsia="zh-CN"/>
        </w:rPr>
        <w:t>显微硬度测试仪</w:t>
      </w:r>
      <w:r>
        <w:rPr>
          <w:rFonts w:hint="default" w:ascii="Times New Roman" w:hAnsi="Times New Roman" w:cs="Times New Roman"/>
          <w:sz w:val="21"/>
          <w:szCs w:val="21"/>
          <w:highlight w:val="none"/>
        </w:rPr>
        <w:t>，以及安装调试所需用的全部材料和零件</w:t>
      </w:r>
      <w:r>
        <w:rPr>
          <w:rFonts w:hint="default" w:ascii="Times New Roman" w:hAnsi="Times New Roman" w:cs="Times New Roman"/>
          <w:sz w:val="21"/>
          <w:szCs w:val="21"/>
          <w:highlight w:val="none"/>
          <w:lang w:eastAsia="zh-CN"/>
        </w:rPr>
        <w:t>（</w:t>
      </w:r>
      <w:r>
        <w:rPr>
          <w:rFonts w:hint="default" w:ascii="Times New Roman" w:hAnsi="Times New Roman" w:cs="Times New Roman"/>
          <w:sz w:val="21"/>
          <w:szCs w:val="21"/>
          <w:highlight w:val="none"/>
          <w:lang w:val="en-US" w:eastAsia="zh-CN"/>
        </w:rPr>
        <w:t>包括但不限于此</w:t>
      </w:r>
      <w:r>
        <w:rPr>
          <w:rFonts w:hint="default" w:ascii="Times New Roman" w:hAnsi="Times New Roman" w:cs="Times New Roman"/>
          <w:sz w:val="21"/>
          <w:szCs w:val="21"/>
          <w:highlight w:val="none"/>
          <w:lang w:eastAsia="zh-CN"/>
        </w:rPr>
        <w:t>）</w:t>
      </w:r>
      <w:r>
        <w:rPr>
          <w:rFonts w:hint="default" w:ascii="Times New Roman" w:hAnsi="Times New Roman" w:cs="Times New Roman"/>
          <w:sz w:val="21"/>
          <w:szCs w:val="21"/>
          <w:highlight w:val="none"/>
        </w:rPr>
        <w:t>。</w:t>
      </w:r>
    </w:p>
    <w:tbl>
      <w:tblPr>
        <w:tblStyle w:val="16"/>
        <w:tblW w:w="8794" w:type="dxa"/>
        <w:tblInd w:w="0" w:type="dxa"/>
        <w:tblLayout w:type="fixed"/>
        <w:tblCellMar>
          <w:top w:w="0" w:type="dxa"/>
          <w:left w:w="108" w:type="dxa"/>
          <w:bottom w:w="0" w:type="dxa"/>
          <w:right w:w="108" w:type="dxa"/>
        </w:tblCellMar>
      </w:tblPr>
      <w:tblGrid>
        <w:gridCol w:w="653"/>
        <w:gridCol w:w="1980"/>
        <w:gridCol w:w="682"/>
        <w:gridCol w:w="652"/>
        <w:gridCol w:w="1439"/>
        <w:gridCol w:w="3388"/>
      </w:tblGrid>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序号</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设备名称</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单位</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数量</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型号</w:t>
            </w:r>
            <w:r>
              <w:rPr>
                <w:rFonts w:hint="default" w:ascii="Times New Roman" w:hAnsi="Times New Roman" w:cs="Times New Roman"/>
                <w:sz w:val="21"/>
                <w:szCs w:val="21"/>
                <w:highlight w:val="none"/>
                <w:lang w:eastAsia="zh-CN"/>
              </w:rPr>
              <w:t>及产地</w:t>
            </w:r>
          </w:p>
        </w:tc>
        <w:tc>
          <w:tcPr>
            <w:tcW w:w="33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备注</w:t>
            </w: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1</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显微硬度测试仪</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台</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1</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c>
          <w:tcPr>
            <w:tcW w:w="33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2</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 w:val="21"/>
                <w:szCs w:val="21"/>
                <w:highlight w:val="none"/>
                <w:lang w:eastAsia="zh-CN"/>
              </w:rPr>
            </w:pPr>
            <w:r>
              <w:rPr>
                <w:rFonts w:hint="default" w:ascii="Times New Roman" w:hAnsi="Times New Roman" w:cs="Times New Roman"/>
                <w:szCs w:val="21"/>
                <w:highlight w:val="none"/>
              </w:rPr>
              <w:t>数显洛氏硬度计</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Cs w:val="21"/>
                <w:highlight w:val="none"/>
              </w:rPr>
              <w:t>台</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Cs w:val="21"/>
                <w:highlight w:val="none"/>
                <w:lang w:val="en-US" w:eastAsia="zh-CN"/>
              </w:rPr>
              <w:t>1</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c>
          <w:tcPr>
            <w:tcW w:w="33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r>
    </w:tbl>
    <w:p>
      <w:pPr>
        <w:tabs>
          <w:tab w:val="left" w:pos="284"/>
        </w:tabs>
        <w:adjustRightInd/>
        <w:spacing w:line="360" w:lineRule="auto"/>
        <w:jc w:val="both"/>
        <w:textAlignment w:val="auto"/>
        <w:outlineLvl w:val="9"/>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5.技术资料</w:t>
      </w:r>
    </w:p>
    <w:p>
      <w:pPr>
        <w:tabs>
          <w:tab w:val="left" w:pos="945"/>
        </w:tabs>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5.1投标方必须提供下表所列技术资料(但不限于此)，并按下表要求时间交货。</w:t>
      </w:r>
    </w:p>
    <w:tbl>
      <w:tblPr>
        <w:tblStyle w:val="16"/>
        <w:tblW w:w="86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043"/>
        <w:gridCol w:w="1305"/>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745"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序号</w:t>
            </w:r>
          </w:p>
        </w:tc>
        <w:tc>
          <w:tcPr>
            <w:tcW w:w="4043"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名称</w:t>
            </w:r>
          </w:p>
        </w:tc>
        <w:tc>
          <w:tcPr>
            <w:tcW w:w="1305"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数量</w:t>
            </w:r>
          </w:p>
        </w:tc>
        <w:tc>
          <w:tcPr>
            <w:tcW w:w="2507"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745"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1</w:t>
            </w:r>
          </w:p>
        </w:tc>
        <w:tc>
          <w:tcPr>
            <w:tcW w:w="4043" w:type="dxa"/>
            <w:vAlign w:val="center"/>
          </w:tcPr>
          <w:p>
            <w:pPr>
              <w:snapToGrid w:val="0"/>
              <w:spacing w:line="480" w:lineRule="exact"/>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产品</w:t>
            </w:r>
            <w:r>
              <w:rPr>
                <w:rFonts w:hint="default" w:ascii="Times New Roman" w:hAnsi="Times New Roman" w:cs="Times New Roman"/>
                <w:sz w:val="21"/>
                <w:szCs w:val="21"/>
                <w:highlight w:val="none"/>
              </w:rPr>
              <w:t>使用说明书</w:t>
            </w:r>
          </w:p>
        </w:tc>
        <w:tc>
          <w:tcPr>
            <w:tcW w:w="1305" w:type="dxa"/>
            <w:vAlign w:val="center"/>
          </w:tcPr>
          <w:p>
            <w:pPr>
              <w:spacing w:line="360" w:lineRule="auto"/>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各</w:t>
            </w:r>
            <w:r>
              <w:rPr>
                <w:rFonts w:hint="default" w:ascii="Times New Roman" w:hAnsi="Times New Roman" w:cs="Times New Roman"/>
                <w:sz w:val="21"/>
                <w:szCs w:val="21"/>
                <w:highlight w:val="none"/>
                <w:lang w:val="en-US" w:eastAsia="zh-CN"/>
              </w:rPr>
              <w:t>1</w:t>
            </w:r>
            <w:r>
              <w:rPr>
                <w:rFonts w:hint="eastAsia" w:cs="Times New Roman"/>
                <w:sz w:val="21"/>
                <w:szCs w:val="21"/>
                <w:highlight w:val="none"/>
                <w:lang w:val="en-US" w:eastAsia="zh-CN"/>
              </w:rPr>
              <w:t>份</w:t>
            </w:r>
          </w:p>
        </w:tc>
        <w:tc>
          <w:tcPr>
            <w:tcW w:w="2507"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45"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2</w:t>
            </w:r>
          </w:p>
        </w:tc>
        <w:tc>
          <w:tcPr>
            <w:tcW w:w="4043" w:type="dxa"/>
            <w:vAlign w:val="center"/>
          </w:tcPr>
          <w:p>
            <w:pPr>
              <w:snapToGrid w:val="0"/>
              <w:spacing w:line="480" w:lineRule="exact"/>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产品合格证</w:t>
            </w:r>
          </w:p>
        </w:tc>
        <w:tc>
          <w:tcPr>
            <w:tcW w:w="1305" w:type="dxa"/>
            <w:vAlign w:val="center"/>
          </w:tcPr>
          <w:p>
            <w:pPr>
              <w:spacing w:line="360" w:lineRule="auto"/>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各</w:t>
            </w:r>
            <w:r>
              <w:rPr>
                <w:rFonts w:hint="default" w:ascii="Times New Roman" w:hAnsi="Times New Roman" w:cs="Times New Roman"/>
                <w:sz w:val="21"/>
                <w:szCs w:val="21"/>
                <w:highlight w:val="none"/>
                <w:lang w:val="en-US" w:eastAsia="zh-CN"/>
              </w:rPr>
              <w:t>1</w:t>
            </w:r>
            <w:r>
              <w:rPr>
                <w:rFonts w:hint="eastAsia" w:cs="Times New Roman"/>
                <w:sz w:val="21"/>
                <w:szCs w:val="21"/>
                <w:highlight w:val="none"/>
                <w:lang w:val="en-US" w:eastAsia="zh-CN"/>
              </w:rPr>
              <w:t>份</w:t>
            </w:r>
          </w:p>
        </w:tc>
        <w:tc>
          <w:tcPr>
            <w:tcW w:w="2507"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与设备同时交付</w:t>
            </w:r>
          </w:p>
        </w:tc>
      </w:tr>
    </w:tbl>
    <w:p>
      <w:pPr>
        <w:tabs>
          <w:tab w:val="left" w:pos="945"/>
        </w:tabs>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5.2 </w:t>
      </w:r>
      <w:r>
        <w:rPr>
          <w:rFonts w:hint="default" w:ascii="Times New Roman" w:hAnsi="Times New Roman" w:cs="Times New Roman"/>
          <w:bCs/>
          <w:sz w:val="21"/>
          <w:szCs w:val="21"/>
          <w:highlight w:val="none"/>
        </w:rPr>
        <w:t>投标人必须交付全新的、完整的、与提供设备相符的、招标方认可的技术资料。对于缺失损坏、不符合要求的技术资料，投标方在</w:t>
      </w:r>
      <w:r>
        <w:rPr>
          <w:rFonts w:hint="default" w:ascii="Times New Roman" w:hAnsi="Times New Roman" w:cs="Times New Roman"/>
          <w:bCs/>
          <w:sz w:val="21"/>
          <w:szCs w:val="21"/>
          <w:highlight w:val="none"/>
          <w:u w:val="single"/>
        </w:rPr>
        <w:t xml:space="preserve"> </w:t>
      </w:r>
      <w:r>
        <w:rPr>
          <w:rFonts w:hint="default" w:ascii="Times New Roman" w:hAnsi="Times New Roman" w:cs="Times New Roman"/>
          <w:bCs/>
          <w:sz w:val="21"/>
          <w:szCs w:val="21"/>
          <w:highlight w:val="none"/>
          <w:u w:val="single"/>
          <w:lang w:val="en-US" w:eastAsia="zh-CN"/>
        </w:rPr>
        <w:t xml:space="preserve"> 5 </w:t>
      </w:r>
      <w:r>
        <w:rPr>
          <w:rFonts w:hint="default" w:ascii="Times New Roman" w:hAnsi="Times New Roman" w:cs="Times New Roman"/>
          <w:bCs/>
          <w:sz w:val="21"/>
          <w:szCs w:val="21"/>
          <w:highlight w:val="none"/>
          <w:u w:val="single"/>
        </w:rPr>
        <w:t xml:space="preserve"> </w:t>
      </w:r>
      <w:r>
        <w:rPr>
          <w:rFonts w:hint="default" w:ascii="Times New Roman" w:hAnsi="Times New Roman" w:cs="Times New Roman"/>
          <w:bCs/>
          <w:sz w:val="21"/>
          <w:szCs w:val="21"/>
          <w:highlight w:val="none"/>
        </w:rPr>
        <w:t>日内，补齐、更换。</w:t>
      </w:r>
    </w:p>
    <w:p>
      <w:pPr>
        <w:tabs>
          <w:tab w:val="left" w:pos="945"/>
        </w:tabs>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5.</w:t>
      </w:r>
      <w:r>
        <w:rPr>
          <w:rFonts w:hint="default" w:ascii="Times New Roman" w:hAnsi="Times New Roman" w:cs="Times New Roman"/>
          <w:sz w:val="21"/>
          <w:szCs w:val="21"/>
          <w:highlight w:val="none"/>
          <w:lang w:val="en-US" w:eastAsia="zh-CN"/>
        </w:rPr>
        <w:t>3仪器设备如有</w:t>
      </w:r>
      <w:r>
        <w:rPr>
          <w:rFonts w:hint="default" w:ascii="Times New Roman" w:hAnsi="Times New Roman" w:cs="Times New Roman"/>
          <w:bCs/>
          <w:sz w:val="21"/>
          <w:szCs w:val="21"/>
          <w:highlight w:val="none"/>
        </w:rPr>
        <w:t>采用外购</w:t>
      </w:r>
      <w:r>
        <w:rPr>
          <w:rFonts w:hint="default" w:ascii="Times New Roman" w:hAnsi="Times New Roman" w:cs="Times New Roman"/>
          <w:bCs/>
          <w:sz w:val="21"/>
          <w:szCs w:val="21"/>
          <w:highlight w:val="none"/>
          <w:lang w:eastAsia="zh-CN"/>
        </w:rPr>
        <w:t>或</w:t>
      </w:r>
      <w:r>
        <w:rPr>
          <w:rFonts w:hint="default" w:ascii="Times New Roman" w:hAnsi="Times New Roman" w:cs="Times New Roman"/>
          <w:bCs/>
          <w:sz w:val="21"/>
          <w:szCs w:val="21"/>
          <w:highlight w:val="none"/>
        </w:rPr>
        <w:t>外协件</w:t>
      </w:r>
      <w:r>
        <w:rPr>
          <w:rFonts w:hint="default" w:ascii="Times New Roman" w:hAnsi="Times New Roman" w:cs="Times New Roman"/>
          <w:bCs/>
          <w:sz w:val="21"/>
          <w:szCs w:val="21"/>
          <w:highlight w:val="none"/>
          <w:lang w:eastAsia="zh-CN"/>
        </w:rPr>
        <w:t>，</w:t>
      </w:r>
      <w:r>
        <w:rPr>
          <w:rFonts w:hint="default" w:ascii="Times New Roman" w:hAnsi="Times New Roman" w:cs="Times New Roman"/>
          <w:bCs/>
          <w:sz w:val="21"/>
          <w:szCs w:val="21"/>
          <w:highlight w:val="none"/>
        </w:rPr>
        <w:t>应提供原产地证明</w:t>
      </w:r>
      <w:r>
        <w:rPr>
          <w:rFonts w:hint="default" w:ascii="Times New Roman" w:hAnsi="Times New Roman" w:cs="Times New Roman"/>
          <w:bCs/>
          <w:sz w:val="21"/>
          <w:szCs w:val="21"/>
          <w:highlight w:val="none"/>
          <w:lang w:eastAsia="zh-CN"/>
        </w:rPr>
        <w:t>或</w:t>
      </w:r>
      <w:r>
        <w:rPr>
          <w:rFonts w:hint="default" w:ascii="Times New Roman" w:hAnsi="Times New Roman" w:cs="Times New Roman"/>
          <w:bCs/>
          <w:sz w:val="21"/>
          <w:szCs w:val="21"/>
          <w:highlight w:val="none"/>
        </w:rPr>
        <w:t>检验合格证书。</w:t>
      </w:r>
    </w:p>
    <w:p>
      <w:pPr>
        <w:tabs>
          <w:tab w:val="left" w:pos="284"/>
        </w:tabs>
        <w:adjustRightInd/>
        <w:spacing w:line="360" w:lineRule="auto"/>
        <w:jc w:val="both"/>
        <w:textAlignment w:val="auto"/>
        <w:outlineLvl w:val="9"/>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6.技术服务及培训</w:t>
      </w:r>
    </w:p>
    <w:p>
      <w:pPr>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6.1技术服务</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在</w:t>
      </w:r>
      <w:r>
        <w:rPr>
          <w:rFonts w:hint="default" w:ascii="Times New Roman" w:hAnsi="Times New Roman" w:cs="Times New Roman"/>
          <w:sz w:val="21"/>
          <w:szCs w:val="21"/>
          <w:highlight w:val="none"/>
          <w:lang w:eastAsia="zh-CN"/>
        </w:rPr>
        <w:t>设备安</w:t>
      </w:r>
      <w:r>
        <w:rPr>
          <w:rFonts w:hint="default" w:ascii="Times New Roman" w:hAnsi="Times New Roman" w:cs="Times New Roman"/>
          <w:sz w:val="21"/>
          <w:szCs w:val="21"/>
          <w:highlight w:val="none"/>
        </w:rPr>
        <w:t>装、调试、试运转以及整机质量保证期内，投标方应派遣必要数量的有资格、有经验的技术人员到招标方现场从事技术服务工作，在正确安装维修、故障排除及操作使用等方面为招标方提供技术上的帮助和支持，以保证</w:t>
      </w:r>
      <w:r>
        <w:rPr>
          <w:rFonts w:hint="default" w:ascii="Times New Roman" w:hAnsi="Times New Roman" w:cs="Times New Roman"/>
          <w:sz w:val="21"/>
          <w:szCs w:val="21"/>
          <w:highlight w:val="none"/>
          <w:lang w:eastAsia="zh-CN"/>
        </w:rPr>
        <w:t>仪器</w:t>
      </w:r>
      <w:r>
        <w:rPr>
          <w:rFonts w:hint="default" w:ascii="Times New Roman" w:hAnsi="Times New Roman" w:cs="Times New Roman"/>
          <w:sz w:val="21"/>
          <w:szCs w:val="21"/>
          <w:highlight w:val="none"/>
        </w:rPr>
        <w:t>能顺利投入使用。</w:t>
      </w:r>
    </w:p>
    <w:p>
      <w:pPr>
        <w:spacing w:line="360" w:lineRule="auto"/>
        <w:outlineLvl w:val="9"/>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6.2技术培训</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设备到货后，投标方要派遣培训专家到招标方现场，为招标方操作人员</w:t>
      </w:r>
      <w:r>
        <w:rPr>
          <w:rFonts w:hint="default" w:ascii="Times New Roman" w:hAnsi="Times New Roman" w:cs="Times New Roman"/>
          <w:sz w:val="21"/>
          <w:szCs w:val="21"/>
          <w:highlight w:val="none"/>
          <w:lang w:eastAsia="zh-CN"/>
        </w:rPr>
        <w:t>进行基础操作培训</w:t>
      </w:r>
      <w:r>
        <w:rPr>
          <w:rFonts w:hint="default" w:ascii="Times New Roman" w:hAnsi="Times New Roman" w:cs="Times New Roman"/>
          <w:sz w:val="21"/>
          <w:szCs w:val="21"/>
          <w:highlight w:val="none"/>
        </w:rPr>
        <w:t>。</w:t>
      </w:r>
    </w:p>
    <w:p>
      <w:pPr>
        <w:tabs>
          <w:tab w:val="left" w:pos="284"/>
        </w:tabs>
        <w:adjustRightInd/>
        <w:spacing w:line="360" w:lineRule="auto"/>
        <w:jc w:val="both"/>
        <w:textAlignment w:val="auto"/>
        <w:outlineLvl w:val="9"/>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7.安装调试、性能测试及考核验收</w:t>
      </w:r>
    </w:p>
    <w:p>
      <w:pPr>
        <w:snapToGrid w:val="0"/>
        <w:spacing w:line="360" w:lineRule="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7.1 安装调试</w:t>
      </w:r>
    </w:p>
    <w:p>
      <w:pPr>
        <w:snapToGrid w:val="0"/>
        <w:spacing w:line="360" w:lineRule="auto"/>
        <w:ind w:firstLine="420" w:firstLineChars="200"/>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default" w:ascii="Times New Roman" w:hAnsi="Times New Roman" w:cs="Times New Roman"/>
          <w:sz w:val="21"/>
          <w:szCs w:val="21"/>
          <w:highlight w:val="none"/>
        </w:rPr>
      </w:pPr>
      <w:r>
        <w:rPr>
          <w:rFonts w:hint="default" w:ascii="Times New Roman" w:hAnsi="Times New Roman" w:cs="Times New Roman"/>
          <w:color w:val="000000"/>
          <w:sz w:val="21"/>
          <w:szCs w:val="21"/>
          <w:highlight w:val="none"/>
        </w:rPr>
        <w:t xml:space="preserve">7.2 </w:t>
      </w:r>
      <w:r>
        <w:rPr>
          <w:rFonts w:hint="default" w:ascii="Times New Roman" w:hAnsi="Times New Roman" w:cs="Times New Roman"/>
          <w:bCs/>
          <w:color w:val="000000"/>
          <w:sz w:val="21"/>
          <w:szCs w:val="21"/>
          <w:highlight w:val="none"/>
          <w:lang w:bidi="ar-SA"/>
        </w:rPr>
        <w:t>设备组装完成后，招标方在现场将对设备进行有运转验收。试运转将由招标方操作人员在投标方技术人员的密切具体指导下进行。试运转过程中，设备所出现的故障由投标方负责解决，招标方给予协助。</w:t>
      </w:r>
    </w:p>
    <w:p>
      <w:pPr>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7.3考核验收</w:t>
      </w:r>
    </w:p>
    <w:p>
      <w:pPr>
        <w:spacing w:line="360" w:lineRule="auto"/>
        <w:rPr>
          <w:rFonts w:hint="default" w:ascii="Times New Roman" w:hAnsi="Times New Roman" w:cs="Times New Roman"/>
          <w:sz w:val="21"/>
          <w:szCs w:val="21"/>
          <w:highlight w:val="none"/>
          <w:lang w:eastAsia="zh-CN"/>
        </w:rPr>
      </w:pPr>
      <w:r>
        <w:rPr>
          <w:rFonts w:hint="default" w:ascii="Times New Roman" w:hAnsi="Times New Roman" w:cs="Times New Roman"/>
          <w:sz w:val="21"/>
          <w:szCs w:val="21"/>
          <w:highlight w:val="none"/>
          <w:lang w:val="en-US" w:eastAsia="zh-CN"/>
        </w:rPr>
        <w:t>7.3.1</w:t>
      </w:r>
      <w:r>
        <w:rPr>
          <w:rFonts w:hint="default" w:ascii="Times New Roman" w:hAnsi="Times New Roman" w:cs="Times New Roman"/>
          <w:sz w:val="21"/>
          <w:szCs w:val="21"/>
          <w:highlight w:val="none"/>
          <w:lang w:eastAsia="zh-CN"/>
        </w:rPr>
        <w:t>考核要求：</w:t>
      </w:r>
    </w:p>
    <w:p>
      <w:pPr>
        <w:spacing w:line="360" w:lineRule="auto"/>
        <w:ind w:firstLine="420" w:firstLineChars="200"/>
        <w:rPr>
          <w:rFonts w:hint="eastAsia" w:cs="Times New Roman"/>
          <w:sz w:val="21"/>
          <w:szCs w:val="21"/>
          <w:highlight w:val="none"/>
          <w:lang w:val="en-US" w:eastAsia="zh-CN"/>
        </w:rPr>
      </w:pPr>
      <w:r>
        <w:rPr>
          <w:rFonts w:hint="default" w:ascii="Times New Roman" w:hAnsi="Times New Roman" w:eastAsia="宋体" w:cs="Times New Roman"/>
          <w:sz w:val="21"/>
          <w:szCs w:val="21"/>
          <w:highlight w:val="none"/>
          <w:lang w:eastAsia="zh-CN"/>
        </w:rPr>
        <w:t>显微硬度测试仪</w:t>
      </w:r>
      <w:r>
        <w:rPr>
          <w:rFonts w:hint="eastAsia" w:ascii="Times New Roman" w:hAnsi="Times New Roman" w:cs="Times New Roman"/>
          <w:sz w:val="21"/>
          <w:szCs w:val="21"/>
          <w:highlight w:val="none"/>
          <w:lang w:eastAsia="zh-CN"/>
        </w:rPr>
        <w:t>：</w:t>
      </w:r>
      <w:r>
        <w:rPr>
          <w:rFonts w:hint="default" w:ascii="Times New Roman" w:hAnsi="Times New Roman" w:cs="Times New Roman"/>
          <w:sz w:val="21"/>
          <w:szCs w:val="21"/>
          <w:highlight w:val="none"/>
          <w:lang w:eastAsia="zh-CN"/>
        </w:rPr>
        <w:t>连续测试</w:t>
      </w:r>
      <w:r>
        <w:rPr>
          <w:rFonts w:hint="default" w:ascii="Times New Roman" w:hAnsi="Times New Roman" w:cs="Times New Roman"/>
          <w:sz w:val="21"/>
          <w:szCs w:val="21"/>
          <w:highlight w:val="none"/>
          <w:lang w:val="en-US" w:eastAsia="zh-CN"/>
        </w:rPr>
        <w:t>10次标准品的显微硬度，测试结果与标准值吻合，无故障</w:t>
      </w:r>
      <w:r>
        <w:rPr>
          <w:rFonts w:hint="eastAsia" w:cs="Times New Roman"/>
          <w:sz w:val="21"/>
          <w:szCs w:val="21"/>
          <w:highlight w:val="none"/>
          <w:lang w:val="en-US" w:eastAsia="zh-CN"/>
        </w:rPr>
        <w:t>；</w:t>
      </w:r>
    </w:p>
    <w:p>
      <w:pPr>
        <w:spacing w:line="360" w:lineRule="auto"/>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数显洛式硬度计：在标准硬度试样上进行2次实验，试验硬度值误差≤±1.5HR，硬度值重复性误差≤1.0HRC，无故障</w:t>
      </w:r>
      <w:r>
        <w:rPr>
          <w:rFonts w:hint="eastAsia" w:ascii="Times New Roman" w:hAnsi="Times New Roman" w:cs="Times New Roman"/>
          <w:sz w:val="21"/>
          <w:szCs w:val="21"/>
          <w:highlight w:val="none"/>
          <w:lang w:val="en-US" w:eastAsia="zh-CN"/>
        </w:rPr>
        <w:t>。</w:t>
      </w:r>
    </w:p>
    <w:p>
      <w:pPr>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7.3.2</w:t>
      </w:r>
      <w:r>
        <w:rPr>
          <w:rFonts w:hint="default" w:ascii="Times New Roman" w:hAnsi="Times New Roman" w:cs="Times New Roman"/>
          <w:sz w:val="21"/>
          <w:szCs w:val="21"/>
          <w:highlight w:val="none"/>
        </w:rPr>
        <w:t>设备在上述考核合格后，招标方和投标方签署验收报告。</w:t>
      </w:r>
    </w:p>
    <w:p>
      <w:pPr>
        <w:tabs>
          <w:tab w:val="left" w:pos="284"/>
        </w:tabs>
        <w:adjustRightInd/>
        <w:spacing w:line="360" w:lineRule="auto"/>
        <w:jc w:val="both"/>
        <w:textAlignment w:val="auto"/>
        <w:outlineLvl w:val="9"/>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8.质量保证</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质量保证期限为12个月。保证期限从该设备安装调试能力考核合格双方签字之日算起。质保期内</w:t>
      </w:r>
      <w:r>
        <w:rPr>
          <w:rFonts w:hint="default" w:ascii="Times New Roman" w:hAnsi="Times New Roman" w:cs="Times New Roman"/>
          <w:bCs/>
          <w:color w:val="000000"/>
          <w:sz w:val="21"/>
          <w:szCs w:val="21"/>
          <w:highlight w:val="none"/>
          <w:lang w:bidi="ar-SA"/>
        </w:rPr>
        <w:t>投标方</w:t>
      </w:r>
      <w:r>
        <w:rPr>
          <w:rFonts w:hint="default" w:ascii="Times New Roman" w:hAnsi="Times New Roman" w:cs="Times New Roman"/>
          <w:sz w:val="21"/>
          <w:szCs w:val="21"/>
          <w:highlight w:val="none"/>
        </w:rPr>
        <w:t>所供设备由于设备设计缺陷、制造质量、材料质量等原因引起的设备零部件损坏，投标方负责免费更换或维修。</w:t>
      </w:r>
    </w:p>
    <w:p>
      <w:pPr>
        <w:snapToGrid/>
        <w:spacing w:line="360" w:lineRule="auto"/>
        <w:outlineLvl w:val="9"/>
        <w:rPr>
          <w:rFonts w:hint="default" w:ascii="Times New Roman" w:hAnsi="Times New Roman" w:cs="Times New Roman"/>
          <w:b/>
          <w:bCs/>
          <w:color w:val="000000"/>
          <w:sz w:val="21"/>
          <w:szCs w:val="21"/>
          <w:highlight w:val="none"/>
        </w:rPr>
      </w:pPr>
      <w:r>
        <w:rPr>
          <w:rFonts w:hint="default" w:ascii="Times New Roman" w:hAnsi="Times New Roman" w:cs="Times New Roman"/>
          <w:b/>
          <w:bCs/>
          <w:color w:val="000000"/>
          <w:sz w:val="21"/>
          <w:szCs w:val="21"/>
          <w:highlight w:val="none"/>
        </w:rPr>
        <w:t>9.售后支持</w:t>
      </w:r>
    </w:p>
    <w:p>
      <w:pPr>
        <w:snapToGrid w:val="0"/>
        <w:spacing w:line="360" w:lineRule="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9.1 技术支持</w:t>
      </w:r>
    </w:p>
    <w:p>
      <w:pPr>
        <w:tabs>
          <w:tab w:val="left" w:pos="1460"/>
        </w:tabs>
        <w:snapToGrid w:val="0"/>
        <w:spacing w:line="360" w:lineRule="auto"/>
        <w:ind w:firstLine="420" w:firstLineChars="200"/>
        <w:rPr>
          <w:rFonts w:hint="default" w:ascii="Times New Roman" w:hAnsi="Times New Roman" w:cs="Times New Roman"/>
          <w:bCs/>
          <w:color w:val="000000"/>
          <w:sz w:val="21"/>
          <w:szCs w:val="21"/>
          <w:highlight w:val="none"/>
          <w:lang w:bidi="ar-SA"/>
        </w:rPr>
      </w:pPr>
      <w:r>
        <w:rPr>
          <w:rFonts w:hint="default" w:ascii="Times New Roman" w:hAnsi="Times New Roman" w:cs="Times New Roman"/>
          <w:bCs/>
          <w:color w:val="000000"/>
          <w:sz w:val="21"/>
          <w:szCs w:val="21"/>
          <w:highlight w:val="none"/>
          <w:lang w:bidi="ar-SA"/>
        </w:rPr>
        <w:t>投标方应在报价中说明质保期满后</w:t>
      </w:r>
      <w:r>
        <w:rPr>
          <w:rFonts w:hint="default" w:ascii="Times New Roman" w:hAnsi="Times New Roman" w:cs="Times New Roman"/>
          <w:color w:val="000000"/>
          <w:sz w:val="21"/>
          <w:szCs w:val="21"/>
          <w:highlight w:val="none"/>
        </w:rPr>
        <w:t>对所供设备提供有偿售后服务，只收取配件费用，不收取人工费</w:t>
      </w:r>
      <w:r>
        <w:rPr>
          <w:rFonts w:hint="default" w:ascii="Times New Roman" w:hAnsi="Times New Roman" w:cs="Times New Roman"/>
          <w:bCs/>
          <w:color w:val="000000"/>
          <w:sz w:val="21"/>
          <w:szCs w:val="21"/>
          <w:highlight w:val="none"/>
          <w:lang w:bidi="ar-SA"/>
        </w:rPr>
        <w:t>。</w:t>
      </w:r>
    </w:p>
    <w:p>
      <w:pPr>
        <w:snapToGrid w:val="0"/>
        <w:spacing w:line="360" w:lineRule="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9.2 维修支持</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投标方应在报价中说明质保期满后，投标方在设备维修方面能给招标方的支持。对于招标方遇到的紧急故障需要投标方帮助处理时，投标方</w:t>
      </w:r>
      <w:r>
        <w:rPr>
          <w:rFonts w:hint="default" w:ascii="Times New Roman" w:hAnsi="Times New Roman" w:cs="Times New Roman"/>
          <w:sz w:val="21"/>
          <w:szCs w:val="21"/>
          <w:highlight w:val="none"/>
          <w:lang w:eastAsia="zh-CN"/>
        </w:rPr>
        <w:t>需</w:t>
      </w:r>
      <w:r>
        <w:rPr>
          <w:rFonts w:hint="default" w:ascii="Times New Roman" w:hAnsi="Times New Roman" w:cs="Times New Roman"/>
          <w:sz w:val="21"/>
          <w:szCs w:val="21"/>
          <w:highlight w:val="none"/>
        </w:rPr>
        <w:t>以最快的速度给予支持。</w:t>
      </w:r>
    </w:p>
    <w:p>
      <w:pPr>
        <w:adjustRightInd w:val="0"/>
        <w:snapToGrid w:val="0"/>
        <w:spacing w:line="360" w:lineRule="auto"/>
        <w:rPr>
          <w:rFonts w:hint="eastAsia" w:ascii="宋体" w:hAnsi="宋体" w:eastAsia="宋体" w:cs="宋体"/>
          <w:sz w:val="21"/>
          <w:szCs w:val="21"/>
        </w:rPr>
      </w:pPr>
    </w:p>
    <w:p>
      <w:pPr>
        <w:pStyle w:val="2"/>
        <w:spacing w:line="240" w:lineRule="auto"/>
        <w:jc w:val="center"/>
        <w:rPr>
          <w:rFonts w:hint="eastAsia" w:ascii="宋体" w:hAnsi="宋体" w:eastAsia="宋体" w:cs="宋体"/>
          <w:color w:val="auto"/>
          <w:sz w:val="36"/>
          <w:szCs w:val="24"/>
          <w:highlight w:val="none"/>
          <w:lang w:eastAsia="zh-CN"/>
        </w:rPr>
      </w:pPr>
      <w:r>
        <w:rPr>
          <w:rFonts w:hint="eastAsia" w:ascii="宋体" w:hAnsi="宋体" w:eastAsia="宋体" w:cs="宋体"/>
          <w:bCs/>
          <w:color w:val="auto"/>
          <w:sz w:val="21"/>
          <w:szCs w:val="21"/>
          <w:highlight w:val="none"/>
        </w:rPr>
        <w:br w:type="page"/>
      </w:r>
      <w:bookmarkStart w:id="9" w:name="_Toc160"/>
      <w:bookmarkStart w:id="10" w:name="_Toc32065"/>
      <w:bookmarkStart w:id="11" w:name="_Toc6540"/>
      <w:r>
        <w:rPr>
          <w:rFonts w:hint="eastAsia" w:ascii="宋体" w:hAnsi="宋体" w:eastAsia="宋体" w:cs="宋体"/>
          <w:color w:val="auto"/>
          <w:sz w:val="36"/>
          <w:szCs w:val="24"/>
          <w:highlight w:val="none"/>
          <w:lang w:eastAsia="zh-CN"/>
        </w:rPr>
        <w:t>第三包：直读光谱仪等3项设备技术要求</w:t>
      </w:r>
      <w:bookmarkEnd w:id="8"/>
      <w:bookmarkEnd w:id="9"/>
      <w:bookmarkEnd w:id="10"/>
      <w:bookmarkEnd w:id="11"/>
    </w:p>
    <w:p>
      <w:pPr>
        <w:pStyle w:val="11"/>
        <w:numPr>
          <w:ilvl w:val="0"/>
          <w:numId w:val="0"/>
        </w:numPr>
        <w:tabs>
          <w:tab w:val="left" w:pos="426"/>
        </w:tabs>
        <w:spacing w:line="360" w:lineRule="auto"/>
        <w:jc w:val="both"/>
        <w:rPr>
          <w:rStyle w:val="14"/>
          <w:rFonts w:hint="default" w:ascii="Times New Roman" w:hAnsi="Times New Roman" w:eastAsia="宋体" w:cs="Times New Roman"/>
          <w:b/>
          <w:bCs/>
          <w:sz w:val="21"/>
          <w:szCs w:val="21"/>
        </w:rPr>
      </w:pPr>
      <w:r>
        <w:rPr>
          <w:rStyle w:val="14"/>
          <w:rFonts w:hint="default" w:ascii="Times New Roman" w:hAnsi="Times New Roman" w:eastAsia="宋体" w:cs="Times New Roman"/>
          <w:b/>
          <w:bCs/>
          <w:sz w:val="21"/>
          <w:szCs w:val="21"/>
        </w:rPr>
        <w:t>1.货物需求</w:t>
      </w:r>
    </w:p>
    <w:p>
      <w:pPr>
        <w:tabs>
          <w:tab w:val="left" w:pos="60"/>
        </w:tabs>
        <w:spacing w:line="360" w:lineRule="auto"/>
        <w:outlineLvl w:val="9"/>
        <w:rPr>
          <w:rFonts w:hint="default"/>
        </w:rPr>
      </w:pPr>
      <w:r>
        <w:rPr>
          <w:rFonts w:hint="default"/>
        </w:rPr>
        <w:t>1.1货物需求一览表</w:t>
      </w:r>
    </w:p>
    <w:tbl>
      <w:tblPr>
        <w:tblStyle w:val="16"/>
        <w:tblW w:w="9116" w:type="dxa"/>
        <w:tblInd w:w="0" w:type="dxa"/>
        <w:tblLayout w:type="fixed"/>
        <w:tblCellMar>
          <w:top w:w="0" w:type="dxa"/>
          <w:left w:w="108" w:type="dxa"/>
          <w:bottom w:w="0" w:type="dxa"/>
          <w:right w:w="108" w:type="dxa"/>
        </w:tblCellMar>
      </w:tblPr>
      <w:tblGrid>
        <w:gridCol w:w="869"/>
        <w:gridCol w:w="3025"/>
        <w:gridCol w:w="1075"/>
        <w:gridCol w:w="890"/>
        <w:gridCol w:w="1650"/>
        <w:gridCol w:w="1607"/>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序号</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设备名称</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单位</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数量</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型号</w:t>
            </w:r>
            <w:r>
              <w:rPr>
                <w:rFonts w:hint="default" w:ascii="Times New Roman" w:hAnsi="Times New Roman" w:cs="Times New Roman"/>
                <w:szCs w:val="21"/>
                <w:lang w:eastAsia="zh-CN"/>
              </w:rPr>
              <w:t>（产地）</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高频红外碳硫仪</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eastAsia="zh-CN"/>
              </w:rPr>
              <w:t>套</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2</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直读光谱仪</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eastAsia="zh-CN"/>
              </w:rPr>
            </w:pPr>
            <w:r>
              <w:rPr>
                <w:rFonts w:hint="default" w:ascii="Times New Roman" w:hAnsi="Times New Roman" w:cs="Times New Roman"/>
                <w:szCs w:val="21"/>
                <w:highlight w:val="none"/>
                <w:lang w:eastAsia="zh-CN"/>
              </w:rPr>
              <w:t>套</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default" w:ascii="Times New Roman" w:hAnsi="Times New Roman" w:cs="Times New Roman"/>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3</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i w:val="0"/>
                <w:color w:val="auto"/>
                <w:kern w:val="0"/>
                <w:sz w:val="21"/>
                <w:szCs w:val="21"/>
                <w:u w:val="none"/>
                <w:lang w:val="en-US" w:eastAsia="zh-CN" w:bidi="ar"/>
              </w:rPr>
              <w:t>在线</w:t>
            </w:r>
            <w:r>
              <w:rPr>
                <w:rFonts w:hint="default" w:ascii="Times New Roman" w:hAnsi="Times New Roman" w:eastAsia="宋体" w:cs="Times New Roman"/>
                <w:i w:val="0"/>
                <w:color w:val="auto"/>
                <w:kern w:val="0"/>
                <w:sz w:val="21"/>
                <w:szCs w:val="21"/>
                <w:u w:val="none"/>
                <w:lang w:val="en-US" w:eastAsia="zh-CN" w:bidi="ar"/>
              </w:rPr>
              <w:t>总有机碳分析仪</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eastAsia="zh-CN"/>
              </w:rPr>
            </w:pPr>
            <w:r>
              <w:rPr>
                <w:rFonts w:hint="default" w:ascii="Times New Roman" w:hAnsi="Times New Roman" w:cs="Times New Roman"/>
                <w:szCs w:val="21"/>
                <w:highlight w:val="none"/>
                <w:lang w:eastAsia="zh-CN"/>
              </w:rPr>
              <w:t>套</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default" w:ascii="Times New Roman" w:hAnsi="Times New Roman" w:cs="Times New Roman"/>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eastAsia" w:cs="Times New Roman"/>
                <w:color w:val="000000"/>
                <w:szCs w:val="21"/>
                <w:highlight w:val="none"/>
                <w:lang w:val="en-US" w:eastAsia="zh-CN"/>
              </w:rPr>
              <w:t>分析检测项目</w:t>
            </w:r>
          </w:p>
        </w:tc>
      </w:tr>
    </w:tbl>
    <w:p>
      <w:pPr>
        <w:spacing w:line="360" w:lineRule="auto"/>
        <w:rPr>
          <w:rFonts w:hint="default" w:ascii="Times New Roman" w:hAnsi="Times New Roman" w:cs="Times New Roman"/>
          <w:bCs/>
          <w:color w:val="000000"/>
          <w:szCs w:val="21"/>
          <w:lang w:bidi="ar-SA"/>
        </w:rPr>
      </w:pPr>
      <w:r>
        <w:rPr>
          <w:rFonts w:hint="default" w:ascii="Times New Roman" w:hAnsi="Times New Roman" w:cs="Times New Roman"/>
          <w:bCs/>
          <w:color w:val="000000"/>
          <w:szCs w:val="21"/>
          <w:lang w:bidi="ar-SA"/>
        </w:rPr>
        <w:t>1.2交货时间:自合同签订之日起</w:t>
      </w:r>
      <w:r>
        <w:rPr>
          <w:rFonts w:hint="default" w:ascii="Times New Roman" w:hAnsi="Times New Roman" w:cs="Times New Roman"/>
          <w:bCs/>
          <w:color w:val="000000"/>
          <w:szCs w:val="21"/>
          <w:u w:val="single"/>
          <w:lang w:bidi="ar-SA"/>
        </w:rPr>
        <w:t xml:space="preserve">  </w:t>
      </w:r>
      <w:r>
        <w:rPr>
          <w:rFonts w:hint="default" w:ascii="Times New Roman" w:hAnsi="Times New Roman" w:cs="Times New Roman"/>
          <w:bCs/>
          <w:color w:val="000000"/>
          <w:szCs w:val="21"/>
          <w:u w:val="single"/>
          <w:lang w:val="en-US" w:eastAsia="zh-CN" w:bidi="ar-SA"/>
        </w:rPr>
        <w:t>1</w:t>
      </w:r>
      <w:r>
        <w:rPr>
          <w:rFonts w:hint="default" w:ascii="Times New Roman" w:hAnsi="Times New Roman" w:cs="Times New Roman"/>
          <w:bCs/>
          <w:color w:val="000000"/>
          <w:szCs w:val="21"/>
          <w:u w:val="single"/>
          <w:lang w:bidi="ar-SA"/>
        </w:rPr>
        <w:t xml:space="preserve">  </w:t>
      </w:r>
      <w:r>
        <w:rPr>
          <w:rFonts w:hint="default" w:ascii="Times New Roman" w:hAnsi="Times New Roman" w:cs="Times New Roman"/>
          <w:bCs/>
          <w:color w:val="000000"/>
          <w:szCs w:val="21"/>
          <w:lang w:bidi="ar-SA"/>
        </w:rPr>
        <w:t>个月内</w:t>
      </w:r>
      <w:r>
        <w:rPr>
          <w:rFonts w:hint="default" w:ascii="Times New Roman" w:hAnsi="Times New Roman" w:cs="Times New Roman"/>
          <w:bCs/>
          <w:szCs w:val="21"/>
        </w:rPr>
        <w:t>到达</w:t>
      </w:r>
      <w:r>
        <w:rPr>
          <w:rFonts w:hint="default" w:ascii="Times New Roman" w:hAnsi="Times New Roman" w:cs="Times New Roman"/>
          <w:bCs/>
          <w:color w:val="000000"/>
          <w:szCs w:val="21"/>
          <w:lang w:bidi="ar-SA"/>
        </w:rPr>
        <w:t>交货地点。</w:t>
      </w:r>
    </w:p>
    <w:p>
      <w:pPr>
        <w:spacing w:line="360" w:lineRule="auto"/>
        <w:rPr>
          <w:rFonts w:hint="default" w:ascii="Times New Roman" w:hAnsi="Times New Roman" w:cs="Times New Roman"/>
          <w:bCs/>
          <w:szCs w:val="21"/>
        </w:rPr>
      </w:pPr>
      <w:r>
        <w:rPr>
          <w:rFonts w:hint="default" w:ascii="Times New Roman" w:hAnsi="Times New Roman" w:cs="Times New Roman"/>
          <w:bCs/>
          <w:color w:val="000000"/>
          <w:szCs w:val="21"/>
          <w:lang w:bidi="ar-SA"/>
        </w:rPr>
        <w:t>交货地点:</w:t>
      </w:r>
      <w:r>
        <w:rPr>
          <w:rFonts w:hint="default" w:ascii="Times New Roman" w:hAnsi="Times New Roman" w:cs="Times New Roman"/>
          <w:bCs/>
          <w:color w:val="000000"/>
          <w:szCs w:val="21"/>
          <w:u w:val="single"/>
          <w:lang w:bidi="ar-SA"/>
        </w:rPr>
        <w:t xml:space="preserve"> </w:t>
      </w:r>
      <w:r>
        <w:rPr>
          <w:rFonts w:hint="default" w:ascii="Times New Roman" w:hAnsi="Times New Roman" w:cs="Times New Roman"/>
          <w:bCs/>
          <w:color w:val="000000"/>
          <w:szCs w:val="21"/>
          <w:u w:val="single"/>
          <w:lang w:val="en-US" w:eastAsia="zh-CN" w:bidi="ar-SA"/>
        </w:rPr>
        <w:t xml:space="preserve"> 内蒙古鄂尔多斯薛家湾神华准资</w:t>
      </w:r>
      <w:r>
        <w:rPr>
          <w:rFonts w:hint="default" w:ascii="Times New Roman" w:hAnsi="Times New Roman" w:cs="Times New Roman"/>
          <w:bCs/>
          <w:color w:val="000000"/>
          <w:szCs w:val="21"/>
          <w:u w:val="single"/>
          <w:lang w:eastAsia="zh-CN" w:bidi="ar-SA"/>
        </w:rPr>
        <w:t>研发中心</w:t>
      </w:r>
      <w:r>
        <w:rPr>
          <w:rFonts w:hint="default" w:ascii="Times New Roman" w:hAnsi="Times New Roman" w:cs="Times New Roman"/>
          <w:bCs/>
          <w:color w:val="000000"/>
          <w:szCs w:val="21"/>
          <w:u w:val="single"/>
          <w:lang w:bidi="ar-SA"/>
        </w:rPr>
        <w:t xml:space="preserve">  </w:t>
      </w:r>
      <w:r>
        <w:rPr>
          <w:rFonts w:hint="default" w:ascii="Times New Roman" w:hAnsi="Times New Roman" w:cs="Times New Roman"/>
          <w:bCs/>
          <w:color w:val="000000"/>
          <w:szCs w:val="21"/>
          <w:lang w:bidi="ar-SA"/>
        </w:rPr>
        <w:t>。</w:t>
      </w:r>
    </w:p>
    <w:p>
      <w:pPr>
        <w:pStyle w:val="11"/>
        <w:numPr>
          <w:ilvl w:val="0"/>
          <w:numId w:val="0"/>
        </w:numPr>
        <w:tabs>
          <w:tab w:val="left" w:pos="426"/>
        </w:tabs>
        <w:spacing w:line="360" w:lineRule="auto"/>
        <w:jc w:val="both"/>
        <w:rPr>
          <w:rStyle w:val="14"/>
          <w:rFonts w:hint="default" w:ascii="Times New Roman" w:hAnsi="Times New Roman" w:eastAsia="宋体" w:cs="Times New Roman"/>
          <w:b/>
          <w:bCs/>
          <w:sz w:val="21"/>
          <w:szCs w:val="21"/>
        </w:rPr>
      </w:pPr>
      <w:r>
        <w:rPr>
          <w:rStyle w:val="14"/>
          <w:rFonts w:hint="default" w:ascii="Times New Roman" w:hAnsi="Times New Roman" w:eastAsia="宋体" w:cs="Times New Roman"/>
          <w:b/>
          <w:bCs/>
          <w:sz w:val="21"/>
          <w:szCs w:val="21"/>
        </w:rPr>
        <w:t>2.使用条件</w:t>
      </w:r>
    </w:p>
    <w:p>
      <w:pPr>
        <w:tabs>
          <w:tab w:val="left" w:pos="426"/>
        </w:tabs>
        <w:spacing w:line="360" w:lineRule="auto"/>
        <w:rPr>
          <w:rStyle w:val="14"/>
          <w:rFonts w:hint="default" w:ascii="Times New Roman" w:hAnsi="Times New Roman" w:eastAsia="宋体" w:cs="Times New Roman"/>
          <w:b w:val="0"/>
          <w:bCs/>
          <w:color w:val="000000"/>
          <w:sz w:val="21"/>
          <w:szCs w:val="21"/>
        </w:rPr>
      </w:pPr>
      <w:r>
        <w:rPr>
          <w:rStyle w:val="14"/>
          <w:rFonts w:hint="default" w:ascii="Times New Roman" w:hAnsi="Times New Roman" w:eastAsia="宋体" w:cs="Times New Roman"/>
          <w:b w:val="0"/>
          <w:bCs/>
          <w:color w:val="000000"/>
          <w:sz w:val="21"/>
          <w:szCs w:val="21"/>
        </w:rPr>
        <w:t>2.1气候条件及工作环境</w:t>
      </w:r>
    </w:p>
    <w:p>
      <w:pPr>
        <w:spacing w:line="360" w:lineRule="auto"/>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年平均温度6.2</w:t>
      </w:r>
      <w:r>
        <w:rPr>
          <w:rFonts w:hint="default" w:ascii="Times New Roman" w:hAnsi="Times New Roman" w:cs="Times New Roman"/>
          <w:bCs/>
          <w:color w:val="000000"/>
          <w:szCs w:val="21"/>
          <w:lang w:bidi="ar-SA"/>
        </w:rPr>
        <w:t>℃</w:t>
      </w:r>
      <w:r>
        <w:rPr>
          <w:rFonts w:hint="default" w:ascii="Times New Roman" w:hAnsi="Times New Roman" w:cs="Times New Roman"/>
          <w:bCs/>
          <w:color w:val="000000"/>
          <w:szCs w:val="21"/>
        </w:rPr>
        <w:t>～8.7</w:t>
      </w:r>
      <w:r>
        <w:rPr>
          <w:rFonts w:hint="default" w:ascii="Times New Roman" w:hAnsi="Times New Roman" w:cs="Times New Roman"/>
          <w:bCs/>
          <w:color w:val="000000"/>
          <w:szCs w:val="21"/>
          <w:lang w:bidi="ar-SA"/>
        </w:rPr>
        <w:t>℃</w:t>
      </w:r>
      <w:r>
        <w:rPr>
          <w:rFonts w:hint="default" w:ascii="Times New Roman" w:hAnsi="Times New Roman" w:cs="Times New Roman"/>
          <w:bCs/>
          <w:color w:val="000000"/>
          <w:szCs w:val="21"/>
        </w:rPr>
        <w:t>，最高气温达39℃，最低气温为-32.8℃；</w:t>
      </w:r>
      <w:r>
        <w:rPr>
          <w:rFonts w:hint="default" w:ascii="Times New Roman" w:hAnsi="Times New Roman" w:cs="Times New Roman"/>
          <w:bCs/>
          <w:color w:val="000000"/>
          <w:szCs w:val="21"/>
          <w:lang w:val="zh-CN" w:eastAsia="zh-CN" w:bidi="ar-SA"/>
        </w:rPr>
        <w:t>海拔高度1200m；该地区的地震等级为7级</w:t>
      </w:r>
      <w:r>
        <w:rPr>
          <w:rFonts w:hint="default" w:ascii="Times New Roman" w:hAnsi="Times New Roman" w:cs="Times New Roman"/>
          <w:bCs/>
          <w:color w:val="000000"/>
          <w:szCs w:val="21"/>
        </w:rPr>
        <w:t>。</w:t>
      </w:r>
    </w:p>
    <w:p>
      <w:pPr>
        <w:spacing w:line="360" w:lineRule="auto"/>
        <w:outlineLvl w:val="9"/>
        <w:rPr>
          <w:rFonts w:hint="default" w:ascii="Times New Roman" w:hAnsi="Times New Roman" w:cs="Times New Roman"/>
          <w:bCs/>
          <w:color w:val="000000"/>
          <w:szCs w:val="21"/>
        </w:rPr>
      </w:pPr>
      <w:r>
        <w:rPr>
          <w:rFonts w:hint="default" w:ascii="Times New Roman" w:hAnsi="Times New Roman" w:cs="Times New Roman"/>
          <w:bCs/>
          <w:color w:val="000000"/>
          <w:szCs w:val="21"/>
        </w:rPr>
        <w:t>2.2供电自然条件</w:t>
      </w:r>
    </w:p>
    <w:p>
      <w:pPr>
        <w:spacing w:line="360" w:lineRule="auto"/>
        <w:ind w:firstLine="420" w:firstLineChars="200"/>
        <w:rPr>
          <w:rFonts w:hint="default" w:ascii="Times New Roman" w:hAnsi="Times New Roman" w:cs="Times New Roman"/>
          <w:bCs/>
          <w:snapToGrid/>
          <w:color w:val="000000"/>
          <w:kern w:val="2"/>
          <w:szCs w:val="21"/>
        </w:rPr>
      </w:pPr>
      <w:r>
        <w:rPr>
          <w:rFonts w:hint="default" w:ascii="Times New Roman" w:hAnsi="Times New Roman" w:cs="Times New Roman"/>
          <w:bCs/>
          <w:snapToGrid/>
          <w:color w:val="000000"/>
          <w:kern w:val="2"/>
          <w:szCs w:val="21"/>
        </w:rPr>
        <w:t>招标方</w:t>
      </w:r>
      <w:r>
        <w:rPr>
          <w:rFonts w:hint="default" w:ascii="Times New Roman" w:hAnsi="Times New Roman" w:cs="Times New Roman"/>
          <w:bCs/>
          <w:snapToGrid/>
          <w:color w:val="000000"/>
          <w:kern w:val="2"/>
          <w:szCs w:val="21"/>
          <w:lang w:eastAsia="zh-CN"/>
        </w:rPr>
        <w:t>可</w:t>
      </w:r>
      <w:r>
        <w:rPr>
          <w:rFonts w:hint="default" w:ascii="Times New Roman" w:hAnsi="Times New Roman" w:cs="Times New Roman"/>
          <w:bCs/>
          <w:snapToGrid/>
          <w:color w:val="000000"/>
          <w:kern w:val="2"/>
          <w:szCs w:val="21"/>
        </w:rPr>
        <w:t>提供</w:t>
      </w:r>
      <w:r>
        <w:rPr>
          <w:rFonts w:hint="default" w:ascii="Times New Roman" w:hAnsi="Times New Roman" w:cs="Times New Roman"/>
          <w:bCs/>
          <w:snapToGrid/>
          <w:color w:val="000000"/>
          <w:kern w:val="2"/>
          <w:szCs w:val="21"/>
          <w:lang w:val="en-US" w:eastAsia="zh-CN"/>
        </w:rPr>
        <w:t xml:space="preserve"> </w:t>
      </w:r>
      <w:r>
        <w:rPr>
          <w:rFonts w:hint="default" w:ascii="Times New Roman" w:hAnsi="Times New Roman" w:cs="Times New Roman"/>
          <w:bCs/>
          <w:snapToGrid/>
          <w:color w:val="000000"/>
          <w:kern w:val="2"/>
          <w:szCs w:val="21"/>
          <w:u w:val="none"/>
          <w:lang w:val="en-US" w:eastAsia="zh-CN"/>
        </w:rPr>
        <w:t xml:space="preserve"> </w:t>
      </w:r>
      <w:r>
        <w:rPr>
          <w:rFonts w:hint="default" w:ascii="Times New Roman" w:hAnsi="Times New Roman" w:cs="Times New Roman"/>
          <w:bCs/>
          <w:snapToGrid/>
          <w:color w:val="000000"/>
          <w:kern w:val="2"/>
          <w:szCs w:val="21"/>
          <w:highlight w:val="none"/>
          <w:u w:val="none"/>
          <w:lang w:val="en-US" w:eastAsia="zh-CN"/>
        </w:rPr>
        <w:t xml:space="preserve"> AC</w:t>
      </w:r>
      <w:r>
        <w:rPr>
          <w:rFonts w:hint="default" w:ascii="Times New Roman" w:hAnsi="Times New Roman" w:cs="Times New Roman"/>
          <w:bCs/>
          <w:color w:val="000000"/>
          <w:szCs w:val="21"/>
          <w:highlight w:val="none"/>
          <w:u w:val="none"/>
          <w:lang w:val="en-US" w:eastAsia="zh-CN" w:bidi="ar-SA"/>
        </w:rPr>
        <w:t xml:space="preserve">220与380 </w:t>
      </w:r>
      <w:r>
        <w:rPr>
          <w:rFonts w:hint="default" w:ascii="Times New Roman" w:hAnsi="Times New Roman" w:cs="Times New Roman"/>
          <w:bCs/>
          <w:color w:val="000000"/>
          <w:szCs w:val="21"/>
          <w:u w:val="none"/>
          <w:lang w:val="en-US" w:eastAsia="zh-CN" w:bidi="ar-SA"/>
        </w:rPr>
        <w:t xml:space="preserve"> </w:t>
      </w:r>
      <w:r>
        <w:rPr>
          <w:rFonts w:hint="default" w:ascii="Times New Roman" w:hAnsi="Times New Roman" w:cs="Times New Roman"/>
          <w:bCs/>
          <w:color w:val="000000"/>
          <w:szCs w:val="21"/>
        </w:rPr>
        <w:t>V电源，电源电压偏移±</w:t>
      </w:r>
      <w:r>
        <w:rPr>
          <w:rFonts w:hint="default" w:ascii="Times New Roman" w:hAnsi="Times New Roman" w:cs="Times New Roman"/>
          <w:bCs/>
          <w:color w:val="000000"/>
          <w:szCs w:val="21"/>
          <w:u w:val="none"/>
          <w:lang w:bidi="ar-SA"/>
        </w:rPr>
        <w:t xml:space="preserve"> </w:t>
      </w:r>
      <w:r>
        <w:rPr>
          <w:rFonts w:hint="default" w:ascii="Times New Roman" w:hAnsi="Times New Roman" w:cs="Times New Roman"/>
          <w:bCs/>
          <w:color w:val="000000"/>
          <w:szCs w:val="21"/>
          <w:u w:val="none"/>
          <w:lang w:val="en-US" w:eastAsia="zh-CN" w:bidi="ar-SA"/>
        </w:rPr>
        <w:t>15</w:t>
      </w:r>
      <w:r>
        <w:rPr>
          <w:rFonts w:hint="default" w:ascii="Times New Roman" w:hAnsi="Times New Roman" w:cs="Times New Roman"/>
          <w:bCs/>
          <w:color w:val="000000"/>
          <w:szCs w:val="21"/>
          <w:u w:val="none"/>
          <w:lang w:bidi="ar-SA"/>
        </w:rPr>
        <w:t xml:space="preserve"> </w:t>
      </w:r>
      <w:r>
        <w:rPr>
          <w:rFonts w:hint="default" w:ascii="Times New Roman" w:hAnsi="Times New Roman" w:cs="Times New Roman"/>
          <w:bCs/>
          <w:color w:val="000000"/>
          <w:szCs w:val="21"/>
        </w:rPr>
        <w:t xml:space="preserve"> %，频率偏移50Hz±</w:t>
      </w:r>
      <w:r>
        <w:rPr>
          <w:rFonts w:hint="default" w:ascii="Times New Roman" w:hAnsi="Times New Roman" w:cs="Times New Roman"/>
          <w:bCs/>
          <w:color w:val="000000"/>
          <w:szCs w:val="21"/>
          <w:u w:val="none"/>
          <w:lang w:bidi="ar-SA"/>
        </w:rPr>
        <w:t xml:space="preserve"> </w:t>
      </w:r>
      <w:r>
        <w:rPr>
          <w:rFonts w:hint="default" w:ascii="Times New Roman" w:hAnsi="Times New Roman" w:cs="Times New Roman"/>
          <w:bCs/>
          <w:color w:val="000000"/>
          <w:szCs w:val="21"/>
          <w:u w:val="none"/>
          <w:lang w:val="en-US" w:eastAsia="zh-CN" w:bidi="ar-SA"/>
        </w:rPr>
        <w:t>1</w:t>
      </w:r>
      <w:r>
        <w:rPr>
          <w:rFonts w:hint="default" w:ascii="Times New Roman" w:hAnsi="Times New Roman" w:cs="Times New Roman"/>
          <w:bCs/>
          <w:color w:val="000000"/>
          <w:szCs w:val="21"/>
          <w:u w:val="none"/>
          <w:lang w:bidi="ar-SA"/>
        </w:rPr>
        <w:t xml:space="preserve"> </w:t>
      </w:r>
      <w:r>
        <w:rPr>
          <w:rFonts w:hint="default" w:ascii="Times New Roman" w:hAnsi="Times New Roman" w:cs="Times New Roman"/>
          <w:bCs/>
          <w:color w:val="000000"/>
          <w:szCs w:val="21"/>
        </w:rPr>
        <w:t xml:space="preserve"> %</w:t>
      </w:r>
      <w:r>
        <w:rPr>
          <w:rFonts w:hint="default" w:ascii="Times New Roman" w:hAnsi="Times New Roman" w:cs="Times New Roman"/>
          <w:bCs/>
          <w:snapToGrid/>
          <w:color w:val="000000"/>
          <w:kern w:val="2"/>
          <w:szCs w:val="21"/>
        </w:rPr>
        <w:t>。投标方保证提供的设备能正常运行。</w:t>
      </w:r>
    </w:p>
    <w:p>
      <w:pPr>
        <w:spacing w:line="360" w:lineRule="auto"/>
        <w:outlineLvl w:val="9"/>
        <w:rPr>
          <w:rFonts w:hint="default" w:ascii="Times New Roman" w:hAnsi="Times New Roman" w:cs="Times New Roman"/>
          <w:bCs/>
          <w:color w:val="000000"/>
          <w:szCs w:val="21"/>
        </w:rPr>
      </w:pPr>
      <w:r>
        <w:rPr>
          <w:rFonts w:hint="default" w:ascii="Times New Roman" w:hAnsi="Times New Roman" w:cs="Times New Roman"/>
          <w:bCs/>
          <w:color w:val="000000"/>
          <w:szCs w:val="21"/>
        </w:rPr>
        <w:t>2.3设备用途</w:t>
      </w:r>
    </w:p>
    <w:p>
      <w:pPr>
        <w:spacing w:line="360" w:lineRule="auto"/>
        <w:ind w:firstLine="420" w:firstLineChars="200"/>
        <w:rPr>
          <w:rFonts w:hint="default" w:ascii="Times New Roman" w:hAnsi="Times New Roman" w:cs="Times New Roman"/>
          <w:bCs/>
          <w:snapToGrid/>
          <w:color w:val="000000"/>
          <w:kern w:val="2"/>
          <w:szCs w:val="21"/>
        </w:rPr>
      </w:pPr>
      <w:r>
        <w:rPr>
          <w:rFonts w:hint="default" w:ascii="Times New Roman" w:hAnsi="Times New Roman" w:cs="Times New Roman"/>
          <w:bCs/>
          <w:snapToGrid/>
          <w:color w:val="000000"/>
          <w:kern w:val="2"/>
          <w:szCs w:val="21"/>
        </w:rPr>
        <w:t>高频红外碳硫仪用于测定不锈钢、碳钢、合金钢、灰铁、球铁、有色金属、稀土金属、矿物质等各种固体原材料中碳、硫含量的测定。</w:t>
      </w:r>
    </w:p>
    <w:p>
      <w:pPr>
        <w:spacing w:line="360" w:lineRule="auto"/>
        <w:ind w:firstLine="420" w:firstLineChars="200"/>
        <w:rPr>
          <w:rFonts w:hint="default" w:ascii="Times New Roman" w:hAnsi="Times New Roman" w:cs="Times New Roman"/>
          <w:bCs/>
          <w:snapToGrid/>
          <w:color w:val="000000"/>
          <w:kern w:val="2"/>
          <w:szCs w:val="21"/>
        </w:rPr>
      </w:pPr>
      <w:r>
        <w:rPr>
          <w:rFonts w:hint="default" w:ascii="Times New Roman" w:hAnsi="Times New Roman" w:cs="Times New Roman"/>
          <w:bCs/>
          <w:snapToGrid/>
          <w:color w:val="000000"/>
          <w:kern w:val="2"/>
          <w:szCs w:val="21"/>
          <w:lang w:val="en-US" w:eastAsia="zh-CN"/>
        </w:rPr>
        <w:t>在线总有机碳分析仪用于溶液中有机碳含量测试</w:t>
      </w:r>
      <w:r>
        <w:rPr>
          <w:rFonts w:hint="default" w:cs="Times New Roman"/>
          <w:bCs/>
          <w:snapToGrid/>
          <w:color w:val="000000"/>
          <w:kern w:val="2"/>
          <w:szCs w:val="21"/>
          <w:lang w:val="en-US" w:eastAsia="zh-CN"/>
        </w:rPr>
        <w:t>。</w:t>
      </w:r>
    </w:p>
    <w:p>
      <w:pPr>
        <w:pStyle w:val="11"/>
        <w:numPr>
          <w:ilvl w:val="0"/>
          <w:numId w:val="0"/>
        </w:numPr>
        <w:tabs>
          <w:tab w:val="left" w:pos="426"/>
        </w:tabs>
        <w:spacing w:line="360" w:lineRule="auto"/>
        <w:jc w:val="both"/>
        <w:outlineLvl w:val="9"/>
        <w:rPr>
          <w:rStyle w:val="14"/>
          <w:rFonts w:hint="default" w:ascii="Times New Roman" w:hAnsi="Times New Roman" w:eastAsia="宋体" w:cs="Times New Roman"/>
          <w:b/>
          <w:bCs/>
          <w:sz w:val="21"/>
          <w:szCs w:val="21"/>
          <w:highlight w:val="none"/>
        </w:rPr>
      </w:pPr>
      <w:r>
        <w:rPr>
          <w:rStyle w:val="14"/>
          <w:rFonts w:hint="default" w:ascii="Times New Roman" w:hAnsi="Times New Roman" w:eastAsia="宋体" w:cs="Times New Roman"/>
          <w:b/>
          <w:bCs/>
          <w:sz w:val="21"/>
          <w:szCs w:val="21"/>
          <w:highlight w:val="none"/>
        </w:rPr>
        <w:t>3.技术要求</w:t>
      </w:r>
    </w:p>
    <w:p>
      <w:pPr>
        <w:pStyle w:val="11"/>
        <w:numPr>
          <w:ilvl w:val="0"/>
          <w:numId w:val="0"/>
        </w:numPr>
        <w:tabs>
          <w:tab w:val="left" w:pos="426"/>
        </w:tabs>
        <w:spacing w:line="360" w:lineRule="auto"/>
        <w:jc w:val="both"/>
        <w:outlineLvl w:val="9"/>
        <w:rPr>
          <w:rStyle w:val="14"/>
          <w:rFonts w:hint="default" w:ascii="Times New Roman" w:hAnsi="Times New Roman" w:eastAsia="宋体" w:cs="Times New Roman"/>
          <w:b/>
          <w:bCs/>
          <w:sz w:val="21"/>
          <w:szCs w:val="21"/>
        </w:rPr>
      </w:pPr>
      <w:r>
        <w:rPr>
          <w:rStyle w:val="14"/>
          <w:rFonts w:hint="default" w:ascii="Times New Roman" w:hAnsi="Times New Roman" w:eastAsia="宋体" w:cs="Times New Roman"/>
          <w:b/>
          <w:bCs/>
          <w:sz w:val="21"/>
          <w:szCs w:val="21"/>
          <w:lang w:val="en-US" w:eastAsia="zh-CN"/>
        </w:rPr>
        <w:t>3.1高频红外碳硫仪</w:t>
      </w:r>
      <w:r>
        <w:rPr>
          <w:rStyle w:val="14"/>
          <w:rFonts w:hint="default" w:ascii="Times New Roman" w:hAnsi="Times New Roman" w:eastAsia="宋体" w:cs="Times New Roman"/>
          <w:b/>
          <w:bCs/>
          <w:sz w:val="21"/>
          <w:szCs w:val="21"/>
        </w:rPr>
        <w:t>基本技术参数</w:t>
      </w:r>
    </w:p>
    <w:p>
      <w:pPr>
        <w:tabs>
          <w:tab w:val="left" w:pos="426"/>
        </w:tabs>
        <w:spacing w:line="360" w:lineRule="auto"/>
        <w:outlineLvl w:val="9"/>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3.1.1</w:t>
      </w:r>
      <w:r>
        <w:rPr>
          <w:rStyle w:val="14"/>
          <w:rFonts w:hint="default" w:ascii="Times New Roman" w:hAnsi="Times New Roman" w:eastAsia="宋体" w:cs="Times New Roman"/>
          <w:b w:val="0"/>
          <w:sz w:val="21"/>
          <w:szCs w:val="21"/>
        </w:rPr>
        <w:t>分析范围：低碳：0.00001%～4%，高碳：4%～99.999%，低硫：0.00001～1%，高硫：1%～99.999%；灵敏度：0.00001%</w:t>
      </w:r>
      <w:r>
        <w:rPr>
          <w:rStyle w:val="14"/>
          <w:rFonts w:hint="default" w:ascii="Times New Roman" w:hAnsi="Times New Roman" w:eastAsia="宋体" w:cs="Times New Roman"/>
          <w:b w:val="0"/>
          <w:sz w:val="21"/>
          <w:szCs w:val="21"/>
          <w:lang w:val="en-US" w:eastAsia="zh-CN"/>
        </w:rPr>
        <w:t>；</w:t>
      </w:r>
    </w:p>
    <w:p>
      <w:pPr>
        <w:tabs>
          <w:tab w:val="left" w:pos="426"/>
        </w:tabs>
        <w:spacing w:line="360" w:lineRule="auto"/>
        <w:outlineLvl w:val="9"/>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3.1.2分析精度：碳：RSD≤0.5%；硫：RSD≤1.0%；灵敏度0.1ppm；</w:t>
      </w:r>
    </w:p>
    <w:p>
      <w:pPr>
        <w:tabs>
          <w:tab w:val="left" w:pos="426"/>
        </w:tabs>
        <w:spacing w:line="360" w:lineRule="auto"/>
        <w:outlineLvl w:val="9"/>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3.1.3分析误差：碳优于ISO9556-94标准；硫优于ISO4935-94标准；</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3.1.4分析时间：20～40s可调（一般在35秒左右）；</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3.1.5高频炉功率：2.5KW；</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3.1.6电子天平：称量范围：0～100g；称量精度：0.0001g。</w:t>
      </w:r>
    </w:p>
    <w:p>
      <w:pPr>
        <w:tabs>
          <w:tab w:val="left" w:pos="426"/>
        </w:tabs>
        <w:spacing w:line="360" w:lineRule="auto"/>
        <w:outlineLvl w:val="9"/>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3.1.7 计算机：CPU：英特尔I3处理器及以上，硬盘：500G、7200转，内存：4G 、DDR3，</w:t>
      </w:r>
      <w:r>
        <w:rPr>
          <w:rStyle w:val="14"/>
          <w:rFonts w:hint="default" w:ascii="Times New Roman" w:hAnsi="Times New Roman" w:eastAsia="宋体" w:cs="Times New Roman"/>
          <w:b w:val="0"/>
          <w:bCs/>
          <w:color w:val="000000"/>
          <w:sz w:val="21"/>
          <w:szCs w:val="21"/>
          <w:lang w:val="en-US" w:eastAsia="zh-CN"/>
        </w:rPr>
        <w:t>显示器</w:t>
      </w:r>
      <w:r>
        <w:rPr>
          <w:rStyle w:val="14"/>
          <w:rFonts w:hint="default" w:ascii="Times New Roman" w:hAnsi="Times New Roman" w:eastAsia="宋体" w:cs="Times New Roman"/>
          <w:b w:val="0"/>
          <w:sz w:val="21"/>
          <w:szCs w:val="21"/>
          <w:lang w:val="en-US" w:eastAsia="zh-CN"/>
        </w:rPr>
        <w:t>：液晶、1600*900分辨率，Windows7及以上操作软件、防水键盘、光电鼠标。</w:t>
      </w:r>
    </w:p>
    <w:p>
      <w:pPr>
        <w:tabs>
          <w:tab w:val="left" w:pos="426"/>
        </w:tabs>
        <w:spacing w:line="360" w:lineRule="auto"/>
        <w:outlineLvl w:val="9"/>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3.1.8打印机：黑白打印机、打印精度4800*1200dpi、使用功耗最大10w、最大打印幅面：A4、支持网络打印、支持双面打印、供纸方式：自动、打印速度：25页每分钟系统平台Windows8/Windows7/windows10等。HP Desk jet 1112(参考型号)</w:t>
      </w:r>
    </w:p>
    <w:p>
      <w:pPr>
        <w:tabs>
          <w:tab w:val="left" w:pos="426"/>
        </w:tabs>
        <w:spacing w:line="360" w:lineRule="auto"/>
        <w:outlineLvl w:val="9"/>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3.1.9标准：设备满足碳:符合ISO9556～94标准 硫:符合ISO4935～94标准。</w:t>
      </w:r>
    </w:p>
    <w:p>
      <w:pPr>
        <w:tabs>
          <w:tab w:val="left" w:pos="426"/>
        </w:tabs>
        <w:spacing w:line="360" w:lineRule="auto"/>
        <w:outlineLvl w:val="9"/>
        <w:rPr>
          <w:rStyle w:val="14"/>
          <w:rFonts w:hint="default" w:ascii="Times New Roman" w:hAnsi="Times New Roman" w:eastAsia="宋体" w:cs="Times New Roman"/>
          <w:b/>
          <w:bCs/>
          <w:sz w:val="21"/>
          <w:szCs w:val="21"/>
        </w:rPr>
      </w:pPr>
      <w:r>
        <w:rPr>
          <w:rStyle w:val="14"/>
          <w:rFonts w:hint="default" w:ascii="Times New Roman" w:hAnsi="Times New Roman" w:eastAsia="宋体" w:cs="Times New Roman"/>
          <w:b/>
          <w:bCs/>
          <w:sz w:val="21"/>
          <w:szCs w:val="21"/>
          <w:lang w:val="en-US" w:eastAsia="zh-CN"/>
        </w:rPr>
        <w:t>3.</w:t>
      </w:r>
      <w:r>
        <w:rPr>
          <w:rStyle w:val="14"/>
          <w:rFonts w:hint="eastAsia" w:ascii="Times New Roman" w:eastAsia="宋体" w:cs="Times New Roman"/>
          <w:b/>
          <w:bCs/>
          <w:sz w:val="21"/>
          <w:szCs w:val="21"/>
          <w:lang w:val="en-US" w:eastAsia="zh-CN"/>
        </w:rPr>
        <w:t>2</w:t>
      </w:r>
      <w:r>
        <w:rPr>
          <w:rStyle w:val="14"/>
          <w:rFonts w:hint="default" w:ascii="Times New Roman" w:hAnsi="Times New Roman" w:eastAsia="宋体" w:cs="Times New Roman"/>
          <w:b/>
          <w:bCs/>
          <w:sz w:val="21"/>
          <w:szCs w:val="21"/>
          <w:lang w:val="en-US" w:eastAsia="zh-CN"/>
        </w:rPr>
        <w:t>直读光谱仪</w:t>
      </w:r>
      <w:r>
        <w:rPr>
          <w:rStyle w:val="14"/>
          <w:rFonts w:hint="default" w:ascii="Times New Roman" w:hAnsi="Times New Roman" w:eastAsia="宋体" w:cs="Times New Roman"/>
          <w:b/>
          <w:bCs/>
          <w:sz w:val="21"/>
          <w:szCs w:val="21"/>
        </w:rPr>
        <w:t>基本技术参数</w:t>
      </w:r>
    </w:p>
    <w:p>
      <w:pPr>
        <w:tabs>
          <w:tab w:val="left" w:pos="426"/>
        </w:tabs>
        <w:spacing w:line="360" w:lineRule="auto"/>
        <w:outlineLvl w:val="9"/>
        <w:rPr>
          <w:rStyle w:val="14"/>
          <w:rFonts w:hint="default" w:ascii="Times New Roman" w:hAnsi="Times New Roman" w:eastAsia="宋体" w:cs="Times New Roman"/>
          <w:b w:val="0"/>
          <w:sz w:val="21"/>
          <w:szCs w:val="21"/>
        </w:rPr>
      </w:pPr>
      <w:r>
        <w:rPr>
          <w:rStyle w:val="14"/>
          <w:rFonts w:hint="default" w:ascii="Times New Roman" w:hAnsi="Times New Roman" w:eastAsia="宋体" w:cs="Times New Roman"/>
          <w:b w:val="0"/>
          <w:sz w:val="21"/>
          <w:szCs w:val="21"/>
          <w:lang w:val="en-US" w:eastAsia="zh-CN"/>
        </w:rPr>
        <w:t>3.</w:t>
      </w:r>
      <w:r>
        <w:rPr>
          <w:rStyle w:val="14"/>
          <w:rFonts w:hint="eastAsia" w:ascii="Times New Roman" w:eastAsia="宋体" w:cs="Times New Roman"/>
          <w:b w:val="0"/>
          <w:sz w:val="21"/>
          <w:szCs w:val="21"/>
          <w:lang w:val="en-US" w:eastAsia="zh-CN"/>
        </w:rPr>
        <w:t>2</w:t>
      </w:r>
      <w:r>
        <w:rPr>
          <w:rStyle w:val="14"/>
          <w:rFonts w:hint="default" w:ascii="Times New Roman" w:hAnsi="Times New Roman" w:eastAsia="宋体" w:cs="Times New Roman"/>
          <w:b w:val="0"/>
          <w:sz w:val="21"/>
          <w:szCs w:val="21"/>
          <w:lang w:val="en-US" w:eastAsia="zh-CN"/>
        </w:rPr>
        <w:t>.1波长范围：170-685nm；</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w:t>
      </w:r>
      <w:r>
        <w:rPr>
          <w:rStyle w:val="14"/>
          <w:rFonts w:hint="default" w:ascii="Times New Roman" w:eastAsia="宋体" w:cs="Times New Roman"/>
          <w:b w:val="0"/>
          <w:bCs/>
          <w:color w:val="000000"/>
          <w:sz w:val="21"/>
          <w:szCs w:val="21"/>
          <w:lang w:val="en-US" w:eastAsia="zh-CN"/>
        </w:rPr>
        <w:t>2</w:t>
      </w:r>
      <w:r>
        <w:rPr>
          <w:rStyle w:val="14"/>
          <w:rFonts w:hint="default" w:ascii="Times New Roman" w:hAnsi="Times New Roman" w:eastAsia="宋体" w:cs="Times New Roman"/>
          <w:b w:val="0"/>
          <w:bCs/>
          <w:color w:val="000000"/>
          <w:sz w:val="21"/>
          <w:szCs w:val="21"/>
          <w:lang w:val="en-US" w:eastAsia="zh-CN"/>
        </w:rPr>
        <w:t>.2通道数：32；</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w:t>
      </w:r>
      <w:r>
        <w:rPr>
          <w:rStyle w:val="14"/>
          <w:rFonts w:hint="default" w:ascii="Times New Roman" w:eastAsia="宋体" w:cs="Times New Roman"/>
          <w:b w:val="0"/>
          <w:bCs/>
          <w:color w:val="000000"/>
          <w:sz w:val="21"/>
          <w:szCs w:val="21"/>
          <w:lang w:val="en-US" w:eastAsia="zh-CN"/>
        </w:rPr>
        <w:t>2</w:t>
      </w:r>
      <w:r>
        <w:rPr>
          <w:rStyle w:val="14"/>
          <w:rFonts w:hint="default" w:ascii="Times New Roman" w:hAnsi="Times New Roman" w:eastAsia="宋体" w:cs="Times New Roman"/>
          <w:b w:val="0"/>
          <w:bCs/>
          <w:color w:val="000000"/>
          <w:sz w:val="21"/>
          <w:szCs w:val="21"/>
          <w:lang w:val="en-US" w:eastAsia="zh-CN"/>
        </w:rPr>
        <w:t>.3刻线数：3600/mm；</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w:t>
      </w:r>
      <w:r>
        <w:rPr>
          <w:rStyle w:val="14"/>
          <w:rFonts w:hint="default" w:ascii="Times New Roman" w:eastAsia="宋体" w:cs="Times New Roman"/>
          <w:b w:val="0"/>
          <w:bCs/>
          <w:color w:val="000000"/>
          <w:sz w:val="21"/>
          <w:szCs w:val="21"/>
          <w:lang w:val="en-US" w:eastAsia="zh-CN"/>
        </w:rPr>
        <w:t>2</w:t>
      </w:r>
      <w:r>
        <w:rPr>
          <w:rStyle w:val="14"/>
          <w:rFonts w:hint="default" w:ascii="Times New Roman" w:hAnsi="Times New Roman" w:eastAsia="宋体" w:cs="Times New Roman"/>
          <w:b w:val="0"/>
          <w:bCs/>
          <w:color w:val="000000"/>
          <w:sz w:val="21"/>
          <w:szCs w:val="21"/>
          <w:lang w:val="en-US" w:eastAsia="zh-CN"/>
        </w:rPr>
        <w:t>.4焦距：400mm；</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w:t>
      </w:r>
      <w:r>
        <w:rPr>
          <w:rStyle w:val="14"/>
          <w:rFonts w:hint="default" w:ascii="Times New Roman" w:eastAsia="宋体" w:cs="Times New Roman"/>
          <w:b w:val="0"/>
          <w:bCs/>
          <w:color w:val="000000"/>
          <w:sz w:val="21"/>
          <w:szCs w:val="21"/>
          <w:lang w:val="en-US" w:eastAsia="zh-CN"/>
        </w:rPr>
        <w:t>2</w:t>
      </w:r>
      <w:r>
        <w:rPr>
          <w:rStyle w:val="14"/>
          <w:rFonts w:hint="default" w:ascii="Times New Roman" w:hAnsi="Times New Roman" w:eastAsia="宋体" w:cs="Times New Roman"/>
          <w:b w:val="0"/>
          <w:bCs/>
          <w:color w:val="000000"/>
          <w:sz w:val="21"/>
          <w:szCs w:val="21"/>
          <w:lang w:val="en-US" w:eastAsia="zh-CN"/>
        </w:rPr>
        <w:t>.5检测器：PMT+CCD；</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w:t>
      </w:r>
      <w:r>
        <w:rPr>
          <w:rStyle w:val="14"/>
          <w:rFonts w:hint="default" w:ascii="Times New Roman" w:eastAsia="宋体" w:cs="Times New Roman"/>
          <w:b w:val="0"/>
          <w:bCs/>
          <w:color w:val="000000"/>
          <w:sz w:val="21"/>
          <w:szCs w:val="21"/>
          <w:lang w:val="en-US" w:eastAsia="zh-CN"/>
        </w:rPr>
        <w:t>2</w:t>
      </w:r>
      <w:r>
        <w:rPr>
          <w:rStyle w:val="14"/>
          <w:rFonts w:hint="default" w:ascii="Times New Roman" w:hAnsi="Times New Roman" w:eastAsia="宋体" w:cs="Times New Roman"/>
          <w:b w:val="0"/>
          <w:bCs/>
          <w:color w:val="000000"/>
          <w:sz w:val="21"/>
          <w:szCs w:val="21"/>
          <w:lang w:val="en-US" w:eastAsia="zh-CN"/>
        </w:rPr>
        <w:t>.6激发方式：火花；</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w:t>
      </w:r>
      <w:r>
        <w:rPr>
          <w:rStyle w:val="14"/>
          <w:rFonts w:hint="default" w:ascii="Times New Roman" w:eastAsia="宋体" w:cs="Times New Roman"/>
          <w:b w:val="0"/>
          <w:bCs/>
          <w:color w:val="000000"/>
          <w:sz w:val="21"/>
          <w:szCs w:val="21"/>
          <w:lang w:val="en-US" w:eastAsia="zh-CN"/>
        </w:rPr>
        <w:t>2</w:t>
      </w:r>
      <w:r>
        <w:rPr>
          <w:rStyle w:val="14"/>
          <w:rFonts w:hint="default" w:ascii="Times New Roman" w:hAnsi="Times New Roman" w:eastAsia="宋体" w:cs="Times New Roman"/>
          <w:b w:val="0"/>
          <w:bCs/>
          <w:color w:val="000000"/>
          <w:sz w:val="21"/>
          <w:szCs w:val="21"/>
          <w:lang w:val="en-US" w:eastAsia="zh-CN"/>
        </w:rPr>
        <w:t>.7检测期间氩气消耗≤2.5L/min；</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w:t>
      </w:r>
      <w:r>
        <w:rPr>
          <w:rStyle w:val="14"/>
          <w:rFonts w:hint="default" w:ascii="Times New Roman" w:eastAsia="宋体" w:cs="Times New Roman"/>
          <w:b w:val="0"/>
          <w:bCs/>
          <w:color w:val="000000"/>
          <w:sz w:val="21"/>
          <w:szCs w:val="21"/>
          <w:lang w:val="en-US" w:eastAsia="zh-CN"/>
        </w:rPr>
        <w:t>2</w:t>
      </w:r>
      <w:r>
        <w:rPr>
          <w:rStyle w:val="14"/>
          <w:rFonts w:hint="default" w:ascii="Times New Roman" w:hAnsi="Times New Roman" w:eastAsia="宋体" w:cs="Times New Roman"/>
          <w:b w:val="0"/>
          <w:bCs/>
          <w:color w:val="000000"/>
          <w:sz w:val="21"/>
          <w:szCs w:val="21"/>
          <w:lang w:val="en-US" w:eastAsia="zh-CN"/>
        </w:rPr>
        <w:t>.8工作温度：0-50℃；</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w:t>
      </w:r>
      <w:r>
        <w:rPr>
          <w:rStyle w:val="14"/>
          <w:rFonts w:hint="default" w:ascii="Times New Roman" w:eastAsia="宋体" w:cs="Times New Roman"/>
          <w:b w:val="0"/>
          <w:bCs/>
          <w:color w:val="000000"/>
          <w:sz w:val="21"/>
          <w:szCs w:val="21"/>
          <w:lang w:val="en-US" w:eastAsia="zh-CN"/>
        </w:rPr>
        <w:t>2</w:t>
      </w:r>
      <w:r>
        <w:rPr>
          <w:rStyle w:val="14"/>
          <w:rFonts w:hint="default" w:ascii="Times New Roman" w:hAnsi="Times New Roman" w:eastAsia="宋体" w:cs="Times New Roman"/>
          <w:b w:val="0"/>
          <w:bCs/>
          <w:color w:val="000000"/>
          <w:sz w:val="21"/>
          <w:szCs w:val="21"/>
          <w:lang w:val="en-US" w:eastAsia="zh-CN"/>
        </w:rPr>
        <w:t>.9需配备铁基体标样5套以上、铝基体标样3套以上。</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3.</w:t>
      </w:r>
      <w:r>
        <w:rPr>
          <w:rStyle w:val="14"/>
          <w:rFonts w:hint="default" w:ascii="Times New Roman" w:eastAsia="宋体" w:cs="Times New Roman"/>
          <w:b w:val="0"/>
          <w:bCs/>
          <w:color w:val="000000"/>
          <w:sz w:val="21"/>
          <w:szCs w:val="21"/>
          <w:lang w:val="en-US" w:eastAsia="zh-CN"/>
        </w:rPr>
        <w:t>2</w:t>
      </w:r>
      <w:r>
        <w:rPr>
          <w:rStyle w:val="14"/>
          <w:rFonts w:hint="default" w:ascii="Times New Roman" w:hAnsi="Times New Roman" w:eastAsia="宋体" w:cs="Times New Roman"/>
          <w:b w:val="0"/>
          <w:bCs/>
          <w:color w:val="000000"/>
          <w:sz w:val="21"/>
          <w:szCs w:val="21"/>
          <w:lang w:val="en-US" w:eastAsia="zh-CN"/>
        </w:rPr>
        <w:t>.10其他配置</w:t>
      </w:r>
    </w:p>
    <w:p>
      <w:pPr>
        <w:tabs>
          <w:tab w:val="left" w:pos="426"/>
        </w:tabs>
        <w:spacing w:line="360" w:lineRule="auto"/>
        <w:outlineLvl w:val="9"/>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(1)</w:t>
      </w:r>
      <w:r>
        <w:rPr>
          <w:rStyle w:val="14"/>
          <w:rFonts w:hint="default" w:ascii="Times New Roman" w:hAnsi="Times New Roman" w:eastAsia="宋体" w:cs="Times New Roman"/>
          <w:b w:val="0"/>
          <w:bCs/>
          <w:color w:val="000000"/>
          <w:sz w:val="21"/>
          <w:szCs w:val="21"/>
          <w:lang w:val="en-US" w:eastAsia="zh-CN"/>
        </w:rPr>
        <w:t>光学</w:t>
      </w:r>
      <w:r>
        <w:rPr>
          <w:rStyle w:val="14"/>
          <w:rFonts w:hint="default" w:ascii="Times New Roman" w:hAnsi="Times New Roman" w:eastAsia="宋体" w:cs="Times New Roman"/>
          <w:b w:val="0"/>
          <w:sz w:val="21"/>
          <w:szCs w:val="21"/>
          <w:lang w:val="en-US" w:eastAsia="zh-CN"/>
        </w:rPr>
        <w:t>系统：非镀膜CCD检测器，具有最低的暗电流；平面光栅；波长覆盖范围：170-685nm；分辨率：30pm；动态温度补偿技术，确保在10至45度的外界温度下具有最佳的稳定性。</w:t>
      </w:r>
    </w:p>
    <w:p>
      <w:pPr>
        <w:tabs>
          <w:tab w:val="left" w:pos="426"/>
        </w:tabs>
        <w:spacing w:line="360" w:lineRule="auto"/>
        <w:outlineLvl w:val="9"/>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(2)</w:t>
      </w:r>
      <w:r>
        <w:rPr>
          <w:rStyle w:val="14"/>
          <w:rFonts w:hint="default" w:ascii="Times New Roman" w:hAnsi="Times New Roman" w:eastAsia="宋体" w:cs="Times New Roman"/>
          <w:b w:val="0"/>
          <w:bCs/>
          <w:color w:val="000000"/>
          <w:sz w:val="21"/>
          <w:szCs w:val="21"/>
          <w:lang w:val="en-US" w:eastAsia="zh-CN"/>
        </w:rPr>
        <w:t>分析</w:t>
      </w:r>
      <w:r>
        <w:rPr>
          <w:rStyle w:val="14"/>
          <w:rFonts w:hint="default" w:ascii="Times New Roman" w:hAnsi="Times New Roman" w:eastAsia="宋体" w:cs="Times New Roman"/>
          <w:b w:val="0"/>
          <w:sz w:val="21"/>
          <w:szCs w:val="21"/>
          <w:lang w:val="en-US" w:eastAsia="zh-CN"/>
        </w:rPr>
        <w:t>方法组件：可应用于各种不同基体；覆盖所有主要元素及合金类型；适应未来升级需要。</w:t>
      </w:r>
    </w:p>
    <w:p>
      <w:pPr>
        <w:tabs>
          <w:tab w:val="left" w:pos="426"/>
        </w:tabs>
        <w:spacing w:line="360" w:lineRule="auto"/>
        <w:outlineLvl w:val="9"/>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(3)激发源：免维护，两相PMW激发源；频率50-1000Hz。</w:t>
      </w:r>
    </w:p>
    <w:p>
      <w:pPr>
        <w:tabs>
          <w:tab w:val="left" w:pos="426"/>
        </w:tabs>
        <w:spacing w:line="360" w:lineRule="auto"/>
        <w:outlineLvl w:val="9"/>
        <w:rPr>
          <w:rStyle w:val="14"/>
          <w:rFonts w:hint="default" w:ascii="Times New Roman" w:hAnsi="Times New Roman" w:eastAsia="宋体" w:cs="Times New Roman"/>
          <w:b w:val="0"/>
          <w:sz w:val="21"/>
          <w:szCs w:val="21"/>
          <w:lang w:val="en-US" w:eastAsia="zh-CN"/>
        </w:rPr>
      </w:pPr>
      <w:r>
        <w:rPr>
          <w:rStyle w:val="14"/>
          <w:rFonts w:hint="default" w:ascii="Times New Roman" w:hAnsi="Times New Roman" w:eastAsia="宋体" w:cs="Times New Roman"/>
          <w:b w:val="0"/>
          <w:sz w:val="21"/>
          <w:szCs w:val="21"/>
          <w:lang w:val="en-US" w:eastAsia="zh-CN"/>
        </w:rPr>
        <w:t>(4)火花台：免维护；检测期间氩气消耗2.5L/min。</w:t>
      </w:r>
    </w:p>
    <w:p>
      <w:pPr>
        <w:tabs>
          <w:tab w:val="left" w:pos="426"/>
        </w:tabs>
        <w:spacing w:line="360" w:lineRule="auto"/>
        <w:outlineLvl w:val="9"/>
        <w:rPr>
          <w:rStyle w:val="14"/>
          <w:rFonts w:hint="default" w:ascii="Times New Roman" w:hAnsi="Times New Roman" w:eastAsia="宋体" w:cs="Times New Roman"/>
          <w:b w:val="0"/>
          <w:bCs/>
          <w:color w:val="000000"/>
          <w:sz w:val="21"/>
          <w:szCs w:val="21"/>
          <w:lang w:val="en-US" w:eastAsia="zh-CN"/>
        </w:rPr>
      </w:pPr>
      <w:r>
        <w:rPr>
          <w:rStyle w:val="14"/>
          <w:rFonts w:hint="default" w:ascii="Times New Roman" w:hAnsi="Times New Roman" w:eastAsia="宋体" w:cs="Times New Roman"/>
          <w:b w:val="0"/>
          <w:sz w:val="21"/>
          <w:szCs w:val="21"/>
          <w:lang w:val="en-US" w:eastAsia="zh-CN"/>
        </w:rPr>
        <w:t>(5)计算机：CPU：英特尔I3处理器及以上，硬盘：500G、7200转，内存：4G 、DDR3，显示器：液晶、</w:t>
      </w:r>
      <w:r>
        <w:rPr>
          <w:rStyle w:val="14"/>
          <w:rFonts w:hint="default" w:ascii="Times New Roman" w:hAnsi="Times New Roman" w:eastAsia="宋体" w:cs="Times New Roman"/>
          <w:b w:val="0"/>
          <w:bCs/>
          <w:color w:val="000000"/>
          <w:sz w:val="21"/>
          <w:szCs w:val="21"/>
          <w:lang w:val="en-US" w:eastAsia="zh-CN"/>
        </w:rPr>
        <w:t>1600*900分辨率，Windows7及以上操作软件、防水键盘、光电鼠标。</w:t>
      </w:r>
    </w:p>
    <w:p>
      <w:pPr>
        <w:tabs>
          <w:tab w:val="left" w:pos="426"/>
        </w:tabs>
        <w:spacing w:line="360" w:lineRule="auto"/>
        <w:outlineLvl w:val="9"/>
        <w:rPr>
          <w:rFonts w:hint="default" w:ascii="Times New Roman" w:hAnsi="Times New Roman" w:cs="Times New Roman"/>
          <w:bCs/>
          <w:color w:val="000000"/>
          <w:szCs w:val="21"/>
          <w:lang w:val="en-US" w:eastAsia="zh-CN"/>
        </w:rPr>
      </w:pPr>
      <w:r>
        <w:rPr>
          <w:rStyle w:val="14"/>
          <w:rFonts w:hint="default" w:ascii="Times New Roman" w:hAnsi="Times New Roman" w:eastAsia="宋体" w:cs="Times New Roman"/>
          <w:b w:val="0"/>
          <w:bCs/>
          <w:color w:val="000000"/>
          <w:sz w:val="21"/>
          <w:szCs w:val="21"/>
          <w:lang w:val="en-US" w:eastAsia="zh-CN"/>
        </w:rPr>
        <w:t>(6)打印机：黑白打印机、打印精度4800*1200dpi、使用功耗最大10w、最大打印幅面：A4、支持网络打印、支持双面打印、供纸方式：自动、打印速度：25页每分钟系统平台Windows8/Windows7/windows10等。</w:t>
      </w:r>
    </w:p>
    <w:p>
      <w:pPr>
        <w:tabs>
          <w:tab w:val="left" w:pos="426"/>
        </w:tabs>
        <w:spacing w:line="360" w:lineRule="auto"/>
        <w:outlineLvl w:val="9"/>
        <w:rPr>
          <w:rFonts w:hint="default" w:ascii="Times New Roman" w:hAnsi="Times New Roman" w:eastAsia="宋体" w:cs="Times New Roman"/>
          <w:bCs/>
          <w:color w:val="000000"/>
          <w:sz w:val="21"/>
          <w:szCs w:val="21"/>
        </w:rPr>
      </w:pPr>
      <w:r>
        <w:rPr>
          <w:rStyle w:val="14"/>
          <w:rFonts w:hint="default" w:ascii="Times New Roman" w:hAnsi="Times New Roman" w:eastAsia="宋体" w:cs="Times New Roman"/>
          <w:b w:val="0"/>
          <w:bCs/>
          <w:color w:val="000000"/>
          <w:sz w:val="21"/>
          <w:szCs w:val="21"/>
          <w:lang w:val="en-US" w:eastAsia="zh-CN"/>
        </w:rPr>
        <w:t>(7)软件：给予Windows的操作软件；定性及定量分析；操作软件含分析数据库及办公软件接口；具有牌号库功能</w:t>
      </w:r>
      <w:r>
        <w:rPr>
          <w:rFonts w:hint="default" w:ascii="Times New Roman" w:hAnsi="Times New Roman" w:eastAsia="宋体" w:cs="Times New Roman"/>
          <w:bCs/>
          <w:color w:val="000000"/>
          <w:sz w:val="21"/>
          <w:szCs w:val="21"/>
        </w:rPr>
        <w:t>。</w:t>
      </w:r>
    </w:p>
    <w:p>
      <w:pPr>
        <w:tabs>
          <w:tab w:val="left" w:pos="426"/>
        </w:tabs>
        <w:spacing w:line="360" w:lineRule="auto"/>
        <w:outlineLvl w:val="9"/>
        <w:rPr>
          <w:rFonts w:hint="default" w:ascii="Times New Roman" w:hAnsi="Times New Roman" w:eastAsia="宋体" w:cs="Times New Roman"/>
          <w:bCs/>
          <w:color w:val="000000"/>
          <w:sz w:val="21"/>
          <w:szCs w:val="21"/>
          <w:lang w:val="en-US" w:eastAsia="zh-CN"/>
        </w:rPr>
      </w:pPr>
      <w:r>
        <w:rPr>
          <w:rStyle w:val="14"/>
          <w:rFonts w:hint="default" w:ascii="Times New Roman" w:hAnsi="Times New Roman" w:eastAsia="宋体" w:cs="Times New Roman"/>
          <w:b w:val="0"/>
          <w:bCs/>
          <w:color w:val="000000"/>
          <w:sz w:val="21"/>
          <w:szCs w:val="21"/>
          <w:lang w:val="en-US" w:eastAsia="zh-CN"/>
        </w:rPr>
        <w:t>(8)行李箱：可伸缩拉杆手柄；4个高强度带不锈钢轴承的高强度滑轮；高强度，轻重量，抗压。</w:t>
      </w:r>
    </w:p>
    <w:p>
      <w:pPr>
        <w:tabs>
          <w:tab w:val="left" w:pos="900"/>
        </w:tabs>
        <w:spacing w:line="360" w:lineRule="auto"/>
        <w:outlineLvl w:val="9"/>
        <w:rPr>
          <w:rFonts w:hint="default" w:ascii="Times New Roman" w:hAnsi="Times New Roman" w:cs="Times New Roman"/>
          <w:bCs/>
          <w:color w:val="000000"/>
          <w:szCs w:val="21"/>
          <w:highlight w:val="none"/>
          <w:lang w:eastAsia="zh-CN"/>
        </w:rPr>
      </w:pPr>
      <w:r>
        <w:rPr>
          <w:rFonts w:hint="default" w:ascii="Times New Roman" w:hAnsi="Times New Roman" w:cs="Times New Roman"/>
          <w:bCs/>
          <w:color w:val="000000"/>
          <w:szCs w:val="21"/>
          <w:highlight w:val="none"/>
        </w:rPr>
        <w:t>3.</w:t>
      </w:r>
      <w:r>
        <w:rPr>
          <w:rFonts w:hint="default" w:cs="Times New Roman"/>
          <w:bCs/>
          <w:color w:val="000000"/>
          <w:szCs w:val="21"/>
          <w:highlight w:val="none"/>
          <w:lang w:val="en-US" w:eastAsia="zh-CN"/>
        </w:rPr>
        <w:t>2</w:t>
      </w:r>
      <w:r>
        <w:rPr>
          <w:rFonts w:hint="default" w:ascii="Times New Roman" w:hAnsi="Times New Roman" w:cs="Times New Roman"/>
          <w:bCs/>
          <w:color w:val="000000"/>
          <w:szCs w:val="21"/>
          <w:highlight w:val="none"/>
          <w:lang w:val="en-US" w:eastAsia="zh-CN"/>
        </w:rPr>
        <w:t>.11</w:t>
      </w:r>
      <w:r>
        <w:rPr>
          <w:rFonts w:hint="default" w:ascii="Times New Roman" w:hAnsi="Times New Roman" w:cs="Times New Roman"/>
          <w:bCs/>
          <w:color w:val="000000"/>
          <w:szCs w:val="21"/>
          <w:highlight w:val="none"/>
          <w:lang w:bidi="ar-SA"/>
        </w:rPr>
        <w:t>标准</w:t>
      </w:r>
      <w:r>
        <w:rPr>
          <w:rFonts w:hint="default" w:ascii="Times New Roman" w:hAnsi="Times New Roman" w:cs="Times New Roman"/>
          <w:bCs/>
          <w:color w:val="000000"/>
          <w:szCs w:val="21"/>
          <w:highlight w:val="none"/>
          <w:lang w:val="en-US" w:eastAsia="zh-CN" w:bidi="ar-SA"/>
        </w:rPr>
        <w:t>:</w:t>
      </w:r>
      <w:r>
        <w:rPr>
          <w:rFonts w:hint="default" w:ascii="Times New Roman" w:hAnsi="Times New Roman" w:cs="Times New Roman"/>
          <w:bCs/>
          <w:color w:val="000000"/>
          <w:szCs w:val="21"/>
          <w:highlight w:val="none"/>
        </w:rPr>
        <w:tab/>
      </w:r>
      <w:r>
        <w:rPr>
          <w:rFonts w:hint="default" w:ascii="Times New Roman" w:hAnsi="Times New Roman" w:cs="Times New Roman"/>
          <w:bCs/>
          <w:color w:val="000000"/>
          <w:szCs w:val="21"/>
          <w:highlight w:val="none"/>
        </w:rPr>
        <w:t>设备满足国家标准符合国标GB/T11170-2008</w:t>
      </w:r>
      <w:r>
        <w:rPr>
          <w:rFonts w:hint="default" w:ascii="Times New Roman" w:hAnsi="Times New Roman" w:cs="Times New Roman"/>
          <w:bCs/>
          <w:color w:val="000000"/>
          <w:szCs w:val="21"/>
          <w:highlight w:val="none"/>
          <w:lang w:eastAsia="zh-CN"/>
        </w:rPr>
        <w:t>。</w:t>
      </w:r>
    </w:p>
    <w:p>
      <w:pPr>
        <w:spacing w:line="360" w:lineRule="auto"/>
        <w:outlineLvl w:val="9"/>
        <w:rPr>
          <w:rStyle w:val="14"/>
          <w:rFonts w:hint="default" w:ascii="Times New Roman" w:hAnsi="Times New Roman" w:eastAsia="宋体" w:cs="Times New Roman"/>
          <w:b/>
          <w:bCs/>
          <w:sz w:val="21"/>
          <w:szCs w:val="21"/>
          <w:lang w:val="en-US" w:eastAsia="zh-CN"/>
        </w:rPr>
      </w:pPr>
      <w:r>
        <w:rPr>
          <w:rStyle w:val="14"/>
          <w:rFonts w:hint="default" w:ascii="Times New Roman" w:hAnsi="Times New Roman" w:eastAsia="宋体" w:cs="Times New Roman"/>
          <w:b/>
          <w:bCs/>
          <w:sz w:val="21"/>
          <w:szCs w:val="21"/>
          <w:lang w:val="en-US" w:eastAsia="zh-CN"/>
        </w:rPr>
        <w:t>3.</w:t>
      </w:r>
      <w:r>
        <w:rPr>
          <w:rStyle w:val="14"/>
          <w:rFonts w:hint="eastAsia" w:ascii="Times New Roman" w:hAnsi="Times New Roman" w:eastAsia="宋体" w:cs="Times New Roman"/>
          <w:b/>
          <w:bCs/>
          <w:sz w:val="21"/>
          <w:szCs w:val="21"/>
          <w:lang w:val="en-US" w:eastAsia="zh-CN"/>
        </w:rPr>
        <w:t>3</w:t>
      </w:r>
      <w:r>
        <w:rPr>
          <w:rStyle w:val="14"/>
          <w:rFonts w:hint="default" w:ascii="Times New Roman" w:hAnsi="Times New Roman" w:eastAsia="宋体" w:cs="Times New Roman"/>
          <w:b/>
          <w:bCs/>
          <w:sz w:val="21"/>
          <w:szCs w:val="21"/>
          <w:lang w:val="en-US" w:eastAsia="zh-CN"/>
        </w:rPr>
        <w:t>在线总有机碳分析仪</w:t>
      </w:r>
      <w:r>
        <w:rPr>
          <w:rStyle w:val="14"/>
          <w:rFonts w:hint="default" w:ascii="Times New Roman" w:hAnsi="Times New Roman" w:eastAsia="宋体" w:cs="Times New Roman"/>
          <w:b/>
          <w:bCs/>
          <w:sz w:val="21"/>
          <w:szCs w:val="21"/>
        </w:rPr>
        <w:t>基本技术参数</w:t>
      </w:r>
    </w:p>
    <w:p>
      <w:pPr>
        <w:spacing w:line="360" w:lineRule="auto"/>
        <w:rPr>
          <w:rFonts w:hint="default" w:ascii="Times New Roman" w:hAnsi="Times New Roman" w:eastAsia="宋体" w:cs="Times New Roman"/>
          <w:i w:val="0"/>
          <w:color w:val="auto"/>
          <w:kern w:val="0"/>
          <w:sz w:val="21"/>
          <w:szCs w:val="21"/>
          <w:u w:val="none"/>
          <w:lang w:val="en-US" w:eastAsia="zh-CN" w:bidi="ar"/>
        </w:rPr>
      </w:pPr>
      <w:r>
        <w:rPr>
          <w:rFonts w:hint="eastAsia" w:cs="Times New Roman"/>
          <w:i w:val="0"/>
          <w:color w:val="auto"/>
          <w:kern w:val="0"/>
          <w:sz w:val="21"/>
          <w:szCs w:val="21"/>
          <w:u w:val="none"/>
          <w:lang w:val="en-US" w:eastAsia="zh-CN" w:bidi="ar"/>
        </w:rPr>
        <w:t>3.3.1</w:t>
      </w:r>
      <w:r>
        <w:rPr>
          <w:rFonts w:hint="default" w:ascii="Times New Roman" w:hAnsi="Times New Roman" w:eastAsia="宋体" w:cs="Times New Roman"/>
          <w:i w:val="0"/>
          <w:color w:val="auto"/>
          <w:kern w:val="0"/>
          <w:sz w:val="21"/>
          <w:szCs w:val="21"/>
          <w:u w:val="none"/>
          <w:lang w:val="en-US" w:eastAsia="zh-CN" w:bidi="ar"/>
        </w:rPr>
        <w:t>分辨率：0.001ppb；准确度：±3%；重现性：&lt;3%；测量范围： 0-10000ppm；检测原理：非色散红外吸收法（NDIR）；氧化方法：紫外光/过硫酸盐氧化。</w:t>
      </w:r>
    </w:p>
    <w:p>
      <w:pPr>
        <w:spacing w:line="360" w:lineRule="auto"/>
        <w:rPr>
          <w:rFonts w:hint="default" w:ascii="Times New Roman" w:hAnsi="Times New Roman" w:eastAsia="宋体" w:cs="Times New Roman"/>
          <w:i w:val="0"/>
          <w:color w:val="auto"/>
          <w:kern w:val="0"/>
          <w:sz w:val="21"/>
          <w:szCs w:val="21"/>
          <w:u w:val="none"/>
          <w:lang w:val="en-US" w:eastAsia="zh-CN" w:bidi="ar"/>
        </w:rPr>
      </w:pPr>
      <w:r>
        <w:rPr>
          <w:rFonts w:hint="eastAsia" w:cs="Times New Roman"/>
          <w:i w:val="0"/>
          <w:color w:val="auto"/>
          <w:kern w:val="0"/>
          <w:sz w:val="21"/>
          <w:szCs w:val="21"/>
          <w:u w:val="none"/>
          <w:lang w:val="en-US" w:eastAsia="zh-CN" w:bidi="ar"/>
        </w:rPr>
        <w:t>3.3.2</w:t>
      </w:r>
      <w:r>
        <w:rPr>
          <w:rFonts w:hint="default" w:ascii="Times New Roman" w:hAnsi="Times New Roman" w:eastAsia="宋体" w:cs="Times New Roman"/>
          <w:i w:val="0"/>
          <w:color w:val="auto"/>
          <w:kern w:val="0"/>
          <w:sz w:val="21"/>
          <w:szCs w:val="21"/>
          <w:u w:val="none"/>
          <w:lang w:val="en-US" w:eastAsia="zh-CN" w:bidi="ar"/>
        </w:rPr>
        <w:t>标准：设备满足国家标准符合国标GB/T。</w:t>
      </w:r>
    </w:p>
    <w:p>
      <w:pPr>
        <w:tabs>
          <w:tab w:val="left" w:pos="284"/>
        </w:tabs>
        <w:adjustRightInd/>
        <w:spacing w:line="360" w:lineRule="auto"/>
        <w:jc w:val="both"/>
        <w:textAlignment w:val="auto"/>
        <w:outlineLvl w:val="9"/>
        <w:rPr>
          <w:rFonts w:hint="default" w:ascii="Times New Roman" w:hAnsi="Times New Roman" w:cs="Times New Roman"/>
          <w:b/>
          <w:bCs/>
          <w:kern w:val="0"/>
          <w:szCs w:val="21"/>
        </w:rPr>
      </w:pPr>
      <w:r>
        <w:rPr>
          <w:rFonts w:hint="default" w:ascii="Times New Roman" w:hAnsi="Times New Roman" w:cs="Times New Roman"/>
          <w:b/>
          <w:bCs/>
          <w:kern w:val="0"/>
          <w:szCs w:val="21"/>
          <w:lang w:val="en-US" w:eastAsia="zh-CN"/>
        </w:rPr>
        <w:t>4</w:t>
      </w:r>
      <w:r>
        <w:rPr>
          <w:rFonts w:hint="default" w:ascii="Times New Roman" w:hAnsi="Times New Roman" w:cs="Times New Roman"/>
          <w:b/>
          <w:bCs/>
          <w:kern w:val="0"/>
          <w:szCs w:val="21"/>
        </w:rPr>
        <w:t>.供货范围</w:t>
      </w:r>
    </w:p>
    <w:p>
      <w:pPr>
        <w:snapToGrid w:val="0"/>
        <w:spacing w:line="360" w:lineRule="auto"/>
        <w:ind w:left="10" w:leftChars="0" w:firstLine="409" w:firstLineChars="195"/>
        <w:rPr>
          <w:rFonts w:hint="default" w:ascii="Times New Roman" w:hAnsi="Times New Roman" w:cs="Times New Roman"/>
          <w:szCs w:val="21"/>
        </w:rPr>
      </w:pPr>
      <w:r>
        <w:rPr>
          <w:rFonts w:hint="default" w:ascii="Times New Roman" w:hAnsi="Times New Roman" w:cs="Times New Roman"/>
          <w:szCs w:val="21"/>
        </w:rPr>
        <w:t>完整的、全新的、符合制造标准的、满足本招标技术附件各项条件及技术要求的</w:t>
      </w:r>
      <w:r>
        <w:rPr>
          <w:rFonts w:hint="default" w:ascii="Times New Roman" w:hAnsi="Times New Roman" w:cs="Times New Roman"/>
          <w:szCs w:val="21"/>
          <w:lang w:eastAsia="zh-CN"/>
        </w:rPr>
        <w:t>仪器</w:t>
      </w:r>
      <w:r>
        <w:rPr>
          <w:rFonts w:hint="default" w:ascii="Times New Roman" w:hAnsi="Times New Roman" w:cs="Times New Roman"/>
          <w:szCs w:val="21"/>
        </w:rPr>
        <w:t>，以及安装调试所需用的全部材料和零件</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包括但不限于此</w:t>
      </w:r>
      <w:r>
        <w:rPr>
          <w:rFonts w:hint="default" w:ascii="Times New Roman" w:hAnsi="Times New Roman" w:cs="Times New Roman"/>
          <w:szCs w:val="21"/>
          <w:lang w:eastAsia="zh-CN"/>
        </w:rPr>
        <w:t>）</w:t>
      </w:r>
      <w:r>
        <w:rPr>
          <w:rFonts w:hint="default" w:ascii="Times New Roman" w:hAnsi="Times New Roman" w:cs="Times New Roman"/>
          <w:szCs w:val="21"/>
        </w:rPr>
        <w:t>。</w:t>
      </w:r>
    </w:p>
    <w:tbl>
      <w:tblPr>
        <w:tblStyle w:val="16"/>
        <w:tblW w:w="8520" w:type="dxa"/>
        <w:tblInd w:w="0" w:type="dxa"/>
        <w:tblLayout w:type="fixed"/>
        <w:tblCellMar>
          <w:top w:w="0" w:type="dxa"/>
          <w:left w:w="108" w:type="dxa"/>
          <w:bottom w:w="0" w:type="dxa"/>
          <w:right w:w="108" w:type="dxa"/>
        </w:tblCellMar>
      </w:tblPr>
      <w:tblGrid>
        <w:gridCol w:w="653"/>
        <w:gridCol w:w="2611"/>
        <w:gridCol w:w="855"/>
        <w:gridCol w:w="1065"/>
        <w:gridCol w:w="1800"/>
        <w:gridCol w:w="1536"/>
      </w:tblGrid>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序号</w:t>
            </w:r>
          </w:p>
        </w:tc>
        <w:tc>
          <w:tcPr>
            <w:tcW w:w="261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设备名称</w:t>
            </w:r>
          </w:p>
        </w:tc>
        <w:tc>
          <w:tcPr>
            <w:tcW w:w="8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单位</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数量</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型号</w:t>
            </w:r>
            <w:r>
              <w:rPr>
                <w:rFonts w:hint="default" w:ascii="Times New Roman" w:hAnsi="Times New Roman" w:cs="Times New Roman"/>
                <w:szCs w:val="21"/>
                <w:lang w:eastAsia="zh-CN"/>
              </w:rPr>
              <w:t>及产地</w:t>
            </w:r>
          </w:p>
        </w:tc>
        <w:tc>
          <w:tcPr>
            <w:tcW w:w="15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备注</w:t>
            </w: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1</w:t>
            </w:r>
          </w:p>
        </w:tc>
        <w:tc>
          <w:tcPr>
            <w:tcW w:w="261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高频红外碳硫分析仪</w:t>
            </w:r>
          </w:p>
        </w:tc>
        <w:tc>
          <w:tcPr>
            <w:tcW w:w="8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Cs w:val="21"/>
                <w:highlight w:val="none"/>
                <w:lang w:eastAsia="zh-CN"/>
              </w:rPr>
            </w:pPr>
            <w:r>
              <w:rPr>
                <w:rFonts w:hint="default" w:ascii="Times New Roman" w:hAnsi="Times New Roman" w:cs="Times New Roman"/>
                <w:szCs w:val="21"/>
                <w:highlight w:val="none"/>
                <w:lang w:eastAsia="zh-CN"/>
              </w:rPr>
              <w:t>套</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default" w:ascii="Times New Roman" w:hAnsi="Times New Roman" w:cs="Times New Roman"/>
                <w:szCs w:val="21"/>
                <w:highlight w:val="none"/>
                <w:lang w:val="en-US" w:eastAsia="zh-CN"/>
              </w:rPr>
              <w:t>1</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p>
        </w:tc>
        <w:tc>
          <w:tcPr>
            <w:tcW w:w="15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p>
        </w:tc>
      </w:tr>
      <w:tr>
        <w:tblPrEx>
          <w:tblLayout w:type="fixed"/>
          <w:tblCellMar>
            <w:top w:w="0" w:type="dxa"/>
            <w:left w:w="108" w:type="dxa"/>
            <w:bottom w:w="0" w:type="dxa"/>
            <w:right w:w="108" w:type="dxa"/>
          </w:tblCellMar>
        </w:tblPrEx>
        <w:trPr>
          <w:trHeight w:val="332" w:hRule="atLeast"/>
        </w:trPr>
        <w:tc>
          <w:tcPr>
            <w:tcW w:w="653"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2</w:t>
            </w:r>
          </w:p>
        </w:tc>
        <w:tc>
          <w:tcPr>
            <w:tcW w:w="261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直读光谱仪</w:t>
            </w:r>
          </w:p>
        </w:tc>
        <w:tc>
          <w:tcPr>
            <w:tcW w:w="8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lang w:eastAsia="zh-CN"/>
              </w:rPr>
              <w:t>套</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1</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p>
        </w:tc>
        <w:tc>
          <w:tcPr>
            <w:tcW w:w="153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default" w:ascii="Times New Roman" w:hAnsi="Times New Roman" w:cs="Times New Roman"/>
                <w:szCs w:val="21"/>
                <w:highlight w:val="none"/>
              </w:rPr>
            </w:pPr>
          </w:p>
        </w:tc>
      </w:tr>
      <w:tr>
        <w:tblPrEx>
          <w:tblLayout w:type="fixed"/>
          <w:tblCellMar>
            <w:top w:w="0" w:type="dxa"/>
            <w:left w:w="108" w:type="dxa"/>
            <w:bottom w:w="0" w:type="dxa"/>
            <w:right w:w="108" w:type="dxa"/>
          </w:tblCellMar>
        </w:tblPrEx>
        <w:trPr>
          <w:trHeight w:val="287" w:hRule="atLeast"/>
        </w:trPr>
        <w:tc>
          <w:tcPr>
            <w:tcW w:w="653"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3</w:t>
            </w:r>
          </w:p>
        </w:tc>
        <w:tc>
          <w:tcPr>
            <w:tcW w:w="261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default" w:ascii="Times New Roman" w:hAnsi="Times New Roman" w:cs="Times New Roman"/>
                <w:i w:val="0"/>
                <w:color w:val="auto"/>
                <w:kern w:val="0"/>
                <w:sz w:val="21"/>
                <w:szCs w:val="21"/>
                <w:u w:val="none"/>
                <w:lang w:val="en-US" w:eastAsia="zh-CN" w:bidi="ar"/>
              </w:rPr>
              <w:t>在线</w:t>
            </w:r>
            <w:r>
              <w:rPr>
                <w:rFonts w:hint="default" w:ascii="Times New Roman" w:hAnsi="Times New Roman" w:eastAsia="宋体" w:cs="Times New Roman"/>
                <w:i w:val="0"/>
                <w:color w:val="auto"/>
                <w:kern w:val="0"/>
                <w:sz w:val="21"/>
                <w:szCs w:val="21"/>
                <w:u w:val="none"/>
                <w:lang w:val="en-US" w:eastAsia="zh-CN" w:bidi="ar"/>
              </w:rPr>
              <w:t>总有机碳分析仪</w:t>
            </w:r>
          </w:p>
        </w:tc>
        <w:tc>
          <w:tcPr>
            <w:tcW w:w="85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default" w:ascii="Times New Roman" w:hAnsi="Times New Roman" w:cs="Times New Roman"/>
                <w:szCs w:val="21"/>
                <w:highlight w:val="none"/>
                <w:lang w:eastAsia="zh-CN"/>
              </w:rPr>
              <w:t>套</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default" w:ascii="Times New Roman" w:hAnsi="Times New Roman" w:cs="Times New Roman"/>
                <w:szCs w:val="21"/>
                <w:highlight w:val="none"/>
                <w:lang w:val="en-US" w:eastAsia="zh-CN"/>
              </w:rPr>
              <w:t>1</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rPr>
            </w:pPr>
          </w:p>
        </w:tc>
        <w:tc>
          <w:tcPr>
            <w:tcW w:w="153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Cs w:val="21"/>
                <w:highlight w:val="none"/>
                <w:lang w:val="en-US" w:eastAsia="zh-CN"/>
              </w:rPr>
            </w:pPr>
            <w:r>
              <w:rPr>
                <w:rFonts w:hint="default" w:ascii="Times New Roman" w:hAnsi="Times New Roman" w:cs="Times New Roman"/>
                <w:color w:val="000000"/>
                <w:szCs w:val="21"/>
                <w:highlight w:val="none"/>
                <w:lang w:val="en-US" w:eastAsia="zh-CN"/>
              </w:rPr>
              <w:t>TOC</w:t>
            </w:r>
          </w:p>
        </w:tc>
      </w:tr>
    </w:tbl>
    <w:p>
      <w:pPr>
        <w:tabs>
          <w:tab w:val="left" w:pos="284"/>
        </w:tabs>
        <w:adjustRightInd/>
        <w:spacing w:line="360" w:lineRule="auto"/>
        <w:jc w:val="both"/>
        <w:textAlignment w:val="auto"/>
        <w:outlineLvl w:val="9"/>
        <w:rPr>
          <w:rFonts w:hint="default" w:ascii="Times New Roman" w:hAnsi="Times New Roman" w:cs="Times New Roman"/>
          <w:b/>
          <w:bCs/>
          <w:kern w:val="0"/>
          <w:szCs w:val="21"/>
        </w:rPr>
      </w:pPr>
      <w:r>
        <w:rPr>
          <w:rFonts w:hint="default" w:ascii="Times New Roman" w:hAnsi="Times New Roman" w:cs="Times New Roman"/>
          <w:b/>
          <w:bCs/>
          <w:kern w:val="0"/>
          <w:szCs w:val="21"/>
        </w:rPr>
        <w:t>5.技术资料</w:t>
      </w:r>
    </w:p>
    <w:p>
      <w:pPr>
        <w:tabs>
          <w:tab w:val="left" w:pos="945"/>
        </w:tabs>
        <w:spacing w:line="360" w:lineRule="auto"/>
        <w:rPr>
          <w:rFonts w:hint="default" w:ascii="Times New Roman" w:hAnsi="Times New Roman" w:cs="Times New Roman"/>
          <w:szCs w:val="21"/>
        </w:rPr>
      </w:pPr>
      <w:r>
        <w:rPr>
          <w:rFonts w:hint="default" w:ascii="Times New Roman" w:hAnsi="Times New Roman" w:cs="Times New Roman"/>
          <w:szCs w:val="21"/>
        </w:rPr>
        <w:t>5.1投标方必须提供下表所列技术资料(但不限于此)，并按下表要求时间交货。</w:t>
      </w:r>
    </w:p>
    <w:tbl>
      <w:tblPr>
        <w:tblStyle w:val="16"/>
        <w:tblW w:w="86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043"/>
        <w:gridCol w:w="1305"/>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745" w:type="dxa"/>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序号</w:t>
            </w:r>
          </w:p>
        </w:tc>
        <w:tc>
          <w:tcPr>
            <w:tcW w:w="4043" w:type="dxa"/>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名称</w:t>
            </w:r>
          </w:p>
        </w:tc>
        <w:tc>
          <w:tcPr>
            <w:tcW w:w="1305" w:type="dxa"/>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数量</w:t>
            </w:r>
          </w:p>
        </w:tc>
        <w:tc>
          <w:tcPr>
            <w:tcW w:w="2507" w:type="dxa"/>
            <w:vAlign w:val="center"/>
          </w:tcPr>
          <w:p>
            <w:pPr>
              <w:spacing w:line="360" w:lineRule="auto"/>
              <w:jc w:val="center"/>
              <w:rPr>
                <w:rFonts w:hint="default" w:ascii="Times New Roman" w:hAnsi="Times New Roman" w:cs="Times New Roman"/>
                <w:szCs w:val="21"/>
              </w:rPr>
            </w:pPr>
            <w:r>
              <w:rPr>
                <w:rFonts w:hint="default" w:ascii="Times New Roman" w:hAnsi="Times New Roman" w:cs="Times New Roman"/>
                <w:szCs w:val="21"/>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745" w:type="dxa"/>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1</w:t>
            </w:r>
          </w:p>
        </w:tc>
        <w:tc>
          <w:tcPr>
            <w:tcW w:w="4043" w:type="dxa"/>
            <w:vAlign w:val="center"/>
          </w:tcPr>
          <w:p>
            <w:pPr>
              <w:snapToGrid w:val="0"/>
              <w:spacing w:line="480" w:lineRule="exact"/>
              <w:jc w:val="center"/>
              <w:rPr>
                <w:rFonts w:hint="default" w:ascii="Times New Roman" w:hAnsi="Times New Roman" w:cs="Times New Roman"/>
                <w:szCs w:val="21"/>
                <w:highlight w:val="none"/>
              </w:rPr>
            </w:pPr>
            <w:r>
              <w:rPr>
                <w:rFonts w:hint="default" w:ascii="Times New Roman" w:hAnsi="Times New Roman" w:cs="Times New Roman"/>
                <w:sz w:val="22"/>
                <w:szCs w:val="22"/>
                <w:highlight w:val="none"/>
                <w:lang w:val="en-US" w:eastAsia="zh-CN"/>
              </w:rPr>
              <w:t>产品</w:t>
            </w:r>
            <w:r>
              <w:rPr>
                <w:rFonts w:hint="default" w:ascii="Times New Roman" w:hAnsi="Times New Roman" w:cs="Times New Roman"/>
                <w:sz w:val="22"/>
                <w:szCs w:val="22"/>
                <w:highlight w:val="none"/>
              </w:rPr>
              <w:t>使用说明书</w:t>
            </w:r>
          </w:p>
        </w:tc>
        <w:tc>
          <w:tcPr>
            <w:tcW w:w="1305" w:type="dxa"/>
            <w:vAlign w:val="center"/>
          </w:tcPr>
          <w:p>
            <w:pPr>
              <w:spacing w:line="360" w:lineRule="auto"/>
              <w:jc w:val="center"/>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每台1份</w:t>
            </w:r>
          </w:p>
        </w:tc>
        <w:tc>
          <w:tcPr>
            <w:tcW w:w="2507" w:type="dxa"/>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 w:val="22"/>
                <w:szCs w:val="22"/>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45" w:type="dxa"/>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2</w:t>
            </w:r>
          </w:p>
        </w:tc>
        <w:tc>
          <w:tcPr>
            <w:tcW w:w="4043" w:type="dxa"/>
            <w:vAlign w:val="center"/>
          </w:tcPr>
          <w:p>
            <w:pPr>
              <w:snapToGrid w:val="0"/>
              <w:spacing w:line="480" w:lineRule="exact"/>
              <w:jc w:val="center"/>
              <w:rPr>
                <w:rFonts w:hint="default" w:ascii="Times New Roman" w:hAnsi="Times New Roman" w:cs="Times New Roman"/>
                <w:szCs w:val="21"/>
                <w:highlight w:val="none"/>
              </w:rPr>
            </w:pPr>
            <w:r>
              <w:rPr>
                <w:rFonts w:hint="default" w:ascii="Times New Roman" w:hAnsi="Times New Roman" w:cs="Times New Roman"/>
                <w:sz w:val="22"/>
                <w:szCs w:val="22"/>
                <w:highlight w:val="none"/>
                <w:lang w:val="en-US" w:eastAsia="zh-CN"/>
              </w:rPr>
              <w:t>产品合格证</w:t>
            </w:r>
          </w:p>
        </w:tc>
        <w:tc>
          <w:tcPr>
            <w:tcW w:w="1305" w:type="dxa"/>
            <w:vAlign w:val="center"/>
          </w:tcPr>
          <w:p>
            <w:pPr>
              <w:spacing w:line="360" w:lineRule="auto"/>
              <w:jc w:val="center"/>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每台1份</w:t>
            </w:r>
          </w:p>
        </w:tc>
        <w:tc>
          <w:tcPr>
            <w:tcW w:w="2507" w:type="dxa"/>
            <w:vAlign w:val="center"/>
          </w:tcPr>
          <w:p>
            <w:pPr>
              <w:spacing w:line="360" w:lineRule="auto"/>
              <w:jc w:val="center"/>
              <w:rPr>
                <w:rFonts w:hint="default" w:ascii="Times New Roman" w:hAnsi="Times New Roman" w:cs="Times New Roman"/>
                <w:szCs w:val="21"/>
                <w:highlight w:val="none"/>
              </w:rPr>
            </w:pPr>
            <w:r>
              <w:rPr>
                <w:rFonts w:hint="default" w:ascii="Times New Roman" w:hAnsi="Times New Roman" w:cs="Times New Roman"/>
                <w:sz w:val="22"/>
                <w:szCs w:val="22"/>
                <w:highlight w:val="none"/>
                <w:lang w:val="en-US" w:eastAsia="zh-CN"/>
              </w:rPr>
              <w:t>与设备同时交付</w:t>
            </w:r>
          </w:p>
        </w:tc>
      </w:tr>
    </w:tbl>
    <w:p>
      <w:pPr>
        <w:tabs>
          <w:tab w:val="left" w:pos="945"/>
        </w:tabs>
        <w:spacing w:line="360" w:lineRule="auto"/>
        <w:rPr>
          <w:rFonts w:hint="default" w:ascii="Times New Roman" w:hAnsi="Times New Roman" w:cs="Times New Roman"/>
          <w:szCs w:val="21"/>
          <w:highlight w:val="none"/>
        </w:rPr>
      </w:pPr>
      <w:r>
        <w:rPr>
          <w:rFonts w:hint="default" w:ascii="Times New Roman" w:hAnsi="Times New Roman" w:cs="Times New Roman"/>
          <w:szCs w:val="21"/>
          <w:highlight w:val="none"/>
        </w:rPr>
        <w:t xml:space="preserve">5.2 </w:t>
      </w:r>
      <w:r>
        <w:rPr>
          <w:rFonts w:hint="default" w:ascii="Times New Roman" w:hAnsi="Times New Roman" w:cs="Times New Roman"/>
          <w:bCs/>
          <w:szCs w:val="21"/>
          <w:highlight w:val="none"/>
        </w:rPr>
        <w:t>投标人必须交付全新的、完整的、与提供设备相符的、招标方认可的技术资料。对于缺失损坏、不符合要求的技术资料，投标方在</w:t>
      </w:r>
      <w:r>
        <w:rPr>
          <w:rFonts w:hint="default" w:ascii="Times New Roman" w:hAnsi="Times New Roman" w:cs="Times New Roman"/>
          <w:bCs/>
          <w:szCs w:val="21"/>
          <w:highlight w:val="none"/>
          <w:u w:val="single"/>
        </w:rPr>
        <w:t xml:space="preserve"> </w:t>
      </w:r>
      <w:r>
        <w:rPr>
          <w:rFonts w:hint="default" w:ascii="Times New Roman" w:hAnsi="Times New Roman" w:cs="Times New Roman"/>
          <w:bCs/>
          <w:szCs w:val="21"/>
          <w:highlight w:val="none"/>
          <w:u w:val="single"/>
          <w:lang w:val="en-US" w:eastAsia="zh-CN"/>
        </w:rPr>
        <w:t xml:space="preserve"> 5 </w:t>
      </w:r>
      <w:r>
        <w:rPr>
          <w:rFonts w:hint="default" w:ascii="Times New Roman" w:hAnsi="Times New Roman" w:cs="Times New Roman"/>
          <w:bCs/>
          <w:szCs w:val="21"/>
          <w:highlight w:val="none"/>
          <w:u w:val="single"/>
        </w:rPr>
        <w:t xml:space="preserve"> </w:t>
      </w:r>
      <w:r>
        <w:rPr>
          <w:rFonts w:hint="default" w:ascii="Times New Roman" w:hAnsi="Times New Roman" w:cs="Times New Roman"/>
          <w:bCs/>
          <w:szCs w:val="21"/>
          <w:highlight w:val="none"/>
        </w:rPr>
        <w:t>日内，补齐、更换。</w:t>
      </w:r>
    </w:p>
    <w:p>
      <w:pPr>
        <w:tabs>
          <w:tab w:val="left" w:pos="945"/>
        </w:tabs>
        <w:spacing w:line="360" w:lineRule="auto"/>
        <w:rPr>
          <w:rFonts w:hint="default" w:ascii="Times New Roman" w:hAnsi="Times New Roman" w:cs="Times New Roman"/>
          <w:szCs w:val="21"/>
          <w:highlight w:val="none"/>
        </w:rPr>
      </w:pPr>
      <w:r>
        <w:rPr>
          <w:rFonts w:hint="default" w:ascii="Times New Roman" w:hAnsi="Times New Roman" w:cs="Times New Roman"/>
          <w:szCs w:val="21"/>
          <w:highlight w:val="none"/>
        </w:rPr>
        <w:t>5.</w:t>
      </w:r>
      <w:r>
        <w:rPr>
          <w:rFonts w:hint="default" w:ascii="Times New Roman" w:hAnsi="Times New Roman" w:cs="Times New Roman"/>
          <w:szCs w:val="21"/>
          <w:highlight w:val="none"/>
          <w:lang w:val="en-US" w:eastAsia="zh-CN"/>
        </w:rPr>
        <w:t>3仪器设备如有</w:t>
      </w:r>
      <w:r>
        <w:rPr>
          <w:rFonts w:hint="default" w:ascii="Times New Roman" w:hAnsi="Times New Roman" w:cs="Times New Roman"/>
          <w:bCs/>
          <w:szCs w:val="21"/>
          <w:highlight w:val="none"/>
        </w:rPr>
        <w:t>采用外购</w:t>
      </w:r>
      <w:r>
        <w:rPr>
          <w:rFonts w:hint="default" w:ascii="Times New Roman" w:hAnsi="Times New Roman" w:cs="Times New Roman"/>
          <w:bCs/>
          <w:szCs w:val="21"/>
          <w:highlight w:val="none"/>
          <w:lang w:eastAsia="zh-CN"/>
        </w:rPr>
        <w:t>或</w:t>
      </w:r>
      <w:r>
        <w:rPr>
          <w:rFonts w:hint="default" w:ascii="Times New Roman" w:hAnsi="Times New Roman" w:cs="Times New Roman"/>
          <w:bCs/>
          <w:szCs w:val="21"/>
          <w:highlight w:val="none"/>
        </w:rPr>
        <w:t>外协件</w:t>
      </w:r>
      <w:r>
        <w:rPr>
          <w:rFonts w:hint="default" w:ascii="Times New Roman" w:hAnsi="Times New Roman" w:cs="Times New Roman"/>
          <w:bCs/>
          <w:szCs w:val="21"/>
          <w:highlight w:val="none"/>
          <w:lang w:eastAsia="zh-CN"/>
        </w:rPr>
        <w:t>，</w:t>
      </w:r>
      <w:r>
        <w:rPr>
          <w:rFonts w:hint="default" w:ascii="Times New Roman" w:hAnsi="Times New Roman" w:cs="Times New Roman"/>
          <w:bCs/>
          <w:szCs w:val="21"/>
          <w:highlight w:val="none"/>
        </w:rPr>
        <w:t>应提供原产地证明</w:t>
      </w:r>
      <w:r>
        <w:rPr>
          <w:rFonts w:hint="default" w:ascii="Times New Roman" w:hAnsi="Times New Roman" w:cs="Times New Roman"/>
          <w:bCs/>
          <w:szCs w:val="21"/>
          <w:highlight w:val="none"/>
          <w:lang w:eastAsia="zh-CN"/>
        </w:rPr>
        <w:t>或</w:t>
      </w:r>
      <w:r>
        <w:rPr>
          <w:rFonts w:hint="default" w:ascii="Times New Roman" w:hAnsi="Times New Roman" w:cs="Times New Roman"/>
          <w:bCs/>
          <w:szCs w:val="21"/>
          <w:highlight w:val="none"/>
        </w:rPr>
        <w:t>检验合格证书。</w:t>
      </w:r>
    </w:p>
    <w:p>
      <w:pPr>
        <w:tabs>
          <w:tab w:val="left" w:pos="284"/>
        </w:tabs>
        <w:adjustRightInd/>
        <w:spacing w:line="360" w:lineRule="auto"/>
        <w:jc w:val="both"/>
        <w:textAlignment w:val="auto"/>
        <w:outlineLvl w:val="9"/>
        <w:rPr>
          <w:rFonts w:hint="default" w:ascii="Times New Roman" w:hAnsi="Times New Roman" w:cs="Times New Roman"/>
          <w:b/>
          <w:bCs/>
          <w:kern w:val="0"/>
          <w:szCs w:val="21"/>
        </w:rPr>
      </w:pPr>
      <w:r>
        <w:rPr>
          <w:rFonts w:hint="default" w:ascii="Times New Roman" w:hAnsi="Times New Roman" w:cs="Times New Roman"/>
          <w:b/>
          <w:bCs/>
          <w:kern w:val="0"/>
          <w:szCs w:val="21"/>
        </w:rPr>
        <w:t>6.技术服务及培训</w:t>
      </w:r>
    </w:p>
    <w:p>
      <w:pPr>
        <w:spacing w:line="360" w:lineRule="auto"/>
        <w:rPr>
          <w:rFonts w:hint="default" w:ascii="Times New Roman" w:hAnsi="Times New Roman" w:cs="Times New Roman"/>
          <w:szCs w:val="21"/>
        </w:rPr>
      </w:pPr>
      <w:r>
        <w:rPr>
          <w:rFonts w:hint="default" w:ascii="Times New Roman" w:hAnsi="Times New Roman" w:cs="Times New Roman"/>
          <w:szCs w:val="21"/>
        </w:rPr>
        <w:t>6.1技术服务</w:t>
      </w:r>
    </w:p>
    <w:p>
      <w:pPr>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在</w:t>
      </w:r>
      <w:r>
        <w:rPr>
          <w:rFonts w:hint="default" w:ascii="Times New Roman" w:hAnsi="Times New Roman" w:cs="Times New Roman"/>
          <w:szCs w:val="21"/>
          <w:lang w:eastAsia="zh-CN"/>
        </w:rPr>
        <w:t>设备安</w:t>
      </w:r>
      <w:r>
        <w:rPr>
          <w:rFonts w:hint="default" w:ascii="Times New Roman" w:hAnsi="Times New Roman" w:cs="Times New Roman"/>
          <w:szCs w:val="21"/>
        </w:rPr>
        <w:t>装、调试、试运转以及整机质量保证期内，投标方应派遣必要数量的有资格、有经验、有技术的技术人员到招标方现场从事技术服务工作，在正确安装维修、故障排除及操作使用等方面为招标方提供技术上的帮助和支持，以保证</w:t>
      </w:r>
      <w:r>
        <w:rPr>
          <w:rFonts w:hint="default" w:ascii="Times New Roman" w:hAnsi="Times New Roman" w:cs="Times New Roman"/>
          <w:szCs w:val="21"/>
          <w:lang w:eastAsia="zh-CN"/>
        </w:rPr>
        <w:t>仪器</w:t>
      </w:r>
      <w:r>
        <w:rPr>
          <w:rFonts w:hint="default" w:ascii="Times New Roman" w:hAnsi="Times New Roman" w:cs="Times New Roman"/>
          <w:szCs w:val="21"/>
        </w:rPr>
        <w:t>能顺利投入使用。</w:t>
      </w:r>
    </w:p>
    <w:p>
      <w:pPr>
        <w:spacing w:line="360" w:lineRule="auto"/>
        <w:outlineLvl w:val="9"/>
        <w:rPr>
          <w:rFonts w:hint="default" w:ascii="Times New Roman" w:hAnsi="Times New Roman" w:cs="Times New Roman"/>
          <w:szCs w:val="21"/>
          <w:highlight w:val="none"/>
        </w:rPr>
      </w:pPr>
      <w:r>
        <w:rPr>
          <w:rFonts w:hint="default" w:ascii="Times New Roman" w:hAnsi="Times New Roman" w:cs="Times New Roman"/>
          <w:szCs w:val="21"/>
          <w:highlight w:val="none"/>
        </w:rPr>
        <w:t>6.2技术培训</w:t>
      </w:r>
    </w:p>
    <w:p>
      <w:pPr>
        <w:spacing w:line="360" w:lineRule="auto"/>
        <w:ind w:firstLine="420" w:firstLineChars="200"/>
        <w:rPr>
          <w:rFonts w:hint="default" w:ascii="Times New Roman" w:hAnsi="Times New Roman" w:cs="Times New Roman"/>
          <w:szCs w:val="21"/>
          <w:highlight w:val="none"/>
        </w:rPr>
      </w:pPr>
      <w:r>
        <w:rPr>
          <w:rFonts w:hint="default" w:ascii="Times New Roman" w:hAnsi="Times New Roman" w:cs="Times New Roman"/>
          <w:szCs w:val="21"/>
          <w:highlight w:val="none"/>
        </w:rPr>
        <w:t>设备到货后，投标方要派遣培训专家到招标方现场，为招标方操作人员</w:t>
      </w:r>
      <w:r>
        <w:rPr>
          <w:rFonts w:hint="default" w:ascii="Times New Roman" w:hAnsi="Times New Roman" w:cs="Times New Roman"/>
          <w:szCs w:val="21"/>
          <w:highlight w:val="none"/>
          <w:lang w:eastAsia="zh-CN"/>
        </w:rPr>
        <w:t>进行基础操作培训</w:t>
      </w:r>
      <w:r>
        <w:rPr>
          <w:rFonts w:hint="default" w:ascii="Times New Roman" w:hAnsi="Times New Roman" w:cs="Times New Roman"/>
          <w:szCs w:val="21"/>
          <w:highlight w:val="none"/>
        </w:rPr>
        <w:t>。</w:t>
      </w:r>
    </w:p>
    <w:p>
      <w:pPr>
        <w:tabs>
          <w:tab w:val="left" w:pos="284"/>
        </w:tabs>
        <w:adjustRightInd/>
        <w:spacing w:line="360" w:lineRule="auto"/>
        <w:jc w:val="both"/>
        <w:textAlignment w:val="auto"/>
        <w:outlineLvl w:val="9"/>
        <w:rPr>
          <w:rFonts w:hint="default" w:ascii="Times New Roman" w:hAnsi="Times New Roman" w:cs="Times New Roman"/>
          <w:b/>
          <w:bCs/>
          <w:kern w:val="0"/>
          <w:szCs w:val="21"/>
        </w:rPr>
      </w:pPr>
      <w:r>
        <w:rPr>
          <w:rFonts w:hint="default" w:ascii="Times New Roman" w:hAnsi="Times New Roman" w:cs="Times New Roman"/>
          <w:b/>
          <w:bCs/>
          <w:kern w:val="0"/>
          <w:szCs w:val="21"/>
          <w:highlight w:val="none"/>
        </w:rPr>
        <w:t>7.安装调试、性能测</w:t>
      </w:r>
      <w:r>
        <w:rPr>
          <w:rFonts w:hint="default" w:ascii="Times New Roman" w:hAnsi="Times New Roman" w:cs="Times New Roman"/>
          <w:b/>
          <w:bCs/>
          <w:kern w:val="0"/>
          <w:szCs w:val="21"/>
        </w:rPr>
        <w:t>试及考核验收</w:t>
      </w:r>
    </w:p>
    <w:p>
      <w:pPr>
        <w:snapToGrid w:val="0"/>
        <w:spacing w:line="360" w:lineRule="auto"/>
        <w:rPr>
          <w:rFonts w:hint="default" w:ascii="Times New Roman" w:hAnsi="Times New Roman" w:cs="Times New Roman"/>
          <w:color w:val="000000"/>
          <w:szCs w:val="21"/>
        </w:rPr>
      </w:pPr>
      <w:r>
        <w:rPr>
          <w:rFonts w:hint="default" w:ascii="Times New Roman" w:hAnsi="Times New Roman" w:cs="Times New Roman"/>
          <w:color w:val="000000"/>
          <w:szCs w:val="21"/>
        </w:rPr>
        <w:t>7.1 安装调试</w:t>
      </w:r>
    </w:p>
    <w:p>
      <w:pPr>
        <w:snapToGrid w:val="0"/>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default" w:ascii="Times New Roman" w:hAnsi="Times New Roman" w:cs="Times New Roman"/>
          <w:szCs w:val="21"/>
        </w:rPr>
      </w:pPr>
      <w:r>
        <w:rPr>
          <w:rFonts w:hint="default" w:ascii="Times New Roman" w:hAnsi="Times New Roman" w:cs="Times New Roman"/>
          <w:color w:val="000000"/>
          <w:szCs w:val="21"/>
        </w:rPr>
        <w:t xml:space="preserve">7.2 </w:t>
      </w:r>
      <w:r>
        <w:rPr>
          <w:rFonts w:hint="default" w:ascii="Times New Roman" w:hAnsi="Times New Roman" w:cs="Times New Roman"/>
          <w:bCs/>
          <w:color w:val="000000"/>
          <w:szCs w:val="21"/>
          <w:lang w:bidi="ar-SA"/>
        </w:rPr>
        <w:t>试运转将由招标方操作人员在投标方技术人员的密切具体指导下进行。试运转过程中，设备所出现的故障由投标方负责解决，招标方给予协助。</w:t>
      </w:r>
    </w:p>
    <w:p>
      <w:pPr>
        <w:spacing w:line="360" w:lineRule="auto"/>
        <w:rPr>
          <w:rFonts w:hint="default" w:ascii="Times New Roman" w:hAnsi="Times New Roman" w:cs="Times New Roman"/>
          <w:szCs w:val="21"/>
        </w:rPr>
      </w:pPr>
      <w:r>
        <w:rPr>
          <w:rFonts w:hint="default" w:ascii="Times New Roman" w:hAnsi="Times New Roman" w:cs="Times New Roman"/>
          <w:szCs w:val="21"/>
        </w:rPr>
        <w:t>7.3考核验收</w:t>
      </w:r>
    </w:p>
    <w:p>
      <w:pPr>
        <w:spacing w:line="360" w:lineRule="auto"/>
        <w:rPr>
          <w:rFonts w:hint="default" w:ascii="Times New Roman" w:hAnsi="Times New Roman" w:cs="Times New Roman"/>
          <w:szCs w:val="21"/>
          <w:highlight w:val="none"/>
          <w:lang w:eastAsia="zh-CN"/>
        </w:rPr>
      </w:pPr>
      <w:r>
        <w:rPr>
          <w:rFonts w:hint="default" w:ascii="Times New Roman" w:hAnsi="Times New Roman" w:cs="Times New Roman"/>
          <w:szCs w:val="21"/>
          <w:highlight w:val="none"/>
          <w:lang w:val="en-US" w:eastAsia="zh-CN"/>
        </w:rPr>
        <w:t>7.3.1</w:t>
      </w:r>
      <w:r>
        <w:rPr>
          <w:rFonts w:hint="default" w:ascii="Times New Roman" w:hAnsi="Times New Roman" w:cs="Times New Roman"/>
          <w:szCs w:val="21"/>
          <w:highlight w:val="none"/>
          <w:lang w:eastAsia="zh-CN"/>
        </w:rPr>
        <w:t>考核要求：</w:t>
      </w:r>
    </w:p>
    <w:p>
      <w:pPr>
        <w:spacing w:line="360" w:lineRule="auto"/>
        <w:ind w:firstLine="420" w:firstLineChars="200"/>
        <w:rPr>
          <w:rFonts w:hint="default" w:ascii="Times New Roman" w:hAnsi="Times New Roman" w:cs="Times New Roman"/>
          <w:szCs w:val="21"/>
          <w:lang w:val="en-US" w:eastAsia="zh-CN"/>
        </w:rPr>
      </w:pPr>
      <w:r>
        <w:rPr>
          <w:rFonts w:hint="default" w:ascii="Times New Roman" w:hAnsi="Times New Roman" w:cs="Times New Roman"/>
          <w:szCs w:val="21"/>
          <w:highlight w:val="none"/>
        </w:rPr>
        <w:t>高频红外碳硫分析仪</w:t>
      </w:r>
      <w:r>
        <w:rPr>
          <w:rFonts w:hint="default" w:ascii="Times New Roman" w:hAnsi="Times New Roman" w:cs="Times New Roman"/>
          <w:szCs w:val="21"/>
          <w:highlight w:val="none"/>
          <w:lang w:eastAsia="zh-CN"/>
        </w:rPr>
        <w:t>：</w:t>
      </w:r>
      <w:r>
        <w:rPr>
          <w:rFonts w:hint="default" w:ascii="Times New Roman" w:hAnsi="Times New Roman" w:cs="Times New Roman"/>
          <w:szCs w:val="21"/>
          <w:lang w:eastAsia="zh-CN"/>
        </w:rPr>
        <w:t>正常进行</w:t>
      </w:r>
      <w:r>
        <w:rPr>
          <w:rFonts w:hint="default" w:ascii="Times New Roman" w:hAnsi="Times New Roman" w:cs="Times New Roman"/>
          <w:szCs w:val="21"/>
          <w:lang w:val="en-US" w:eastAsia="zh-CN"/>
        </w:rPr>
        <w:t>3</w:t>
      </w:r>
      <w:r>
        <w:rPr>
          <w:rFonts w:hint="default" w:ascii="Times New Roman" w:hAnsi="Times New Roman" w:cs="Times New Roman"/>
          <w:szCs w:val="21"/>
          <w:lang w:eastAsia="zh-CN"/>
        </w:rPr>
        <w:t>次检测工作</w:t>
      </w:r>
      <w:r>
        <w:rPr>
          <w:rFonts w:hint="default" w:ascii="Times New Roman" w:hAnsi="Times New Roman" w:cs="Times New Roman"/>
          <w:szCs w:val="21"/>
          <w:lang w:val="en-US" w:eastAsia="zh-CN"/>
        </w:rPr>
        <w:t>，无故障；</w:t>
      </w:r>
    </w:p>
    <w:p>
      <w:pPr>
        <w:spacing w:line="360" w:lineRule="auto"/>
        <w:ind w:firstLine="420" w:firstLineChars="200"/>
        <w:rPr>
          <w:rFonts w:hint="eastAsia" w:cs="Times New Roman"/>
          <w:szCs w:val="21"/>
          <w:highlight w:val="none"/>
          <w:lang w:val="en-US" w:eastAsia="zh-CN"/>
        </w:rPr>
      </w:pPr>
      <w:r>
        <w:rPr>
          <w:rFonts w:hint="default" w:ascii="Times New Roman" w:hAnsi="Times New Roman" w:cs="Times New Roman"/>
          <w:szCs w:val="21"/>
          <w:highlight w:val="none"/>
          <w:lang w:eastAsia="zh-CN"/>
        </w:rPr>
        <w:t>直读光谱仪：采用校准样品，连续激发</w:t>
      </w:r>
      <w:r>
        <w:rPr>
          <w:rFonts w:hint="default" w:ascii="Times New Roman" w:hAnsi="Times New Roman" w:cs="Times New Roman"/>
          <w:szCs w:val="21"/>
          <w:highlight w:val="none"/>
          <w:lang w:val="en-US" w:eastAsia="zh-CN"/>
        </w:rPr>
        <w:t>3</w:t>
      </w:r>
      <w:r>
        <w:rPr>
          <w:rFonts w:hint="default" w:ascii="Times New Roman" w:hAnsi="Times New Roman" w:cs="Times New Roman"/>
          <w:szCs w:val="21"/>
          <w:highlight w:val="none"/>
          <w:lang w:eastAsia="zh-CN"/>
        </w:rPr>
        <w:t>次，结果的符合相对标准偏差要求</w:t>
      </w:r>
      <w:r>
        <w:rPr>
          <w:rFonts w:hint="eastAsia" w:cs="Times New Roman"/>
          <w:szCs w:val="21"/>
          <w:highlight w:val="none"/>
          <w:lang w:eastAsia="zh-CN"/>
        </w:rPr>
        <w:t>，</w:t>
      </w:r>
      <w:r>
        <w:rPr>
          <w:rFonts w:hint="default" w:ascii="Times New Roman" w:hAnsi="Times New Roman" w:cs="Times New Roman"/>
          <w:szCs w:val="21"/>
          <w:highlight w:val="none"/>
          <w:lang w:val="en-US" w:eastAsia="zh-CN"/>
        </w:rPr>
        <w:t>无故障</w:t>
      </w:r>
      <w:r>
        <w:rPr>
          <w:rFonts w:hint="eastAsia" w:cs="Times New Roman"/>
          <w:szCs w:val="21"/>
          <w:highlight w:val="none"/>
          <w:lang w:val="en-US" w:eastAsia="zh-CN"/>
        </w:rPr>
        <w:t>；</w:t>
      </w:r>
    </w:p>
    <w:p>
      <w:pPr>
        <w:spacing w:line="360" w:lineRule="auto"/>
        <w:ind w:firstLine="420" w:firstLineChars="200"/>
        <w:rPr>
          <w:rFonts w:hint="eastAsia" w:ascii="Times New Roman" w:hAnsi="Times New Roman" w:cs="Times New Roman"/>
          <w:szCs w:val="21"/>
          <w:highlight w:val="none"/>
          <w:lang w:val="en-US" w:eastAsia="zh-CN"/>
        </w:rPr>
      </w:pPr>
      <w:r>
        <w:rPr>
          <w:rFonts w:hint="default" w:ascii="Times New Roman" w:hAnsi="Times New Roman" w:cs="Times New Roman"/>
          <w:szCs w:val="21"/>
          <w:highlight w:val="none"/>
          <w:lang w:val="en-US" w:eastAsia="zh-CN"/>
        </w:rPr>
        <w:t>在线总有机碳分析仪</w:t>
      </w:r>
      <w:r>
        <w:rPr>
          <w:rFonts w:hint="eastAsia" w:ascii="Times New Roman" w:hAnsi="Times New Roman" w:cs="Times New Roman"/>
          <w:szCs w:val="21"/>
          <w:highlight w:val="none"/>
          <w:lang w:val="en-US" w:eastAsia="zh-CN"/>
        </w:rPr>
        <w:t>：</w:t>
      </w:r>
      <w:r>
        <w:rPr>
          <w:rFonts w:hint="default" w:ascii="Times New Roman" w:hAnsi="Times New Roman" w:cs="Times New Roman"/>
          <w:szCs w:val="21"/>
          <w:highlight w:val="none"/>
          <w:lang w:eastAsia="zh-CN"/>
        </w:rPr>
        <w:t>正常进行</w:t>
      </w:r>
      <w:r>
        <w:rPr>
          <w:rFonts w:hint="default" w:ascii="Times New Roman" w:hAnsi="Times New Roman" w:cs="Times New Roman"/>
          <w:szCs w:val="21"/>
          <w:highlight w:val="none"/>
          <w:lang w:val="en-US" w:eastAsia="zh-CN"/>
        </w:rPr>
        <w:t>3</w:t>
      </w:r>
      <w:r>
        <w:rPr>
          <w:rFonts w:hint="default" w:ascii="Times New Roman" w:hAnsi="Times New Roman" w:cs="Times New Roman"/>
          <w:szCs w:val="21"/>
          <w:highlight w:val="none"/>
          <w:lang w:eastAsia="zh-CN"/>
        </w:rPr>
        <w:t>次检测工作</w:t>
      </w:r>
      <w:r>
        <w:rPr>
          <w:rFonts w:hint="default" w:ascii="Times New Roman" w:hAnsi="Times New Roman" w:cs="Times New Roman"/>
          <w:szCs w:val="21"/>
          <w:highlight w:val="none"/>
          <w:lang w:val="en-US" w:eastAsia="zh-CN"/>
        </w:rPr>
        <w:t>，无故障。</w:t>
      </w:r>
    </w:p>
    <w:p>
      <w:pPr>
        <w:spacing w:line="360" w:lineRule="auto"/>
        <w:rPr>
          <w:rFonts w:hint="default" w:ascii="Times New Roman" w:hAnsi="Times New Roman" w:cs="Times New Roman"/>
          <w:szCs w:val="21"/>
        </w:rPr>
      </w:pPr>
      <w:r>
        <w:rPr>
          <w:rFonts w:hint="default" w:ascii="Times New Roman" w:hAnsi="Times New Roman" w:cs="Times New Roman"/>
          <w:szCs w:val="21"/>
          <w:lang w:val="en-US" w:eastAsia="zh-CN"/>
        </w:rPr>
        <w:t>7.3.2</w:t>
      </w:r>
      <w:r>
        <w:rPr>
          <w:rFonts w:hint="default" w:ascii="Times New Roman" w:hAnsi="Times New Roman" w:cs="Times New Roman"/>
          <w:szCs w:val="21"/>
        </w:rPr>
        <w:t>设备在上述考核合格后，招标方和投标方签署验收报告。</w:t>
      </w:r>
    </w:p>
    <w:p>
      <w:pPr>
        <w:tabs>
          <w:tab w:val="left" w:pos="284"/>
        </w:tabs>
        <w:adjustRightInd/>
        <w:spacing w:line="360" w:lineRule="auto"/>
        <w:jc w:val="both"/>
        <w:textAlignment w:val="auto"/>
        <w:outlineLvl w:val="9"/>
        <w:rPr>
          <w:rFonts w:hint="default" w:ascii="Times New Roman" w:hAnsi="Times New Roman" w:cs="Times New Roman"/>
          <w:b/>
          <w:bCs/>
          <w:kern w:val="0"/>
          <w:szCs w:val="21"/>
        </w:rPr>
      </w:pPr>
      <w:r>
        <w:rPr>
          <w:rFonts w:hint="default" w:ascii="Times New Roman" w:hAnsi="Times New Roman" w:cs="Times New Roman"/>
          <w:b/>
          <w:bCs/>
          <w:kern w:val="0"/>
          <w:szCs w:val="21"/>
        </w:rPr>
        <w:t>8.质量保证</w:t>
      </w:r>
    </w:p>
    <w:p>
      <w:pPr>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质量保证期限为12个月。保证期限从该设备安装调试能力考核合格双方签字之日算起。质保期内</w:t>
      </w:r>
      <w:r>
        <w:rPr>
          <w:rFonts w:hint="default" w:ascii="Times New Roman" w:hAnsi="Times New Roman" w:cs="Times New Roman"/>
          <w:bCs/>
          <w:color w:val="000000"/>
          <w:szCs w:val="21"/>
          <w:lang w:bidi="ar-SA"/>
        </w:rPr>
        <w:t>投标方</w:t>
      </w:r>
      <w:r>
        <w:rPr>
          <w:rFonts w:hint="default" w:ascii="Times New Roman" w:hAnsi="Times New Roman" w:cs="Times New Roman"/>
          <w:szCs w:val="21"/>
        </w:rPr>
        <w:t>所供设备由于设备设计缺陷、制造质量、材料质量等原因引起的设备零部件损坏，投标方负责免费更换或维修。</w:t>
      </w:r>
    </w:p>
    <w:p>
      <w:pPr>
        <w:snapToGrid/>
        <w:spacing w:line="360" w:lineRule="auto"/>
        <w:outlineLvl w:val="9"/>
        <w:rPr>
          <w:rFonts w:hint="default" w:ascii="Times New Roman" w:hAnsi="Times New Roman" w:cs="Times New Roman"/>
          <w:b/>
          <w:bCs/>
          <w:color w:val="000000"/>
          <w:szCs w:val="21"/>
        </w:rPr>
      </w:pPr>
      <w:r>
        <w:rPr>
          <w:rFonts w:hint="default" w:ascii="Times New Roman" w:hAnsi="Times New Roman" w:cs="Times New Roman"/>
          <w:b/>
          <w:bCs/>
          <w:color w:val="000000"/>
          <w:szCs w:val="21"/>
        </w:rPr>
        <w:t>9.售后支持</w:t>
      </w:r>
    </w:p>
    <w:p>
      <w:pPr>
        <w:snapToGrid w:val="0"/>
        <w:spacing w:line="360" w:lineRule="auto"/>
        <w:rPr>
          <w:rFonts w:hint="default" w:ascii="Times New Roman" w:hAnsi="Times New Roman" w:cs="Times New Roman"/>
          <w:color w:val="000000"/>
          <w:szCs w:val="21"/>
        </w:rPr>
      </w:pPr>
      <w:r>
        <w:rPr>
          <w:rFonts w:hint="default" w:ascii="Times New Roman" w:hAnsi="Times New Roman" w:cs="Times New Roman"/>
          <w:color w:val="000000"/>
          <w:szCs w:val="21"/>
        </w:rPr>
        <w:t>9.1 技术支持</w:t>
      </w:r>
    </w:p>
    <w:p>
      <w:pPr>
        <w:tabs>
          <w:tab w:val="left" w:pos="1460"/>
        </w:tabs>
        <w:snapToGrid w:val="0"/>
        <w:spacing w:line="360" w:lineRule="auto"/>
        <w:ind w:firstLine="420" w:firstLineChars="200"/>
        <w:rPr>
          <w:rFonts w:hint="default" w:ascii="Times New Roman" w:hAnsi="Times New Roman" w:cs="Times New Roman"/>
          <w:bCs/>
          <w:color w:val="000000"/>
          <w:szCs w:val="21"/>
          <w:lang w:bidi="ar-SA"/>
        </w:rPr>
      </w:pPr>
      <w:r>
        <w:rPr>
          <w:rFonts w:hint="default" w:ascii="Times New Roman" w:hAnsi="Times New Roman" w:cs="Times New Roman"/>
          <w:bCs/>
          <w:color w:val="000000"/>
          <w:szCs w:val="21"/>
          <w:lang w:bidi="ar-SA"/>
        </w:rPr>
        <w:t>投标方应在报价中说明质保期满后</w:t>
      </w:r>
      <w:r>
        <w:rPr>
          <w:rFonts w:hint="default" w:ascii="Times New Roman" w:hAnsi="Times New Roman" w:cs="Times New Roman"/>
          <w:color w:val="000000"/>
          <w:sz w:val="22"/>
          <w:szCs w:val="18"/>
          <w:highlight w:val="none"/>
        </w:rPr>
        <w:t>对所供设备提供有偿售后服务，只收取配件费用，不收取人工费</w:t>
      </w:r>
      <w:r>
        <w:rPr>
          <w:rFonts w:hint="default" w:ascii="Times New Roman" w:hAnsi="Times New Roman" w:cs="Times New Roman"/>
          <w:bCs/>
          <w:color w:val="000000"/>
          <w:szCs w:val="21"/>
          <w:lang w:bidi="ar-SA"/>
        </w:rPr>
        <w:t>。</w:t>
      </w:r>
    </w:p>
    <w:p>
      <w:pPr>
        <w:snapToGrid w:val="0"/>
        <w:spacing w:line="360" w:lineRule="auto"/>
        <w:rPr>
          <w:rFonts w:hint="default" w:ascii="Times New Roman" w:hAnsi="Times New Roman" w:cs="Times New Roman"/>
          <w:color w:val="000000"/>
          <w:szCs w:val="21"/>
        </w:rPr>
      </w:pPr>
      <w:r>
        <w:rPr>
          <w:rFonts w:hint="default" w:ascii="Times New Roman" w:hAnsi="Times New Roman" w:cs="Times New Roman"/>
          <w:color w:val="000000"/>
          <w:szCs w:val="21"/>
        </w:rPr>
        <w:t>9.2 维修支持</w:t>
      </w:r>
    </w:p>
    <w:p>
      <w:pPr>
        <w:spacing w:line="360" w:lineRule="auto"/>
        <w:rPr>
          <w:rFonts w:hint="eastAsia"/>
          <w:lang w:eastAsia="zh-CN"/>
        </w:rPr>
      </w:pPr>
      <w:r>
        <w:rPr>
          <w:rFonts w:hint="default" w:ascii="Times New Roman" w:hAnsi="Times New Roman" w:cs="Times New Roman"/>
          <w:szCs w:val="21"/>
        </w:rPr>
        <w:t>投标方应在报价中说明质保期满后，投标方在设备维修方面能给招标方的支持。对于招标方遇到的紧急故障需要投标方帮助处理时，投标方</w:t>
      </w:r>
      <w:r>
        <w:rPr>
          <w:rFonts w:hint="default" w:ascii="Times New Roman" w:hAnsi="Times New Roman" w:cs="Times New Roman"/>
          <w:szCs w:val="21"/>
          <w:lang w:eastAsia="zh-CN"/>
        </w:rPr>
        <w:t>需</w:t>
      </w:r>
      <w:r>
        <w:rPr>
          <w:rFonts w:hint="default" w:ascii="Times New Roman" w:hAnsi="Times New Roman" w:cs="Times New Roman"/>
          <w:szCs w:val="21"/>
        </w:rPr>
        <w:t>以最快的速度给予支持。</w:t>
      </w:r>
    </w:p>
    <w:p>
      <w:pPr>
        <w:pStyle w:val="2"/>
        <w:spacing w:line="240" w:lineRule="auto"/>
        <w:jc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sz w:val="36"/>
          <w:szCs w:val="24"/>
          <w:highlight w:val="none"/>
          <w:lang w:eastAsia="zh-CN"/>
        </w:rPr>
        <w:br w:type="page"/>
      </w:r>
      <w:bookmarkStart w:id="12" w:name="_Toc1133"/>
      <w:bookmarkStart w:id="13" w:name="_Toc31784"/>
      <w:bookmarkStart w:id="14" w:name="_Toc29986"/>
      <w:bookmarkStart w:id="15" w:name="_Toc24551"/>
      <w:r>
        <w:rPr>
          <w:rFonts w:hint="eastAsia" w:ascii="宋体" w:hAnsi="宋体" w:eastAsia="宋体" w:cs="宋体"/>
          <w:color w:val="auto"/>
          <w:sz w:val="36"/>
          <w:szCs w:val="24"/>
          <w:highlight w:val="none"/>
          <w:lang w:eastAsia="zh-CN"/>
        </w:rPr>
        <w:t>第四包：</w:t>
      </w:r>
      <w:r>
        <w:rPr>
          <w:rFonts w:hint="eastAsia" w:ascii="宋体" w:hAnsi="宋体" w:eastAsia="宋体" w:cs="宋体"/>
          <w:color w:val="auto"/>
          <w:sz w:val="36"/>
          <w:szCs w:val="24"/>
          <w:highlight w:val="none"/>
          <w:lang w:val="en-US" w:eastAsia="zh-CN"/>
        </w:rPr>
        <w:t>煤质快速检测系统技术要求</w:t>
      </w:r>
      <w:bookmarkEnd w:id="12"/>
      <w:bookmarkEnd w:id="13"/>
      <w:bookmarkEnd w:id="14"/>
      <w:bookmarkEnd w:id="15"/>
    </w:p>
    <w:p>
      <w:pPr>
        <w:pStyle w:val="11"/>
        <w:numPr>
          <w:ilvl w:val="0"/>
          <w:numId w:val="0"/>
        </w:numPr>
        <w:tabs>
          <w:tab w:val="left" w:pos="426"/>
        </w:tabs>
        <w:spacing w:line="360" w:lineRule="auto"/>
        <w:jc w:val="both"/>
        <w:rPr>
          <w:rStyle w:val="14"/>
          <w:rFonts w:hint="default" w:ascii="Times New Roman" w:hAnsi="Times New Roman" w:eastAsia="宋体" w:cs="Times New Roman"/>
          <w:b/>
          <w:bCs/>
          <w:sz w:val="21"/>
          <w:szCs w:val="21"/>
          <w:highlight w:val="none"/>
        </w:rPr>
      </w:pPr>
      <w:r>
        <w:rPr>
          <w:rStyle w:val="14"/>
          <w:rFonts w:hint="default" w:ascii="Times New Roman" w:hAnsi="Times New Roman" w:eastAsia="宋体" w:cs="Times New Roman"/>
          <w:b/>
          <w:bCs/>
          <w:sz w:val="21"/>
          <w:szCs w:val="21"/>
          <w:highlight w:val="none"/>
        </w:rPr>
        <w:t>1.货物需求</w:t>
      </w:r>
    </w:p>
    <w:p>
      <w:pPr>
        <w:tabs>
          <w:tab w:val="left" w:pos="60"/>
        </w:tabs>
        <w:spacing w:line="360" w:lineRule="auto"/>
        <w:outlineLvl w:val="9"/>
        <w:rPr>
          <w:rFonts w:hint="default"/>
        </w:rPr>
      </w:pPr>
      <w:r>
        <w:rPr>
          <w:rFonts w:hint="default"/>
        </w:rPr>
        <w:t>1.1货物需求一览表</w:t>
      </w:r>
    </w:p>
    <w:tbl>
      <w:tblPr>
        <w:tblStyle w:val="16"/>
        <w:tblW w:w="9116" w:type="dxa"/>
        <w:tblInd w:w="0" w:type="dxa"/>
        <w:tblLayout w:type="fixed"/>
        <w:tblCellMar>
          <w:top w:w="0" w:type="dxa"/>
          <w:left w:w="108" w:type="dxa"/>
          <w:bottom w:w="0" w:type="dxa"/>
          <w:right w:w="108" w:type="dxa"/>
        </w:tblCellMar>
      </w:tblPr>
      <w:tblGrid>
        <w:gridCol w:w="869"/>
        <w:gridCol w:w="3025"/>
        <w:gridCol w:w="1075"/>
        <w:gridCol w:w="890"/>
        <w:gridCol w:w="1650"/>
        <w:gridCol w:w="1607"/>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序号</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设备名称</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单位</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数量</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型号</w:t>
            </w:r>
            <w:r>
              <w:rPr>
                <w:rFonts w:hint="default" w:ascii="Times New Roman" w:hAnsi="Times New Roman" w:cs="Times New Roman"/>
                <w:sz w:val="21"/>
                <w:szCs w:val="21"/>
                <w:highlight w:val="none"/>
                <w:lang w:eastAsia="zh-CN"/>
              </w:rPr>
              <w:t>（产地）</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1</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highlight w:val="none"/>
                <w:shd w:val="clear" w:color="auto" w:fill="auto"/>
              </w:rPr>
            </w:pPr>
            <w:r>
              <w:rPr>
                <w:rFonts w:hint="default" w:ascii="Times New Roman" w:hAnsi="Times New Roman" w:cs="Times New Roman"/>
                <w:color w:val="auto"/>
                <w:sz w:val="21"/>
                <w:szCs w:val="21"/>
                <w:highlight w:val="none"/>
                <w:shd w:val="clear" w:color="auto" w:fill="auto"/>
                <w:lang w:val="en-US" w:eastAsia="zh-CN"/>
              </w:rPr>
              <w:t>煤质快速检测系统</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highlight w:val="none"/>
                <w:shd w:val="clear" w:color="auto" w:fill="auto"/>
              </w:rPr>
            </w:pPr>
            <w:r>
              <w:rPr>
                <w:rFonts w:hint="default" w:ascii="Times New Roman" w:hAnsi="Times New Roman" w:cs="Times New Roman"/>
                <w:sz w:val="21"/>
                <w:szCs w:val="21"/>
                <w:highlight w:val="none"/>
                <w:lang w:val="en-US" w:eastAsia="zh-CN"/>
              </w:rPr>
              <w:t>套</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color w:val="auto"/>
                <w:sz w:val="21"/>
                <w:szCs w:val="21"/>
                <w:highlight w:val="none"/>
                <w:shd w:val="clear" w:color="auto" w:fill="auto"/>
                <w:lang w:val="en-US" w:eastAsia="zh-CN"/>
              </w:rPr>
            </w:pPr>
            <w:r>
              <w:rPr>
                <w:rFonts w:hint="default" w:ascii="Times New Roman" w:hAnsi="Times New Roman" w:cs="Times New Roman"/>
                <w:color w:val="auto"/>
                <w:sz w:val="21"/>
                <w:szCs w:val="21"/>
                <w:highlight w:val="none"/>
                <w:shd w:val="clear" w:color="auto" w:fill="auto"/>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r>
    </w:tbl>
    <w:p>
      <w:pPr>
        <w:spacing w:line="360" w:lineRule="auto"/>
        <w:rPr>
          <w:rFonts w:hint="default" w:ascii="Times New Roman" w:hAnsi="Times New Roman" w:cs="Times New Roman"/>
          <w:bCs/>
          <w:color w:val="000000"/>
          <w:sz w:val="21"/>
          <w:szCs w:val="21"/>
          <w:highlight w:val="none"/>
          <w:lang w:bidi="ar-SA"/>
        </w:rPr>
      </w:pPr>
      <w:r>
        <w:rPr>
          <w:rFonts w:hint="default" w:ascii="Times New Roman" w:hAnsi="Times New Roman" w:cs="Times New Roman"/>
          <w:bCs/>
          <w:color w:val="000000"/>
          <w:sz w:val="21"/>
          <w:szCs w:val="21"/>
          <w:highlight w:val="none"/>
          <w:lang w:bidi="ar-SA"/>
        </w:rPr>
        <w:t>1.2交货时间:自合同签订之日起</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u w:val="single"/>
          <w:lang w:val="en-US" w:eastAsia="zh-CN" w:bidi="ar-SA"/>
        </w:rPr>
        <w:t>1</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lang w:bidi="ar-SA"/>
        </w:rPr>
        <w:t>个月内</w:t>
      </w:r>
      <w:r>
        <w:rPr>
          <w:rFonts w:hint="default" w:ascii="Times New Roman" w:hAnsi="Times New Roman" w:cs="Times New Roman"/>
          <w:bCs/>
          <w:sz w:val="21"/>
          <w:szCs w:val="21"/>
          <w:highlight w:val="none"/>
        </w:rPr>
        <w:t>到达</w:t>
      </w:r>
      <w:r>
        <w:rPr>
          <w:rFonts w:hint="default" w:ascii="Times New Roman" w:hAnsi="Times New Roman" w:cs="Times New Roman"/>
          <w:bCs/>
          <w:color w:val="000000"/>
          <w:sz w:val="21"/>
          <w:szCs w:val="21"/>
          <w:highlight w:val="none"/>
          <w:lang w:bidi="ar-SA"/>
        </w:rPr>
        <w:t>交货地点。</w:t>
      </w:r>
    </w:p>
    <w:p>
      <w:pPr>
        <w:spacing w:line="360" w:lineRule="auto"/>
        <w:rPr>
          <w:rFonts w:hint="default" w:ascii="Times New Roman" w:hAnsi="Times New Roman" w:cs="Times New Roman"/>
          <w:bCs/>
          <w:sz w:val="21"/>
          <w:szCs w:val="21"/>
          <w:highlight w:val="none"/>
        </w:rPr>
      </w:pPr>
      <w:r>
        <w:rPr>
          <w:rFonts w:hint="default" w:ascii="Times New Roman" w:hAnsi="Times New Roman" w:cs="Times New Roman"/>
          <w:bCs/>
          <w:color w:val="000000"/>
          <w:sz w:val="21"/>
          <w:szCs w:val="21"/>
          <w:highlight w:val="none"/>
          <w:lang w:bidi="ar-SA"/>
        </w:rPr>
        <w:t>交货地点:</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u w:val="single"/>
          <w:lang w:val="en-US" w:eastAsia="zh-CN" w:bidi="ar-SA"/>
        </w:rPr>
        <w:t xml:space="preserve"> 内蒙古鄂尔多斯薛家湾神华准资</w:t>
      </w:r>
      <w:r>
        <w:rPr>
          <w:rFonts w:hint="default" w:ascii="Times New Roman" w:hAnsi="Times New Roman" w:cs="Times New Roman"/>
          <w:bCs/>
          <w:color w:val="000000"/>
          <w:sz w:val="21"/>
          <w:szCs w:val="21"/>
          <w:highlight w:val="none"/>
          <w:u w:val="single"/>
          <w:lang w:eastAsia="zh-CN" w:bidi="ar-SA"/>
        </w:rPr>
        <w:t>研发中心</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lang w:bidi="ar-SA"/>
        </w:rPr>
        <w:t>。</w:t>
      </w:r>
    </w:p>
    <w:p>
      <w:pPr>
        <w:pStyle w:val="11"/>
        <w:numPr>
          <w:ilvl w:val="0"/>
          <w:numId w:val="0"/>
        </w:numPr>
        <w:tabs>
          <w:tab w:val="left" w:pos="426"/>
        </w:tabs>
        <w:spacing w:line="360" w:lineRule="auto"/>
        <w:jc w:val="both"/>
        <w:rPr>
          <w:rStyle w:val="14"/>
          <w:rFonts w:hint="default" w:ascii="Times New Roman" w:hAnsi="Times New Roman" w:eastAsia="宋体" w:cs="Times New Roman"/>
          <w:b/>
          <w:bCs/>
          <w:sz w:val="21"/>
          <w:szCs w:val="21"/>
          <w:highlight w:val="none"/>
        </w:rPr>
      </w:pPr>
      <w:r>
        <w:rPr>
          <w:rStyle w:val="14"/>
          <w:rFonts w:hint="default" w:ascii="Times New Roman" w:hAnsi="Times New Roman" w:eastAsia="宋体" w:cs="Times New Roman"/>
          <w:b/>
          <w:bCs/>
          <w:sz w:val="21"/>
          <w:szCs w:val="21"/>
          <w:highlight w:val="none"/>
        </w:rPr>
        <w:t>2.使用条件</w:t>
      </w:r>
    </w:p>
    <w:p>
      <w:pPr>
        <w:tabs>
          <w:tab w:val="left" w:pos="426"/>
        </w:tabs>
        <w:spacing w:line="360" w:lineRule="auto"/>
        <w:outlineLvl w:val="9"/>
        <w:rPr>
          <w:rStyle w:val="14"/>
          <w:rFonts w:hint="default" w:ascii="Times New Roman" w:hAnsi="Times New Roman" w:eastAsia="宋体" w:cs="Times New Roman"/>
          <w:b w:val="0"/>
          <w:sz w:val="21"/>
          <w:szCs w:val="21"/>
          <w:highlight w:val="none"/>
        </w:rPr>
      </w:pPr>
      <w:r>
        <w:rPr>
          <w:rStyle w:val="14"/>
          <w:rFonts w:hint="default" w:ascii="Times New Roman" w:hAnsi="Times New Roman" w:eastAsia="宋体" w:cs="Times New Roman"/>
          <w:b w:val="0"/>
          <w:sz w:val="21"/>
          <w:szCs w:val="21"/>
          <w:highlight w:val="none"/>
        </w:rPr>
        <w:t>2.1气候条件及工作环境</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年平均温度</w:t>
      </w:r>
      <w:r>
        <w:rPr>
          <w:rFonts w:hint="default" w:ascii="Times New Roman" w:hAnsi="Times New Roman" w:cs="Times New Roman"/>
          <w:color w:val="000000"/>
          <w:sz w:val="21"/>
          <w:szCs w:val="21"/>
          <w:highlight w:val="none"/>
        </w:rPr>
        <w:t>6.2</w:t>
      </w:r>
      <w:r>
        <w:rPr>
          <w:rFonts w:hint="default" w:ascii="Times New Roman" w:hAnsi="Times New Roman" w:cs="Times New Roman"/>
          <w:color w:val="000000"/>
          <w:sz w:val="21"/>
          <w:szCs w:val="21"/>
          <w:highlight w:val="none"/>
          <w:lang w:bidi="ar-SA"/>
        </w:rPr>
        <w:t>℃</w:t>
      </w:r>
      <w:r>
        <w:rPr>
          <w:rFonts w:hint="default" w:ascii="Times New Roman" w:hAnsi="Times New Roman" w:cs="Times New Roman"/>
          <w:color w:val="000000"/>
          <w:sz w:val="21"/>
          <w:szCs w:val="21"/>
          <w:highlight w:val="none"/>
        </w:rPr>
        <w:t>～8.7</w:t>
      </w:r>
      <w:r>
        <w:rPr>
          <w:rFonts w:hint="default" w:ascii="Times New Roman" w:hAnsi="Times New Roman" w:cs="Times New Roman"/>
          <w:color w:val="000000"/>
          <w:sz w:val="21"/>
          <w:szCs w:val="21"/>
          <w:highlight w:val="none"/>
          <w:lang w:bidi="ar-SA"/>
        </w:rPr>
        <w:t>℃</w:t>
      </w:r>
      <w:r>
        <w:rPr>
          <w:rFonts w:hint="default" w:ascii="Times New Roman" w:hAnsi="Times New Roman" w:cs="Times New Roman"/>
          <w:sz w:val="21"/>
          <w:szCs w:val="21"/>
          <w:highlight w:val="none"/>
        </w:rPr>
        <w:t>，最高气温达39℃，最低气温为</w:t>
      </w:r>
      <w:r>
        <w:rPr>
          <w:rFonts w:hint="default" w:ascii="Times New Roman" w:hAnsi="Times New Roman" w:cs="Times New Roman"/>
          <w:color w:val="000000"/>
          <w:sz w:val="21"/>
          <w:szCs w:val="21"/>
          <w:highlight w:val="none"/>
        </w:rPr>
        <w:t>-32.8</w:t>
      </w:r>
      <w:r>
        <w:rPr>
          <w:rFonts w:hint="default" w:ascii="Times New Roman" w:hAnsi="Times New Roman" w:cs="Times New Roman"/>
          <w:sz w:val="21"/>
          <w:szCs w:val="21"/>
          <w:highlight w:val="none"/>
        </w:rPr>
        <w:t>℃；</w:t>
      </w:r>
      <w:r>
        <w:rPr>
          <w:rFonts w:hint="default" w:ascii="Times New Roman" w:hAnsi="Times New Roman" w:cs="Times New Roman"/>
          <w:sz w:val="21"/>
          <w:szCs w:val="21"/>
          <w:highlight w:val="none"/>
          <w:lang w:val="zh-CN" w:eastAsia="zh-CN" w:bidi="ar-SA"/>
        </w:rPr>
        <w:t>海拔高度1200m；该地区的地震等级为7级</w:t>
      </w:r>
      <w:r>
        <w:rPr>
          <w:rFonts w:hint="default" w:ascii="Times New Roman" w:hAnsi="Times New Roman" w:cs="Times New Roman"/>
          <w:sz w:val="21"/>
          <w:szCs w:val="21"/>
          <w:highlight w:val="none"/>
        </w:rPr>
        <w:t>。</w:t>
      </w:r>
    </w:p>
    <w:p>
      <w:pPr>
        <w:spacing w:line="360" w:lineRule="auto"/>
        <w:outlineLvl w:val="9"/>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2.2供电自然条件</w:t>
      </w:r>
    </w:p>
    <w:p>
      <w:pPr>
        <w:spacing w:line="360" w:lineRule="auto"/>
        <w:ind w:firstLine="420" w:firstLineChars="200"/>
        <w:rPr>
          <w:rFonts w:hint="default" w:ascii="Times New Roman" w:hAnsi="Times New Roman" w:cs="Times New Roman"/>
          <w:bCs/>
          <w:snapToGrid w:val="0"/>
          <w:kern w:val="0"/>
          <w:sz w:val="21"/>
          <w:szCs w:val="21"/>
          <w:highlight w:val="none"/>
        </w:rPr>
      </w:pPr>
      <w:r>
        <w:rPr>
          <w:rFonts w:hint="default" w:ascii="Times New Roman" w:hAnsi="Times New Roman" w:cs="Times New Roman"/>
          <w:bCs/>
          <w:snapToGrid w:val="0"/>
          <w:kern w:val="0"/>
          <w:sz w:val="21"/>
          <w:szCs w:val="21"/>
          <w:highlight w:val="none"/>
        </w:rPr>
        <w:t>招标方只提供</w:t>
      </w:r>
      <w:r>
        <w:rPr>
          <w:rFonts w:hint="default" w:ascii="Times New Roman" w:hAnsi="Times New Roman" w:cs="Times New Roman"/>
          <w:bCs/>
          <w:snapToGrid w:val="0"/>
          <w:kern w:val="0"/>
          <w:sz w:val="21"/>
          <w:szCs w:val="21"/>
          <w:highlight w:val="none"/>
          <w:lang w:val="en-US" w:eastAsia="zh-CN"/>
        </w:rPr>
        <w:t xml:space="preserve"> </w:t>
      </w:r>
      <w:r>
        <w:rPr>
          <w:rFonts w:hint="default" w:ascii="Times New Roman" w:hAnsi="Times New Roman" w:cs="Times New Roman"/>
          <w:bCs/>
          <w:snapToGrid w:val="0"/>
          <w:kern w:val="0"/>
          <w:sz w:val="21"/>
          <w:szCs w:val="21"/>
          <w:highlight w:val="none"/>
          <w:u w:val="single"/>
          <w:lang w:val="en-US" w:eastAsia="zh-CN"/>
        </w:rPr>
        <w:t xml:space="preserve">  AC</w:t>
      </w:r>
      <w:r>
        <w:rPr>
          <w:rFonts w:hint="default" w:ascii="Times New Roman" w:hAnsi="Times New Roman" w:cs="Times New Roman"/>
          <w:bCs/>
          <w:color w:val="000000"/>
          <w:sz w:val="21"/>
          <w:szCs w:val="21"/>
          <w:highlight w:val="none"/>
          <w:u w:val="single"/>
          <w:lang w:val="en-US" w:eastAsia="zh-CN" w:bidi="ar-SA"/>
        </w:rPr>
        <w:t xml:space="preserve">220  </w:t>
      </w:r>
      <w:r>
        <w:rPr>
          <w:rFonts w:hint="default" w:ascii="Times New Roman" w:hAnsi="Times New Roman" w:cs="Times New Roman"/>
          <w:sz w:val="21"/>
          <w:szCs w:val="21"/>
          <w:highlight w:val="none"/>
        </w:rPr>
        <w:t>V电源，电源电压偏移±</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u w:val="single"/>
          <w:lang w:val="en-US" w:eastAsia="zh-CN" w:bidi="ar-SA"/>
        </w:rPr>
        <w:t>15</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sz w:val="21"/>
          <w:szCs w:val="21"/>
          <w:highlight w:val="none"/>
        </w:rPr>
        <w:t xml:space="preserve"> %，频率偏移50Hz±</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u w:val="single"/>
          <w:lang w:val="en-US" w:eastAsia="zh-CN" w:bidi="ar-SA"/>
        </w:rPr>
        <w:t>1</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sz w:val="21"/>
          <w:szCs w:val="21"/>
          <w:highlight w:val="none"/>
        </w:rPr>
        <w:t xml:space="preserve"> %</w:t>
      </w:r>
      <w:r>
        <w:rPr>
          <w:rFonts w:hint="default" w:ascii="Times New Roman" w:hAnsi="Times New Roman" w:cs="Times New Roman"/>
          <w:bCs/>
          <w:snapToGrid w:val="0"/>
          <w:kern w:val="0"/>
          <w:sz w:val="21"/>
          <w:szCs w:val="21"/>
          <w:highlight w:val="none"/>
        </w:rPr>
        <w:t>。投标方保证提供的设备能正常运行。</w:t>
      </w:r>
    </w:p>
    <w:p>
      <w:pPr>
        <w:spacing w:line="360" w:lineRule="auto"/>
        <w:outlineLvl w:val="9"/>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2.3设备用途</w:t>
      </w:r>
    </w:p>
    <w:p>
      <w:pPr>
        <w:spacing w:line="360" w:lineRule="auto"/>
        <w:ind w:firstLine="420" w:firstLineChars="200"/>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用于</w:t>
      </w:r>
      <w:r>
        <w:rPr>
          <w:rFonts w:hint="default" w:ascii="Times New Roman" w:hAnsi="Times New Roman" w:cs="Times New Roman"/>
          <w:color w:val="000000"/>
          <w:sz w:val="21"/>
          <w:szCs w:val="21"/>
          <w:highlight w:val="none"/>
          <w:lang w:eastAsia="zh-CN"/>
        </w:rPr>
        <w:t>煤的水分、灰分、挥发分、全硫的快速检测</w:t>
      </w:r>
      <w:r>
        <w:rPr>
          <w:rFonts w:hint="default" w:ascii="Times New Roman" w:hAnsi="Times New Roman" w:cs="Times New Roman"/>
          <w:color w:val="000000"/>
          <w:sz w:val="21"/>
          <w:szCs w:val="21"/>
          <w:highlight w:val="none"/>
        </w:rPr>
        <w:t>研究。</w:t>
      </w:r>
    </w:p>
    <w:p>
      <w:pPr>
        <w:pStyle w:val="11"/>
        <w:numPr>
          <w:ilvl w:val="0"/>
          <w:numId w:val="0"/>
        </w:numPr>
        <w:tabs>
          <w:tab w:val="left" w:pos="426"/>
        </w:tabs>
        <w:spacing w:line="360" w:lineRule="auto"/>
        <w:jc w:val="both"/>
        <w:outlineLvl w:val="9"/>
        <w:rPr>
          <w:rStyle w:val="14"/>
          <w:rFonts w:hint="default" w:ascii="Times New Roman" w:hAnsi="Times New Roman" w:eastAsia="宋体" w:cs="Times New Roman"/>
          <w:b/>
          <w:bCs/>
          <w:sz w:val="21"/>
          <w:szCs w:val="21"/>
          <w:highlight w:val="none"/>
        </w:rPr>
      </w:pPr>
      <w:r>
        <w:rPr>
          <w:rStyle w:val="14"/>
          <w:rFonts w:hint="default" w:ascii="Times New Roman" w:hAnsi="Times New Roman" w:eastAsia="宋体" w:cs="Times New Roman"/>
          <w:b/>
          <w:bCs/>
          <w:sz w:val="21"/>
          <w:szCs w:val="21"/>
          <w:highlight w:val="none"/>
        </w:rPr>
        <w:t>3.技术要求</w:t>
      </w:r>
    </w:p>
    <w:p>
      <w:pPr>
        <w:tabs>
          <w:tab w:val="left" w:pos="426"/>
        </w:tabs>
        <w:spacing w:line="360" w:lineRule="auto"/>
        <w:outlineLvl w:val="9"/>
        <w:rPr>
          <w:rStyle w:val="14"/>
          <w:rFonts w:hint="default" w:ascii="Times New Roman" w:hAnsi="Times New Roman" w:eastAsia="宋体" w:cs="Times New Roman"/>
          <w:b w:val="0"/>
          <w:sz w:val="21"/>
          <w:szCs w:val="21"/>
          <w:highlight w:val="none"/>
        </w:rPr>
      </w:pPr>
      <w:r>
        <w:rPr>
          <w:rStyle w:val="14"/>
          <w:rFonts w:hint="default" w:ascii="Times New Roman" w:hAnsi="Times New Roman" w:eastAsia="宋体" w:cs="Times New Roman"/>
          <w:b w:val="0"/>
          <w:sz w:val="21"/>
          <w:szCs w:val="21"/>
          <w:highlight w:val="none"/>
          <w:lang w:val="en-US" w:eastAsia="zh-CN"/>
        </w:rPr>
        <w:t>3.1煤质快速检测系统</w:t>
      </w:r>
      <w:r>
        <w:rPr>
          <w:rStyle w:val="14"/>
          <w:rFonts w:hint="default" w:ascii="Times New Roman" w:hAnsi="Times New Roman" w:eastAsia="宋体" w:cs="Times New Roman"/>
          <w:b w:val="0"/>
          <w:sz w:val="21"/>
          <w:szCs w:val="21"/>
          <w:highlight w:val="none"/>
        </w:rPr>
        <w:t>基本技术参数</w:t>
      </w:r>
    </w:p>
    <w:p>
      <w:pPr>
        <w:tabs>
          <w:tab w:val="left" w:pos="426"/>
        </w:tabs>
        <w:spacing w:line="360" w:lineRule="auto"/>
        <w:outlineLvl w:val="9"/>
        <w:rPr>
          <w:rStyle w:val="14"/>
          <w:rFonts w:hint="default" w:ascii="Times New Roman" w:hAnsi="Times New Roman" w:eastAsia="宋体" w:cs="Times New Roman"/>
          <w:b w:val="0"/>
          <w:sz w:val="21"/>
          <w:szCs w:val="21"/>
          <w:highlight w:val="none"/>
        </w:rPr>
      </w:pPr>
      <w:r>
        <w:rPr>
          <w:rStyle w:val="14"/>
          <w:rFonts w:hint="default" w:ascii="Times New Roman" w:hAnsi="Times New Roman" w:eastAsia="宋体" w:cs="Times New Roman"/>
          <w:b w:val="0"/>
          <w:sz w:val="21"/>
          <w:szCs w:val="21"/>
          <w:highlight w:val="none"/>
          <w:lang w:val="en-US" w:eastAsia="zh-CN"/>
        </w:rPr>
        <w:t>3.1.1测试时间：水分约15min、灰分约20min、挥发分约15min、全硫3~7min；</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3.1.2测试范围：水分、灰分和挥发分为0.5%~80%；全硫为0.1%~30%。</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3.1.3测试温度：水分120℃；灰分（500~815）℃；挥发分900℃；全硫1150℃。</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3.1.4控温精度：水分±5℃，灰分±10℃，挥发分±10℃，全硫±3℃。</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3.1.5测试方法：水分、灰分和挥发分为热重法；全硫为库仑滴定法。</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3.1.6试样个数：12个/次，可连续加样测试。</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3.1.7供电电源：AC 220V±10%、50Hz；</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3.1.8功率：≤7.0KW；</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3.1.9通气流量：水分通空气（1.0~2.0）L/min，灰分通空气（3.0~4.0）L/min或氧气0.1MPa，0.6L/min；</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3.1.10试样重量：水分（0.3~0.5）g，灰分（0.3~0.5）g，挥发分（0.9~1.1）g，全硫（45~55）mg；样品粒度：小于0.2mm</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3.2电脑：联想拯救者 刃9000(参考型号)。</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3.2.1操作系统:Windows 10</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3.2.2显卡类型:独立显卡</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3.2.3CPU类型：酷睿  CPU型号：i7-8700</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3.2.4核心数：六核</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3.2.5显卡： 独立 6GB</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3.2.6内存容量：16GB</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3.2.7最大支持容量：32GB</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3.2.8硬盘容量：1TB；</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3.2.9类型：SSD固态硬盘</w:t>
      </w:r>
    </w:p>
    <w:p>
      <w:pPr>
        <w:tabs>
          <w:tab w:val="left" w:pos="426"/>
        </w:tabs>
        <w:spacing w:line="360" w:lineRule="auto"/>
        <w:outlineLvl w:val="9"/>
        <w:rPr>
          <w:rFonts w:hint="default" w:ascii="Times New Roman" w:hAnsi="Times New Roman" w:cs="Times New Roman"/>
          <w:szCs w:val="21"/>
          <w:highlight w:val="none"/>
        </w:rPr>
      </w:pPr>
      <w:r>
        <w:rPr>
          <w:rStyle w:val="14"/>
          <w:rFonts w:hint="default" w:ascii="Times New Roman" w:hAnsi="Times New Roman" w:eastAsia="宋体" w:cs="Times New Roman"/>
          <w:b w:val="0"/>
          <w:sz w:val="21"/>
          <w:szCs w:val="21"/>
          <w:highlight w:val="none"/>
          <w:lang w:val="en-US" w:eastAsia="zh-CN"/>
        </w:rPr>
        <w:t>3.3激光打印机：</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3.3.1品牌: Canon/佳能</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3.3.2型号: </w:t>
      </w:r>
      <w:r>
        <w:rPr>
          <w:rFonts w:hint="default" w:ascii="Times New Roman" w:hAnsi="Times New Roman" w:eastAsia="宋体" w:cs="Times New Roman"/>
          <w:i w:val="0"/>
          <w:caps w:val="0"/>
          <w:color w:val="000000"/>
          <w:spacing w:val="0"/>
          <w:sz w:val="21"/>
          <w:szCs w:val="21"/>
          <w:highlight w:val="none"/>
          <w:shd w:val="clear" w:color="auto" w:fill="auto"/>
        </w:rPr>
        <w:t> 613cdw</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3.3.3类型: 彩色激光</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3.3.4接口类型: USB 以太网</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3.3.5颜色分类: 611CN(网络版) 613CDW(双面无线）</w:t>
      </w:r>
    </w:p>
    <w:p>
      <w:pPr>
        <w:tabs>
          <w:tab w:val="left" w:pos="426"/>
        </w:tabs>
        <w:spacing w:line="360" w:lineRule="auto"/>
        <w:outlineLvl w:val="9"/>
        <w:rPr>
          <w:rStyle w:val="14"/>
          <w:rFonts w:hint="default" w:ascii="Times New Roman" w:hAnsi="Times New Roman" w:eastAsia="宋体" w:cs="Times New Roman"/>
          <w:b w:val="0"/>
          <w:sz w:val="21"/>
          <w:szCs w:val="21"/>
          <w:highlight w:val="none"/>
          <w:lang w:val="en-US" w:eastAsia="zh-CN"/>
        </w:rPr>
      </w:pPr>
      <w:r>
        <w:rPr>
          <w:rStyle w:val="14"/>
          <w:rFonts w:hint="default" w:ascii="Times New Roman" w:hAnsi="Times New Roman" w:eastAsia="宋体" w:cs="Times New Roman"/>
          <w:b w:val="0"/>
          <w:sz w:val="21"/>
          <w:szCs w:val="21"/>
          <w:highlight w:val="none"/>
          <w:lang w:val="en-US" w:eastAsia="zh-CN"/>
        </w:rPr>
        <w:t>3.3.7网络打印: 有线/无线网络打印</w:t>
      </w:r>
    </w:p>
    <w:p>
      <w:pPr>
        <w:tabs>
          <w:tab w:val="left" w:pos="900"/>
        </w:tabs>
        <w:spacing w:line="360" w:lineRule="auto"/>
        <w:outlineLvl w:val="9"/>
        <w:rPr>
          <w:rFonts w:hint="default" w:ascii="Times New Roman" w:hAnsi="Times New Roman" w:cs="Times New Roman"/>
          <w:bCs w:val="0"/>
          <w:color w:val="000000"/>
          <w:sz w:val="21"/>
          <w:szCs w:val="21"/>
          <w:highlight w:val="none"/>
          <w:lang w:bidi="ar-SA"/>
        </w:rPr>
      </w:pPr>
      <w:r>
        <w:rPr>
          <w:rFonts w:hint="default" w:ascii="Times New Roman" w:hAnsi="Times New Roman" w:cs="Times New Roman"/>
          <w:sz w:val="21"/>
          <w:szCs w:val="21"/>
          <w:highlight w:val="none"/>
        </w:rPr>
        <w:t>3.</w:t>
      </w:r>
      <w:r>
        <w:rPr>
          <w:rFonts w:hint="default" w:ascii="Times New Roman" w:hAnsi="Times New Roman" w:cs="Times New Roman"/>
          <w:sz w:val="21"/>
          <w:szCs w:val="21"/>
          <w:highlight w:val="none"/>
          <w:lang w:val="en-US" w:eastAsia="zh-CN"/>
        </w:rPr>
        <w:t>4</w:t>
      </w:r>
      <w:r>
        <w:rPr>
          <w:rFonts w:hint="default" w:ascii="Times New Roman" w:hAnsi="Times New Roman" w:cs="Times New Roman"/>
          <w:bCs w:val="0"/>
          <w:color w:val="000000"/>
          <w:sz w:val="21"/>
          <w:szCs w:val="21"/>
          <w:highlight w:val="none"/>
          <w:lang w:bidi="ar-SA"/>
        </w:rPr>
        <w:t>标准</w:t>
      </w:r>
    </w:p>
    <w:p>
      <w:pPr>
        <w:tabs>
          <w:tab w:val="left" w:pos="0"/>
        </w:tabs>
        <w:spacing w:line="360" w:lineRule="auto"/>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ab/>
      </w:r>
      <w:r>
        <w:rPr>
          <w:rFonts w:hint="default" w:ascii="Times New Roman" w:hAnsi="Times New Roman" w:cs="Times New Roman"/>
          <w:sz w:val="21"/>
          <w:szCs w:val="21"/>
          <w:highlight w:val="none"/>
        </w:rPr>
        <w:t>设备满足国家标准符合国标GB4</w:t>
      </w:r>
      <w:r>
        <w:rPr>
          <w:rFonts w:hint="default" w:ascii="Times New Roman" w:hAnsi="Times New Roman" w:cs="Times New Roman"/>
          <w:sz w:val="21"/>
          <w:szCs w:val="21"/>
          <w:highlight w:val="none"/>
          <w:lang w:val="en-US" w:eastAsia="zh-CN"/>
        </w:rPr>
        <w:t>793.1</w:t>
      </w:r>
      <w:r>
        <w:rPr>
          <w:rFonts w:hint="default" w:ascii="Times New Roman" w:hAnsi="Times New Roman" w:cs="Times New Roman"/>
          <w:sz w:val="21"/>
          <w:szCs w:val="21"/>
          <w:highlight w:val="none"/>
        </w:rPr>
        <w:t>-200</w:t>
      </w:r>
      <w:r>
        <w:rPr>
          <w:rFonts w:hint="default" w:ascii="Times New Roman" w:hAnsi="Times New Roman" w:cs="Times New Roman"/>
          <w:sz w:val="21"/>
          <w:szCs w:val="21"/>
          <w:highlight w:val="none"/>
          <w:lang w:val="en-US" w:eastAsia="zh-CN"/>
        </w:rPr>
        <w:t>7测量、控制和实验室用电气设备的安全要求 第一部分：通用要求；GB/T11606-2007分析仪器环境试验方法。</w:t>
      </w:r>
    </w:p>
    <w:p>
      <w:pPr>
        <w:tabs>
          <w:tab w:val="left" w:pos="284"/>
        </w:tabs>
        <w:adjustRightInd/>
        <w:spacing w:line="360" w:lineRule="auto"/>
        <w:jc w:val="both"/>
        <w:textAlignment w:val="auto"/>
        <w:outlineLvl w:val="9"/>
        <w:rPr>
          <w:rFonts w:hint="default"/>
          <w:b/>
          <w:bCs/>
        </w:rPr>
      </w:pPr>
      <w:r>
        <w:rPr>
          <w:rFonts w:hint="default"/>
          <w:b/>
          <w:bCs/>
        </w:rPr>
        <w:t>4.供货范围</w:t>
      </w:r>
    </w:p>
    <w:p>
      <w:pPr>
        <w:snapToGrid w:val="0"/>
        <w:spacing w:line="360" w:lineRule="auto"/>
        <w:ind w:left="10" w:leftChars="0" w:firstLine="409" w:firstLineChars="195"/>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完整的、全新的、符合制造标准的、满足本招标技术附件各项条件及技术要求的</w:t>
      </w:r>
      <w:r>
        <w:rPr>
          <w:rFonts w:hint="default" w:ascii="Times New Roman" w:hAnsi="Times New Roman" w:cs="Times New Roman"/>
          <w:color w:val="auto"/>
          <w:sz w:val="21"/>
          <w:szCs w:val="21"/>
          <w:highlight w:val="none"/>
          <w:shd w:val="clear" w:color="auto" w:fill="auto"/>
          <w:lang w:val="en-US" w:eastAsia="zh-CN"/>
        </w:rPr>
        <w:t>煤质快速检测系统</w:t>
      </w:r>
      <w:r>
        <w:rPr>
          <w:rFonts w:hint="default" w:ascii="Times New Roman" w:hAnsi="Times New Roman" w:cs="Times New Roman"/>
          <w:sz w:val="21"/>
          <w:szCs w:val="21"/>
          <w:highlight w:val="none"/>
        </w:rPr>
        <w:t>，以及安装调试所需用的全部材料和零件</w:t>
      </w:r>
      <w:r>
        <w:rPr>
          <w:rFonts w:hint="default" w:ascii="Times New Roman" w:hAnsi="Times New Roman" w:cs="Times New Roman"/>
          <w:sz w:val="21"/>
          <w:szCs w:val="21"/>
          <w:highlight w:val="none"/>
          <w:lang w:eastAsia="zh-CN"/>
        </w:rPr>
        <w:t>（</w:t>
      </w:r>
      <w:r>
        <w:rPr>
          <w:rFonts w:hint="default" w:ascii="Times New Roman" w:hAnsi="Times New Roman" w:cs="Times New Roman"/>
          <w:sz w:val="21"/>
          <w:szCs w:val="21"/>
          <w:highlight w:val="none"/>
          <w:lang w:val="en-US" w:eastAsia="zh-CN"/>
        </w:rPr>
        <w:t>包括但不限于此</w:t>
      </w:r>
      <w:r>
        <w:rPr>
          <w:rFonts w:hint="default" w:ascii="Times New Roman" w:hAnsi="Times New Roman" w:cs="Times New Roman"/>
          <w:sz w:val="21"/>
          <w:szCs w:val="21"/>
          <w:highlight w:val="none"/>
          <w:lang w:eastAsia="zh-CN"/>
        </w:rPr>
        <w:t>）</w:t>
      </w:r>
      <w:r>
        <w:rPr>
          <w:rFonts w:hint="default" w:ascii="Times New Roman" w:hAnsi="Times New Roman" w:cs="Times New Roman"/>
          <w:sz w:val="21"/>
          <w:szCs w:val="21"/>
          <w:highlight w:val="none"/>
        </w:rPr>
        <w:t>。</w:t>
      </w:r>
    </w:p>
    <w:tbl>
      <w:tblPr>
        <w:tblStyle w:val="16"/>
        <w:tblW w:w="8520" w:type="dxa"/>
        <w:tblInd w:w="0" w:type="dxa"/>
        <w:tblLayout w:type="fixed"/>
        <w:tblCellMar>
          <w:top w:w="0" w:type="dxa"/>
          <w:left w:w="108" w:type="dxa"/>
          <w:bottom w:w="0" w:type="dxa"/>
          <w:right w:w="108" w:type="dxa"/>
        </w:tblCellMar>
      </w:tblPr>
      <w:tblGrid>
        <w:gridCol w:w="653"/>
        <w:gridCol w:w="1980"/>
        <w:gridCol w:w="682"/>
        <w:gridCol w:w="652"/>
        <w:gridCol w:w="1439"/>
        <w:gridCol w:w="3114"/>
      </w:tblGrid>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序号</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设备名称</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单位</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数量</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型号</w:t>
            </w:r>
            <w:r>
              <w:rPr>
                <w:rFonts w:hint="default" w:ascii="Times New Roman" w:hAnsi="Times New Roman" w:cs="Times New Roman"/>
                <w:sz w:val="21"/>
                <w:szCs w:val="21"/>
                <w:highlight w:val="none"/>
                <w:lang w:eastAsia="zh-CN"/>
              </w:rPr>
              <w:t>及产地</w:t>
            </w: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备注</w:t>
            </w: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1</w:t>
            </w:r>
          </w:p>
        </w:tc>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color w:val="auto"/>
                <w:sz w:val="21"/>
                <w:szCs w:val="21"/>
                <w:highlight w:val="none"/>
                <w:shd w:val="clear" w:color="auto" w:fill="auto"/>
                <w:lang w:val="en-US" w:eastAsia="zh-CN"/>
              </w:rPr>
              <w:t>煤质快速检测系统</w:t>
            </w:r>
          </w:p>
        </w:tc>
        <w:tc>
          <w:tcPr>
            <w:tcW w:w="6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套</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1</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lang w:eastAsia="zh-CN"/>
              </w:rPr>
            </w:pPr>
            <w:r>
              <w:rPr>
                <w:rFonts w:hint="default" w:ascii="Times New Roman" w:hAnsi="Times New Roman" w:cs="Times New Roman"/>
                <w:sz w:val="21"/>
                <w:szCs w:val="21"/>
                <w:highlight w:val="none"/>
                <w:lang w:val="en-US" w:eastAsia="zh-CN"/>
              </w:rPr>
              <w:t>2</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imes New Roman" w:hAnsi="Times New Roman" w:cs="Times New Roman"/>
                <w:color w:val="auto"/>
                <w:sz w:val="21"/>
                <w:szCs w:val="21"/>
                <w:highlight w:val="none"/>
                <w:shd w:val="clear" w:color="auto" w:fill="auto"/>
                <w:lang w:val="en-US" w:eastAsia="zh-CN"/>
              </w:rPr>
            </w:pPr>
            <w:r>
              <w:rPr>
                <w:rFonts w:hint="default" w:ascii="Times New Roman" w:hAnsi="Times New Roman" w:cs="Times New Roman"/>
                <w:sz w:val="21"/>
                <w:szCs w:val="21"/>
                <w:highlight w:val="none"/>
                <w:lang w:eastAsia="zh-CN"/>
              </w:rPr>
              <w:t>联想电脑</w:t>
            </w:r>
          </w:p>
        </w:tc>
        <w:tc>
          <w:tcPr>
            <w:tcW w:w="68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eastAsia="zh-CN"/>
              </w:rPr>
              <w:t>台</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1</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r>
      <w:tr>
        <w:tblPrEx>
          <w:tblLayout w:type="fixed"/>
          <w:tblCellMar>
            <w:top w:w="0" w:type="dxa"/>
            <w:left w:w="108" w:type="dxa"/>
            <w:bottom w:w="0" w:type="dxa"/>
            <w:right w:w="108" w:type="dxa"/>
          </w:tblCellMar>
        </w:tblPrEx>
        <w:trPr>
          <w:trHeight w:val="427" w:hRule="atLeast"/>
        </w:trPr>
        <w:tc>
          <w:tcPr>
            <w:tcW w:w="6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lang w:eastAsia="zh-CN"/>
              </w:rPr>
            </w:pPr>
            <w:r>
              <w:rPr>
                <w:rFonts w:hint="default" w:ascii="Times New Roman" w:hAnsi="Times New Roman" w:cs="Times New Roman"/>
                <w:sz w:val="21"/>
                <w:szCs w:val="21"/>
                <w:highlight w:val="none"/>
                <w:lang w:val="en-US" w:eastAsia="zh-CN"/>
              </w:rPr>
              <w:t>3</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imes New Roman" w:hAnsi="Times New Roman" w:cs="Times New Roman"/>
                <w:color w:val="auto"/>
                <w:sz w:val="21"/>
                <w:szCs w:val="21"/>
                <w:highlight w:val="none"/>
                <w:shd w:val="clear" w:color="auto" w:fill="auto"/>
                <w:lang w:val="en-US" w:eastAsia="zh-CN"/>
              </w:rPr>
            </w:pPr>
            <w:r>
              <w:rPr>
                <w:rFonts w:hint="default" w:ascii="Times New Roman" w:hAnsi="Times New Roman" w:cs="Times New Roman"/>
                <w:sz w:val="21"/>
                <w:szCs w:val="21"/>
                <w:highlight w:val="none"/>
                <w:lang w:eastAsia="zh-CN"/>
              </w:rPr>
              <w:t>激光打印机</w:t>
            </w:r>
          </w:p>
        </w:tc>
        <w:tc>
          <w:tcPr>
            <w:tcW w:w="68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台</w:t>
            </w:r>
          </w:p>
        </w:tc>
        <w:tc>
          <w:tcPr>
            <w:tcW w:w="65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1</w:t>
            </w:r>
          </w:p>
        </w:tc>
        <w:tc>
          <w:tcPr>
            <w:tcW w:w="143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c>
          <w:tcPr>
            <w:tcW w:w="31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r>
    </w:tbl>
    <w:p>
      <w:pPr>
        <w:tabs>
          <w:tab w:val="left" w:pos="284"/>
        </w:tabs>
        <w:adjustRightInd w:val="0"/>
        <w:spacing w:line="360" w:lineRule="auto"/>
        <w:jc w:val="left"/>
        <w:textAlignment w:val="baseline"/>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5.技术资料</w:t>
      </w:r>
    </w:p>
    <w:p>
      <w:pPr>
        <w:tabs>
          <w:tab w:val="left" w:pos="945"/>
        </w:tabs>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5.1投标方必须提供下表所列技术资料(但不限于此)，并按下表要求时间交货。</w:t>
      </w:r>
    </w:p>
    <w:tbl>
      <w:tblPr>
        <w:tblStyle w:val="16"/>
        <w:tblW w:w="8527" w:type="dxa"/>
        <w:jc w:val="center"/>
        <w:tblInd w:w="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4401"/>
        <w:gridCol w:w="947"/>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672"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序号</w:t>
            </w:r>
          </w:p>
        </w:tc>
        <w:tc>
          <w:tcPr>
            <w:tcW w:w="4401"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名称</w:t>
            </w:r>
          </w:p>
        </w:tc>
        <w:tc>
          <w:tcPr>
            <w:tcW w:w="947"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数量</w:t>
            </w:r>
          </w:p>
        </w:tc>
        <w:tc>
          <w:tcPr>
            <w:tcW w:w="2507"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672"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1</w:t>
            </w:r>
          </w:p>
        </w:tc>
        <w:tc>
          <w:tcPr>
            <w:tcW w:w="4401" w:type="dxa"/>
            <w:vAlign w:val="center"/>
          </w:tcPr>
          <w:p>
            <w:pPr>
              <w:snapToGrid w:val="0"/>
              <w:spacing w:line="480" w:lineRule="exact"/>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使用说明书</w:t>
            </w:r>
          </w:p>
        </w:tc>
        <w:tc>
          <w:tcPr>
            <w:tcW w:w="947" w:type="dxa"/>
            <w:vAlign w:val="center"/>
          </w:tcPr>
          <w:p>
            <w:pPr>
              <w:spacing w:line="36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sz w:val="21"/>
                <w:szCs w:val="21"/>
                <w:highlight w:val="none"/>
                <w:lang w:val="en-US" w:eastAsia="zh-CN"/>
              </w:rPr>
              <w:t>1</w:t>
            </w:r>
          </w:p>
        </w:tc>
        <w:tc>
          <w:tcPr>
            <w:tcW w:w="2507"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672"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2</w:t>
            </w:r>
          </w:p>
        </w:tc>
        <w:tc>
          <w:tcPr>
            <w:tcW w:w="4401" w:type="dxa"/>
            <w:vAlign w:val="center"/>
          </w:tcPr>
          <w:p>
            <w:pPr>
              <w:spacing w:line="360" w:lineRule="auto"/>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控制软件v1.0</w:t>
            </w:r>
          </w:p>
        </w:tc>
        <w:tc>
          <w:tcPr>
            <w:tcW w:w="947" w:type="dxa"/>
            <w:vAlign w:val="center"/>
          </w:tcPr>
          <w:p>
            <w:pPr>
              <w:spacing w:line="36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sz w:val="21"/>
                <w:szCs w:val="21"/>
                <w:highlight w:val="none"/>
                <w:lang w:val="en-US" w:eastAsia="zh-CN"/>
              </w:rPr>
              <w:t>1</w:t>
            </w:r>
          </w:p>
        </w:tc>
        <w:tc>
          <w:tcPr>
            <w:tcW w:w="2507"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672" w:type="dxa"/>
            <w:vAlign w:val="center"/>
          </w:tcPr>
          <w:p>
            <w:pPr>
              <w:spacing w:line="36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sz w:val="21"/>
                <w:szCs w:val="21"/>
                <w:highlight w:val="none"/>
                <w:lang w:val="en-US" w:eastAsia="zh-CN"/>
              </w:rPr>
              <w:t>3</w:t>
            </w:r>
          </w:p>
        </w:tc>
        <w:tc>
          <w:tcPr>
            <w:tcW w:w="4401" w:type="dxa"/>
            <w:vAlign w:val="center"/>
          </w:tcPr>
          <w:p>
            <w:pPr>
              <w:spacing w:line="360" w:lineRule="auto"/>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5E-CDIS实时煤质数据分析管理网络软件v1.0</w:t>
            </w:r>
          </w:p>
        </w:tc>
        <w:tc>
          <w:tcPr>
            <w:tcW w:w="947" w:type="dxa"/>
            <w:vAlign w:val="center"/>
          </w:tcPr>
          <w:p>
            <w:pPr>
              <w:spacing w:line="360" w:lineRule="auto"/>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1</w:t>
            </w:r>
          </w:p>
        </w:tc>
        <w:tc>
          <w:tcPr>
            <w:tcW w:w="2507" w:type="dxa"/>
            <w:vAlign w:val="center"/>
          </w:tcPr>
          <w:p>
            <w:pPr>
              <w:spacing w:line="360" w:lineRule="auto"/>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与设备同时交付</w:t>
            </w:r>
          </w:p>
        </w:tc>
      </w:tr>
    </w:tbl>
    <w:p>
      <w:pPr>
        <w:tabs>
          <w:tab w:val="left" w:pos="945"/>
        </w:tabs>
        <w:spacing w:line="360" w:lineRule="auto"/>
        <w:rPr>
          <w:rFonts w:hint="default" w:ascii="Times New Roman" w:hAnsi="Times New Roman" w:cs="Times New Roman"/>
          <w:bCs/>
          <w:sz w:val="21"/>
          <w:szCs w:val="21"/>
          <w:highlight w:val="none"/>
        </w:rPr>
      </w:pPr>
      <w:r>
        <w:rPr>
          <w:rFonts w:hint="default" w:ascii="Times New Roman" w:hAnsi="Times New Roman" w:cs="Times New Roman"/>
          <w:sz w:val="21"/>
          <w:szCs w:val="21"/>
          <w:highlight w:val="none"/>
        </w:rPr>
        <w:t xml:space="preserve">5.2 </w:t>
      </w:r>
      <w:r>
        <w:rPr>
          <w:rFonts w:hint="default" w:ascii="Times New Roman" w:hAnsi="Times New Roman" w:cs="Times New Roman"/>
          <w:bCs/>
          <w:sz w:val="21"/>
          <w:szCs w:val="21"/>
          <w:highlight w:val="none"/>
        </w:rPr>
        <w:t>投标人必须交付全新的、完整的、与提供设备相符的、招标方认可的技术资料。对于缺失损坏、不符合要求的技术资料，投标方在</w:t>
      </w:r>
      <w:r>
        <w:rPr>
          <w:rFonts w:hint="default" w:ascii="Times New Roman" w:hAnsi="Times New Roman" w:cs="Times New Roman"/>
          <w:bCs/>
          <w:sz w:val="21"/>
          <w:szCs w:val="21"/>
          <w:highlight w:val="none"/>
          <w:u w:val="single"/>
        </w:rPr>
        <w:t xml:space="preserve"> </w:t>
      </w:r>
      <w:r>
        <w:rPr>
          <w:rFonts w:hint="default" w:ascii="Times New Roman" w:hAnsi="Times New Roman" w:cs="Times New Roman"/>
          <w:bCs/>
          <w:sz w:val="21"/>
          <w:szCs w:val="21"/>
          <w:highlight w:val="none"/>
          <w:u w:val="single"/>
          <w:lang w:val="en-US" w:eastAsia="zh-CN"/>
        </w:rPr>
        <w:t xml:space="preserve"> 5 </w:t>
      </w:r>
      <w:r>
        <w:rPr>
          <w:rFonts w:hint="default" w:ascii="Times New Roman" w:hAnsi="Times New Roman" w:cs="Times New Roman"/>
          <w:bCs/>
          <w:sz w:val="21"/>
          <w:szCs w:val="21"/>
          <w:highlight w:val="none"/>
          <w:u w:val="single"/>
        </w:rPr>
        <w:t xml:space="preserve"> </w:t>
      </w:r>
      <w:r>
        <w:rPr>
          <w:rFonts w:hint="default" w:ascii="Times New Roman" w:hAnsi="Times New Roman" w:cs="Times New Roman"/>
          <w:bCs/>
          <w:sz w:val="21"/>
          <w:szCs w:val="21"/>
          <w:highlight w:val="none"/>
        </w:rPr>
        <w:t>日内，补齐、更换。</w:t>
      </w:r>
    </w:p>
    <w:p>
      <w:pPr>
        <w:tabs>
          <w:tab w:val="left" w:pos="945"/>
        </w:tabs>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5.</w:t>
      </w:r>
      <w:r>
        <w:rPr>
          <w:rFonts w:hint="default" w:ascii="Times New Roman" w:hAnsi="Times New Roman" w:cs="Times New Roman"/>
          <w:sz w:val="21"/>
          <w:szCs w:val="21"/>
          <w:highlight w:val="none"/>
          <w:lang w:val="en-US" w:eastAsia="zh-CN"/>
        </w:rPr>
        <w:t>3仪器设备如有</w:t>
      </w:r>
      <w:r>
        <w:rPr>
          <w:rFonts w:hint="default" w:ascii="Times New Roman" w:hAnsi="Times New Roman" w:cs="Times New Roman"/>
          <w:bCs/>
          <w:sz w:val="21"/>
          <w:szCs w:val="21"/>
          <w:highlight w:val="none"/>
        </w:rPr>
        <w:t>采用外购</w:t>
      </w:r>
      <w:r>
        <w:rPr>
          <w:rFonts w:hint="default" w:ascii="Times New Roman" w:hAnsi="Times New Roman" w:cs="Times New Roman"/>
          <w:bCs/>
          <w:sz w:val="21"/>
          <w:szCs w:val="21"/>
          <w:highlight w:val="none"/>
          <w:lang w:eastAsia="zh-CN"/>
        </w:rPr>
        <w:t>或</w:t>
      </w:r>
      <w:r>
        <w:rPr>
          <w:rFonts w:hint="default" w:ascii="Times New Roman" w:hAnsi="Times New Roman" w:cs="Times New Roman"/>
          <w:bCs/>
          <w:sz w:val="21"/>
          <w:szCs w:val="21"/>
          <w:highlight w:val="none"/>
        </w:rPr>
        <w:t>外协件</w:t>
      </w:r>
      <w:r>
        <w:rPr>
          <w:rFonts w:hint="default" w:ascii="Times New Roman" w:hAnsi="Times New Roman" w:cs="Times New Roman"/>
          <w:bCs/>
          <w:sz w:val="21"/>
          <w:szCs w:val="21"/>
          <w:highlight w:val="none"/>
          <w:lang w:eastAsia="zh-CN"/>
        </w:rPr>
        <w:t>，</w:t>
      </w:r>
      <w:r>
        <w:rPr>
          <w:rFonts w:hint="default" w:ascii="Times New Roman" w:hAnsi="Times New Roman" w:cs="Times New Roman"/>
          <w:bCs/>
          <w:sz w:val="21"/>
          <w:szCs w:val="21"/>
          <w:highlight w:val="none"/>
        </w:rPr>
        <w:t>应提供原产地证明</w:t>
      </w:r>
      <w:r>
        <w:rPr>
          <w:rFonts w:hint="default" w:ascii="Times New Roman" w:hAnsi="Times New Roman" w:cs="Times New Roman"/>
          <w:bCs/>
          <w:sz w:val="21"/>
          <w:szCs w:val="21"/>
          <w:highlight w:val="none"/>
          <w:lang w:eastAsia="zh-CN"/>
        </w:rPr>
        <w:t>或</w:t>
      </w:r>
      <w:r>
        <w:rPr>
          <w:rFonts w:hint="default" w:ascii="Times New Roman" w:hAnsi="Times New Roman" w:cs="Times New Roman"/>
          <w:bCs/>
          <w:sz w:val="21"/>
          <w:szCs w:val="21"/>
          <w:highlight w:val="none"/>
        </w:rPr>
        <w:t>检验合格证书。</w:t>
      </w:r>
    </w:p>
    <w:p>
      <w:pPr>
        <w:tabs>
          <w:tab w:val="left" w:pos="284"/>
        </w:tabs>
        <w:adjustRightInd/>
        <w:spacing w:line="360" w:lineRule="auto"/>
        <w:jc w:val="both"/>
        <w:textAlignment w:val="auto"/>
        <w:outlineLvl w:val="9"/>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6.</w:t>
      </w:r>
      <w:r>
        <w:rPr>
          <w:rFonts w:hint="default" w:ascii="Times New Roman" w:hAnsi="Times New Roman" w:cs="Times New Roman"/>
          <w:b/>
          <w:bCs/>
          <w:kern w:val="2"/>
          <w:sz w:val="21"/>
          <w:szCs w:val="22"/>
          <w:highlight w:val="none"/>
        </w:rPr>
        <w:t>技术</w:t>
      </w:r>
      <w:r>
        <w:rPr>
          <w:rFonts w:hint="default" w:ascii="Times New Roman" w:hAnsi="Times New Roman" w:cs="Times New Roman"/>
          <w:b/>
          <w:bCs/>
          <w:kern w:val="0"/>
          <w:sz w:val="21"/>
          <w:szCs w:val="21"/>
          <w:highlight w:val="none"/>
        </w:rPr>
        <w:t>服务及培训</w:t>
      </w:r>
    </w:p>
    <w:p>
      <w:pPr>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6.1技术服务</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在</w:t>
      </w:r>
      <w:r>
        <w:rPr>
          <w:rFonts w:hint="default" w:ascii="Times New Roman" w:hAnsi="Times New Roman" w:cs="Times New Roman"/>
          <w:sz w:val="21"/>
          <w:szCs w:val="21"/>
          <w:highlight w:val="none"/>
          <w:lang w:eastAsia="zh-CN"/>
        </w:rPr>
        <w:t>设备安</w:t>
      </w:r>
      <w:r>
        <w:rPr>
          <w:rFonts w:hint="default" w:ascii="Times New Roman" w:hAnsi="Times New Roman" w:cs="Times New Roman"/>
          <w:sz w:val="21"/>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default" w:ascii="Times New Roman" w:hAnsi="Times New Roman" w:cs="Times New Roman"/>
          <w:sz w:val="21"/>
          <w:szCs w:val="21"/>
          <w:highlight w:val="none"/>
          <w:lang w:eastAsia="zh-CN"/>
        </w:rPr>
        <w:t>仪器</w:t>
      </w:r>
      <w:r>
        <w:rPr>
          <w:rFonts w:hint="default" w:ascii="Times New Roman" w:hAnsi="Times New Roman" w:cs="Times New Roman"/>
          <w:sz w:val="21"/>
          <w:szCs w:val="21"/>
          <w:highlight w:val="none"/>
        </w:rPr>
        <w:t>能顺利投入使用。</w:t>
      </w:r>
    </w:p>
    <w:p>
      <w:pPr>
        <w:spacing w:line="360" w:lineRule="auto"/>
        <w:outlineLvl w:val="9"/>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6.2技术培训</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设备到货后，投标方要派遣培训专家到招标方现场，为招标方操作人员</w:t>
      </w:r>
      <w:r>
        <w:rPr>
          <w:rFonts w:hint="default" w:ascii="Times New Roman" w:hAnsi="Times New Roman" w:cs="Times New Roman"/>
          <w:sz w:val="21"/>
          <w:szCs w:val="21"/>
          <w:highlight w:val="none"/>
          <w:lang w:eastAsia="zh-CN"/>
        </w:rPr>
        <w:t>进行基础操作培训</w:t>
      </w:r>
      <w:r>
        <w:rPr>
          <w:rFonts w:hint="default" w:ascii="Times New Roman" w:hAnsi="Times New Roman" w:cs="Times New Roman"/>
          <w:sz w:val="21"/>
          <w:szCs w:val="21"/>
          <w:highlight w:val="none"/>
        </w:rPr>
        <w:t>。</w:t>
      </w:r>
    </w:p>
    <w:p>
      <w:pPr>
        <w:tabs>
          <w:tab w:val="left" w:pos="284"/>
        </w:tabs>
        <w:adjustRightInd/>
        <w:spacing w:line="360" w:lineRule="auto"/>
        <w:jc w:val="both"/>
        <w:textAlignment w:val="auto"/>
        <w:outlineLvl w:val="9"/>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7.安装调试、性能测试及考核验收</w:t>
      </w:r>
    </w:p>
    <w:p>
      <w:pPr>
        <w:snapToGrid w:val="0"/>
        <w:spacing w:line="360" w:lineRule="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7.1 安装调试</w:t>
      </w:r>
    </w:p>
    <w:p>
      <w:pPr>
        <w:snapToGrid w:val="0"/>
        <w:spacing w:line="360" w:lineRule="auto"/>
        <w:ind w:firstLine="420" w:firstLineChars="200"/>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default" w:ascii="Times New Roman" w:hAnsi="Times New Roman" w:cs="Times New Roman"/>
          <w:sz w:val="21"/>
          <w:szCs w:val="21"/>
          <w:highlight w:val="none"/>
        </w:rPr>
      </w:pPr>
      <w:r>
        <w:rPr>
          <w:rFonts w:hint="default" w:ascii="Times New Roman" w:hAnsi="Times New Roman" w:cs="Times New Roman"/>
          <w:color w:val="000000"/>
          <w:sz w:val="21"/>
          <w:szCs w:val="21"/>
          <w:highlight w:val="none"/>
        </w:rPr>
        <w:t xml:space="preserve">7.2 </w:t>
      </w:r>
      <w:r>
        <w:rPr>
          <w:rFonts w:hint="default" w:ascii="Times New Roman" w:hAnsi="Times New Roman" w:cs="Times New Roman"/>
          <w:bCs/>
          <w:color w:val="000000"/>
          <w:sz w:val="21"/>
          <w:szCs w:val="21"/>
          <w:highlight w:val="none"/>
          <w:lang w:bidi="ar-SA"/>
        </w:rPr>
        <w:t>试运转将由招标方操作人员在投标方技术人员的密切具体指导下进行。试运转过程中，设备所出现的故障由投标方负责解决，招标方给予协助。</w:t>
      </w:r>
    </w:p>
    <w:p>
      <w:pPr>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7.3考核验收</w:t>
      </w:r>
    </w:p>
    <w:p>
      <w:pPr>
        <w:spacing w:line="360" w:lineRule="auto"/>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7.3.1</w:t>
      </w:r>
      <w:r>
        <w:rPr>
          <w:rFonts w:hint="default" w:ascii="Times New Roman" w:hAnsi="Times New Roman" w:cs="Times New Roman"/>
          <w:sz w:val="21"/>
          <w:szCs w:val="21"/>
          <w:highlight w:val="none"/>
          <w:lang w:eastAsia="zh-CN"/>
        </w:rPr>
        <w:t>考核要求：随机</w:t>
      </w:r>
      <w:r>
        <w:rPr>
          <w:rFonts w:hint="default" w:ascii="Times New Roman" w:hAnsi="Times New Roman" w:cs="Times New Roman"/>
          <w:sz w:val="21"/>
          <w:szCs w:val="21"/>
          <w:highlight w:val="none"/>
          <w:lang w:val="en-US" w:eastAsia="zh-CN"/>
        </w:rPr>
        <w:t>测试三个标准煤样，每个样品的水分、灰分、挥发分和全硫四项指标的总测试时间≤3</w:t>
      </w:r>
      <w:r>
        <w:rPr>
          <w:rFonts w:hint="default" w:ascii="Times New Roman" w:hAnsi="Times New Roman" w:cs="Times New Roman"/>
          <w:sz w:val="21"/>
          <w:szCs w:val="21"/>
          <w:highlight w:val="none"/>
          <w:lang w:eastAsia="zh-CN"/>
        </w:rPr>
        <w:t>0min</w:t>
      </w:r>
      <w:r>
        <w:rPr>
          <w:rFonts w:hint="default" w:ascii="Times New Roman" w:hAnsi="Times New Roman" w:cs="Times New Roman"/>
          <w:sz w:val="21"/>
          <w:szCs w:val="21"/>
          <w:highlight w:val="none"/>
          <w:lang w:val="en-US" w:eastAsia="zh-CN"/>
        </w:rPr>
        <w:t>，并且实验结果与国标法测试结果比较满足国标中相应的精密度要求。</w:t>
      </w:r>
    </w:p>
    <w:p>
      <w:pPr>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7.3.2</w:t>
      </w:r>
      <w:r>
        <w:rPr>
          <w:rFonts w:hint="default" w:ascii="Times New Roman" w:hAnsi="Times New Roman" w:cs="Times New Roman"/>
          <w:sz w:val="21"/>
          <w:szCs w:val="21"/>
          <w:highlight w:val="none"/>
        </w:rPr>
        <w:t>设备在上述考核合格后，招标方和投标方签署验收报告。</w:t>
      </w:r>
    </w:p>
    <w:p>
      <w:pPr>
        <w:tabs>
          <w:tab w:val="left" w:pos="284"/>
        </w:tabs>
        <w:adjustRightInd/>
        <w:spacing w:line="360" w:lineRule="auto"/>
        <w:jc w:val="both"/>
        <w:textAlignment w:val="auto"/>
        <w:outlineLvl w:val="9"/>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8.质量保证</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质量保证期限为12个月。保证期限从该设备安装调试能力考核合格双方签字之日算起。质保期内</w:t>
      </w:r>
      <w:r>
        <w:rPr>
          <w:rFonts w:hint="default" w:ascii="Times New Roman" w:hAnsi="Times New Roman" w:cs="Times New Roman"/>
          <w:bCs/>
          <w:color w:val="000000"/>
          <w:sz w:val="21"/>
          <w:szCs w:val="21"/>
          <w:highlight w:val="none"/>
          <w:lang w:bidi="ar-SA"/>
        </w:rPr>
        <w:t>投标方</w:t>
      </w:r>
      <w:r>
        <w:rPr>
          <w:rFonts w:hint="default" w:ascii="Times New Roman" w:hAnsi="Times New Roman" w:cs="Times New Roman"/>
          <w:sz w:val="21"/>
          <w:szCs w:val="21"/>
          <w:highlight w:val="none"/>
        </w:rPr>
        <w:t>所供设备由于设备设计缺陷、制造质量、材料质量等原因引起的设备零部件损坏，投标方负责免费更换或维修。</w:t>
      </w:r>
    </w:p>
    <w:p>
      <w:pPr>
        <w:snapToGrid/>
        <w:spacing w:line="360" w:lineRule="auto"/>
        <w:outlineLvl w:val="9"/>
        <w:rPr>
          <w:rFonts w:hint="default" w:ascii="Times New Roman" w:hAnsi="Times New Roman" w:cs="Times New Roman"/>
          <w:b/>
          <w:bCs/>
          <w:color w:val="000000"/>
          <w:sz w:val="21"/>
          <w:szCs w:val="21"/>
          <w:highlight w:val="none"/>
        </w:rPr>
      </w:pPr>
      <w:r>
        <w:rPr>
          <w:rFonts w:hint="default" w:ascii="Times New Roman" w:hAnsi="Times New Roman" w:cs="Times New Roman"/>
          <w:b/>
          <w:bCs/>
          <w:color w:val="000000"/>
          <w:sz w:val="21"/>
          <w:szCs w:val="21"/>
          <w:highlight w:val="none"/>
        </w:rPr>
        <w:t>9.售后支持</w:t>
      </w:r>
    </w:p>
    <w:p>
      <w:pPr>
        <w:snapToGrid w:val="0"/>
        <w:spacing w:line="360" w:lineRule="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9.1 技术支持</w:t>
      </w:r>
    </w:p>
    <w:p>
      <w:pPr>
        <w:tabs>
          <w:tab w:val="left" w:pos="1460"/>
        </w:tabs>
        <w:snapToGrid w:val="0"/>
        <w:spacing w:line="360" w:lineRule="auto"/>
        <w:ind w:firstLine="420" w:firstLineChars="200"/>
        <w:rPr>
          <w:rFonts w:hint="default" w:ascii="Times New Roman" w:hAnsi="Times New Roman" w:cs="Times New Roman"/>
          <w:bCs/>
          <w:color w:val="000000"/>
          <w:sz w:val="21"/>
          <w:szCs w:val="21"/>
          <w:highlight w:val="none"/>
          <w:lang w:bidi="ar-SA"/>
        </w:rPr>
      </w:pPr>
      <w:r>
        <w:rPr>
          <w:rFonts w:hint="default" w:ascii="Times New Roman" w:hAnsi="Times New Roman" w:cs="Times New Roman"/>
          <w:bCs/>
          <w:color w:val="000000"/>
          <w:sz w:val="21"/>
          <w:szCs w:val="21"/>
          <w:highlight w:val="none"/>
          <w:lang w:bidi="ar-SA"/>
        </w:rPr>
        <w:t>投标方应在报价中说明质保期满后</w:t>
      </w:r>
      <w:r>
        <w:rPr>
          <w:rFonts w:hint="default" w:ascii="Times New Roman" w:hAnsi="Times New Roman" w:cs="Times New Roman"/>
          <w:color w:val="000000"/>
          <w:sz w:val="21"/>
          <w:szCs w:val="21"/>
          <w:highlight w:val="none"/>
        </w:rPr>
        <w:t>对所供设备提供有偿售后服务，只收取配件费用，不收取人工费</w:t>
      </w:r>
      <w:r>
        <w:rPr>
          <w:rFonts w:hint="default" w:ascii="Times New Roman" w:hAnsi="Times New Roman" w:cs="Times New Roman"/>
          <w:bCs/>
          <w:color w:val="000000"/>
          <w:sz w:val="21"/>
          <w:szCs w:val="21"/>
          <w:highlight w:val="none"/>
          <w:lang w:bidi="ar-SA"/>
        </w:rPr>
        <w:t>。</w:t>
      </w:r>
    </w:p>
    <w:p>
      <w:pPr>
        <w:snapToGrid w:val="0"/>
        <w:spacing w:line="360" w:lineRule="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9.2 维修支持</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投标方应在报价中说明质保期满后，投标方在设备维修方面能给招标方的支持。对于招标方遇到的紧急故障需要投标方帮助处理时，投标方</w:t>
      </w:r>
      <w:r>
        <w:rPr>
          <w:rFonts w:hint="default" w:ascii="Times New Roman" w:hAnsi="Times New Roman" w:cs="Times New Roman"/>
          <w:sz w:val="21"/>
          <w:szCs w:val="21"/>
          <w:highlight w:val="none"/>
          <w:lang w:eastAsia="zh-CN"/>
        </w:rPr>
        <w:t>需</w:t>
      </w:r>
      <w:r>
        <w:rPr>
          <w:rFonts w:hint="default" w:ascii="Times New Roman" w:hAnsi="Times New Roman" w:cs="Times New Roman"/>
          <w:sz w:val="21"/>
          <w:szCs w:val="21"/>
          <w:highlight w:val="none"/>
        </w:rPr>
        <w:t>以最快的速度给予支持。</w:t>
      </w:r>
    </w:p>
    <w:p>
      <w:pPr>
        <w:rPr>
          <w:rFonts w:hint="default" w:ascii="Times New Roman" w:hAnsi="Times New Roman" w:cs="Times New Roman"/>
          <w:highlight w:val="none"/>
        </w:rPr>
      </w:pPr>
    </w:p>
    <w:p>
      <w:pPr>
        <w:spacing w:line="240" w:lineRule="auto"/>
        <w:ind w:firstLine="420"/>
        <w:rPr>
          <w:rFonts w:hint="eastAsia" w:ascii="宋体" w:hAnsi="宋体" w:eastAsia="宋体" w:cs="宋体"/>
          <w:color w:val="auto"/>
          <w:sz w:val="36"/>
          <w:szCs w:val="24"/>
          <w:highlight w:val="none"/>
          <w:lang w:eastAsia="zh-CN"/>
        </w:rPr>
      </w:pPr>
    </w:p>
    <w:p>
      <w:pPr>
        <w:pStyle w:val="2"/>
        <w:spacing w:line="240" w:lineRule="auto"/>
        <w:jc w:val="center"/>
        <w:rPr>
          <w:rFonts w:hint="eastAsia" w:ascii="宋体" w:hAnsi="宋体" w:eastAsia="宋体" w:cs="宋体"/>
          <w:color w:val="auto"/>
          <w:sz w:val="36"/>
          <w:szCs w:val="24"/>
          <w:highlight w:val="none"/>
          <w:lang w:eastAsia="zh-CN"/>
        </w:rPr>
      </w:pPr>
      <w:r>
        <w:rPr>
          <w:rFonts w:hint="eastAsia" w:ascii="宋体" w:hAnsi="宋体" w:eastAsia="宋体" w:cs="宋体"/>
          <w:color w:val="auto"/>
          <w:sz w:val="36"/>
          <w:szCs w:val="24"/>
          <w:highlight w:val="none"/>
          <w:lang w:eastAsia="zh-CN"/>
        </w:rPr>
        <w:br w:type="page"/>
      </w:r>
      <w:bookmarkStart w:id="16" w:name="_Toc23735"/>
      <w:bookmarkStart w:id="17" w:name="_Toc13237"/>
      <w:bookmarkStart w:id="18" w:name="_Toc4017"/>
      <w:bookmarkStart w:id="19" w:name="_Toc9408"/>
      <w:r>
        <w:rPr>
          <w:rFonts w:hint="eastAsia" w:ascii="宋体" w:hAnsi="宋体" w:eastAsia="宋体" w:cs="宋体"/>
          <w:color w:val="auto"/>
          <w:sz w:val="36"/>
          <w:szCs w:val="24"/>
          <w:highlight w:val="none"/>
          <w:lang w:eastAsia="zh-CN"/>
        </w:rPr>
        <w:t>第五包：沸腾焙烧炉技术要求</w:t>
      </w:r>
      <w:bookmarkEnd w:id="16"/>
      <w:bookmarkEnd w:id="17"/>
      <w:bookmarkEnd w:id="18"/>
      <w:bookmarkEnd w:id="19"/>
    </w:p>
    <w:p>
      <w:pPr>
        <w:pStyle w:val="11"/>
        <w:numPr>
          <w:ilvl w:val="0"/>
          <w:numId w:val="0"/>
        </w:numPr>
        <w:tabs>
          <w:tab w:val="left" w:pos="426"/>
        </w:tabs>
        <w:spacing w:line="360" w:lineRule="auto"/>
        <w:jc w:val="left"/>
        <w:rPr>
          <w:rStyle w:val="14"/>
          <w:rFonts w:hint="default" w:ascii="Times New Roman" w:hAnsi="Times New Roman" w:eastAsia="宋体" w:cs="Times New Roman"/>
          <w:b/>
          <w:bCs/>
          <w:sz w:val="21"/>
          <w:szCs w:val="21"/>
          <w:highlight w:val="none"/>
        </w:rPr>
      </w:pPr>
      <w:r>
        <w:rPr>
          <w:rStyle w:val="14"/>
          <w:rFonts w:hint="default" w:ascii="Times New Roman" w:hAnsi="Times New Roman" w:eastAsia="宋体" w:cs="Times New Roman"/>
          <w:b/>
          <w:bCs/>
          <w:sz w:val="21"/>
          <w:szCs w:val="21"/>
          <w:highlight w:val="none"/>
        </w:rPr>
        <w:t>1.货物需求</w:t>
      </w:r>
    </w:p>
    <w:p>
      <w:pPr>
        <w:tabs>
          <w:tab w:val="left" w:pos="60"/>
        </w:tabs>
        <w:spacing w:line="360" w:lineRule="auto"/>
        <w:outlineLvl w:val="9"/>
        <w:rPr>
          <w:rFonts w:hint="default"/>
        </w:rPr>
      </w:pPr>
      <w:r>
        <w:rPr>
          <w:rFonts w:hint="default"/>
        </w:rPr>
        <w:t>1.1货物需求一览表</w:t>
      </w:r>
    </w:p>
    <w:tbl>
      <w:tblPr>
        <w:tblStyle w:val="16"/>
        <w:tblW w:w="9116" w:type="dxa"/>
        <w:tblInd w:w="0" w:type="dxa"/>
        <w:tblLayout w:type="fixed"/>
        <w:tblCellMar>
          <w:top w:w="0" w:type="dxa"/>
          <w:left w:w="108" w:type="dxa"/>
          <w:bottom w:w="0" w:type="dxa"/>
          <w:right w:w="108" w:type="dxa"/>
        </w:tblCellMar>
      </w:tblPr>
      <w:tblGrid>
        <w:gridCol w:w="869"/>
        <w:gridCol w:w="3025"/>
        <w:gridCol w:w="1075"/>
        <w:gridCol w:w="890"/>
        <w:gridCol w:w="1650"/>
        <w:gridCol w:w="1607"/>
      </w:tblGrid>
      <w:tr>
        <w:tblPrEx>
          <w:tblLayout w:type="fixed"/>
          <w:tblCellMar>
            <w:top w:w="0" w:type="dxa"/>
            <w:left w:w="108" w:type="dxa"/>
            <w:bottom w:w="0" w:type="dxa"/>
            <w:right w:w="108" w:type="dxa"/>
          </w:tblCellMar>
        </w:tblPrEx>
        <w:trPr>
          <w:trHeight w:val="15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序号</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设备名称</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单位</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数量</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型号</w:t>
            </w:r>
            <w:r>
              <w:rPr>
                <w:rFonts w:hint="default" w:ascii="Times New Roman" w:hAnsi="Times New Roman" w:cs="Times New Roman"/>
                <w:sz w:val="21"/>
                <w:szCs w:val="21"/>
                <w:highlight w:val="none"/>
                <w:lang w:eastAsia="zh-CN"/>
              </w:rPr>
              <w:t>（产地）</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备注</w:t>
            </w:r>
          </w:p>
        </w:tc>
      </w:tr>
      <w:tr>
        <w:tblPrEx>
          <w:tblLayout w:type="fixed"/>
          <w:tblCellMar>
            <w:top w:w="0" w:type="dxa"/>
            <w:left w:w="108" w:type="dxa"/>
            <w:bottom w:w="0" w:type="dxa"/>
            <w:right w:w="108" w:type="dxa"/>
          </w:tblCellMar>
        </w:tblPrEx>
        <w:trPr>
          <w:trHeight w:val="148" w:hRule="atLeast"/>
        </w:trPr>
        <w:tc>
          <w:tcPr>
            <w:tcW w:w="8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1</w:t>
            </w:r>
          </w:p>
        </w:tc>
        <w:tc>
          <w:tcPr>
            <w:tcW w:w="3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 w:val="21"/>
                <w:szCs w:val="21"/>
                <w:highlight w:val="none"/>
                <w:lang w:eastAsia="zh-CN"/>
              </w:rPr>
            </w:pPr>
            <w:r>
              <w:rPr>
                <w:rFonts w:hint="default" w:ascii="Times New Roman" w:hAnsi="Times New Roman" w:cs="Times New Roman"/>
                <w:sz w:val="21"/>
                <w:szCs w:val="21"/>
                <w:highlight w:val="none"/>
                <w:lang w:eastAsia="zh-CN"/>
              </w:rPr>
              <w:t>沸腾焙烧炉</w:t>
            </w:r>
          </w:p>
        </w:tc>
        <w:tc>
          <w:tcPr>
            <w:tcW w:w="10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 w:val="21"/>
                <w:szCs w:val="21"/>
                <w:highlight w:val="none"/>
                <w:lang w:eastAsia="zh-CN"/>
              </w:rPr>
            </w:pPr>
            <w:r>
              <w:rPr>
                <w:rFonts w:hint="default" w:ascii="Times New Roman" w:hAnsi="Times New Roman" w:cs="Times New Roman"/>
                <w:sz w:val="21"/>
                <w:szCs w:val="21"/>
                <w:highlight w:val="none"/>
                <w:lang w:eastAsia="zh-CN"/>
              </w:rPr>
              <w:t>套</w:t>
            </w:r>
          </w:p>
        </w:tc>
        <w:tc>
          <w:tcPr>
            <w:tcW w:w="8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sz w:val="21"/>
                <w:szCs w:val="21"/>
                <w:highlight w:val="none"/>
                <w:lang w:val="en-US" w:eastAsia="zh-CN"/>
              </w:rPr>
              <w:t>1</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c>
          <w:tcPr>
            <w:tcW w:w="16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sz w:val="21"/>
                <w:szCs w:val="21"/>
                <w:highlight w:val="none"/>
              </w:rPr>
            </w:pPr>
          </w:p>
        </w:tc>
      </w:tr>
    </w:tbl>
    <w:p>
      <w:pPr>
        <w:spacing w:line="360" w:lineRule="auto"/>
        <w:outlineLvl w:val="9"/>
        <w:rPr>
          <w:rFonts w:hint="default" w:ascii="Times New Roman" w:hAnsi="Times New Roman" w:cs="Times New Roman"/>
          <w:bCs/>
          <w:color w:val="000000"/>
          <w:sz w:val="21"/>
          <w:szCs w:val="21"/>
          <w:highlight w:val="none"/>
          <w:lang w:bidi="ar-SA"/>
        </w:rPr>
      </w:pPr>
      <w:r>
        <w:rPr>
          <w:rFonts w:hint="default" w:ascii="Times New Roman" w:hAnsi="Times New Roman" w:cs="Times New Roman"/>
          <w:bCs/>
          <w:color w:val="000000"/>
          <w:sz w:val="21"/>
          <w:szCs w:val="21"/>
          <w:highlight w:val="none"/>
          <w:lang w:bidi="ar-SA"/>
        </w:rPr>
        <w:t>1.2交货时间:自合同签订之日起</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u w:val="single"/>
          <w:lang w:val="en-US" w:eastAsia="zh-CN" w:bidi="ar-SA"/>
        </w:rPr>
        <w:t>1</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lang w:bidi="ar-SA"/>
        </w:rPr>
        <w:t>个月内</w:t>
      </w:r>
      <w:r>
        <w:rPr>
          <w:rFonts w:hint="default" w:ascii="Times New Roman" w:hAnsi="Times New Roman" w:cs="Times New Roman"/>
          <w:bCs/>
          <w:sz w:val="21"/>
          <w:szCs w:val="21"/>
          <w:highlight w:val="none"/>
        </w:rPr>
        <w:t>到达</w:t>
      </w:r>
      <w:r>
        <w:rPr>
          <w:rFonts w:hint="default" w:ascii="Times New Roman" w:hAnsi="Times New Roman" w:cs="Times New Roman"/>
          <w:bCs/>
          <w:color w:val="000000"/>
          <w:sz w:val="21"/>
          <w:szCs w:val="21"/>
          <w:highlight w:val="none"/>
          <w:lang w:bidi="ar-SA"/>
        </w:rPr>
        <w:t>交货地点。</w:t>
      </w:r>
    </w:p>
    <w:p>
      <w:pPr>
        <w:spacing w:line="360" w:lineRule="auto"/>
        <w:rPr>
          <w:rFonts w:hint="default" w:ascii="Times New Roman" w:hAnsi="Times New Roman" w:cs="Times New Roman"/>
          <w:bCs/>
          <w:sz w:val="21"/>
          <w:szCs w:val="21"/>
          <w:highlight w:val="none"/>
        </w:rPr>
      </w:pPr>
      <w:r>
        <w:rPr>
          <w:rFonts w:hint="default" w:ascii="Times New Roman" w:hAnsi="Times New Roman" w:cs="Times New Roman"/>
          <w:bCs/>
          <w:color w:val="000000"/>
          <w:sz w:val="21"/>
          <w:szCs w:val="21"/>
          <w:highlight w:val="none"/>
          <w:lang w:bidi="ar-SA"/>
        </w:rPr>
        <w:t>交货地点:</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u w:val="single"/>
          <w:lang w:val="en-US" w:eastAsia="zh-CN" w:bidi="ar-SA"/>
        </w:rPr>
        <w:t xml:space="preserve"> 内蒙古鄂尔多斯薛家湾神华准资</w:t>
      </w:r>
      <w:r>
        <w:rPr>
          <w:rFonts w:hint="default" w:ascii="Times New Roman" w:hAnsi="Times New Roman" w:cs="Times New Roman"/>
          <w:bCs/>
          <w:color w:val="000000"/>
          <w:sz w:val="21"/>
          <w:szCs w:val="21"/>
          <w:highlight w:val="none"/>
          <w:u w:val="single"/>
          <w:lang w:eastAsia="zh-CN" w:bidi="ar-SA"/>
        </w:rPr>
        <w:t>研发中心</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lang w:bidi="ar-SA"/>
        </w:rPr>
        <w:t>。</w:t>
      </w:r>
    </w:p>
    <w:p>
      <w:pPr>
        <w:pStyle w:val="11"/>
        <w:numPr>
          <w:ilvl w:val="0"/>
          <w:numId w:val="0"/>
        </w:numPr>
        <w:tabs>
          <w:tab w:val="left" w:pos="426"/>
        </w:tabs>
        <w:spacing w:line="360" w:lineRule="auto"/>
        <w:jc w:val="left"/>
        <w:rPr>
          <w:rStyle w:val="14"/>
          <w:rFonts w:hint="default" w:ascii="Times New Roman" w:hAnsi="Times New Roman" w:eastAsia="宋体" w:cs="Times New Roman"/>
          <w:b/>
          <w:bCs/>
          <w:sz w:val="21"/>
          <w:szCs w:val="21"/>
          <w:highlight w:val="none"/>
        </w:rPr>
      </w:pPr>
      <w:r>
        <w:rPr>
          <w:rStyle w:val="14"/>
          <w:rFonts w:hint="default" w:ascii="Times New Roman" w:hAnsi="Times New Roman" w:eastAsia="宋体" w:cs="Times New Roman"/>
          <w:b/>
          <w:bCs/>
          <w:sz w:val="21"/>
          <w:szCs w:val="21"/>
          <w:highlight w:val="none"/>
        </w:rPr>
        <w:t>2.使用条件</w:t>
      </w:r>
    </w:p>
    <w:p>
      <w:pPr>
        <w:tabs>
          <w:tab w:val="left" w:pos="426"/>
        </w:tabs>
        <w:spacing w:line="360" w:lineRule="auto"/>
        <w:outlineLvl w:val="9"/>
        <w:rPr>
          <w:rStyle w:val="14"/>
          <w:rFonts w:hint="default" w:ascii="Times New Roman" w:hAnsi="Times New Roman" w:eastAsia="宋体" w:cs="Times New Roman"/>
          <w:b w:val="0"/>
          <w:sz w:val="21"/>
          <w:szCs w:val="21"/>
          <w:highlight w:val="none"/>
        </w:rPr>
      </w:pPr>
      <w:r>
        <w:rPr>
          <w:rStyle w:val="14"/>
          <w:rFonts w:hint="default" w:ascii="Times New Roman" w:hAnsi="Times New Roman" w:eastAsia="宋体" w:cs="Times New Roman"/>
          <w:b w:val="0"/>
          <w:sz w:val="21"/>
          <w:szCs w:val="21"/>
          <w:highlight w:val="none"/>
        </w:rPr>
        <w:t>2.1气候条件及工作环境</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年平均温度</w:t>
      </w:r>
      <w:r>
        <w:rPr>
          <w:rFonts w:hint="default" w:ascii="Times New Roman" w:hAnsi="Times New Roman" w:cs="Times New Roman"/>
          <w:color w:val="000000"/>
          <w:sz w:val="21"/>
          <w:szCs w:val="21"/>
          <w:highlight w:val="none"/>
        </w:rPr>
        <w:t>6.2</w:t>
      </w:r>
      <w:r>
        <w:rPr>
          <w:rFonts w:hint="default" w:ascii="Times New Roman" w:hAnsi="Times New Roman" w:cs="Times New Roman"/>
          <w:color w:val="000000"/>
          <w:sz w:val="21"/>
          <w:szCs w:val="21"/>
          <w:highlight w:val="none"/>
          <w:lang w:bidi="ar-SA"/>
        </w:rPr>
        <w:t>℃</w:t>
      </w:r>
      <w:r>
        <w:rPr>
          <w:rFonts w:hint="default" w:ascii="Times New Roman" w:hAnsi="Times New Roman" w:cs="Times New Roman"/>
          <w:color w:val="000000"/>
          <w:sz w:val="21"/>
          <w:szCs w:val="21"/>
          <w:highlight w:val="none"/>
        </w:rPr>
        <w:t>～8.7</w:t>
      </w:r>
      <w:r>
        <w:rPr>
          <w:rFonts w:hint="default" w:ascii="Times New Roman" w:hAnsi="Times New Roman" w:cs="Times New Roman"/>
          <w:color w:val="000000"/>
          <w:sz w:val="21"/>
          <w:szCs w:val="21"/>
          <w:highlight w:val="none"/>
          <w:lang w:bidi="ar-SA"/>
        </w:rPr>
        <w:t>℃</w:t>
      </w:r>
      <w:r>
        <w:rPr>
          <w:rFonts w:hint="default" w:ascii="Times New Roman" w:hAnsi="Times New Roman" w:cs="Times New Roman"/>
          <w:sz w:val="21"/>
          <w:szCs w:val="21"/>
          <w:highlight w:val="none"/>
        </w:rPr>
        <w:t>，最高气温达39℃，最低气温为</w:t>
      </w:r>
      <w:r>
        <w:rPr>
          <w:rFonts w:hint="default" w:ascii="Times New Roman" w:hAnsi="Times New Roman" w:cs="Times New Roman"/>
          <w:color w:val="000000"/>
          <w:sz w:val="21"/>
          <w:szCs w:val="21"/>
          <w:highlight w:val="none"/>
        </w:rPr>
        <w:t>-32.8</w:t>
      </w:r>
      <w:r>
        <w:rPr>
          <w:rFonts w:hint="default" w:ascii="Times New Roman" w:hAnsi="Times New Roman" w:cs="Times New Roman"/>
          <w:sz w:val="21"/>
          <w:szCs w:val="21"/>
          <w:highlight w:val="none"/>
        </w:rPr>
        <w:t>℃；</w:t>
      </w:r>
      <w:r>
        <w:rPr>
          <w:rFonts w:hint="default" w:ascii="Times New Roman" w:hAnsi="Times New Roman" w:cs="Times New Roman"/>
          <w:sz w:val="21"/>
          <w:szCs w:val="21"/>
          <w:highlight w:val="none"/>
          <w:lang w:val="zh-CN" w:eastAsia="zh-CN" w:bidi="ar-SA"/>
        </w:rPr>
        <w:t>海拔高度1200m；该地区的地震等级为7级</w:t>
      </w:r>
      <w:r>
        <w:rPr>
          <w:rFonts w:hint="default" w:ascii="Times New Roman" w:hAnsi="Times New Roman" w:cs="Times New Roman"/>
          <w:sz w:val="21"/>
          <w:szCs w:val="21"/>
          <w:highlight w:val="none"/>
        </w:rPr>
        <w:t>。</w:t>
      </w:r>
    </w:p>
    <w:p>
      <w:pPr>
        <w:spacing w:line="360" w:lineRule="auto"/>
        <w:outlineLvl w:val="9"/>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2.2</w:t>
      </w:r>
      <w:r>
        <w:rPr>
          <w:rFonts w:hint="default" w:ascii="Times New Roman" w:hAnsi="Times New Roman" w:cs="Times New Roman"/>
          <w:sz w:val="21"/>
          <w:szCs w:val="22"/>
          <w:highlight w:val="none"/>
        </w:rPr>
        <w:t>供电</w:t>
      </w:r>
      <w:r>
        <w:rPr>
          <w:rFonts w:hint="default" w:ascii="Times New Roman" w:hAnsi="Times New Roman" w:cs="Times New Roman"/>
          <w:sz w:val="21"/>
          <w:szCs w:val="21"/>
          <w:highlight w:val="none"/>
        </w:rPr>
        <w:t>自然条件</w:t>
      </w:r>
    </w:p>
    <w:p>
      <w:pPr>
        <w:spacing w:line="360" w:lineRule="auto"/>
        <w:ind w:firstLine="420" w:firstLineChars="200"/>
        <w:rPr>
          <w:rFonts w:hint="default" w:ascii="Times New Roman" w:hAnsi="Times New Roman" w:cs="Times New Roman"/>
          <w:bCs/>
          <w:snapToGrid w:val="0"/>
          <w:kern w:val="0"/>
          <w:sz w:val="21"/>
          <w:szCs w:val="21"/>
          <w:highlight w:val="none"/>
        </w:rPr>
      </w:pPr>
      <w:r>
        <w:rPr>
          <w:rFonts w:hint="default" w:ascii="Times New Roman" w:hAnsi="Times New Roman" w:cs="Times New Roman"/>
          <w:bCs/>
          <w:snapToGrid w:val="0"/>
          <w:kern w:val="0"/>
          <w:sz w:val="21"/>
          <w:szCs w:val="21"/>
          <w:highlight w:val="none"/>
        </w:rPr>
        <w:t>招标方只提供</w:t>
      </w:r>
      <w:r>
        <w:rPr>
          <w:rFonts w:hint="default" w:ascii="Times New Roman" w:hAnsi="Times New Roman" w:cs="Times New Roman"/>
          <w:bCs/>
          <w:snapToGrid w:val="0"/>
          <w:kern w:val="0"/>
          <w:sz w:val="21"/>
          <w:szCs w:val="21"/>
          <w:highlight w:val="none"/>
          <w:lang w:val="en-US" w:eastAsia="zh-CN"/>
        </w:rPr>
        <w:t xml:space="preserve"> </w:t>
      </w:r>
      <w:r>
        <w:rPr>
          <w:rFonts w:hint="default" w:ascii="Times New Roman" w:hAnsi="Times New Roman" w:cs="Times New Roman"/>
          <w:bCs/>
          <w:snapToGrid w:val="0"/>
          <w:kern w:val="0"/>
          <w:sz w:val="21"/>
          <w:szCs w:val="21"/>
          <w:highlight w:val="none"/>
          <w:u w:val="single"/>
          <w:lang w:val="en-US" w:eastAsia="zh-CN"/>
        </w:rPr>
        <w:t xml:space="preserve">  AC</w:t>
      </w:r>
      <w:r>
        <w:rPr>
          <w:rFonts w:hint="default" w:ascii="Times New Roman" w:hAnsi="Times New Roman" w:cs="Times New Roman"/>
          <w:bCs/>
          <w:color w:val="000000"/>
          <w:sz w:val="21"/>
          <w:szCs w:val="21"/>
          <w:highlight w:val="none"/>
          <w:u w:val="single"/>
          <w:lang w:val="en-US" w:eastAsia="zh-CN" w:bidi="ar-SA"/>
        </w:rPr>
        <w:t xml:space="preserve">380  </w:t>
      </w:r>
      <w:r>
        <w:rPr>
          <w:rFonts w:hint="default" w:ascii="Times New Roman" w:hAnsi="Times New Roman" w:cs="Times New Roman"/>
          <w:sz w:val="21"/>
          <w:szCs w:val="21"/>
          <w:highlight w:val="none"/>
        </w:rPr>
        <w:t>V电源，电源电压偏移±</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u w:val="single"/>
          <w:lang w:val="en-US" w:eastAsia="zh-CN" w:bidi="ar-SA"/>
        </w:rPr>
        <w:t>15</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sz w:val="21"/>
          <w:szCs w:val="21"/>
          <w:highlight w:val="none"/>
        </w:rPr>
        <w:t xml:space="preserve"> %，频率偏移50Hz±</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bCs/>
          <w:color w:val="000000"/>
          <w:sz w:val="21"/>
          <w:szCs w:val="21"/>
          <w:highlight w:val="none"/>
          <w:u w:val="single"/>
          <w:lang w:val="en-US" w:eastAsia="zh-CN" w:bidi="ar-SA"/>
        </w:rPr>
        <w:t>1</w:t>
      </w:r>
      <w:r>
        <w:rPr>
          <w:rFonts w:hint="default" w:ascii="Times New Roman" w:hAnsi="Times New Roman" w:cs="Times New Roman"/>
          <w:bCs/>
          <w:color w:val="000000"/>
          <w:sz w:val="21"/>
          <w:szCs w:val="21"/>
          <w:highlight w:val="none"/>
          <w:u w:val="single"/>
          <w:lang w:bidi="ar-SA"/>
        </w:rPr>
        <w:t xml:space="preserve"> </w:t>
      </w:r>
      <w:r>
        <w:rPr>
          <w:rFonts w:hint="default" w:ascii="Times New Roman" w:hAnsi="Times New Roman" w:cs="Times New Roman"/>
          <w:sz w:val="21"/>
          <w:szCs w:val="21"/>
          <w:highlight w:val="none"/>
        </w:rPr>
        <w:t xml:space="preserve"> %</w:t>
      </w:r>
      <w:r>
        <w:rPr>
          <w:rFonts w:hint="default" w:ascii="Times New Roman" w:hAnsi="Times New Roman" w:cs="Times New Roman"/>
          <w:bCs/>
          <w:snapToGrid w:val="0"/>
          <w:kern w:val="0"/>
          <w:sz w:val="21"/>
          <w:szCs w:val="21"/>
          <w:highlight w:val="none"/>
        </w:rPr>
        <w:t>。投标方保证提供的设备能正常运行。</w:t>
      </w:r>
    </w:p>
    <w:p>
      <w:pPr>
        <w:spacing w:line="360" w:lineRule="auto"/>
        <w:outlineLvl w:val="9"/>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2.3设备用途</w:t>
      </w:r>
    </w:p>
    <w:p>
      <w:pPr>
        <w:spacing w:line="360" w:lineRule="auto"/>
        <w:ind w:firstLine="420" w:firstLineChars="200"/>
        <w:rPr>
          <w:rFonts w:hint="default" w:ascii="Times New Roman" w:hAnsi="Times New Roman" w:cs="Times New Roman"/>
          <w:bCs/>
          <w:sz w:val="21"/>
          <w:szCs w:val="21"/>
          <w:lang w:eastAsia="zh-CN"/>
        </w:rPr>
      </w:pPr>
      <w:r>
        <w:rPr>
          <w:rFonts w:hint="default" w:ascii="Times New Roman" w:hAnsi="Times New Roman" w:cs="Times New Roman"/>
          <w:bCs/>
          <w:sz w:val="21"/>
          <w:szCs w:val="21"/>
          <w:lang w:eastAsia="zh-CN"/>
        </w:rPr>
        <w:t>用于实验室煤粉炉粉煤灰硫酸高温焙烧活化、原料分解研究。工作介质为煤粉炉粉煤灰、硫酸混合物料干燥后造粒，反应温度为</w:t>
      </w:r>
      <w:r>
        <w:rPr>
          <w:rFonts w:hint="default" w:ascii="Times New Roman" w:hAnsi="Times New Roman" w:cs="Times New Roman"/>
          <w:bCs/>
          <w:sz w:val="21"/>
          <w:szCs w:val="21"/>
          <w:lang w:val="en-US" w:eastAsia="zh-CN"/>
        </w:rPr>
        <w:t>300℃、900℃。</w:t>
      </w:r>
    </w:p>
    <w:p>
      <w:pPr>
        <w:snapToGrid w:val="0"/>
        <w:spacing w:line="360" w:lineRule="auto"/>
        <w:ind w:left="0" w:leftChars="0" w:firstLine="0" w:firstLineChars="0"/>
        <w:rPr>
          <w:rFonts w:hint="default" w:ascii="Times New Roman" w:hAnsi="Times New Roman" w:cs="Times New Roman"/>
          <w:color w:val="000000"/>
          <w:sz w:val="21"/>
          <w:szCs w:val="21"/>
          <w:highlight w:val="none"/>
        </w:rPr>
      </w:pPr>
      <w:r>
        <w:rPr>
          <w:rStyle w:val="14"/>
          <w:rFonts w:hint="default" w:ascii="Times New Roman" w:hAnsi="Times New Roman" w:eastAsia="宋体" w:cs="Times New Roman"/>
          <w:b/>
          <w:bCs/>
          <w:kern w:val="0"/>
          <w:sz w:val="21"/>
          <w:szCs w:val="21"/>
          <w:highlight w:val="none"/>
          <w:lang w:val="en-US" w:eastAsia="zh-CN" w:bidi="ar-SA"/>
        </w:rPr>
        <w:t>3技术要求</w:t>
      </w:r>
    </w:p>
    <w:p>
      <w:pPr>
        <w:spacing w:line="360" w:lineRule="auto"/>
        <w:ind w:firstLine="105" w:firstLineChars="50"/>
        <w:rPr>
          <w:rFonts w:hint="default" w:ascii="Times New Roman" w:hAnsi="Times New Roman" w:cs="Times New Roman"/>
          <w:bCs/>
          <w:sz w:val="21"/>
          <w:szCs w:val="21"/>
        </w:rPr>
      </w:pPr>
      <w:r>
        <w:rPr>
          <w:rFonts w:hint="default" w:ascii="Times New Roman" w:hAnsi="Times New Roman" w:cs="Times New Roman"/>
          <w:bCs/>
          <w:sz w:val="21"/>
          <w:szCs w:val="21"/>
        </w:rPr>
        <w:t>3.</w:t>
      </w:r>
      <w:r>
        <w:rPr>
          <w:rFonts w:hint="default" w:ascii="Times New Roman" w:hAnsi="Times New Roman" w:cs="Times New Roman"/>
          <w:bCs/>
          <w:sz w:val="21"/>
          <w:szCs w:val="21"/>
          <w:lang w:val="en-US" w:eastAsia="zh-CN"/>
        </w:rPr>
        <w:t>1</w:t>
      </w:r>
      <w:r>
        <w:rPr>
          <w:rFonts w:hint="default" w:ascii="Times New Roman" w:hAnsi="Times New Roman" w:cs="Times New Roman"/>
          <w:bCs/>
          <w:sz w:val="21"/>
          <w:szCs w:val="21"/>
        </w:rPr>
        <w:t>沸腾焙烧炉</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3.1.1</w:t>
      </w:r>
      <w:r>
        <w:rPr>
          <w:rFonts w:hint="default" w:ascii="Times New Roman" w:hAnsi="Times New Roman" w:cs="Times New Roman"/>
          <w:bCs/>
          <w:sz w:val="21"/>
          <w:szCs w:val="21"/>
        </w:rPr>
        <w:t>炉膛焙烧面积：0.01~0.03㎡，炉体直径≤200mm，高度≤2800mm；</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3.1.2</w:t>
      </w:r>
      <w:r>
        <w:rPr>
          <w:rFonts w:hint="default" w:ascii="Times New Roman" w:hAnsi="Times New Roman" w:cs="Times New Roman"/>
          <w:bCs/>
          <w:sz w:val="21"/>
          <w:szCs w:val="21"/>
        </w:rPr>
        <w:t>焙烧物料入料粒度：粒径一般要求小于φ</w:t>
      </w:r>
      <w:r>
        <w:rPr>
          <w:rFonts w:hint="default" w:ascii="Times New Roman" w:hAnsi="Times New Roman" w:cs="Times New Roman"/>
          <w:bCs/>
          <w:sz w:val="21"/>
          <w:szCs w:val="21"/>
          <w:lang w:val="en-US" w:eastAsia="zh-CN"/>
        </w:rPr>
        <w:t>10</w:t>
      </w:r>
      <w:r>
        <w:rPr>
          <w:rFonts w:hint="default" w:ascii="Times New Roman" w:hAnsi="Times New Roman" w:cs="Times New Roman"/>
          <w:bCs/>
          <w:sz w:val="21"/>
          <w:szCs w:val="21"/>
        </w:rPr>
        <w:t>mm</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3.1.3</w:t>
      </w:r>
      <w:r>
        <w:rPr>
          <w:rFonts w:hint="default" w:ascii="Times New Roman" w:hAnsi="Times New Roman" w:cs="Times New Roman"/>
          <w:bCs/>
          <w:sz w:val="21"/>
          <w:szCs w:val="21"/>
        </w:rPr>
        <w:t>产能：焙烧能力小于0.01吨/小时；</w:t>
      </w:r>
    </w:p>
    <w:p>
      <w:pPr>
        <w:numPr>
          <w:ilvl w:val="0"/>
          <w:numId w:val="0"/>
        </w:numPr>
        <w:spacing w:line="360" w:lineRule="auto"/>
        <w:ind w:left="420" w:leftChars="0"/>
        <w:rPr>
          <w:rFonts w:hint="default" w:ascii="Times New Roman" w:hAnsi="Times New Roman" w:cs="Times New Roman"/>
          <w:sz w:val="21"/>
          <w:szCs w:val="21"/>
        </w:rPr>
      </w:pPr>
      <w:r>
        <w:rPr>
          <w:rFonts w:hint="default" w:ascii="Times New Roman" w:hAnsi="Times New Roman" w:cs="Times New Roman"/>
          <w:bCs/>
          <w:sz w:val="21"/>
          <w:szCs w:val="21"/>
          <w:lang w:val="en-US" w:eastAsia="zh-CN"/>
        </w:rPr>
        <w:t>3.1.4</w:t>
      </w:r>
      <w:r>
        <w:rPr>
          <w:rFonts w:hint="default" w:ascii="Times New Roman" w:hAnsi="Times New Roman" w:cs="Times New Roman"/>
          <w:bCs/>
          <w:sz w:val="21"/>
          <w:szCs w:val="21"/>
        </w:rPr>
        <w:t>外形尺寸：φ250mm/φ350mm×2800mm（内径/外径×长度）；</w:t>
      </w:r>
    </w:p>
    <w:p>
      <w:pPr>
        <w:numPr>
          <w:ilvl w:val="0"/>
          <w:numId w:val="0"/>
        </w:numPr>
        <w:spacing w:line="360" w:lineRule="auto"/>
        <w:ind w:left="420" w:leftChars="0"/>
        <w:rPr>
          <w:rFonts w:hint="default" w:ascii="Times New Roman" w:hAnsi="Times New Roman" w:cs="Times New Roman"/>
          <w:sz w:val="21"/>
          <w:szCs w:val="21"/>
        </w:rPr>
      </w:pPr>
      <w:r>
        <w:rPr>
          <w:rFonts w:hint="default" w:ascii="Times New Roman" w:hAnsi="Times New Roman" w:cs="Times New Roman"/>
          <w:bCs/>
          <w:sz w:val="21"/>
          <w:szCs w:val="21"/>
          <w:lang w:val="en-US" w:eastAsia="zh-CN"/>
        </w:rPr>
        <w:t>3.1.5</w:t>
      </w:r>
      <w:r>
        <w:rPr>
          <w:rFonts w:hint="default" w:ascii="Times New Roman" w:hAnsi="Times New Roman" w:cs="Times New Roman"/>
          <w:bCs/>
          <w:sz w:val="21"/>
          <w:szCs w:val="21"/>
        </w:rPr>
        <w:t>额定最高炉温：最高炉温1300℃，温度连续可调，自动控制。可实现在某一温度段停留一定时间，例如可在300℃停留2h，在900℃停留5h。</w:t>
      </w:r>
    </w:p>
    <w:p>
      <w:pPr>
        <w:numPr>
          <w:ilvl w:val="0"/>
          <w:numId w:val="0"/>
        </w:numPr>
        <w:spacing w:line="360" w:lineRule="auto"/>
        <w:ind w:left="420" w:leftChars="0"/>
        <w:rPr>
          <w:rFonts w:hint="default" w:ascii="Times New Roman" w:hAnsi="Times New Roman" w:cs="Times New Roman"/>
          <w:sz w:val="21"/>
          <w:szCs w:val="21"/>
        </w:rPr>
      </w:pPr>
      <w:r>
        <w:rPr>
          <w:rFonts w:hint="default" w:ascii="Times New Roman" w:hAnsi="Times New Roman" w:cs="Times New Roman"/>
          <w:bCs/>
          <w:sz w:val="21"/>
          <w:szCs w:val="21"/>
        </w:rPr>
        <w:t>控温误差：±20℃;</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3.1.6</w:t>
      </w:r>
      <w:r>
        <w:rPr>
          <w:rFonts w:hint="default" w:ascii="Times New Roman" w:hAnsi="Times New Roman" w:cs="Times New Roman"/>
          <w:bCs/>
          <w:sz w:val="21"/>
          <w:szCs w:val="21"/>
        </w:rPr>
        <w:t>输入电压：380V；</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3.1.7</w:t>
      </w:r>
      <w:r>
        <w:rPr>
          <w:rFonts w:hint="default" w:ascii="Times New Roman" w:hAnsi="Times New Roman" w:cs="Times New Roman"/>
          <w:bCs/>
          <w:sz w:val="21"/>
          <w:szCs w:val="21"/>
        </w:rPr>
        <w:t>焙烧炉功率：最大15KW；</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3.1.8</w:t>
      </w:r>
      <w:r>
        <w:rPr>
          <w:rFonts w:hint="default" w:ascii="Times New Roman" w:hAnsi="Times New Roman" w:cs="Times New Roman"/>
          <w:bCs/>
          <w:sz w:val="21"/>
          <w:szCs w:val="21"/>
        </w:rPr>
        <w:t>炉体材质：与物料接触部分为310S，浇注耐1300℃、耐二氧化硫（三氧化硫）腐蚀浇注料，圆形炉膛；</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3.1.9</w:t>
      </w:r>
      <w:r>
        <w:rPr>
          <w:rFonts w:hint="default" w:ascii="Times New Roman" w:hAnsi="Times New Roman" w:cs="Times New Roman"/>
          <w:bCs/>
          <w:sz w:val="21"/>
          <w:szCs w:val="21"/>
        </w:rPr>
        <w:t>沸腾层高度：即炉内排渣溢流堰离风帽的高度：大于500mm。</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3.1.10</w:t>
      </w:r>
      <w:r>
        <w:rPr>
          <w:rFonts w:hint="default" w:ascii="Times New Roman" w:hAnsi="Times New Roman" w:cs="Times New Roman"/>
          <w:bCs/>
          <w:sz w:val="21"/>
          <w:szCs w:val="21"/>
        </w:rPr>
        <w:t>加热方式：电加热；</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3.1.11</w:t>
      </w:r>
      <w:r>
        <w:rPr>
          <w:rFonts w:hint="default" w:ascii="Times New Roman" w:hAnsi="Times New Roman" w:cs="Times New Roman"/>
          <w:bCs/>
          <w:sz w:val="21"/>
          <w:szCs w:val="21"/>
        </w:rPr>
        <w:t>焙烧炉鼓风机功率：0.75KW，功率可调，可在20~60m³/小时范围内调节不同风量；</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3.1.12</w:t>
      </w:r>
      <w:r>
        <w:rPr>
          <w:rFonts w:hint="default" w:ascii="Times New Roman" w:hAnsi="Times New Roman" w:cs="Times New Roman"/>
          <w:bCs/>
          <w:sz w:val="21"/>
          <w:szCs w:val="21"/>
        </w:rPr>
        <w:t>焙烧炉引风机功率：0.75KW，功率可调；可在10~60m³范围内调节不同风量；</w:t>
      </w:r>
    </w:p>
    <w:p>
      <w:pPr>
        <w:numPr>
          <w:ilvl w:val="0"/>
          <w:numId w:val="0"/>
        </w:numPr>
        <w:spacing w:line="360" w:lineRule="auto"/>
        <w:ind w:left="420" w:leftChars="0"/>
        <w:rPr>
          <w:rFonts w:hint="default" w:ascii="Times New Roman" w:hAnsi="Times New Roman" w:cs="Times New Roman"/>
          <w:sz w:val="21"/>
          <w:szCs w:val="21"/>
        </w:rPr>
      </w:pPr>
      <w:r>
        <w:rPr>
          <w:rFonts w:hint="default" w:ascii="Times New Roman" w:hAnsi="Times New Roman" w:cs="Times New Roman"/>
          <w:bCs/>
          <w:sz w:val="21"/>
          <w:szCs w:val="21"/>
          <w:lang w:val="en-US" w:eastAsia="zh-CN"/>
        </w:rPr>
        <w:t>3.1.13</w:t>
      </w:r>
      <w:r>
        <w:rPr>
          <w:rFonts w:hint="default" w:ascii="Times New Roman" w:hAnsi="Times New Roman" w:cs="Times New Roman"/>
          <w:bCs/>
          <w:sz w:val="21"/>
          <w:szCs w:val="21"/>
        </w:rPr>
        <w:t>观察孔：焙烧炉带：耐高温铸铁材质；100mmX150mm：炉门观察孔</w:t>
      </w:r>
      <w:r>
        <w:rPr>
          <w:rFonts w:hint="default" w:ascii="Times New Roman" w:hAnsi="Times New Roman" w:cs="Times New Roman"/>
          <w:bCs/>
          <w:sz w:val="21"/>
          <w:szCs w:val="21"/>
          <w:lang w:eastAsia="zh-CN"/>
        </w:rPr>
        <w:t>：</w:t>
      </w:r>
      <w:r>
        <w:rPr>
          <w:rFonts w:hint="default" w:ascii="Times New Roman" w:hAnsi="Times New Roman" w:cs="Times New Roman"/>
          <w:bCs/>
          <w:sz w:val="21"/>
          <w:szCs w:val="21"/>
        </w:rPr>
        <w:t>1个φ50</w:t>
      </w:r>
      <w:r>
        <w:rPr>
          <w:rFonts w:hint="default" w:ascii="Times New Roman" w:hAnsi="Times New Roman" w:cs="Times New Roman"/>
          <w:bCs/>
          <w:sz w:val="21"/>
          <w:szCs w:val="21"/>
          <w:lang w:val="en-US" w:eastAsia="zh-CN"/>
        </w:rPr>
        <w:t>mm。</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3.1.14</w:t>
      </w:r>
      <w:r>
        <w:rPr>
          <w:rFonts w:hint="default" w:ascii="Times New Roman" w:hAnsi="Times New Roman" w:cs="Times New Roman"/>
          <w:bCs/>
          <w:sz w:val="21"/>
          <w:szCs w:val="21"/>
        </w:rPr>
        <w:t>出料温度：最高1300度；</w:t>
      </w:r>
    </w:p>
    <w:p>
      <w:pPr>
        <w:numPr>
          <w:ilvl w:val="0"/>
          <w:numId w:val="0"/>
        </w:numPr>
        <w:spacing w:line="360" w:lineRule="auto"/>
        <w:ind w:left="420" w:leftChars="0"/>
        <w:rPr>
          <w:rFonts w:hint="default" w:ascii="Times New Roman" w:hAnsi="Times New Roman" w:eastAsia="宋体" w:cs="Times New Roman"/>
          <w:sz w:val="21"/>
          <w:szCs w:val="21"/>
          <w:lang w:eastAsia="zh-CN"/>
        </w:rPr>
      </w:pPr>
      <w:r>
        <w:rPr>
          <w:rFonts w:hint="default" w:ascii="Times New Roman" w:hAnsi="Times New Roman" w:cs="Times New Roman"/>
          <w:bCs/>
          <w:sz w:val="21"/>
          <w:szCs w:val="21"/>
          <w:lang w:val="en-US" w:eastAsia="zh-CN"/>
        </w:rPr>
        <w:t>3.1.15</w:t>
      </w:r>
      <w:r>
        <w:rPr>
          <w:rFonts w:hint="default" w:ascii="Times New Roman" w:hAnsi="Times New Roman" w:cs="Times New Roman"/>
          <w:bCs/>
          <w:sz w:val="21"/>
          <w:szCs w:val="21"/>
        </w:rPr>
        <w:t>冷却方式：自然冷却</w:t>
      </w:r>
      <w:r>
        <w:rPr>
          <w:rFonts w:hint="default" w:ascii="Times New Roman" w:hAnsi="Times New Roman" w:cs="Times New Roman"/>
          <w:bCs/>
          <w:sz w:val="21"/>
          <w:szCs w:val="21"/>
          <w:lang w:eastAsia="zh-CN"/>
        </w:rPr>
        <w:t>。</w:t>
      </w:r>
    </w:p>
    <w:p>
      <w:pPr>
        <w:spacing w:line="360" w:lineRule="auto"/>
        <w:ind w:firstLine="105" w:firstLineChars="50"/>
        <w:rPr>
          <w:rFonts w:hint="default" w:ascii="Times New Roman" w:hAnsi="Times New Roman" w:cs="Times New Roman"/>
          <w:bCs/>
          <w:sz w:val="21"/>
          <w:szCs w:val="21"/>
        </w:rPr>
      </w:pPr>
      <w:r>
        <w:rPr>
          <w:rFonts w:hint="default" w:ascii="Times New Roman" w:hAnsi="Times New Roman" w:cs="Times New Roman"/>
          <w:bCs/>
          <w:sz w:val="21"/>
          <w:szCs w:val="21"/>
        </w:rPr>
        <w:t>3.2电气控制箱</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3.2.1</w:t>
      </w:r>
      <w:r>
        <w:rPr>
          <w:rFonts w:hint="default" w:ascii="Times New Roman" w:hAnsi="Times New Roman" w:cs="Times New Roman"/>
          <w:bCs/>
          <w:sz w:val="21"/>
          <w:szCs w:val="21"/>
        </w:rPr>
        <w:t>由智能程序仪表、可控硅执行器、电压表、电流表、调整电机仪表等主要部件组成；</w:t>
      </w:r>
    </w:p>
    <w:p>
      <w:pPr>
        <w:numPr>
          <w:ilvl w:val="0"/>
          <w:numId w:val="0"/>
        </w:numPr>
        <w:spacing w:line="360" w:lineRule="auto"/>
        <w:ind w:left="420" w:leftChars="0"/>
        <w:rPr>
          <w:rFonts w:hint="default" w:ascii="Times New Roman" w:hAnsi="Times New Roman" w:eastAsia="宋体" w:cs="Times New Roman"/>
          <w:sz w:val="21"/>
          <w:szCs w:val="21"/>
          <w:lang w:eastAsia="zh-CN"/>
        </w:rPr>
      </w:pPr>
      <w:r>
        <w:rPr>
          <w:rFonts w:hint="default" w:ascii="Times New Roman" w:hAnsi="Times New Roman" w:cs="Times New Roman"/>
          <w:bCs/>
          <w:sz w:val="21"/>
          <w:szCs w:val="21"/>
          <w:lang w:val="en-US" w:eastAsia="zh-CN"/>
        </w:rPr>
        <w:t>3.2.2</w:t>
      </w:r>
      <w:r>
        <w:rPr>
          <w:rFonts w:hint="default" w:ascii="Times New Roman" w:hAnsi="Times New Roman" w:cs="Times New Roman"/>
          <w:bCs/>
          <w:sz w:val="21"/>
          <w:szCs w:val="21"/>
        </w:rPr>
        <w:t>可控硅执行器：0-200A</w:t>
      </w:r>
      <w:r>
        <w:rPr>
          <w:rFonts w:hint="default" w:ascii="Times New Roman" w:hAnsi="Times New Roman" w:cs="Times New Roman"/>
          <w:bCs/>
          <w:sz w:val="21"/>
          <w:szCs w:val="21"/>
          <w:lang w:eastAsia="zh-CN"/>
        </w:rPr>
        <w:t>；</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3.2.3</w:t>
      </w:r>
      <w:r>
        <w:rPr>
          <w:rFonts w:hint="default" w:ascii="Times New Roman" w:hAnsi="Times New Roman" w:cs="Times New Roman"/>
          <w:bCs/>
          <w:sz w:val="21"/>
          <w:szCs w:val="21"/>
        </w:rPr>
        <w:t>电压表：0-90V；</w:t>
      </w:r>
    </w:p>
    <w:p>
      <w:pPr>
        <w:numPr>
          <w:ilvl w:val="0"/>
          <w:numId w:val="0"/>
        </w:numPr>
        <w:spacing w:line="360" w:lineRule="auto"/>
        <w:ind w:left="420" w:leftChars="0"/>
        <w:rPr>
          <w:rFonts w:hint="default" w:ascii="Times New Roman" w:hAnsi="Times New Roman" w:cs="Times New Roman"/>
          <w:bCs/>
          <w:sz w:val="21"/>
          <w:szCs w:val="21"/>
        </w:rPr>
      </w:pPr>
      <w:r>
        <w:rPr>
          <w:rFonts w:hint="default" w:ascii="Times New Roman" w:hAnsi="Times New Roman" w:cs="Times New Roman"/>
          <w:bCs/>
          <w:sz w:val="21"/>
          <w:szCs w:val="21"/>
          <w:lang w:val="en-US" w:eastAsia="zh-CN"/>
        </w:rPr>
        <w:t>3.2.4</w:t>
      </w:r>
      <w:r>
        <w:rPr>
          <w:rFonts w:hint="default" w:ascii="Times New Roman" w:hAnsi="Times New Roman" w:cs="Times New Roman"/>
          <w:bCs/>
          <w:sz w:val="21"/>
          <w:szCs w:val="21"/>
        </w:rPr>
        <w:t>电流表：0-160A；</w:t>
      </w:r>
    </w:p>
    <w:p>
      <w:pPr>
        <w:spacing w:line="360" w:lineRule="auto"/>
        <w:ind w:firstLine="105" w:firstLineChars="50"/>
        <w:rPr>
          <w:rFonts w:hint="default" w:ascii="Times New Roman" w:hAnsi="Times New Roman" w:cs="Times New Roman"/>
          <w:bCs/>
          <w:sz w:val="21"/>
          <w:szCs w:val="21"/>
        </w:rPr>
      </w:pPr>
      <w:r>
        <w:rPr>
          <w:rFonts w:hint="default" w:ascii="Times New Roman" w:hAnsi="Times New Roman" w:cs="Times New Roman"/>
          <w:bCs/>
          <w:sz w:val="21"/>
          <w:szCs w:val="21"/>
        </w:rPr>
        <w:t>3.3 焙烧尾气收集及处理装置</w:t>
      </w:r>
    </w:p>
    <w:p>
      <w:pPr>
        <w:numPr>
          <w:ilvl w:val="0"/>
          <w:numId w:val="0"/>
        </w:numPr>
        <w:spacing w:line="360" w:lineRule="auto"/>
        <w:ind w:left="420" w:leftChars="0"/>
        <w:rPr>
          <w:rFonts w:hint="default" w:ascii="Times New Roman" w:hAnsi="Times New Roman" w:cs="Times New Roman"/>
          <w:sz w:val="21"/>
          <w:szCs w:val="21"/>
        </w:rPr>
      </w:pPr>
      <w:r>
        <w:rPr>
          <w:rFonts w:hint="default" w:ascii="Times New Roman" w:hAnsi="Times New Roman" w:cs="Times New Roman"/>
          <w:bCs/>
          <w:sz w:val="21"/>
          <w:szCs w:val="21"/>
          <w:lang w:val="en-US" w:eastAsia="zh-CN"/>
        </w:rPr>
        <w:t>3.3.1</w:t>
      </w:r>
      <w:r>
        <w:rPr>
          <w:rFonts w:hint="default" w:ascii="Times New Roman" w:hAnsi="Times New Roman" w:cs="Times New Roman"/>
          <w:bCs/>
          <w:sz w:val="21"/>
          <w:szCs w:val="21"/>
        </w:rPr>
        <w:t>冷却集尘器：材质316L，耐温800℃；</w:t>
      </w:r>
    </w:p>
    <w:p>
      <w:pPr>
        <w:numPr>
          <w:ilvl w:val="0"/>
          <w:numId w:val="0"/>
        </w:numPr>
        <w:spacing w:line="360" w:lineRule="auto"/>
        <w:ind w:left="420" w:leftChars="0"/>
        <w:rPr>
          <w:rFonts w:hint="default" w:ascii="Times New Roman" w:hAnsi="Times New Roman" w:cs="Times New Roman"/>
          <w:sz w:val="21"/>
          <w:szCs w:val="21"/>
        </w:rPr>
      </w:pPr>
      <w:r>
        <w:rPr>
          <w:rFonts w:hint="default" w:ascii="Times New Roman" w:hAnsi="Times New Roman" w:cs="Times New Roman"/>
          <w:bCs/>
          <w:sz w:val="21"/>
          <w:szCs w:val="21"/>
          <w:lang w:val="en-US" w:eastAsia="zh-CN"/>
        </w:rPr>
        <w:t>3.3.2</w:t>
      </w:r>
      <w:r>
        <w:rPr>
          <w:rFonts w:hint="default" w:ascii="Times New Roman" w:hAnsi="Times New Roman" w:cs="Times New Roman"/>
          <w:bCs/>
          <w:sz w:val="21"/>
          <w:szCs w:val="21"/>
        </w:rPr>
        <w:t>旋风分离器：材质316L，去除粒径小于20μm的颗粒，分离效率99.9%，带密封收尘盒；</w:t>
      </w:r>
    </w:p>
    <w:p>
      <w:pPr>
        <w:numPr>
          <w:ilvl w:val="0"/>
          <w:numId w:val="0"/>
        </w:numPr>
        <w:spacing w:line="360" w:lineRule="auto"/>
        <w:ind w:left="420" w:leftChars="0"/>
        <w:rPr>
          <w:rFonts w:hint="default" w:ascii="Times New Roman" w:hAnsi="Times New Roman" w:cs="Times New Roman"/>
          <w:sz w:val="21"/>
          <w:szCs w:val="21"/>
        </w:rPr>
      </w:pPr>
      <w:r>
        <w:rPr>
          <w:rFonts w:hint="default" w:ascii="Times New Roman" w:hAnsi="Times New Roman" w:cs="Times New Roman"/>
          <w:bCs/>
          <w:sz w:val="21"/>
          <w:szCs w:val="21"/>
          <w:lang w:val="en-US" w:eastAsia="zh-CN"/>
        </w:rPr>
        <w:t>3.3.3</w:t>
      </w:r>
      <w:r>
        <w:rPr>
          <w:rFonts w:hint="default" w:ascii="Times New Roman" w:hAnsi="Times New Roman" w:cs="Times New Roman"/>
          <w:bCs/>
          <w:sz w:val="21"/>
          <w:szCs w:val="21"/>
        </w:rPr>
        <w:t>布袋除尘器：耐250°C温度；除尘面积20㎡；除尘效率99.9</w:t>
      </w:r>
      <w:r>
        <w:rPr>
          <w:rFonts w:hint="default" w:ascii="Times New Roman" w:hAnsi="Times New Roman" w:cs="Times New Roman"/>
          <w:bCs/>
          <w:sz w:val="21"/>
          <w:szCs w:val="21"/>
          <w:lang w:val="en-US" w:eastAsia="zh-CN"/>
        </w:rPr>
        <w:t>%</w:t>
      </w:r>
      <w:r>
        <w:rPr>
          <w:rFonts w:hint="default" w:ascii="Times New Roman" w:hAnsi="Times New Roman" w:cs="Times New Roman"/>
          <w:bCs/>
          <w:sz w:val="21"/>
          <w:szCs w:val="21"/>
        </w:rPr>
        <w:t>；带密封收尘盒</w:t>
      </w:r>
    </w:p>
    <w:p>
      <w:pPr>
        <w:numPr>
          <w:ilvl w:val="0"/>
          <w:numId w:val="0"/>
        </w:numPr>
        <w:spacing w:line="360" w:lineRule="auto"/>
        <w:ind w:left="420" w:leftChars="0"/>
        <w:rPr>
          <w:rFonts w:hint="default" w:ascii="Times New Roman" w:hAnsi="Times New Roman" w:cs="Times New Roman"/>
          <w:sz w:val="21"/>
          <w:szCs w:val="21"/>
        </w:rPr>
      </w:pPr>
      <w:r>
        <w:rPr>
          <w:rFonts w:hint="default" w:ascii="Times New Roman" w:hAnsi="Times New Roman" w:cs="Times New Roman"/>
          <w:bCs/>
          <w:sz w:val="21"/>
          <w:szCs w:val="21"/>
          <w:lang w:val="en-US" w:eastAsia="zh-CN"/>
        </w:rPr>
        <w:t>3.3.4</w:t>
      </w:r>
      <w:r>
        <w:rPr>
          <w:rFonts w:hint="default" w:ascii="Times New Roman" w:hAnsi="Times New Roman" w:cs="Times New Roman"/>
          <w:bCs/>
          <w:sz w:val="21"/>
          <w:szCs w:val="21"/>
        </w:rPr>
        <w:t>焙烧尾气采用旋风分离降温、耐高温布袋除尘后，采用玻璃钢材质喷淋脱硫装置吸收，尾气达标排放</w:t>
      </w:r>
      <w:r>
        <w:rPr>
          <w:rFonts w:hint="default" w:ascii="Times New Roman" w:hAnsi="Times New Roman" w:cs="Times New Roman"/>
          <w:bCs/>
          <w:sz w:val="21"/>
          <w:szCs w:val="21"/>
          <w:lang w:eastAsia="zh-CN"/>
        </w:rPr>
        <w:t>，尾气排放符合《大气污染物综合排放标准》（</w:t>
      </w:r>
      <w:r>
        <w:rPr>
          <w:rFonts w:hint="default" w:ascii="Times New Roman" w:hAnsi="Times New Roman" w:cs="Times New Roman"/>
          <w:bCs/>
          <w:sz w:val="21"/>
          <w:szCs w:val="21"/>
          <w:lang w:val="en-US" w:eastAsia="zh-CN"/>
        </w:rPr>
        <w:t>GB16297-1996</w:t>
      </w:r>
      <w:r>
        <w:rPr>
          <w:rFonts w:hint="default" w:ascii="Times New Roman" w:hAnsi="Times New Roman" w:cs="Times New Roman"/>
          <w:bCs/>
          <w:sz w:val="21"/>
          <w:szCs w:val="21"/>
          <w:lang w:eastAsia="zh-CN"/>
        </w:rPr>
        <w:t>）。</w:t>
      </w:r>
    </w:p>
    <w:p>
      <w:pPr>
        <w:spacing w:before="120" w:after="120" w:line="360" w:lineRule="auto"/>
        <w:outlineLvl w:val="9"/>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sz w:val="21"/>
          <w:szCs w:val="21"/>
          <w:lang w:val="en-US" w:eastAsia="zh-CN" w:bidi="ar-SA"/>
        </w:rPr>
        <w:t xml:space="preserve">3.4标准 </w:t>
      </w:r>
      <w:r>
        <w:rPr>
          <w:rFonts w:hint="default" w:ascii="Times New Roman" w:hAnsi="Times New Roman" w:eastAsia="宋体" w:cs="Times New Roman"/>
          <w:b w:val="0"/>
          <w:bCs/>
          <w:kern w:val="2"/>
          <w:sz w:val="21"/>
          <w:szCs w:val="21"/>
          <w:highlight w:val="none"/>
          <w:lang w:val="en-US" w:eastAsia="zh-CN" w:bidi="ar-SA"/>
        </w:rPr>
        <w:t>：设备满足GB10066.1-88《电热设备的试验方法/通用部分》、GB10066.4-88《电热设备的试验方法/间接电阻炉》、GB10067.1-88《电热设备的基本技术条件/通用部分》、GB10067.4-88《电热设备的基本技术条件/间接电阻炉》、GB5959.1-88《电热设备的安全对电阻炉的通用要求》、GJB509A-95《热处理工艺质量控制要求》、JB/DQ5071-92《筑炉守则》、JB/Y7629-94《耐火纤维衬的设计和安装规范》；</w:t>
      </w:r>
    </w:p>
    <w:p>
      <w:pPr>
        <w:tabs>
          <w:tab w:val="left" w:pos="284"/>
        </w:tabs>
        <w:adjustRightInd/>
        <w:spacing w:line="360" w:lineRule="auto"/>
        <w:jc w:val="both"/>
        <w:textAlignment w:val="auto"/>
        <w:outlineLvl w:val="9"/>
        <w:rPr>
          <w:rFonts w:hint="default"/>
          <w:b/>
          <w:bCs/>
        </w:rPr>
      </w:pPr>
      <w:r>
        <w:rPr>
          <w:rFonts w:hint="default"/>
          <w:b/>
          <w:bCs/>
        </w:rPr>
        <w:t>4.供货范围</w:t>
      </w:r>
    </w:p>
    <w:p>
      <w:pPr>
        <w:snapToGrid w:val="0"/>
        <w:spacing w:line="360" w:lineRule="auto"/>
        <w:ind w:left="10" w:leftChars="0" w:firstLine="409" w:firstLineChars="195"/>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完整的、全新的、符合制造标准的、满足本招标技术附件各项条件及技术要求的</w:t>
      </w:r>
      <w:r>
        <w:rPr>
          <w:rFonts w:hint="default" w:ascii="Times New Roman" w:hAnsi="Times New Roman" w:cs="Times New Roman"/>
          <w:sz w:val="21"/>
          <w:szCs w:val="21"/>
          <w:highlight w:val="none"/>
          <w:lang w:eastAsia="zh-CN"/>
        </w:rPr>
        <w:t>沸腾焙烧炉</w:t>
      </w:r>
      <w:r>
        <w:rPr>
          <w:rFonts w:hint="default" w:ascii="Times New Roman" w:hAnsi="Times New Roman" w:cs="Times New Roman"/>
          <w:sz w:val="21"/>
          <w:szCs w:val="21"/>
          <w:highlight w:val="none"/>
          <w:lang w:val="en-US" w:eastAsia="zh-CN"/>
        </w:rPr>
        <w:t>系统1套</w:t>
      </w:r>
      <w:r>
        <w:rPr>
          <w:rFonts w:hint="default" w:ascii="Times New Roman" w:hAnsi="Times New Roman" w:cs="Times New Roman"/>
          <w:sz w:val="21"/>
          <w:szCs w:val="21"/>
          <w:highlight w:val="none"/>
        </w:rPr>
        <w:t>，以及安装调试所需用的全部材料和零件</w:t>
      </w:r>
      <w:r>
        <w:rPr>
          <w:rFonts w:hint="default" w:ascii="Times New Roman" w:hAnsi="Times New Roman" w:cs="Times New Roman"/>
          <w:sz w:val="21"/>
          <w:szCs w:val="21"/>
          <w:highlight w:val="none"/>
          <w:lang w:eastAsia="zh-CN"/>
        </w:rPr>
        <w:t>（</w:t>
      </w:r>
      <w:r>
        <w:rPr>
          <w:rFonts w:hint="default" w:ascii="Times New Roman" w:hAnsi="Times New Roman" w:cs="Times New Roman"/>
          <w:sz w:val="21"/>
          <w:szCs w:val="21"/>
          <w:highlight w:val="none"/>
          <w:lang w:val="en-US" w:eastAsia="zh-CN"/>
        </w:rPr>
        <w:t>包括但不限于此</w:t>
      </w:r>
      <w:r>
        <w:rPr>
          <w:rFonts w:hint="default" w:ascii="Times New Roman" w:hAnsi="Times New Roman" w:cs="Times New Roman"/>
          <w:sz w:val="21"/>
          <w:szCs w:val="21"/>
          <w:highlight w:val="none"/>
          <w:lang w:eastAsia="zh-CN"/>
        </w:rPr>
        <w:t>）</w:t>
      </w:r>
      <w:r>
        <w:rPr>
          <w:rFonts w:hint="default" w:ascii="Times New Roman" w:hAnsi="Times New Roman" w:cs="Times New Roman"/>
          <w:sz w:val="21"/>
          <w:szCs w:val="21"/>
          <w:highlight w:val="none"/>
        </w:rPr>
        <w:t>。</w:t>
      </w:r>
    </w:p>
    <w:tbl>
      <w:tblPr>
        <w:tblStyle w:val="16"/>
        <w:tblW w:w="8522" w:type="dxa"/>
        <w:jc w:val="center"/>
        <w:tblInd w:w="0" w:type="dxa"/>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
      <w:tblGrid>
        <w:gridCol w:w="731"/>
        <w:gridCol w:w="2309"/>
        <w:gridCol w:w="802"/>
        <w:gridCol w:w="845"/>
        <w:gridCol w:w="1885"/>
        <w:gridCol w:w="1950"/>
      </w:tblGrid>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83" w:hRule="atLeast"/>
          <w:tblHeader/>
          <w:jc w:val="center"/>
        </w:trPr>
        <w:tc>
          <w:tcPr>
            <w:tcW w:w="731"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2309"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设备(部件)名称及型号</w:t>
            </w:r>
          </w:p>
        </w:tc>
        <w:tc>
          <w:tcPr>
            <w:tcW w:w="802"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数量</w:t>
            </w:r>
          </w:p>
        </w:tc>
        <w:tc>
          <w:tcPr>
            <w:tcW w:w="845"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单位</w:t>
            </w:r>
          </w:p>
        </w:tc>
        <w:tc>
          <w:tcPr>
            <w:tcW w:w="1885"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产地或制造厂商</w:t>
            </w:r>
          </w:p>
        </w:tc>
        <w:tc>
          <w:tcPr>
            <w:tcW w:w="1950"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备注</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74" w:hRule="atLeast"/>
          <w:jc w:val="center"/>
        </w:trPr>
        <w:tc>
          <w:tcPr>
            <w:tcW w:w="731"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一</w:t>
            </w:r>
          </w:p>
        </w:tc>
        <w:tc>
          <w:tcPr>
            <w:tcW w:w="2309" w:type="dxa"/>
            <w:vAlign w:val="center"/>
          </w:tcPr>
          <w:p>
            <w:pPr>
              <w:spacing w:line="400" w:lineRule="exact"/>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zh-CN"/>
              </w:rPr>
              <w:t>沸腾焙烧炉系统</w:t>
            </w:r>
          </w:p>
        </w:tc>
        <w:tc>
          <w:tcPr>
            <w:tcW w:w="802"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845"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1885" w:type="dxa"/>
            <w:vAlign w:val="center"/>
          </w:tcPr>
          <w:p>
            <w:pPr>
              <w:spacing w:line="400" w:lineRule="exact"/>
              <w:jc w:val="center"/>
              <w:rPr>
                <w:rFonts w:hint="default" w:ascii="Times New Roman" w:hAnsi="Times New Roman" w:cs="Times New Roman"/>
                <w:sz w:val="21"/>
                <w:szCs w:val="21"/>
              </w:rPr>
            </w:pPr>
          </w:p>
        </w:tc>
        <w:tc>
          <w:tcPr>
            <w:tcW w:w="1950" w:type="dxa"/>
            <w:vAlign w:val="center"/>
          </w:tcPr>
          <w:p>
            <w:pPr>
              <w:snapToGrid w:val="0"/>
              <w:spacing w:line="400" w:lineRule="exact"/>
              <w:jc w:val="center"/>
              <w:rPr>
                <w:rFonts w:hint="default" w:ascii="Times New Roman" w:hAnsi="Times New Roman"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trHeight w:val="274" w:hRule="atLeast"/>
          <w:jc w:val="center"/>
        </w:trPr>
        <w:tc>
          <w:tcPr>
            <w:tcW w:w="731"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309" w:type="dxa"/>
            <w:vAlign w:val="center"/>
          </w:tcPr>
          <w:p>
            <w:pPr>
              <w:spacing w:line="400" w:lineRule="exact"/>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eastAsia="zh-CN"/>
              </w:rPr>
              <w:t>沸腾焙烧炉</w:t>
            </w:r>
          </w:p>
        </w:tc>
        <w:tc>
          <w:tcPr>
            <w:tcW w:w="802" w:type="dxa"/>
            <w:vAlign w:val="center"/>
          </w:tcPr>
          <w:p>
            <w:pPr>
              <w:snapToGrid w:val="0"/>
              <w:spacing w:line="40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w:t>
            </w:r>
          </w:p>
        </w:tc>
        <w:tc>
          <w:tcPr>
            <w:tcW w:w="845" w:type="dxa"/>
            <w:vAlign w:val="center"/>
          </w:tcPr>
          <w:p>
            <w:pPr>
              <w:snapToGrid w:val="0"/>
              <w:spacing w:line="400" w:lineRule="exact"/>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套</w:t>
            </w:r>
          </w:p>
        </w:tc>
        <w:tc>
          <w:tcPr>
            <w:tcW w:w="1885" w:type="dxa"/>
            <w:vAlign w:val="center"/>
          </w:tcPr>
          <w:p>
            <w:pPr>
              <w:spacing w:line="400" w:lineRule="exact"/>
              <w:jc w:val="center"/>
              <w:rPr>
                <w:rFonts w:hint="default" w:ascii="Times New Roman" w:hAnsi="Times New Roman" w:cs="Times New Roman"/>
                <w:sz w:val="21"/>
                <w:szCs w:val="21"/>
              </w:rPr>
            </w:pPr>
          </w:p>
        </w:tc>
        <w:tc>
          <w:tcPr>
            <w:tcW w:w="1950" w:type="dxa"/>
            <w:vAlign w:val="center"/>
          </w:tcPr>
          <w:p>
            <w:pPr>
              <w:snapToGrid w:val="0"/>
              <w:spacing w:line="400" w:lineRule="exact"/>
              <w:jc w:val="center"/>
              <w:rPr>
                <w:rFonts w:hint="default" w:ascii="Times New Roman" w:hAnsi="Times New Roman"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74" w:hRule="atLeast"/>
          <w:jc w:val="center"/>
        </w:trPr>
        <w:tc>
          <w:tcPr>
            <w:tcW w:w="731"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2309" w:type="dxa"/>
            <w:vAlign w:val="center"/>
          </w:tcPr>
          <w:p>
            <w:pPr>
              <w:spacing w:line="400" w:lineRule="exact"/>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eastAsia="zh-CN"/>
              </w:rPr>
              <w:t>电器控制箱</w:t>
            </w:r>
          </w:p>
        </w:tc>
        <w:tc>
          <w:tcPr>
            <w:tcW w:w="802" w:type="dxa"/>
            <w:vAlign w:val="center"/>
          </w:tcPr>
          <w:p>
            <w:pPr>
              <w:snapToGrid w:val="0"/>
              <w:spacing w:line="40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w:t>
            </w:r>
          </w:p>
        </w:tc>
        <w:tc>
          <w:tcPr>
            <w:tcW w:w="845" w:type="dxa"/>
            <w:vAlign w:val="center"/>
          </w:tcPr>
          <w:p>
            <w:pPr>
              <w:snapToGrid w:val="0"/>
              <w:spacing w:line="400" w:lineRule="exact"/>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套</w:t>
            </w:r>
          </w:p>
        </w:tc>
        <w:tc>
          <w:tcPr>
            <w:tcW w:w="1885" w:type="dxa"/>
            <w:vAlign w:val="center"/>
          </w:tcPr>
          <w:p>
            <w:pPr>
              <w:spacing w:line="400" w:lineRule="exact"/>
              <w:jc w:val="center"/>
              <w:rPr>
                <w:rFonts w:hint="default" w:ascii="Times New Roman" w:hAnsi="Times New Roman" w:cs="Times New Roman"/>
                <w:sz w:val="21"/>
                <w:szCs w:val="21"/>
              </w:rPr>
            </w:pPr>
          </w:p>
        </w:tc>
        <w:tc>
          <w:tcPr>
            <w:tcW w:w="1950" w:type="dxa"/>
            <w:vAlign w:val="center"/>
          </w:tcPr>
          <w:p>
            <w:pPr>
              <w:snapToGrid w:val="0"/>
              <w:spacing w:line="400" w:lineRule="exact"/>
              <w:jc w:val="center"/>
              <w:rPr>
                <w:rFonts w:hint="default" w:ascii="Times New Roman" w:hAnsi="Times New Roman"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74" w:hRule="atLeast"/>
          <w:jc w:val="center"/>
        </w:trPr>
        <w:tc>
          <w:tcPr>
            <w:tcW w:w="731" w:type="dxa"/>
            <w:vAlign w:val="center"/>
          </w:tcPr>
          <w:p>
            <w:pPr>
              <w:snapToGrid w:val="0"/>
              <w:spacing w:line="40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3</w:t>
            </w:r>
          </w:p>
        </w:tc>
        <w:tc>
          <w:tcPr>
            <w:tcW w:w="2309" w:type="dxa"/>
            <w:vAlign w:val="center"/>
          </w:tcPr>
          <w:p>
            <w:pPr>
              <w:spacing w:line="400" w:lineRule="exact"/>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尾气收集及处理装置</w:t>
            </w:r>
          </w:p>
        </w:tc>
        <w:tc>
          <w:tcPr>
            <w:tcW w:w="802" w:type="dxa"/>
            <w:vAlign w:val="center"/>
          </w:tcPr>
          <w:p>
            <w:pPr>
              <w:snapToGrid w:val="0"/>
              <w:spacing w:line="40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p>
        </w:tc>
        <w:tc>
          <w:tcPr>
            <w:tcW w:w="845"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1885" w:type="dxa"/>
            <w:vAlign w:val="center"/>
          </w:tcPr>
          <w:p>
            <w:pPr>
              <w:spacing w:line="400" w:lineRule="exact"/>
              <w:jc w:val="center"/>
              <w:rPr>
                <w:rFonts w:hint="default" w:ascii="Times New Roman" w:hAnsi="Times New Roman" w:cs="Times New Roman"/>
                <w:sz w:val="21"/>
                <w:szCs w:val="21"/>
              </w:rPr>
            </w:pPr>
          </w:p>
        </w:tc>
        <w:tc>
          <w:tcPr>
            <w:tcW w:w="1950" w:type="dxa"/>
            <w:vAlign w:val="center"/>
          </w:tcPr>
          <w:p>
            <w:pPr>
              <w:snapToGrid w:val="0"/>
              <w:spacing w:line="400" w:lineRule="exact"/>
              <w:jc w:val="center"/>
              <w:rPr>
                <w:rFonts w:hint="default" w:ascii="Times New Roman" w:hAnsi="Times New Roman" w:cs="Times New Roman"/>
                <w:sz w:val="21"/>
                <w:szCs w:val="21"/>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74" w:hRule="atLeast"/>
          <w:jc w:val="center"/>
        </w:trPr>
        <w:tc>
          <w:tcPr>
            <w:tcW w:w="731" w:type="dxa"/>
            <w:vAlign w:val="center"/>
          </w:tcPr>
          <w:p>
            <w:pPr>
              <w:snapToGrid w:val="0"/>
              <w:spacing w:line="400" w:lineRule="exact"/>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4</w:t>
            </w:r>
          </w:p>
        </w:tc>
        <w:tc>
          <w:tcPr>
            <w:tcW w:w="2309" w:type="dxa"/>
            <w:vAlign w:val="center"/>
          </w:tcPr>
          <w:p>
            <w:pPr>
              <w:pageBreakBefore w:val="0"/>
              <w:widowControl w:val="0"/>
              <w:kinsoku/>
              <w:wordWrap/>
              <w:overflowPunct/>
              <w:topLinePunct w:val="0"/>
              <w:bidi w:val="0"/>
              <w:spacing w:line="400" w:lineRule="exact"/>
              <w:ind w:right="0" w:rightChars="0"/>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其他</w:t>
            </w:r>
          </w:p>
        </w:tc>
        <w:tc>
          <w:tcPr>
            <w:tcW w:w="802" w:type="dxa"/>
            <w:vAlign w:val="center"/>
          </w:tcPr>
          <w:p>
            <w:pPr>
              <w:pageBreakBefore w:val="0"/>
              <w:widowControl w:val="0"/>
              <w:kinsoku/>
              <w:wordWrap/>
              <w:overflowPunct/>
              <w:topLinePunct w:val="0"/>
              <w:bidi w:val="0"/>
              <w:snapToGrid/>
              <w:spacing w:line="400" w:lineRule="exact"/>
              <w:ind w:right="0" w:right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1</w:t>
            </w:r>
          </w:p>
        </w:tc>
        <w:tc>
          <w:tcPr>
            <w:tcW w:w="845" w:type="dxa"/>
            <w:vAlign w:val="center"/>
          </w:tcPr>
          <w:p>
            <w:pPr>
              <w:pageBreakBefore w:val="0"/>
              <w:widowControl w:val="0"/>
              <w:kinsoku/>
              <w:wordWrap/>
              <w:overflowPunct/>
              <w:topLinePunct w:val="0"/>
              <w:bidi w:val="0"/>
              <w:snapToGrid/>
              <w:spacing w:line="400" w:lineRule="exact"/>
              <w:ind w:right="0" w:right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套</w:t>
            </w:r>
          </w:p>
        </w:tc>
        <w:tc>
          <w:tcPr>
            <w:tcW w:w="1885" w:type="dxa"/>
            <w:vAlign w:val="center"/>
          </w:tcPr>
          <w:p>
            <w:pPr>
              <w:spacing w:line="400" w:lineRule="exact"/>
              <w:jc w:val="center"/>
              <w:rPr>
                <w:rFonts w:hint="default" w:ascii="Times New Roman" w:hAnsi="Times New Roman" w:cs="Times New Roman"/>
                <w:sz w:val="21"/>
                <w:szCs w:val="21"/>
              </w:rPr>
            </w:pPr>
          </w:p>
        </w:tc>
        <w:tc>
          <w:tcPr>
            <w:tcW w:w="1950" w:type="dxa"/>
            <w:vAlign w:val="center"/>
          </w:tcPr>
          <w:p>
            <w:pPr>
              <w:snapToGrid w:val="0"/>
              <w:spacing w:line="400" w:lineRule="exact"/>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于买受方疏漏未列入供货范围，</w:t>
            </w:r>
            <w:r>
              <w:rPr>
                <w:rFonts w:hint="default" w:ascii="Times New Roman" w:hAnsi="Times New Roman" w:cs="Times New Roman"/>
                <w:sz w:val="21"/>
                <w:szCs w:val="21"/>
                <w:lang w:val="en-US" w:eastAsia="zh-CN"/>
              </w:rPr>
              <w:t>设备正常运行必须的</w:t>
            </w:r>
            <w:r>
              <w:rPr>
                <w:rFonts w:hint="default" w:ascii="Times New Roman" w:hAnsi="Times New Roman" w:cs="Times New Roman"/>
                <w:sz w:val="21"/>
                <w:szCs w:val="21"/>
                <w:lang w:eastAsia="zh-CN"/>
              </w:rPr>
              <w:t>相关材料及元器件</w:t>
            </w:r>
          </w:p>
        </w:tc>
      </w:tr>
    </w:tbl>
    <w:p>
      <w:pPr>
        <w:tabs>
          <w:tab w:val="left" w:pos="284"/>
        </w:tabs>
        <w:adjustRightInd w:val="0"/>
        <w:spacing w:line="360" w:lineRule="auto"/>
        <w:jc w:val="left"/>
        <w:textAlignment w:val="baseline"/>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5.技术资料</w:t>
      </w:r>
    </w:p>
    <w:p>
      <w:pPr>
        <w:tabs>
          <w:tab w:val="left" w:pos="945"/>
        </w:tabs>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5.1投标方必须提供下表所列技术资料(但不限于此)，并按下表要求时间交货。</w:t>
      </w:r>
    </w:p>
    <w:tbl>
      <w:tblPr>
        <w:tblStyle w:val="16"/>
        <w:tblW w:w="86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043"/>
        <w:gridCol w:w="1305"/>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745"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序号</w:t>
            </w:r>
          </w:p>
        </w:tc>
        <w:tc>
          <w:tcPr>
            <w:tcW w:w="4043"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名称</w:t>
            </w:r>
          </w:p>
        </w:tc>
        <w:tc>
          <w:tcPr>
            <w:tcW w:w="1305"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数量</w:t>
            </w:r>
          </w:p>
        </w:tc>
        <w:tc>
          <w:tcPr>
            <w:tcW w:w="2507"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745"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1</w:t>
            </w:r>
          </w:p>
        </w:tc>
        <w:tc>
          <w:tcPr>
            <w:tcW w:w="4043" w:type="dxa"/>
            <w:vAlign w:val="center"/>
          </w:tcPr>
          <w:p>
            <w:pPr>
              <w:spacing w:line="360" w:lineRule="auto"/>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lang w:val="en-US" w:eastAsia="zh-CN"/>
              </w:rPr>
              <w:t>产品</w:t>
            </w:r>
            <w:r>
              <w:rPr>
                <w:rFonts w:hint="default" w:ascii="Times New Roman" w:hAnsi="Times New Roman" w:cs="Times New Roman"/>
                <w:bCs/>
                <w:sz w:val="21"/>
                <w:szCs w:val="21"/>
                <w:highlight w:val="none"/>
              </w:rPr>
              <w:t>使用说明书</w:t>
            </w:r>
          </w:p>
        </w:tc>
        <w:tc>
          <w:tcPr>
            <w:tcW w:w="1305" w:type="dxa"/>
            <w:vAlign w:val="center"/>
          </w:tcPr>
          <w:p>
            <w:pPr>
              <w:spacing w:line="360" w:lineRule="auto"/>
              <w:jc w:val="center"/>
              <w:rPr>
                <w:rFonts w:hint="default" w:ascii="Times New Roman" w:hAnsi="Times New Roman" w:cs="Times New Roman"/>
                <w:bCs/>
                <w:sz w:val="21"/>
                <w:szCs w:val="21"/>
                <w:highlight w:val="none"/>
                <w:lang w:val="en-US" w:eastAsia="zh-CN"/>
              </w:rPr>
            </w:pPr>
            <w:r>
              <w:rPr>
                <w:rFonts w:hint="default" w:ascii="Times New Roman" w:hAnsi="Times New Roman" w:cs="Times New Roman"/>
                <w:bCs/>
                <w:sz w:val="21"/>
                <w:szCs w:val="21"/>
                <w:highlight w:val="none"/>
                <w:lang w:val="en-US" w:eastAsia="zh-CN"/>
              </w:rPr>
              <w:t>各一份</w:t>
            </w:r>
          </w:p>
        </w:tc>
        <w:tc>
          <w:tcPr>
            <w:tcW w:w="2507" w:type="dxa"/>
            <w:vAlign w:val="center"/>
          </w:tcPr>
          <w:p>
            <w:pPr>
              <w:spacing w:line="360" w:lineRule="auto"/>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lang w:val="en-US" w:eastAsia="zh-CN"/>
              </w:rPr>
              <w:t>与设备同时交付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45" w:type="dxa"/>
            <w:vAlign w:val="center"/>
          </w:tcPr>
          <w:p>
            <w:pPr>
              <w:spacing w:line="360" w:lineRule="auto"/>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2</w:t>
            </w:r>
          </w:p>
        </w:tc>
        <w:tc>
          <w:tcPr>
            <w:tcW w:w="4043" w:type="dxa"/>
            <w:vAlign w:val="center"/>
          </w:tcPr>
          <w:p>
            <w:pPr>
              <w:spacing w:line="360" w:lineRule="auto"/>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lang w:val="en-US" w:eastAsia="zh-CN"/>
              </w:rPr>
              <w:t>产品合格证</w:t>
            </w:r>
          </w:p>
        </w:tc>
        <w:tc>
          <w:tcPr>
            <w:tcW w:w="1305" w:type="dxa"/>
            <w:vAlign w:val="center"/>
          </w:tcPr>
          <w:p>
            <w:pPr>
              <w:spacing w:line="360" w:lineRule="auto"/>
              <w:jc w:val="center"/>
              <w:rPr>
                <w:rFonts w:hint="default" w:ascii="Times New Roman" w:hAnsi="Times New Roman" w:cs="Times New Roman"/>
                <w:bCs/>
                <w:sz w:val="21"/>
                <w:szCs w:val="21"/>
                <w:highlight w:val="none"/>
                <w:lang w:val="en-US" w:eastAsia="zh-CN"/>
              </w:rPr>
            </w:pPr>
            <w:r>
              <w:rPr>
                <w:rFonts w:hint="default" w:ascii="Times New Roman" w:hAnsi="Times New Roman" w:cs="Times New Roman"/>
                <w:bCs/>
                <w:sz w:val="21"/>
                <w:szCs w:val="21"/>
                <w:highlight w:val="none"/>
                <w:lang w:val="en-US" w:eastAsia="zh-CN"/>
              </w:rPr>
              <w:t>各一份</w:t>
            </w:r>
          </w:p>
        </w:tc>
        <w:tc>
          <w:tcPr>
            <w:tcW w:w="2507" w:type="dxa"/>
            <w:vAlign w:val="center"/>
          </w:tcPr>
          <w:p>
            <w:pPr>
              <w:spacing w:line="360" w:lineRule="auto"/>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lang w:val="en-US" w:eastAsia="zh-CN"/>
              </w:rPr>
              <w:t>与设备同时交付</w:t>
            </w:r>
          </w:p>
        </w:tc>
      </w:tr>
    </w:tbl>
    <w:p>
      <w:pPr>
        <w:tabs>
          <w:tab w:val="left" w:pos="945"/>
        </w:tabs>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 xml:space="preserve">5.2 </w:t>
      </w:r>
      <w:r>
        <w:rPr>
          <w:rFonts w:hint="default" w:ascii="Times New Roman" w:hAnsi="Times New Roman" w:cs="Times New Roman"/>
          <w:bCs/>
          <w:sz w:val="21"/>
          <w:szCs w:val="21"/>
          <w:highlight w:val="none"/>
        </w:rPr>
        <w:t>投标人必须交付全新的、完整的、与提供设备相符的、招标方认可的技术资料。对于缺失损坏、不符合要求的技术资料，投标方在</w:t>
      </w:r>
      <w:r>
        <w:rPr>
          <w:rFonts w:hint="default" w:ascii="Times New Roman" w:hAnsi="Times New Roman" w:cs="Times New Roman"/>
          <w:bCs/>
          <w:sz w:val="21"/>
          <w:szCs w:val="21"/>
          <w:highlight w:val="none"/>
          <w:u w:val="single"/>
        </w:rPr>
        <w:t xml:space="preserve"> </w:t>
      </w:r>
      <w:r>
        <w:rPr>
          <w:rFonts w:hint="default" w:ascii="Times New Roman" w:hAnsi="Times New Roman" w:cs="Times New Roman"/>
          <w:bCs/>
          <w:sz w:val="21"/>
          <w:szCs w:val="21"/>
          <w:highlight w:val="none"/>
          <w:u w:val="single"/>
          <w:lang w:val="en-US" w:eastAsia="zh-CN"/>
        </w:rPr>
        <w:t xml:space="preserve"> 5 </w:t>
      </w:r>
      <w:r>
        <w:rPr>
          <w:rFonts w:hint="default" w:ascii="Times New Roman" w:hAnsi="Times New Roman" w:cs="Times New Roman"/>
          <w:bCs/>
          <w:sz w:val="21"/>
          <w:szCs w:val="21"/>
          <w:highlight w:val="none"/>
          <w:u w:val="single"/>
        </w:rPr>
        <w:t xml:space="preserve"> </w:t>
      </w:r>
      <w:r>
        <w:rPr>
          <w:rFonts w:hint="default" w:ascii="Times New Roman" w:hAnsi="Times New Roman" w:cs="Times New Roman"/>
          <w:bCs/>
          <w:sz w:val="21"/>
          <w:szCs w:val="21"/>
          <w:highlight w:val="none"/>
        </w:rPr>
        <w:t>日内，补齐、更换。</w:t>
      </w:r>
    </w:p>
    <w:p>
      <w:pPr>
        <w:tabs>
          <w:tab w:val="left" w:pos="945"/>
        </w:tabs>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5.</w:t>
      </w:r>
      <w:r>
        <w:rPr>
          <w:rFonts w:hint="default" w:ascii="Times New Roman" w:hAnsi="Times New Roman" w:cs="Times New Roman"/>
          <w:sz w:val="21"/>
          <w:szCs w:val="21"/>
          <w:highlight w:val="none"/>
          <w:lang w:val="en-US" w:eastAsia="zh-CN"/>
        </w:rPr>
        <w:t>3仪器设备如有</w:t>
      </w:r>
      <w:r>
        <w:rPr>
          <w:rFonts w:hint="default" w:ascii="Times New Roman" w:hAnsi="Times New Roman" w:cs="Times New Roman"/>
          <w:bCs/>
          <w:sz w:val="21"/>
          <w:szCs w:val="21"/>
          <w:highlight w:val="none"/>
        </w:rPr>
        <w:t>采用外购</w:t>
      </w:r>
      <w:r>
        <w:rPr>
          <w:rFonts w:hint="default" w:ascii="Times New Roman" w:hAnsi="Times New Roman" w:cs="Times New Roman"/>
          <w:bCs/>
          <w:sz w:val="21"/>
          <w:szCs w:val="21"/>
          <w:highlight w:val="none"/>
          <w:lang w:eastAsia="zh-CN"/>
        </w:rPr>
        <w:t>或</w:t>
      </w:r>
      <w:r>
        <w:rPr>
          <w:rFonts w:hint="default" w:ascii="Times New Roman" w:hAnsi="Times New Roman" w:cs="Times New Roman"/>
          <w:bCs/>
          <w:sz w:val="21"/>
          <w:szCs w:val="21"/>
          <w:highlight w:val="none"/>
        </w:rPr>
        <w:t>外协件</w:t>
      </w:r>
      <w:r>
        <w:rPr>
          <w:rFonts w:hint="default" w:ascii="Times New Roman" w:hAnsi="Times New Roman" w:cs="Times New Roman"/>
          <w:bCs/>
          <w:sz w:val="21"/>
          <w:szCs w:val="21"/>
          <w:highlight w:val="none"/>
          <w:lang w:eastAsia="zh-CN"/>
        </w:rPr>
        <w:t>，</w:t>
      </w:r>
      <w:r>
        <w:rPr>
          <w:rFonts w:hint="default" w:ascii="Times New Roman" w:hAnsi="Times New Roman" w:cs="Times New Roman"/>
          <w:bCs/>
          <w:sz w:val="21"/>
          <w:szCs w:val="21"/>
          <w:highlight w:val="none"/>
        </w:rPr>
        <w:t>应提供原产地证明</w:t>
      </w:r>
      <w:r>
        <w:rPr>
          <w:rFonts w:hint="default" w:ascii="Times New Roman" w:hAnsi="Times New Roman" w:cs="Times New Roman"/>
          <w:bCs/>
          <w:sz w:val="21"/>
          <w:szCs w:val="21"/>
          <w:highlight w:val="none"/>
          <w:lang w:eastAsia="zh-CN"/>
        </w:rPr>
        <w:t>或</w:t>
      </w:r>
      <w:r>
        <w:rPr>
          <w:rFonts w:hint="default" w:ascii="Times New Roman" w:hAnsi="Times New Roman" w:cs="Times New Roman"/>
          <w:bCs/>
          <w:sz w:val="21"/>
          <w:szCs w:val="21"/>
          <w:highlight w:val="none"/>
        </w:rPr>
        <w:t>检验合格证书。</w:t>
      </w:r>
    </w:p>
    <w:p>
      <w:pPr>
        <w:tabs>
          <w:tab w:val="left" w:pos="284"/>
        </w:tabs>
        <w:adjustRightInd w:val="0"/>
        <w:spacing w:line="360" w:lineRule="auto"/>
        <w:jc w:val="left"/>
        <w:textAlignment w:val="baseline"/>
        <w:outlineLvl w:val="9"/>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6.技术服务及培训</w:t>
      </w:r>
    </w:p>
    <w:p>
      <w:pPr>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6.1技术服务</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在</w:t>
      </w:r>
      <w:r>
        <w:rPr>
          <w:rFonts w:hint="default" w:ascii="Times New Roman" w:hAnsi="Times New Roman" w:cs="Times New Roman"/>
          <w:sz w:val="21"/>
          <w:szCs w:val="21"/>
          <w:highlight w:val="none"/>
          <w:lang w:eastAsia="zh-CN"/>
        </w:rPr>
        <w:t>设备安</w:t>
      </w:r>
      <w:r>
        <w:rPr>
          <w:rFonts w:hint="default" w:ascii="Times New Roman" w:hAnsi="Times New Roman" w:cs="Times New Roman"/>
          <w:sz w:val="21"/>
          <w:szCs w:val="21"/>
          <w:highlight w:val="none"/>
        </w:rPr>
        <w:t>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w:t>
      </w:r>
      <w:r>
        <w:rPr>
          <w:rFonts w:hint="default" w:ascii="Times New Roman" w:hAnsi="Times New Roman" w:cs="Times New Roman"/>
          <w:sz w:val="21"/>
          <w:szCs w:val="21"/>
          <w:highlight w:val="none"/>
          <w:lang w:eastAsia="zh-CN"/>
        </w:rPr>
        <w:t>仪器</w:t>
      </w:r>
      <w:r>
        <w:rPr>
          <w:rFonts w:hint="default" w:ascii="Times New Roman" w:hAnsi="Times New Roman" w:cs="Times New Roman"/>
          <w:sz w:val="21"/>
          <w:szCs w:val="21"/>
          <w:highlight w:val="none"/>
        </w:rPr>
        <w:t>能顺利投入使用。</w:t>
      </w:r>
    </w:p>
    <w:p>
      <w:pPr>
        <w:spacing w:line="360" w:lineRule="auto"/>
        <w:outlineLvl w:val="9"/>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6.2技术培训</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设备到货后，投标方要派遣培训专家到招标方现场，为招标方操作人员</w:t>
      </w:r>
      <w:r>
        <w:rPr>
          <w:rFonts w:hint="default" w:ascii="Times New Roman" w:hAnsi="Times New Roman" w:cs="Times New Roman"/>
          <w:sz w:val="21"/>
          <w:szCs w:val="21"/>
          <w:highlight w:val="none"/>
          <w:lang w:eastAsia="zh-CN"/>
        </w:rPr>
        <w:t>进行基础操作培训</w:t>
      </w:r>
      <w:r>
        <w:rPr>
          <w:rFonts w:hint="default" w:ascii="Times New Roman" w:hAnsi="Times New Roman" w:cs="Times New Roman"/>
          <w:sz w:val="21"/>
          <w:szCs w:val="21"/>
          <w:highlight w:val="none"/>
        </w:rPr>
        <w:t>。</w:t>
      </w:r>
    </w:p>
    <w:p>
      <w:pPr>
        <w:tabs>
          <w:tab w:val="left" w:pos="284"/>
        </w:tabs>
        <w:adjustRightInd w:val="0"/>
        <w:spacing w:line="360" w:lineRule="auto"/>
        <w:jc w:val="left"/>
        <w:textAlignment w:val="baseline"/>
        <w:outlineLvl w:val="9"/>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7.安装调试、性能测试及考核验收</w:t>
      </w:r>
    </w:p>
    <w:p>
      <w:pPr>
        <w:snapToGrid w:val="0"/>
        <w:spacing w:line="360" w:lineRule="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7.1 安装调试</w:t>
      </w:r>
    </w:p>
    <w:p>
      <w:pPr>
        <w:snapToGrid w:val="0"/>
        <w:spacing w:line="360" w:lineRule="auto"/>
        <w:ind w:firstLine="420" w:firstLineChars="200"/>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设备到货后，将进行设备的安装调试工作。设备安装将在投标方技术服务人员的指导下由招标方完成。设备调试由投标方技术服务人员负责完成，招标方人员协助。在安装调试过程中，如发现缺件、损件等问题由投标方负责。</w:t>
      </w:r>
    </w:p>
    <w:p>
      <w:pPr>
        <w:snapToGrid w:val="0"/>
        <w:spacing w:line="360" w:lineRule="auto"/>
        <w:rPr>
          <w:rFonts w:hint="default" w:ascii="Times New Roman" w:hAnsi="Times New Roman" w:cs="Times New Roman"/>
          <w:sz w:val="21"/>
          <w:szCs w:val="21"/>
          <w:highlight w:val="none"/>
        </w:rPr>
      </w:pPr>
      <w:r>
        <w:rPr>
          <w:rFonts w:hint="default" w:ascii="Times New Roman" w:hAnsi="Times New Roman" w:cs="Times New Roman"/>
          <w:color w:val="000000"/>
          <w:sz w:val="21"/>
          <w:szCs w:val="21"/>
          <w:highlight w:val="none"/>
        </w:rPr>
        <w:t xml:space="preserve">7.2 </w:t>
      </w:r>
      <w:r>
        <w:rPr>
          <w:rFonts w:hint="default" w:ascii="Times New Roman" w:hAnsi="Times New Roman" w:cs="Times New Roman"/>
          <w:bCs/>
          <w:color w:val="000000"/>
          <w:sz w:val="21"/>
          <w:szCs w:val="21"/>
          <w:highlight w:val="none"/>
          <w:lang w:bidi="ar-SA"/>
        </w:rPr>
        <w:t>试运转将由招标方操作人员在投标方技术人员的密切具体指导下进行。试运转过程中，设备所出现的故障由投标方负责解决，招标方给予协助。</w:t>
      </w:r>
    </w:p>
    <w:p>
      <w:pPr>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7.3考核验收</w:t>
      </w:r>
    </w:p>
    <w:p>
      <w:pPr>
        <w:spacing w:line="360" w:lineRule="auto"/>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7.3.1</w:t>
      </w:r>
      <w:r>
        <w:rPr>
          <w:rFonts w:hint="default" w:ascii="Times New Roman" w:hAnsi="Times New Roman" w:cs="Times New Roman"/>
          <w:sz w:val="21"/>
          <w:szCs w:val="21"/>
          <w:highlight w:val="none"/>
          <w:lang w:eastAsia="zh-CN"/>
        </w:rPr>
        <w:t>考核要求：</w:t>
      </w:r>
      <w:r>
        <w:rPr>
          <w:rFonts w:hint="eastAsia" w:ascii="Times New Roman" w:hAnsi="Times New Roman" w:cs="Times New Roman"/>
          <w:sz w:val="21"/>
          <w:szCs w:val="21"/>
          <w:highlight w:val="none"/>
          <w:lang w:eastAsia="zh-CN"/>
        </w:rPr>
        <w:t>分别在</w:t>
      </w:r>
      <w:r>
        <w:rPr>
          <w:rFonts w:hint="default" w:ascii="Times New Roman" w:hAnsi="Times New Roman" w:cs="Times New Roman"/>
          <w:sz w:val="21"/>
          <w:szCs w:val="21"/>
          <w:highlight w:val="none"/>
          <w:lang w:val="en-US" w:eastAsia="zh-CN"/>
        </w:rPr>
        <w:t>300℃</w:t>
      </w:r>
      <w:r>
        <w:rPr>
          <w:rFonts w:hint="eastAsia" w:ascii="Times New Roman" w:hAnsi="Times New Roman" w:cs="Times New Roman"/>
          <w:sz w:val="21"/>
          <w:szCs w:val="21"/>
          <w:highlight w:val="none"/>
          <w:lang w:val="en-US" w:eastAsia="zh-CN"/>
        </w:rPr>
        <w:t>和</w:t>
      </w:r>
      <w:r>
        <w:rPr>
          <w:rFonts w:hint="default" w:ascii="Times New Roman" w:hAnsi="Times New Roman" w:cs="Times New Roman"/>
          <w:sz w:val="21"/>
          <w:szCs w:val="21"/>
          <w:highlight w:val="none"/>
          <w:lang w:val="en-US" w:eastAsia="zh-CN"/>
        </w:rPr>
        <w:t>900℃下，各进行2次</w:t>
      </w:r>
      <w:r>
        <w:rPr>
          <w:rFonts w:hint="default" w:ascii="Times New Roman" w:hAnsi="Times New Roman" w:cs="Times New Roman"/>
          <w:sz w:val="21"/>
          <w:szCs w:val="21"/>
          <w:highlight w:val="none"/>
        </w:rPr>
        <w:t>焙烧</w:t>
      </w:r>
      <w:r>
        <w:rPr>
          <w:rFonts w:hint="default" w:ascii="Times New Roman" w:hAnsi="Times New Roman" w:cs="Times New Roman"/>
          <w:sz w:val="21"/>
          <w:szCs w:val="21"/>
          <w:highlight w:val="none"/>
          <w:lang w:eastAsia="zh-CN"/>
        </w:rPr>
        <w:t>实验，每次连续工作</w:t>
      </w:r>
      <w:r>
        <w:rPr>
          <w:rFonts w:hint="default" w:ascii="Times New Roman" w:hAnsi="Times New Roman" w:cs="Times New Roman"/>
          <w:sz w:val="21"/>
          <w:szCs w:val="21"/>
          <w:highlight w:val="none"/>
          <w:lang w:val="en-US" w:eastAsia="zh-CN"/>
        </w:rPr>
        <w:t>1小时，无故障。</w:t>
      </w:r>
    </w:p>
    <w:p>
      <w:pPr>
        <w:spacing w:line="360" w:lineRule="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7.3.2</w:t>
      </w:r>
      <w:r>
        <w:rPr>
          <w:rFonts w:hint="default" w:ascii="Times New Roman" w:hAnsi="Times New Roman" w:cs="Times New Roman"/>
          <w:sz w:val="21"/>
          <w:szCs w:val="21"/>
          <w:highlight w:val="none"/>
        </w:rPr>
        <w:t>设备在上述考核合格后，招标方和投标方签署验收报告。</w:t>
      </w:r>
    </w:p>
    <w:p>
      <w:pPr>
        <w:tabs>
          <w:tab w:val="left" w:pos="284"/>
        </w:tabs>
        <w:adjustRightInd w:val="0"/>
        <w:spacing w:line="360" w:lineRule="auto"/>
        <w:jc w:val="left"/>
        <w:textAlignment w:val="baseline"/>
        <w:outlineLvl w:val="9"/>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8.质量保证</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质量保证期限为12个月。保证期限从该设备安装调试能力考核合格双方签字之日算起。质保期内</w:t>
      </w:r>
      <w:r>
        <w:rPr>
          <w:rFonts w:hint="default" w:ascii="Times New Roman" w:hAnsi="Times New Roman" w:cs="Times New Roman"/>
          <w:bCs/>
          <w:color w:val="000000"/>
          <w:sz w:val="21"/>
          <w:szCs w:val="21"/>
          <w:highlight w:val="none"/>
          <w:lang w:bidi="ar-SA"/>
        </w:rPr>
        <w:t>投标方</w:t>
      </w:r>
      <w:r>
        <w:rPr>
          <w:rFonts w:hint="default" w:ascii="Times New Roman" w:hAnsi="Times New Roman" w:cs="Times New Roman"/>
          <w:sz w:val="21"/>
          <w:szCs w:val="21"/>
          <w:highlight w:val="none"/>
        </w:rPr>
        <w:t>所供设备由于设备设计缺陷、制造质量、材料质量等原因引起的设备零部件损坏，投标方负责免费更换或维修。</w:t>
      </w:r>
    </w:p>
    <w:p>
      <w:pPr>
        <w:tabs>
          <w:tab w:val="left" w:pos="284"/>
        </w:tabs>
        <w:adjustRightInd w:val="0"/>
        <w:snapToGrid/>
        <w:spacing w:line="360" w:lineRule="auto"/>
        <w:jc w:val="left"/>
        <w:textAlignment w:val="baseline"/>
        <w:outlineLvl w:val="9"/>
        <w:rPr>
          <w:rFonts w:hint="default" w:ascii="Times New Roman" w:hAnsi="Times New Roman" w:cs="Times New Roman"/>
          <w:b/>
          <w:bCs/>
          <w:color w:val="000000"/>
          <w:sz w:val="21"/>
          <w:szCs w:val="21"/>
          <w:highlight w:val="none"/>
        </w:rPr>
      </w:pPr>
      <w:r>
        <w:rPr>
          <w:rFonts w:hint="default" w:ascii="Times New Roman" w:hAnsi="Times New Roman" w:cs="Times New Roman"/>
          <w:b/>
          <w:bCs/>
          <w:color w:val="000000"/>
          <w:sz w:val="21"/>
          <w:szCs w:val="21"/>
          <w:highlight w:val="none"/>
        </w:rPr>
        <w:t>9.</w:t>
      </w:r>
      <w:r>
        <w:rPr>
          <w:rFonts w:hint="default" w:ascii="Times New Roman" w:hAnsi="Times New Roman" w:cs="Times New Roman"/>
          <w:b/>
          <w:bCs/>
          <w:color w:val="000000"/>
          <w:kern w:val="0"/>
          <w:sz w:val="21"/>
          <w:szCs w:val="21"/>
          <w:highlight w:val="none"/>
        </w:rPr>
        <w:t>售后</w:t>
      </w:r>
      <w:r>
        <w:rPr>
          <w:rFonts w:hint="default" w:ascii="Times New Roman" w:hAnsi="Times New Roman" w:cs="Times New Roman"/>
          <w:b/>
          <w:bCs/>
          <w:color w:val="000000"/>
          <w:sz w:val="21"/>
          <w:szCs w:val="21"/>
          <w:highlight w:val="none"/>
        </w:rPr>
        <w:t>支持</w:t>
      </w:r>
    </w:p>
    <w:p>
      <w:pPr>
        <w:snapToGrid w:val="0"/>
        <w:spacing w:line="360" w:lineRule="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9.1 技术支持</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投标方应在报价中说明质保期满后对所供设备提供有偿售后服务，只收取配件费用，不收取人工费。</w:t>
      </w:r>
    </w:p>
    <w:p>
      <w:pPr>
        <w:snapToGrid w:val="0"/>
        <w:spacing w:line="360" w:lineRule="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9.2 维修支持</w:t>
      </w:r>
    </w:p>
    <w:p>
      <w:pPr>
        <w:spacing w:line="360" w:lineRule="auto"/>
        <w:ind w:firstLine="420" w:firstLineChars="20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投标方应在报价中说明质保期满后，投标方在设备维修方面能给招标方的支持。对于招标方遇到的紧急故障需要投标方帮助处理时，投标方</w:t>
      </w:r>
      <w:r>
        <w:rPr>
          <w:rFonts w:hint="default" w:ascii="Times New Roman" w:hAnsi="Times New Roman" w:cs="Times New Roman"/>
          <w:sz w:val="21"/>
          <w:szCs w:val="21"/>
          <w:highlight w:val="none"/>
          <w:lang w:eastAsia="zh-CN"/>
        </w:rPr>
        <w:t>需</w:t>
      </w:r>
      <w:r>
        <w:rPr>
          <w:rFonts w:hint="default" w:ascii="Times New Roman" w:hAnsi="Times New Roman" w:cs="Times New Roman"/>
          <w:sz w:val="21"/>
          <w:szCs w:val="21"/>
          <w:highlight w:val="none"/>
        </w:rPr>
        <w:t>以最快的速度给予支持。</w:t>
      </w:r>
    </w:p>
    <w:p>
      <w:pPr>
        <w:rPr>
          <w:rFonts w:hint="eastAsia"/>
          <w:lang w:eastAsia="zh-CN"/>
        </w:rPr>
      </w:pPr>
    </w:p>
    <w:p>
      <w:pPr>
        <w:tabs>
          <w:tab w:val="left" w:pos="1015"/>
        </w:tabs>
        <w:spacing w:line="360" w:lineRule="auto"/>
        <w:ind w:firstLine="420"/>
        <w:rPr>
          <w:rFonts w:hint="eastAsia"/>
          <w:b/>
          <w:bCs w:val="0"/>
          <w:color w:val="000000"/>
          <w:sz w:val="21"/>
          <w:szCs w:val="21"/>
          <w:highlight w:val="none"/>
          <w:lang w:eastAsia="zh-CN"/>
        </w:rPr>
      </w:pPr>
      <w:bookmarkStart w:id="20" w:name="_Toc3512"/>
    </w:p>
    <w:p>
      <w:pPr>
        <w:pStyle w:val="2"/>
        <w:spacing w:line="240" w:lineRule="auto"/>
        <w:jc w:val="center"/>
        <w:rPr>
          <w:rFonts w:hint="eastAsia" w:ascii="宋体" w:hAnsi="宋体" w:eastAsia="宋体" w:cs="宋体"/>
          <w:color w:val="auto"/>
          <w:sz w:val="36"/>
          <w:szCs w:val="24"/>
          <w:highlight w:val="none"/>
          <w:lang w:eastAsia="zh-CN"/>
        </w:rPr>
      </w:pPr>
      <w:r>
        <w:rPr>
          <w:rFonts w:hint="eastAsia" w:ascii="宋体" w:hAnsi="宋体" w:eastAsia="宋体" w:cs="宋体"/>
          <w:color w:val="auto"/>
          <w:sz w:val="36"/>
          <w:szCs w:val="24"/>
          <w:highlight w:val="none"/>
          <w:lang w:eastAsia="zh-CN"/>
        </w:rPr>
        <w:br w:type="page"/>
      </w:r>
      <w:bookmarkStart w:id="21" w:name="_Toc13296"/>
      <w:bookmarkStart w:id="22" w:name="_Toc9703"/>
      <w:bookmarkStart w:id="23" w:name="_Toc17026"/>
      <w:r>
        <w:rPr>
          <w:rFonts w:hint="eastAsia" w:ascii="宋体" w:hAnsi="宋体" w:eastAsia="宋体" w:cs="宋体"/>
          <w:b/>
          <w:bCs/>
          <w:color w:val="auto"/>
          <w:kern w:val="2"/>
          <w:sz w:val="36"/>
          <w:szCs w:val="24"/>
          <w:highlight w:val="none"/>
          <w:lang w:val="en-US" w:eastAsia="zh-CN" w:bidi="ar-SA"/>
        </w:rPr>
        <w:t>第六包：线路保护柜、母联断路器保护柜技术要求</w:t>
      </w:r>
      <w:bookmarkEnd w:id="20"/>
      <w:bookmarkEnd w:id="21"/>
      <w:bookmarkEnd w:id="22"/>
      <w:bookmarkEnd w:id="23"/>
    </w:p>
    <w:p>
      <w:pPr>
        <w:adjustRightInd w:val="0"/>
        <w:spacing w:line="360" w:lineRule="auto"/>
        <w:jc w:val="center"/>
        <w:rPr>
          <w:rFonts w:hint="eastAsia" w:ascii="宋体" w:cs="新宋体"/>
          <w:b/>
          <w:bCs w:val="0"/>
          <w:color w:val="auto"/>
          <w:sz w:val="28"/>
          <w:szCs w:val="28"/>
          <w:highlight w:val="none"/>
        </w:rPr>
      </w:pPr>
      <w:r>
        <w:rPr>
          <w:rFonts w:hint="eastAsia" w:ascii="宋体" w:hAnsi="宋体" w:cs="宋体"/>
          <w:b/>
          <w:bCs/>
          <w:color w:val="auto"/>
          <w:kern w:val="2"/>
          <w:sz w:val="28"/>
          <w:szCs w:val="28"/>
          <w:highlight w:val="none"/>
          <w:lang w:val="en-US" w:eastAsia="zh-CN" w:bidi="ar-SA"/>
        </w:rPr>
        <w:t>一、</w:t>
      </w:r>
      <w:r>
        <w:rPr>
          <w:rFonts w:hint="eastAsia" w:ascii="宋体" w:hAnsi="宋体" w:eastAsia="宋体" w:cs="宋体"/>
          <w:b/>
          <w:bCs/>
          <w:color w:val="auto"/>
          <w:kern w:val="2"/>
          <w:sz w:val="28"/>
          <w:szCs w:val="28"/>
          <w:highlight w:val="none"/>
          <w:lang w:val="en-US" w:eastAsia="zh-CN" w:bidi="ar-SA"/>
        </w:rPr>
        <w:t>母联断路器保护柜</w:t>
      </w:r>
    </w:p>
    <w:p>
      <w:pPr>
        <w:adjustRightInd w:val="0"/>
        <w:spacing w:line="360" w:lineRule="auto"/>
        <w:rPr>
          <w:rFonts w:hint="eastAsia" w:ascii="宋体" w:cs="新宋体"/>
          <w:b/>
          <w:bCs w:val="0"/>
          <w:color w:val="auto"/>
          <w:szCs w:val="21"/>
          <w:highlight w:val="none"/>
        </w:rPr>
      </w:pPr>
      <w:r>
        <w:rPr>
          <w:rFonts w:hint="eastAsia" w:ascii="宋体" w:cs="新宋体"/>
          <w:b/>
          <w:bCs w:val="0"/>
          <w:color w:val="auto"/>
          <w:szCs w:val="21"/>
          <w:highlight w:val="none"/>
        </w:rPr>
        <w:t>1.货物需求</w:t>
      </w:r>
    </w:p>
    <w:p>
      <w:pPr>
        <w:spacing w:line="360" w:lineRule="auto"/>
        <w:rPr>
          <w:rFonts w:hint="eastAsia" w:ascii="宋体" w:cs="新宋体"/>
          <w:bCs/>
          <w:color w:val="auto"/>
          <w:szCs w:val="21"/>
          <w:highlight w:val="none"/>
        </w:rPr>
      </w:pPr>
      <w:r>
        <w:rPr>
          <w:rFonts w:hint="eastAsia" w:ascii="宋体" w:cs="新宋体"/>
          <w:bCs/>
          <w:color w:val="auto"/>
          <w:szCs w:val="21"/>
          <w:highlight w:val="none"/>
        </w:rPr>
        <w:t xml:space="preserve"> *1.1货物需求一览表(不局限以下内容,投标方详细描述每台套包括部件的名称、规格型号、数量 、生产厂家）。</w:t>
      </w:r>
    </w:p>
    <w:tbl>
      <w:tblPr>
        <w:tblStyle w:val="16"/>
        <w:tblW w:w="84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263"/>
        <w:gridCol w:w="2565"/>
        <w:gridCol w:w="605"/>
        <w:gridCol w:w="685"/>
        <w:gridCol w:w="1096"/>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exact"/>
          <w:jc w:val="center"/>
        </w:trPr>
        <w:tc>
          <w:tcPr>
            <w:tcW w:w="705" w:type="dxa"/>
            <w:tcBorders>
              <w:top w:val="single" w:color="auto" w:sz="4" w:space="0"/>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序号</w:t>
            </w:r>
          </w:p>
        </w:tc>
        <w:tc>
          <w:tcPr>
            <w:tcW w:w="1263"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名称</w:t>
            </w:r>
          </w:p>
        </w:tc>
        <w:tc>
          <w:tcPr>
            <w:tcW w:w="2565"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规格/型号</w:t>
            </w:r>
          </w:p>
        </w:tc>
        <w:tc>
          <w:tcPr>
            <w:tcW w:w="605"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单位</w:t>
            </w:r>
          </w:p>
        </w:tc>
        <w:tc>
          <w:tcPr>
            <w:tcW w:w="685"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数量</w:t>
            </w:r>
          </w:p>
        </w:tc>
        <w:tc>
          <w:tcPr>
            <w:tcW w:w="1096"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制造厂家</w:t>
            </w:r>
          </w:p>
        </w:tc>
        <w:tc>
          <w:tcPr>
            <w:tcW w:w="1517"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5" w:type="dxa"/>
            <w:tcBorders>
              <w:left w:val="single" w:color="auto" w:sz="4" w:space="0"/>
              <w:bottom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一</w:t>
            </w:r>
          </w:p>
        </w:tc>
        <w:tc>
          <w:tcPr>
            <w:tcW w:w="1263" w:type="dxa"/>
            <w:tcBorders>
              <w:bottom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母联断路器保护柜</w:t>
            </w:r>
          </w:p>
        </w:tc>
        <w:tc>
          <w:tcPr>
            <w:tcW w:w="2565" w:type="dxa"/>
            <w:tcBorders>
              <w:bottom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含110</w:t>
            </w:r>
            <w:r>
              <w:rPr>
                <w:rFonts w:ascii="宋体"/>
                <w:color w:val="auto"/>
                <w:szCs w:val="21"/>
                <w:highlight w:val="none"/>
              </w:rPr>
              <w:t>kV</w:t>
            </w:r>
            <w:r>
              <w:rPr>
                <w:rFonts w:hint="eastAsia" w:ascii="宋体"/>
                <w:color w:val="auto"/>
                <w:szCs w:val="21"/>
                <w:highlight w:val="none"/>
              </w:rPr>
              <w:t>母联保护P</w:t>
            </w:r>
            <w:r>
              <w:rPr>
                <w:rFonts w:ascii="宋体"/>
                <w:color w:val="auto"/>
                <w:szCs w:val="21"/>
                <w:highlight w:val="none"/>
              </w:rPr>
              <w:t xml:space="preserve">CS-923A-G </w:t>
            </w:r>
            <w:r>
              <w:rPr>
                <w:rFonts w:hint="eastAsia" w:ascii="宋体"/>
                <w:color w:val="auto"/>
                <w:szCs w:val="21"/>
                <w:highlight w:val="none"/>
              </w:rPr>
              <w:t>1台、P</w:t>
            </w:r>
            <w:r>
              <w:rPr>
                <w:rFonts w:ascii="宋体"/>
                <w:color w:val="auto"/>
                <w:szCs w:val="21"/>
                <w:highlight w:val="none"/>
              </w:rPr>
              <w:t xml:space="preserve">CS-941A-G </w:t>
            </w:r>
            <w:r>
              <w:rPr>
                <w:rFonts w:hint="eastAsia" w:ascii="宋体"/>
                <w:color w:val="auto"/>
                <w:szCs w:val="21"/>
                <w:highlight w:val="none"/>
              </w:rPr>
              <w:t>1台</w:t>
            </w:r>
            <w:r>
              <w:rPr>
                <w:rFonts w:hint="eastAsia" w:ascii="宋体"/>
                <w:color w:val="auto"/>
                <w:szCs w:val="21"/>
                <w:highlight w:val="none"/>
                <w:lang w:val="en-US" w:eastAsia="zh-CN"/>
              </w:rPr>
              <w:t>、</w:t>
            </w:r>
            <w:r>
              <w:rPr>
                <w:rFonts w:hint="eastAsia" w:ascii="宋体"/>
                <w:color w:val="auto"/>
                <w:szCs w:val="21"/>
                <w:highlight w:val="none"/>
              </w:rPr>
              <w:t>针式打印机L</w:t>
            </w:r>
            <w:r>
              <w:rPr>
                <w:rFonts w:ascii="宋体"/>
                <w:color w:val="auto"/>
                <w:szCs w:val="21"/>
                <w:highlight w:val="none"/>
              </w:rPr>
              <w:t>Q-300K</w:t>
            </w:r>
            <w:r>
              <w:rPr>
                <w:rFonts w:hint="eastAsia" w:ascii="宋体"/>
                <w:color w:val="auto"/>
                <w:szCs w:val="21"/>
                <w:highlight w:val="none"/>
              </w:rPr>
              <w:t>+</w:t>
            </w:r>
            <w:r>
              <w:rPr>
                <w:rFonts w:ascii="宋体"/>
                <w:color w:val="auto"/>
                <w:szCs w:val="21"/>
                <w:highlight w:val="none"/>
              </w:rPr>
              <w:t xml:space="preserve"> </w:t>
            </w:r>
            <w:r>
              <w:rPr>
                <w:rFonts w:hint="eastAsia" w:ascii="宋体"/>
                <w:color w:val="auto"/>
                <w:szCs w:val="21"/>
                <w:highlight w:val="none"/>
              </w:rPr>
              <w:t>1台</w:t>
            </w:r>
          </w:p>
        </w:tc>
        <w:tc>
          <w:tcPr>
            <w:tcW w:w="605" w:type="dxa"/>
            <w:tcBorders>
              <w:bottom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套</w:t>
            </w:r>
          </w:p>
        </w:tc>
        <w:tc>
          <w:tcPr>
            <w:tcW w:w="685" w:type="dxa"/>
            <w:tcBorders>
              <w:bottom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1</w:t>
            </w:r>
          </w:p>
        </w:tc>
        <w:tc>
          <w:tcPr>
            <w:tcW w:w="1096" w:type="dxa"/>
            <w:tcBorders>
              <w:bottom w:val="single" w:color="auto" w:sz="4" w:space="0"/>
            </w:tcBorders>
            <w:vAlign w:val="center"/>
          </w:tcPr>
          <w:p>
            <w:pPr>
              <w:spacing w:line="360" w:lineRule="auto"/>
              <w:jc w:val="center"/>
              <w:rPr>
                <w:rFonts w:hint="eastAsia" w:ascii="宋体" w:cs="新宋体"/>
                <w:bCs/>
                <w:color w:val="auto"/>
                <w:szCs w:val="21"/>
                <w:highlight w:val="none"/>
              </w:rPr>
            </w:pPr>
          </w:p>
        </w:tc>
        <w:tc>
          <w:tcPr>
            <w:tcW w:w="1517" w:type="dxa"/>
            <w:tcBorders>
              <w:bottom w:val="single" w:color="auto" w:sz="4" w:space="0"/>
            </w:tcBorders>
            <w:vAlign w:val="center"/>
          </w:tcPr>
          <w:p>
            <w:pPr>
              <w:spacing w:line="360" w:lineRule="auto"/>
              <w:rPr>
                <w:rFonts w:hint="eastAsia" w:ascii="宋体" w:eastAsia="宋体" w:cs="新宋体"/>
                <w:bCs/>
                <w:color w:val="auto"/>
                <w:szCs w:val="21"/>
                <w:highlight w:val="none"/>
                <w:lang w:val="en-US" w:eastAsia="zh-CN"/>
              </w:rPr>
            </w:pPr>
            <w:r>
              <w:rPr>
                <w:rFonts w:hint="eastAsia" w:ascii="宋体" w:cs="新宋体"/>
                <w:bCs/>
                <w:color w:val="auto"/>
                <w:szCs w:val="21"/>
                <w:highlight w:val="none"/>
                <w:lang w:val="en-US" w:eastAsia="zh-CN"/>
              </w:rPr>
              <w:t>需与220kV变电站现有后台监控装置及测控装置匹配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exact"/>
          <w:jc w:val="center"/>
        </w:trPr>
        <w:tc>
          <w:tcPr>
            <w:tcW w:w="705" w:type="dxa"/>
            <w:tcBorders>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二</w:t>
            </w:r>
          </w:p>
        </w:tc>
        <w:tc>
          <w:tcPr>
            <w:tcW w:w="1263"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资料</w:t>
            </w:r>
          </w:p>
        </w:tc>
        <w:tc>
          <w:tcPr>
            <w:tcW w:w="2565" w:type="dxa"/>
            <w:vAlign w:val="center"/>
          </w:tcPr>
          <w:p>
            <w:pPr>
              <w:spacing w:line="360" w:lineRule="auto"/>
              <w:jc w:val="center"/>
              <w:rPr>
                <w:rFonts w:hint="eastAsia" w:ascii="宋体" w:cs="新宋体"/>
                <w:bCs/>
                <w:color w:val="auto"/>
                <w:szCs w:val="21"/>
                <w:highlight w:val="none"/>
              </w:rPr>
            </w:pPr>
          </w:p>
        </w:tc>
        <w:tc>
          <w:tcPr>
            <w:tcW w:w="605" w:type="dxa"/>
            <w:vAlign w:val="center"/>
          </w:tcPr>
          <w:p>
            <w:pPr>
              <w:spacing w:line="360" w:lineRule="auto"/>
              <w:jc w:val="center"/>
              <w:rPr>
                <w:rFonts w:hint="eastAsia" w:ascii="宋体" w:cs="新宋体"/>
                <w:bCs/>
                <w:color w:val="auto"/>
                <w:szCs w:val="21"/>
                <w:highlight w:val="none"/>
              </w:rPr>
            </w:pPr>
          </w:p>
        </w:tc>
        <w:tc>
          <w:tcPr>
            <w:tcW w:w="685" w:type="dxa"/>
            <w:vAlign w:val="center"/>
          </w:tcPr>
          <w:p>
            <w:pPr>
              <w:spacing w:line="360" w:lineRule="auto"/>
              <w:jc w:val="center"/>
              <w:rPr>
                <w:rFonts w:hint="eastAsia" w:ascii="宋体" w:cs="新宋体"/>
                <w:bCs/>
                <w:color w:val="auto"/>
                <w:szCs w:val="21"/>
                <w:highlight w:val="none"/>
              </w:rPr>
            </w:pPr>
          </w:p>
        </w:tc>
        <w:tc>
          <w:tcPr>
            <w:tcW w:w="1096" w:type="dxa"/>
            <w:vAlign w:val="center"/>
          </w:tcPr>
          <w:p>
            <w:pPr>
              <w:spacing w:line="360" w:lineRule="auto"/>
              <w:jc w:val="center"/>
              <w:rPr>
                <w:rFonts w:hint="eastAsia" w:ascii="宋体" w:cs="新宋体"/>
                <w:bCs/>
                <w:color w:val="auto"/>
                <w:szCs w:val="21"/>
                <w:highlight w:val="none"/>
              </w:rPr>
            </w:pPr>
          </w:p>
        </w:tc>
        <w:tc>
          <w:tcPr>
            <w:tcW w:w="1517" w:type="dxa"/>
            <w:vAlign w:val="center"/>
          </w:tcPr>
          <w:p>
            <w:pPr>
              <w:spacing w:line="360" w:lineRule="auto"/>
              <w:jc w:val="center"/>
              <w:rPr>
                <w:rFonts w:hint="eastAsia" w:ascii="宋体" w:cs="新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exact"/>
          <w:jc w:val="center"/>
        </w:trPr>
        <w:tc>
          <w:tcPr>
            <w:tcW w:w="705" w:type="dxa"/>
            <w:tcBorders>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1</w:t>
            </w:r>
          </w:p>
        </w:tc>
        <w:tc>
          <w:tcPr>
            <w:tcW w:w="126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技术资料</w:t>
            </w:r>
          </w:p>
          <w:p>
            <w:pPr>
              <w:jc w:val="center"/>
              <w:rPr>
                <w:rFonts w:hint="eastAsia" w:ascii="宋体" w:cs="新宋体"/>
                <w:bCs/>
                <w:color w:val="auto"/>
                <w:szCs w:val="21"/>
                <w:highlight w:val="none"/>
              </w:rPr>
            </w:pPr>
            <w:r>
              <w:rPr>
                <w:rFonts w:hint="eastAsia" w:ascii="宋体" w:hAnsi="宋体" w:cs="宋体"/>
                <w:color w:val="auto"/>
                <w:szCs w:val="21"/>
                <w:highlight w:val="none"/>
              </w:rPr>
              <w:t>（使用说明书）</w:t>
            </w:r>
          </w:p>
        </w:tc>
        <w:tc>
          <w:tcPr>
            <w:tcW w:w="2565" w:type="dxa"/>
            <w:vAlign w:val="center"/>
          </w:tcPr>
          <w:p>
            <w:pPr>
              <w:spacing w:line="360" w:lineRule="auto"/>
              <w:jc w:val="center"/>
              <w:rPr>
                <w:rFonts w:hint="eastAsia" w:ascii="宋体" w:cs="新宋体"/>
                <w:bCs/>
                <w:color w:val="auto"/>
                <w:szCs w:val="21"/>
                <w:highlight w:val="none"/>
              </w:rPr>
            </w:pPr>
          </w:p>
        </w:tc>
        <w:tc>
          <w:tcPr>
            <w:tcW w:w="60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套</w:t>
            </w:r>
          </w:p>
        </w:tc>
        <w:tc>
          <w:tcPr>
            <w:tcW w:w="68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w:t>
            </w:r>
          </w:p>
        </w:tc>
        <w:tc>
          <w:tcPr>
            <w:tcW w:w="1096" w:type="dxa"/>
            <w:vAlign w:val="center"/>
          </w:tcPr>
          <w:p>
            <w:pPr>
              <w:spacing w:line="360" w:lineRule="auto"/>
              <w:jc w:val="center"/>
              <w:rPr>
                <w:rFonts w:hint="eastAsia" w:ascii="宋体" w:cs="新宋体"/>
                <w:bCs/>
                <w:color w:val="auto"/>
                <w:szCs w:val="21"/>
                <w:highlight w:val="none"/>
              </w:rPr>
            </w:pPr>
          </w:p>
        </w:tc>
        <w:tc>
          <w:tcPr>
            <w:tcW w:w="1517" w:type="dxa"/>
            <w:vAlign w:val="center"/>
          </w:tcPr>
          <w:p>
            <w:pPr>
              <w:spacing w:line="360" w:lineRule="auto"/>
              <w:jc w:val="center"/>
              <w:rPr>
                <w:rFonts w:hint="eastAsia" w:ascii="宋体" w:cs="新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exact"/>
          <w:jc w:val="center"/>
        </w:trPr>
        <w:tc>
          <w:tcPr>
            <w:tcW w:w="705" w:type="dxa"/>
            <w:tcBorders>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2</w:t>
            </w:r>
          </w:p>
        </w:tc>
        <w:tc>
          <w:tcPr>
            <w:tcW w:w="1263" w:type="dxa"/>
            <w:vAlign w:val="center"/>
          </w:tcPr>
          <w:p>
            <w:pPr>
              <w:jc w:val="center"/>
              <w:rPr>
                <w:rFonts w:hint="eastAsia" w:ascii="宋体" w:cs="新宋体"/>
                <w:bCs/>
                <w:color w:val="auto"/>
                <w:szCs w:val="21"/>
                <w:highlight w:val="none"/>
              </w:rPr>
            </w:pPr>
            <w:r>
              <w:rPr>
                <w:rFonts w:hint="eastAsia" w:ascii="宋体"/>
                <w:color w:val="auto"/>
                <w:szCs w:val="21"/>
                <w:highlight w:val="none"/>
              </w:rPr>
              <w:t>检验合格证书</w:t>
            </w:r>
          </w:p>
        </w:tc>
        <w:tc>
          <w:tcPr>
            <w:tcW w:w="2565" w:type="dxa"/>
            <w:vAlign w:val="center"/>
          </w:tcPr>
          <w:p>
            <w:pPr>
              <w:spacing w:line="360" w:lineRule="auto"/>
              <w:jc w:val="center"/>
              <w:rPr>
                <w:rFonts w:hint="eastAsia" w:ascii="宋体" w:cs="新宋体"/>
                <w:bCs/>
                <w:color w:val="auto"/>
                <w:szCs w:val="21"/>
                <w:highlight w:val="none"/>
              </w:rPr>
            </w:pPr>
          </w:p>
        </w:tc>
        <w:tc>
          <w:tcPr>
            <w:tcW w:w="60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套</w:t>
            </w:r>
          </w:p>
        </w:tc>
        <w:tc>
          <w:tcPr>
            <w:tcW w:w="68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w:t>
            </w:r>
          </w:p>
        </w:tc>
        <w:tc>
          <w:tcPr>
            <w:tcW w:w="1096" w:type="dxa"/>
            <w:vAlign w:val="center"/>
          </w:tcPr>
          <w:p>
            <w:pPr>
              <w:spacing w:line="360" w:lineRule="auto"/>
              <w:jc w:val="center"/>
              <w:rPr>
                <w:rFonts w:hint="eastAsia" w:ascii="宋体" w:cs="新宋体"/>
                <w:bCs/>
                <w:color w:val="auto"/>
                <w:szCs w:val="21"/>
                <w:highlight w:val="none"/>
              </w:rPr>
            </w:pPr>
          </w:p>
        </w:tc>
        <w:tc>
          <w:tcPr>
            <w:tcW w:w="1517" w:type="dxa"/>
            <w:vAlign w:val="center"/>
          </w:tcPr>
          <w:p>
            <w:pPr>
              <w:spacing w:line="360" w:lineRule="auto"/>
              <w:jc w:val="center"/>
              <w:rPr>
                <w:rFonts w:hint="eastAsia" w:ascii="宋体" w:cs="新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exact"/>
          <w:jc w:val="center"/>
        </w:trPr>
        <w:tc>
          <w:tcPr>
            <w:tcW w:w="705" w:type="dxa"/>
            <w:tcBorders>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3</w:t>
            </w:r>
          </w:p>
        </w:tc>
        <w:tc>
          <w:tcPr>
            <w:tcW w:w="1263" w:type="dxa"/>
            <w:vAlign w:val="center"/>
          </w:tcPr>
          <w:p>
            <w:pPr>
              <w:jc w:val="center"/>
              <w:rPr>
                <w:rFonts w:hint="eastAsia" w:ascii="宋体" w:cs="新宋体"/>
                <w:bCs/>
                <w:color w:val="auto"/>
                <w:szCs w:val="21"/>
                <w:highlight w:val="none"/>
              </w:rPr>
            </w:pPr>
            <w:r>
              <w:rPr>
                <w:rFonts w:hint="eastAsia" w:ascii="宋体"/>
                <w:color w:val="auto"/>
                <w:szCs w:val="21"/>
                <w:highlight w:val="none"/>
              </w:rPr>
              <w:t>产品说明书</w:t>
            </w:r>
          </w:p>
        </w:tc>
        <w:tc>
          <w:tcPr>
            <w:tcW w:w="2565" w:type="dxa"/>
            <w:vAlign w:val="center"/>
          </w:tcPr>
          <w:p>
            <w:pPr>
              <w:spacing w:line="360" w:lineRule="auto"/>
              <w:jc w:val="center"/>
              <w:rPr>
                <w:rFonts w:hint="eastAsia" w:ascii="宋体" w:cs="新宋体"/>
                <w:bCs/>
                <w:color w:val="auto"/>
                <w:szCs w:val="21"/>
                <w:highlight w:val="none"/>
              </w:rPr>
            </w:pPr>
          </w:p>
        </w:tc>
        <w:tc>
          <w:tcPr>
            <w:tcW w:w="60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套</w:t>
            </w:r>
          </w:p>
        </w:tc>
        <w:tc>
          <w:tcPr>
            <w:tcW w:w="68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w:t>
            </w:r>
          </w:p>
        </w:tc>
        <w:tc>
          <w:tcPr>
            <w:tcW w:w="1096" w:type="dxa"/>
            <w:vAlign w:val="center"/>
          </w:tcPr>
          <w:p>
            <w:pPr>
              <w:spacing w:line="360" w:lineRule="auto"/>
              <w:jc w:val="center"/>
              <w:rPr>
                <w:rFonts w:hint="eastAsia" w:ascii="宋体" w:cs="新宋体"/>
                <w:bCs/>
                <w:color w:val="auto"/>
                <w:szCs w:val="21"/>
                <w:highlight w:val="none"/>
              </w:rPr>
            </w:pPr>
          </w:p>
        </w:tc>
        <w:tc>
          <w:tcPr>
            <w:tcW w:w="1517" w:type="dxa"/>
            <w:vAlign w:val="center"/>
          </w:tcPr>
          <w:p>
            <w:pPr>
              <w:spacing w:line="360" w:lineRule="auto"/>
              <w:jc w:val="center"/>
              <w:rPr>
                <w:rFonts w:hint="eastAsia" w:ascii="宋体" w:cs="新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exact"/>
          <w:jc w:val="center"/>
        </w:trPr>
        <w:tc>
          <w:tcPr>
            <w:tcW w:w="705" w:type="dxa"/>
            <w:tcBorders>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4</w:t>
            </w:r>
          </w:p>
        </w:tc>
        <w:tc>
          <w:tcPr>
            <w:tcW w:w="1263" w:type="dxa"/>
            <w:vAlign w:val="center"/>
          </w:tcPr>
          <w:p>
            <w:pPr>
              <w:jc w:val="center"/>
              <w:rPr>
                <w:rFonts w:hint="eastAsia" w:ascii="宋体" w:cs="新宋体"/>
                <w:bCs/>
                <w:color w:val="auto"/>
                <w:szCs w:val="21"/>
                <w:highlight w:val="none"/>
              </w:rPr>
            </w:pPr>
            <w:r>
              <w:rPr>
                <w:rFonts w:hint="eastAsia" w:ascii="宋体"/>
                <w:color w:val="auto"/>
                <w:szCs w:val="21"/>
                <w:highlight w:val="none"/>
              </w:rPr>
              <w:t>图纸</w:t>
            </w:r>
          </w:p>
        </w:tc>
        <w:tc>
          <w:tcPr>
            <w:tcW w:w="2565" w:type="dxa"/>
            <w:vAlign w:val="center"/>
          </w:tcPr>
          <w:p>
            <w:pPr>
              <w:spacing w:line="360" w:lineRule="auto"/>
              <w:jc w:val="center"/>
              <w:rPr>
                <w:rFonts w:hint="eastAsia" w:ascii="宋体" w:cs="新宋体"/>
                <w:bCs/>
                <w:color w:val="auto"/>
                <w:szCs w:val="21"/>
                <w:highlight w:val="none"/>
              </w:rPr>
            </w:pPr>
          </w:p>
        </w:tc>
        <w:tc>
          <w:tcPr>
            <w:tcW w:w="60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套</w:t>
            </w:r>
          </w:p>
        </w:tc>
        <w:tc>
          <w:tcPr>
            <w:tcW w:w="68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w:t>
            </w:r>
          </w:p>
        </w:tc>
        <w:tc>
          <w:tcPr>
            <w:tcW w:w="1096" w:type="dxa"/>
            <w:vAlign w:val="center"/>
          </w:tcPr>
          <w:p>
            <w:pPr>
              <w:spacing w:line="360" w:lineRule="auto"/>
              <w:jc w:val="center"/>
              <w:rPr>
                <w:rFonts w:hint="eastAsia" w:ascii="宋体" w:cs="新宋体"/>
                <w:bCs/>
                <w:color w:val="auto"/>
                <w:szCs w:val="21"/>
                <w:highlight w:val="none"/>
              </w:rPr>
            </w:pPr>
          </w:p>
        </w:tc>
        <w:tc>
          <w:tcPr>
            <w:tcW w:w="1517" w:type="dxa"/>
            <w:vAlign w:val="center"/>
          </w:tcPr>
          <w:p>
            <w:pPr>
              <w:spacing w:line="360" w:lineRule="auto"/>
              <w:jc w:val="center"/>
              <w:rPr>
                <w:rFonts w:hint="eastAsia" w:ascii="宋体" w:cs="新宋体"/>
                <w:bCs/>
                <w:color w:val="auto"/>
                <w:szCs w:val="21"/>
                <w:highlight w:val="none"/>
              </w:rPr>
            </w:pPr>
          </w:p>
        </w:tc>
      </w:tr>
    </w:tbl>
    <w:p>
      <w:pPr>
        <w:spacing w:line="360" w:lineRule="auto"/>
        <w:rPr>
          <w:rFonts w:hint="eastAsia" w:ascii="宋体" w:cs="新宋体"/>
          <w:bCs/>
          <w:color w:val="auto"/>
          <w:szCs w:val="21"/>
          <w:highlight w:val="none"/>
        </w:rPr>
      </w:pPr>
      <w:r>
        <w:rPr>
          <w:rFonts w:hint="eastAsia" w:ascii="宋体" w:cs="新宋体"/>
          <w:bCs/>
          <w:color w:val="auto"/>
          <w:szCs w:val="21"/>
          <w:highlight w:val="none"/>
          <w:lang w:eastAsia="zh-CN"/>
        </w:rPr>
        <w:t>备注：变电站</w:t>
      </w:r>
      <w:r>
        <w:rPr>
          <w:rFonts w:hint="eastAsia" w:ascii="宋体" w:cs="新宋体"/>
          <w:bCs/>
          <w:color w:val="auto"/>
          <w:szCs w:val="21"/>
          <w:highlight w:val="none"/>
          <w:lang w:val="en-US" w:eastAsia="zh-CN"/>
        </w:rPr>
        <w:t>综自系统、主变等保护测控系统</w:t>
      </w:r>
      <w:r>
        <w:rPr>
          <w:rFonts w:hint="eastAsia" w:ascii="宋体" w:cs="新宋体"/>
          <w:bCs/>
          <w:color w:val="auto"/>
          <w:szCs w:val="21"/>
          <w:highlight w:val="none"/>
          <w:lang w:eastAsia="zh-CN"/>
        </w:rPr>
        <w:t>为南瑞继保生产，考虑到新旧设备兼容、正常通信以及投运后的运行维护管理，推荐使用</w:t>
      </w:r>
      <w:r>
        <w:rPr>
          <w:rFonts w:hint="eastAsia" w:ascii="宋体" w:cs="Arial"/>
          <w:color w:val="auto"/>
          <w:szCs w:val="21"/>
          <w:highlight w:val="none"/>
          <w:lang w:bidi="ar-SA"/>
        </w:rPr>
        <w:t>南京南瑞继保电气有限公司</w:t>
      </w:r>
      <w:r>
        <w:rPr>
          <w:rFonts w:hint="eastAsia" w:ascii="宋体" w:cs="新宋体"/>
          <w:bCs/>
          <w:color w:val="auto"/>
          <w:szCs w:val="21"/>
          <w:highlight w:val="none"/>
          <w:lang w:eastAsia="zh-CN"/>
        </w:rPr>
        <w:t>、珠海优特电力科技股份有限公司、思源电气股份有限公司设备。</w:t>
      </w:r>
    </w:p>
    <w:p>
      <w:pPr>
        <w:spacing w:line="360" w:lineRule="auto"/>
        <w:rPr>
          <w:rFonts w:hint="eastAsia" w:ascii="宋体" w:cs="新宋体"/>
          <w:bCs/>
          <w:color w:val="auto"/>
          <w:szCs w:val="21"/>
          <w:highlight w:val="none"/>
        </w:rPr>
      </w:pPr>
      <w:r>
        <w:rPr>
          <w:rFonts w:hint="eastAsia" w:ascii="宋体" w:cs="新宋体"/>
          <w:bCs/>
          <w:color w:val="auto"/>
          <w:szCs w:val="21"/>
          <w:highlight w:val="none"/>
        </w:rPr>
        <w:t>1.2设计要求</w:t>
      </w:r>
    </w:p>
    <w:p>
      <w:pPr>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设计合理，符合现场使用条件，必要时需与招标方取得联系。</w:t>
      </w:r>
    </w:p>
    <w:p>
      <w:pPr>
        <w:tabs>
          <w:tab w:val="left" w:pos="426"/>
        </w:tabs>
        <w:spacing w:line="360" w:lineRule="auto"/>
        <w:rPr>
          <w:rFonts w:hint="eastAsia" w:ascii="宋体" w:eastAsia="宋体" w:cs="新宋体"/>
          <w:bCs/>
          <w:color w:val="auto"/>
          <w:sz w:val="21"/>
          <w:szCs w:val="21"/>
          <w:highlight w:val="none"/>
        </w:rPr>
      </w:pPr>
      <w:r>
        <w:rPr>
          <w:rFonts w:hint="eastAsia" w:ascii="宋体" w:eastAsia="宋体" w:cs="新宋体"/>
          <w:bCs/>
          <w:color w:val="auto"/>
          <w:sz w:val="21"/>
          <w:szCs w:val="21"/>
          <w:highlight w:val="none"/>
        </w:rPr>
        <w:t>1.3交货时间:自合同签订之日起</w:t>
      </w:r>
      <w:r>
        <w:rPr>
          <w:rFonts w:hint="eastAsia" w:ascii="宋体" w:eastAsia="宋体" w:cs="新宋体"/>
          <w:bCs/>
          <w:color w:val="auto"/>
          <w:sz w:val="21"/>
          <w:szCs w:val="21"/>
          <w:highlight w:val="none"/>
          <w:u w:val="single"/>
        </w:rPr>
        <w:t xml:space="preserve">    1    </w:t>
      </w:r>
      <w:r>
        <w:rPr>
          <w:rFonts w:hint="eastAsia" w:ascii="宋体" w:eastAsia="宋体" w:cs="新宋体"/>
          <w:bCs/>
          <w:color w:val="auto"/>
          <w:sz w:val="21"/>
          <w:szCs w:val="21"/>
          <w:highlight w:val="none"/>
        </w:rPr>
        <w:t>个月内</w:t>
      </w:r>
      <w:r>
        <w:rPr>
          <w:rFonts w:hint="eastAsia" w:ascii="宋体" w:eastAsia="宋体"/>
          <w:bCs/>
          <w:color w:val="auto"/>
          <w:sz w:val="21"/>
          <w:szCs w:val="21"/>
          <w:highlight w:val="none"/>
        </w:rPr>
        <w:t>到达交货地点</w:t>
      </w:r>
      <w:r>
        <w:rPr>
          <w:rFonts w:hint="eastAsia" w:ascii="宋体" w:eastAsia="宋体" w:cs="新宋体"/>
          <w:bCs/>
          <w:color w:val="auto"/>
          <w:sz w:val="21"/>
          <w:szCs w:val="21"/>
          <w:highlight w:val="none"/>
        </w:rPr>
        <w:t>。</w:t>
      </w:r>
    </w:p>
    <w:p>
      <w:pPr>
        <w:tabs>
          <w:tab w:val="left" w:pos="426"/>
        </w:tabs>
        <w:spacing w:line="360" w:lineRule="auto"/>
        <w:rPr>
          <w:rStyle w:val="14"/>
          <w:rFonts w:hint="eastAsia" w:ascii="宋体" w:eastAsia="宋体"/>
          <w:b w:val="0"/>
          <w:color w:val="auto"/>
          <w:sz w:val="21"/>
          <w:szCs w:val="21"/>
          <w:highlight w:val="none"/>
        </w:rPr>
      </w:pPr>
      <w:r>
        <w:rPr>
          <w:rFonts w:hint="eastAsia" w:ascii="宋体" w:eastAsia="宋体" w:cs="新宋体"/>
          <w:bCs/>
          <w:color w:val="auto"/>
          <w:sz w:val="21"/>
          <w:szCs w:val="21"/>
          <w:highlight w:val="none"/>
        </w:rPr>
        <w:t>交货地点：</w:t>
      </w:r>
      <w:r>
        <w:rPr>
          <w:rFonts w:hint="eastAsia" w:ascii="宋体" w:eastAsia="宋体" w:cs="新宋体"/>
          <w:bCs/>
          <w:color w:val="auto"/>
          <w:sz w:val="21"/>
          <w:szCs w:val="21"/>
          <w:highlight w:val="none"/>
          <w:u w:val="single"/>
        </w:rPr>
        <w:t xml:space="preserve">  神华准能供电公司220kV变电站 </w:t>
      </w:r>
      <w:r>
        <w:rPr>
          <w:rFonts w:hint="eastAsia" w:ascii="宋体" w:eastAsia="宋体" w:cs="新宋体"/>
          <w:bCs/>
          <w:color w:val="auto"/>
          <w:sz w:val="21"/>
          <w:szCs w:val="21"/>
          <w:highlight w:val="none"/>
        </w:rPr>
        <w:t>。</w:t>
      </w:r>
    </w:p>
    <w:p>
      <w:pPr>
        <w:numPr>
          <w:ilvl w:val="0"/>
          <w:numId w:val="1"/>
        </w:numPr>
        <w:adjustRightInd w:val="0"/>
        <w:spacing w:line="360" w:lineRule="auto"/>
        <w:rPr>
          <w:rFonts w:hint="eastAsia" w:ascii="宋体" w:cs="新宋体"/>
          <w:bCs/>
          <w:color w:val="auto"/>
          <w:szCs w:val="21"/>
          <w:highlight w:val="none"/>
        </w:rPr>
      </w:pPr>
      <w:r>
        <w:rPr>
          <w:rFonts w:hint="eastAsia" w:ascii="宋体" w:cs="新宋体"/>
          <w:bCs/>
          <w:color w:val="auto"/>
          <w:szCs w:val="21"/>
          <w:highlight w:val="none"/>
        </w:rPr>
        <w:t>使用条件</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使用环境：</w:t>
      </w:r>
      <w:r>
        <w:rPr>
          <w:rFonts w:hint="eastAsia" w:ascii="宋体"/>
          <w:color w:val="auto"/>
          <w:szCs w:val="21"/>
          <w:highlight w:val="none"/>
          <w:u w:val="single"/>
        </w:rPr>
        <w:t xml:space="preserve">   室内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最高温度：</w:t>
      </w:r>
      <w:r>
        <w:rPr>
          <w:rFonts w:hint="eastAsia" w:ascii="宋体"/>
          <w:color w:val="auto"/>
          <w:szCs w:val="21"/>
          <w:highlight w:val="none"/>
          <w:u w:val="single"/>
        </w:rPr>
        <w:t xml:space="preserve">   45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最低温度：</w:t>
      </w:r>
      <w:r>
        <w:rPr>
          <w:rFonts w:hint="eastAsia" w:ascii="宋体"/>
          <w:color w:val="auto"/>
          <w:szCs w:val="21"/>
          <w:highlight w:val="none"/>
          <w:u w:val="single"/>
        </w:rPr>
        <w:t xml:space="preserve">   -37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年平均气温：</w:t>
      </w:r>
      <w:r>
        <w:rPr>
          <w:rFonts w:hint="eastAsia" w:ascii="宋体"/>
          <w:color w:val="auto"/>
          <w:szCs w:val="21"/>
          <w:highlight w:val="none"/>
          <w:u w:val="single"/>
        </w:rPr>
        <w:t xml:space="preserve">   9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环境相对湿度：</w:t>
      </w:r>
      <w:r>
        <w:rPr>
          <w:rFonts w:hint="eastAsia" w:ascii="宋体"/>
          <w:color w:val="auto"/>
          <w:szCs w:val="21"/>
          <w:highlight w:val="none"/>
          <w:u w:val="single"/>
        </w:rPr>
        <w:t xml:space="preserve">   54%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地震烈度：</w:t>
      </w:r>
      <w:r>
        <w:rPr>
          <w:rFonts w:hint="eastAsia" w:ascii="宋体"/>
          <w:color w:val="auto"/>
          <w:szCs w:val="21"/>
          <w:highlight w:val="none"/>
          <w:u w:val="single"/>
        </w:rPr>
        <w:t xml:space="preserve">   8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安装地点及用途：</w:t>
      </w:r>
      <w:r>
        <w:rPr>
          <w:rFonts w:hint="eastAsia" w:ascii="宋体"/>
          <w:color w:val="auto"/>
          <w:szCs w:val="21"/>
          <w:highlight w:val="none"/>
          <w:u w:val="single"/>
        </w:rPr>
        <w:t xml:space="preserve">   220kV</w:t>
      </w:r>
      <w:r>
        <w:rPr>
          <w:rFonts w:hint="eastAsia" w:ascii="宋体"/>
          <w:color w:val="auto"/>
          <w:szCs w:val="21"/>
          <w:highlight w:val="none"/>
          <w:u w:val="single"/>
          <w:lang w:eastAsia="zh-CN"/>
        </w:rPr>
        <w:t>变电站，用于</w:t>
      </w:r>
      <w:r>
        <w:rPr>
          <w:rFonts w:hint="eastAsia" w:ascii="宋体"/>
          <w:color w:val="auto"/>
          <w:szCs w:val="21"/>
          <w:highlight w:val="none"/>
          <w:u w:val="single"/>
        </w:rPr>
        <w:t xml:space="preserve">继电保护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海拔高度：</w:t>
      </w:r>
      <w:r>
        <w:rPr>
          <w:rFonts w:hint="eastAsia" w:ascii="宋体"/>
          <w:color w:val="auto"/>
          <w:szCs w:val="21"/>
          <w:highlight w:val="none"/>
          <w:u w:val="single"/>
        </w:rPr>
        <w:t xml:space="preserve">   1300m   </w:t>
      </w:r>
      <w:r>
        <w:rPr>
          <w:rFonts w:hint="eastAsia" w:ascii="宋体"/>
          <w:color w:val="auto"/>
          <w:szCs w:val="21"/>
          <w:highlight w:val="none"/>
        </w:rPr>
        <w:t>。</w:t>
      </w:r>
    </w:p>
    <w:p>
      <w:pPr>
        <w:adjustRightInd w:val="0"/>
        <w:spacing w:line="360" w:lineRule="auto"/>
        <w:rPr>
          <w:rFonts w:hint="eastAsia" w:ascii="宋体" w:cs="新宋体"/>
          <w:bCs/>
          <w:color w:val="auto"/>
          <w:szCs w:val="21"/>
          <w:highlight w:val="none"/>
        </w:rPr>
      </w:pPr>
      <w:r>
        <w:rPr>
          <w:rFonts w:hint="eastAsia" w:ascii="宋体"/>
          <w:color w:val="auto"/>
          <w:szCs w:val="21"/>
          <w:highlight w:val="none"/>
        </w:rPr>
        <w:t>污秽等级：</w:t>
      </w:r>
      <w:r>
        <w:rPr>
          <w:rFonts w:hint="eastAsia" w:ascii="宋体"/>
          <w:color w:val="auto"/>
          <w:szCs w:val="21"/>
          <w:highlight w:val="none"/>
          <w:u w:val="single"/>
        </w:rPr>
        <w:t xml:space="preserve">   III   </w:t>
      </w:r>
      <w:r>
        <w:rPr>
          <w:rFonts w:hint="eastAsia" w:ascii="宋体"/>
          <w:color w:val="auto"/>
          <w:szCs w:val="21"/>
          <w:highlight w:val="none"/>
        </w:rPr>
        <w:t xml:space="preserve">。    </w:t>
      </w:r>
    </w:p>
    <w:p>
      <w:pPr>
        <w:numPr>
          <w:ilvl w:val="0"/>
          <w:numId w:val="1"/>
        </w:numPr>
        <w:adjustRightInd w:val="0"/>
        <w:spacing w:before="156" w:beforeLines="50" w:line="360" w:lineRule="auto"/>
        <w:rPr>
          <w:rFonts w:hint="eastAsia" w:ascii="宋体" w:cs="新宋体"/>
          <w:bCs/>
          <w:color w:val="auto"/>
          <w:szCs w:val="21"/>
          <w:highlight w:val="none"/>
        </w:rPr>
      </w:pPr>
      <w:r>
        <w:rPr>
          <w:rFonts w:hint="eastAsia" w:ascii="宋体" w:cs="新宋体"/>
          <w:bCs/>
          <w:color w:val="auto"/>
          <w:szCs w:val="21"/>
          <w:highlight w:val="none"/>
        </w:rPr>
        <w:t>技术参数及技术要求</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3.1技术参数</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3.1.1 110kV母联保护标准技术参数表</w:t>
      </w:r>
    </w:p>
    <w:tbl>
      <w:tblPr>
        <w:tblStyle w:val="16"/>
        <w:tblW w:w="7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2699"/>
        <w:gridCol w:w="709"/>
        <w:gridCol w:w="3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trPr>
        <w:tc>
          <w:tcPr>
            <w:tcW w:w="528"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序号</w:t>
            </w:r>
          </w:p>
        </w:tc>
        <w:tc>
          <w:tcPr>
            <w:tcW w:w="269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参数名称</w:t>
            </w:r>
          </w:p>
        </w:tc>
        <w:tc>
          <w:tcPr>
            <w:tcW w:w="70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单位</w:t>
            </w:r>
          </w:p>
        </w:tc>
        <w:tc>
          <w:tcPr>
            <w:tcW w:w="3803" w:type="dxa"/>
            <w:vAlign w:val="center"/>
          </w:tcPr>
          <w:p>
            <w:pPr>
              <w:snapToGrid w:val="0"/>
              <w:spacing w:before="62" w:beforeLines="20" w:after="62" w:afterLines="20"/>
              <w:jc w:val="center"/>
              <w:rPr>
                <w:rFonts w:hint="eastAsia"/>
                <w:color w:val="auto"/>
                <w:sz w:val="18"/>
                <w:szCs w:val="18"/>
                <w:highlight w:val="none"/>
              </w:rPr>
            </w:pPr>
            <w:r>
              <w:rPr>
                <w:rFonts w:hint="eastAsia" w:hAnsi="宋体"/>
                <w:color w:val="auto"/>
                <w:sz w:val="18"/>
                <w:szCs w:val="18"/>
                <w:highlight w:val="none"/>
              </w:rPr>
              <w:t>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jc w:val="center"/>
              <w:rPr>
                <w:rFonts w:hint="eastAsia"/>
                <w:color w:val="auto"/>
                <w:sz w:val="18"/>
                <w:szCs w:val="18"/>
                <w:highlight w:val="none"/>
              </w:rPr>
            </w:pPr>
            <w:r>
              <w:rPr>
                <w:rFonts w:hint="eastAsia"/>
                <w:color w:val="auto"/>
                <w:sz w:val="18"/>
                <w:szCs w:val="18"/>
                <w:highlight w:val="none"/>
              </w:rPr>
              <w:t>1</w:t>
            </w:r>
          </w:p>
        </w:tc>
        <w:tc>
          <w:tcPr>
            <w:tcW w:w="2699" w:type="dxa"/>
            <w:vAlign w:val="center"/>
          </w:tcPr>
          <w:p>
            <w:pPr>
              <w:pStyle w:val="7"/>
              <w:snapToGrid w:val="0"/>
              <w:spacing w:before="62" w:beforeLines="20" w:after="62" w:afterLines="20"/>
              <w:jc w:val="center"/>
              <w:rPr>
                <w:color w:val="auto"/>
                <w:highlight w:val="none"/>
              </w:rPr>
            </w:pPr>
            <w:r>
              <w:rPr>
                <w:rFonts w:hint="eastAsia" w:hAnsi="宋体"/>
                <w:color w:val="auto"/>
                <w:highlight w:val="none"/>
              </w:rPr>
              <w:t>电流精工范围</w:t>
            </w:r>
          </w:p>
        </w:tc>
        <w:tc>
          <w:tcPr>
            <w:tcW w:w="709" w:type="dxa"/>
            <w:vAlign w:val="center"/>
          </w:tcPr>
          <w:p>
            <w:pPr>
              <w:pStyle w:val="7"/>
              <w:snapToGrid w:val="0"/>
              <w:spacing w:before="62" w:beforeLines="20" w:after="62" w:afterLines="20"/>
              <w:jc w:val="center"/>
              <w:rPr>
                <w:rFonts w:hint="eastAsia"/>
                <w:color w:val="auto"/>
                <w:szCs w:val="18"/>
                <w:highlight w:val="none"/>
              </w:rPr>
            </w:pPr>
          </w:p>
        </w:tc>
        <w:tc>
          <w:tcPr>
            <w:tcW w:w="3803" w:type="dxa"/>
            <w:vAlign w:val="center"/>
          </w:tcPr>
          <w:p>
            <w:pPr>
              <w:snapToGrid w:val="0"/>
              <w:spacing w:before="62" w:beforeLines="20" w:after="62" w:afterLines="20"/>
              <w:jc w:val="center"/>
              <w:rPr>
                <w:rFonts w:hint="eastAsia" w:ascii="宋体" w:hAnsi="宋体"/>
                <w:color w:val="auto"/>
                <w:sz w:val="18"/>
                <w:szCs w:val="18"/>
                <w:highlight w:val="none"/>
              </w:rPr>
            </w:pPr>
            <w:r>
              <w:rPr>
                <w:rFonts w:hint="eastAsia" w:ascii="宋体" w:hAnsi="宋体"/>
                <w:color w:val="auto"/>
                <w:sz w:val="18"/>
                <w:szCs w:val="18"/>
                <w:highlight w:val="none"/>
              </w:rPr>
              <w:t>测量范围下限为0.05 In，上限为20In～40 In，在电流为0.05 In～（20 In～40In）时，测量误差≤5%（相对误差）或0.02 In（绝对误差），但在0.05 In以下范围用户应能整定并使用，实际故障电流超过电流上限（20 In～40In）时，保护装置不误动不拒动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jc w:val="center"/>
              <w:rPr>
                <w:rFonts w:hint="eastAsia"/>
                <w:color w:val="auto"/>
                <w:sz w:val="18"/>
                <w:szCs w:val="18"/>
                <w:highlight w:val="none"/>
              </w:rPr>
            </w:pPr>
            <w:r>
              <w:rPr>
                <w:rFonts w:hint="eastAsia"/>
                <w:color w:val="auto"/>
                <w:sz w:val="18"/>
                <w:szCs w:val="18"/>
                <w:highlight w:val="none"/>
              </w:rPr>
              <w:t>2</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hAnsi="宋体"/>
                <w:color w:val="auto"/>
                <w:szCs w:val="18"/>
                <w:highlight w:val="none"/>
              </w:rPr>
              <w:t>电压精工范围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V</w:t>
            </w:r>
          </w:p>
        </w:tc>
        <w:tc>
          <w:tcPr>
            <w:tcW w:w="3803" w:type="dxa"/>
            <w:vAlign w:val="center"/>
          </w:tcPr>
          <w:p>
            <w:pPr>
              <w:snapToGrid w:val="0"/>
              <w:spacing w:before="62" w:beforeLines="20" w:after="62" w:afterLines="20"/>
              <w:jc w:val="center"/>
              <w:rPr>
                <w:rFonts w:hint="eastAsia" w:ascii="宋体" w:hAnsi="宋体"/>
                <w:color w:val="auto"/>
                <w:sz w:val="18"/>
                <w:szCs w:val="18"/>
                <w:highlight w:val="none"/>
              </w:rPr>
            </w:pPr>
            <w:r>
              <w:rPr>
                <w:rFonts w:hint="eastAsia"/>
                <w:color w:val="auto"/>
                <w:sz w:val="18"/>
                <w:szCs w:val="18"/>
                <w:highlight w:val="none"/>
              </w:rPr>
              <w:t>0.01Un</w:t>
            </w:r>
            <w:r>
              <w:rPr>
                <w:color w:val="auto"/>
                <w:sz w:val="18"/>
                <w:szCs w:val="18"/>
                <w:highlight w:val="none"/>
              </w:rPr>
              <w:t>—</w:t>
            </w:r>
            <w:r>
              <w:rPr>
                <w:rFonts w:hint="eastAsia"/>
                <w:color w:val="auto"/>
                <w:sz w:val="18"/>
                <w:szCs w:val="18"/>
                <w:highlight w:val="none"/>
              </w:rPr>
              <w:t>1.1Un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3</w:t>
            </w:r>
          </w:p>
        </w:tc>
        <w:tc>
          <w:tcPr>
            <w:tcW w:w="2699" w:type="dxa"/>
            <w:vAlign w:val="center"/>
          </w:tcPr>
          <w:p>
            <w:pPr>
              <w:pStyle w:val="7"/>
              <w:snapToGrid w:val="0"/>
              <w:spacing w:before="62" w:beforeLines="20" w:after="62" w:afterLines="20"/>
              <w:jc w:val="center"/>
              <w:rPr>
                <w:rFonts w:hint="eastAsia" w:hAnsi="宋体"/>
                <w:color w:val="auto"/>
                <w:szCs w:val="18"/>
                <w:highlight w:val="none"/>
              </w:rPr>
            </w:pPr>
            <w:r>
              <w:rPr>
                <w:rFonts w:hint="eastAsia"/>
                <w:color w:val="auto"/>
                <w:szCs w:val="18"/>
                <w:highlight w:val="none"/>
              </w:rPr>
              <w:t>过流I段动作时间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ms</w:t>
            </w:r>
          </w:p>
        </w:tc>
        <w:tc>
          <w:tcPr>
            <w:tcW w:w="3803"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不大于</w:t>
            </w:r>
            <w:r>
              <w:rPr>
                <w:color w:val="auto"/>
                <w:sz w:val="18"/>
                <w:szCs w:val="18"/>
                <w:highlight w:val="none"/>
              </w:rPr>
              <w:t>30</w:t>
            </w:r>
            <w:r>
              <w:rPr>
                <w:rFonts w:hint="eastAsia"/>
                <w:color w:val="auto"/>
                <w:sz w:val="18"/>
                <w:szCs w:val="18"/>
                <w:highlight w:val="none"/>
              </w:rPr>
              <w:t>ms（1.2倍整定值）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4</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整组动作时间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ms</w:t>
            </w:r>
          </w:p>
        </w:tc>
        <w:tc>
          <w:tcPr>
            <w:tcW w:w="3803" w:type="dxa"/>
            <w:vAlign w:val="center"/>
          </w:tcPr>
          <w:p>
            <w:pPr>
              <w:jc w:val="center"/>
              <w:rPr>
                <w:rFonts w:hint="eastAsia"/>
                <w:color w:val="auto"/>
                <w:sz w:val="18"/>
                <w:szCs w:val="18"/>
                <w:highlight w:val="none"/>
              </w:rPr>
            </w:pPr>
            <w:r>
              <w:rPr>
                <w:rFonts w:hint="eastAsia"/>
                <w:color w:val="auto"/>
                <w:sz w:val="18"/>
                <w:szCs w:val="18"/>
                <w:highlight w:val="none"/>
              </w:rPr>
              <w:t>近端故障不大于20ms；</w:t>
            </w:r>
          </w:p>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远端故障不大于30ms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5</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交流电流回路过载能力</w:t>
            </w:r>
          </w:p>
        </w:tc>
        <w:tc>
          <w:tcPr>
            <w:tcW w:w="709" w:type="dxa"/>
            <w:vAlign w:val="center"/>
          </w:tcPr>
          <w:p>
            <w:pPr>
              <w:pStyle w:val="7"/>
              <w:snapToGrid w:val="0"/>
              <w:spacing w:before="62" w:beforeLines="20" w:after="62" w:afterLines="20"/>
              <w:jc w:val="center"/>
              <w:rPr>
                <w:rFonts w:hint="eastAsia"/>
                <w:color w:val="auto"/>
                <w:szCs w:val="18"/>
                <w:highlight w:val="none"/>
              </w:rPr>
            </w:pPr>
          </w:p>
        </w:tc>
        <w:tc>
          <w:tcPr>
            <w:tcW w:w="3803"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2 In，连续工作；10 In，10s；40 In，1s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6</w:t>
            </w:r>
          </w:p>
        </w:tc>
        <w:tc>
          <w:tcPr>
            <w:tcW w:w="2699" w:type="dxa"/>
            <w:vAlign w:val="center"/>
          </w:tcPr>
          <w:p>
            <w:pPr>
              <w:jc w:val="center"/>
              <w:rPr>
                <w:rFonts w:hint="eastAsia" w:hAnsi="宋体"/>
                <w:color w:val="auto"/>
                <w:sz w:val="18"/>
                <w:szCs w:val="18"/>
                <w:highlight w:val="none"/>
              </w:rPr>
            </w:pPr>
            <w:r>
              <w:rPr>
                <w:rFonts w:hint="eastAsia" w:hAnsi="宋体"/>
                <w:color w:val="auto"/>
                <w:highlight w:val="none"/>
              </w:rPr>
              <w:t>交流电压回路过载能力</w:t>
            </w:r>
          </w:p>
        </w:tc>
        <w:tc>
          <w:tcPr>
            <w:tcW w:w="709" w:type="dxa"/>
            <w:vAlign w:val="center"/>
          </w:tcPr>
          <w:p>
            <w:pPr>
              <w:pStyle w:val="7"/>
              <w:snapToGrid w:val="0"/>
              <w:spacing w:before="62" w:beforeLines="20" w:after="62" w:afterLines="20"/>
              <w:jc w:val="center"/>
              <w:rPr>
                <w:rFonts w:hint="eastAsia"/>
                <w:color w:val="auto"/>
                <w:szCs w:val="18"/>
                <w:highlight w:val="none"/>
              </w:rPr>
            </w:pPr>
          </w:p>
        </w:tc>
        <w:tc>
          <w:tcPr>
            <w:tcW w:w="3803"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1.2 In，连续工作；1.4 In，10s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7</w:t>
            </w:r>
          </w:p>
        </w:tc>
        <w:tc>
          <w:tcPr>
            <w:tcW w:w="2699" w:type="dxa"/>
            <w:vAlign w:val="center"/>
          </w:tcPr>
          <w:p>
            <w:pPr>
              <w:jc w:val="center"/>
              <w:rPr>
                <w:rFonts w:hint="eastAsia" w:hAnsi="宋体"/>
                <w:color w:val="auto"/>
                <w:sz w:val="18"/>
                <w:szCs w:val="18"/>
                <w:highlight w:val="none"/>
              </w:rPr>
            </w:pPr>
            <w:r>
              <w:rPr>
                <w:rFonts w:hint="eastAsia"/>
                <w:color w:val="auto"/>
                <w:highlight w:val="none"/>
              </w:rPr>
              <w:t>交流电压回路功率损耗（每相）</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VA</w:t>
            </w:r>
          </w:p>
        </w:tc>
        <w:tc>
          <w:tcPr>
            <w:tcW w:w="3803" w:type="dxa"/>
            <w:vAlign w:val="center"/>
          </w:tcPr>
          <w:p>
            <w:pPr>
              <w:snapToGrid w:val="0"/>
              <w:spacing w:before="62" w:beforeLines="20" w:after="62" w:afterLines="20"/>
              <w:jc w:val="center"/>
              <w:rPr>
                <w:rFonts w:hint="eastAsia"/>
                <w:color w:val="auto"/>
                <w:sz w:val="18"/>
                <w:szCs w:val="18"/>
                <w:highlight w:val="none"/>
              </w:rPr>
            </w:pPr>
            <w:r>
              <w:rPr>
                <w:rFonts w:hint="eastAsia" w:ascii="宋体" w:hAnsi="宋体"/>
                <w:color w:val="auto"/>
                <w:sz w:val="18"/>
                <w:szCs w:val="18"/>
                <w:highlight w:val="none"/>
              </w:rPr>
              <w:t>≤1VA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8</w:t>
            </w:r>
          </w:p>
        </w:tc>
        <w:tc>
          <w:tcPr>
            <w:tcW w:w="2699" w:type="dxa"/>
            <w:vAlign w:val="center"/>
          </w:tcPr>
          <w:p>
            <w:pPr>
              <w:jc w:val="center"/>
              <w:rPr>
                <w:rFonts w:hint="eastAsia"/>
                <w:color w:val="auto"/>
                <w:sz w:val="18"/>
                <w:szCs w:val="18"/>
                <w:highlight w:val="none"/>
              </w:rPr>
            </w:pPr>
            <w:r>
              <w:rPr>
                <w:rFonts w:hint="eastAsia"/>
                <w:color w:val="auto"/>
                <w:highlight w:val="none"/>
              </w:rPr>
              <w:t>交流电流回路功率损耗（每相）</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VA</w:t>
            </w:r>
          </w:p>
        </w:tc>
        <w:tc>
          <w:tcPr>
            <w:tcW w:w="3803" w:type="dxa"/>
            <w:vAlign w:val="center"/>
          </w:tcPr>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≤0.5VA(In=1A)</w:t>
            </w:r>
          </w:p>
          <w:p>
            <w:pPr>
              <w:snapToGrid w:val="0"/>
              <w:spacing w:before="62" w:beforeLines="20" w:after="62" w:afterLines="20"/>
              <w:jc w:val="center"/>
              <w:rPr>
                <w:rFonts w:hint="eastAsia"/>
                <w:color w:val="auto"/>
                <w:sz w:val="18"/>
                <w:szCs w:val="18"/>
                <w:highlight w:val="none"/>
              </w:rPr>
            </w:pPr>
            <w:r>
              <w:rPr>
                <w:rFonts w:hint="eastAsia" w:ascii="宋体" w:hAnsi="宋体"/>
                <w:color w:val="auto"/>
                <w:sz w:val="18"/>
                <w:szCs w:val="18"/>
                <w:highlight w:val="none"/>
              </w:rPr>
              <w:t>≤1VA（In=5A）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9</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装置直流消耗</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W</w:t>
            </w:r>
          </w:p>
        </w:tc>
        <w:tc>
          <w:tcPr>
            <w:tcW w:w="3803" w:type="dxa"/>
            <w:vAlign w:val="center"/>
          </w:tcPr>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≤30W(工作时)</w:t>
            </w:r>
          </w:p>
          <w:p>
            <w:pPr>
              <w:jc w:val="center"/>
              <w:rPr>
                <w:rFonts w:hint="eastAsia"/>
                <w:color w:val="auto"/>
                <w:sz w:val="18"/>
                <w:szCs w:val="18"/>
                <w:highlight w:val="none"/>
              </w:rPr>
            </w:pPr>
            <w:r>
              <w:rPr>
                <w:rFonts w:hint="eastAsia" w:ascii="宋体" w:hAnsi="宋体"/>
                <w:color w:val="auto"/>
                <w:sz w:val="18"/>
                <w:szCs w:val="18"/>
                <w:highlight w:val="none"/>
              </w:rPr>
              <w:t>≤50W（动作时）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10</w:t>
            </w:r>
          </w:p>
        </w:tc>
        <w:tc>
          <w:tcPr>
            <w:tcW w:w="2699" w:type="dxa"/>
            <w:vAlign w:val="center"/>
          </w:tcPr>
          <w:p>
            <w:pPr>
              <w:pStyle w:val="7"/>
              <w:snapToGrid w:val="0"/>
              <w:spacing w:before="62" w:beforeLines="20" w:after="62" w:afterLines="20"/>
              <w:jc w:val="center"/>
              <w:rPr>
                <w:color w:val="auto"/>
                <w:highlight w:val="none"/>
              </w:rPr>
            </w:pPr>
            <w:r>
              <w:rPr>
                <w:rFonts w:hint="eastAsia"/>
                <w:color w:val="auto"/>
                <w:highlight w:val="none"/>
              </w:rPr>
              <w:t>跳闸触点容量</w:t>
            </w:r>
          </w:p>
        </w:tc>
        <w:tc>
          <w:tcPr>
            <w:tcW w:w="709" w:type="dxa"/>
            <w:vAlign w:val="center"/>
          </w:tcPr>
          <w:p>
            <w:pPr>
              <w:snapToGrid w:val="0"/>
              <w:jc w:val="center"/>
              <w:rPr>
                <w:rFonts w:hint="eastAsia"/>
                <w:color w:val="auto"/>
                <w:sz w:val="18"/>
                <w:szCs w:val="18"/>
                <w:highlight w:val="none"/>
              </w:rPr>
            </w:pPr>
          </w:p>
        </w:tc>
        <w:tc>
          <w:tcPr>
            <w:tcW w:w="3803" w:type="dxa"/>
            <w:vAlign w:val="center"/>
          </w:tcPr>
          <w:p>
            <w:pPr>
              <w:jc w:val="center"/>
              <w:rPr>
                <w:rFonts w:hint="eastAsia"/>
                <w:color w:val="auto"/>
                <w:sz w:val="18"/>
                <w:szCs w:val="18"/>
                <w:highlight w:val="none"/>
              </w:rPr>
            </w:pPr>
            <w:r>
              <w:rPr>
                <w:rFonts w:hint="eastAsia"/>
                <w:color w:val="auto"/>
                <w:sz w:val="18"/>
                <w:szCs w:val="18"/>
                <w:highlight w:val="none"/>
              </w:rPr>
              <w:t>长期允许通过电流不小于</w:t>
            </w:r>
            <w:r>
              <w:rPr>
                <w:color w:val="auto"/>
                <w:sz w:val="18"/>
                <w:szCs w:val="18"/>
                <w:highlight w:val="none"/>
              </w:rPr>
              <w:t>5A</w:t>
            </w:r>
            <w:r>
              <w:rPr>
                <w:rFonts w:hint="eastAsia"/>
                <w:color w:val="auto"/>
                <w:sz w:val="18"/>
                <w:szCs w:val="18"/>
                <w:highlight w:val="none"/>
              </w:rPr>
              <w:t>；</w:t>
            </w:r>
          </w:p>
          <w:p>
            <w:pPr>
              <w:jc w:val="center"/>
              <w:rPr>
                <w:rFonts w:hint="eastAsia"/>
                <w:color w:val="auto"/>
                <w:sz w:val="18"/>
                <w:szCs w:val="18"/>
                <w:highlight w:val="none"/>
              </w:rPr>
            </w:pPr>
            <w:r>
              <w:rPr>
                <w:rFonts w:hint="eastAsia"/>
                <w:color w:val="auto"/>
                <w:sz w:val="18"/>
                <w:szCs w:val="18"/>
                <w:highlight w:val="none"/>
              </w:rPr>
              <w:t>触点断开容量为不小于</w:t>
            </w:r>
            <w:r>
              <w:rPr>
                <w:color w:val="auto"/>
                <w:sz w:val="18"/>
                <w:szCs w:val="18"/>
                <w:highlight w:val="none"/>
              </w:rPr>
              <w:t>50W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11</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其它触点容量</w:t>
            </w:r>
          </w:p>
        </w:tc>
        <w:tc>
          <w:tcPr>
            <w:tcW w:w="709" w:type="dxa"/>
            <w:vAlign w:val="center"/>
          </w:tcPr>
          <w:p>
            <w:pPr>
              <w:snapToGrid w:val="0"/>
              <w:jc w:val="center"/>
              <w:rPr>
                <w:rFonts w:hint="eastAsia"/>
                <w:color w:val="auto"/>
                <w:sz w:val="18"/>
                <w:szCs w:val="18"/>
                <w:highlight w:val="none"/>
              </w:rPr>
            </w:pPr>
          </w:p>
        </w:tc>
        <w:tc>
          <w:tcPr>
            <w:tcW w:w="3803" w:type="dxa"/>
            <w:vAlign w:val="center"/>
          </w:tcPr>
          <w:p>
            <w:pPr>
              <w:jc w:val="center"/>
              <w:rPr>
                <w:rFonts w:hint="eastAsia"/>
                <w:color w:val="auto"/>
                <w:sz w:val="18"/>
                <w:szCs w:val="18"/>
                <w:highlight w:val="none"/>
              </w:rPr>
            </w:pPr>
            <w:r>
              <w:rPr>
                <w:rFonts w:hint="eastAsia"/>
                <w:color w:val="auto"/>
                <w:sz w:val="18"/>
                <w:szCs w:val="18"/>
                <w:highlight w:val="none"/>
              </w:rPr>
              <w:t>长期允许通过电流不小于2</w:t>
            </w:r>
            <w:r>
              <w:rPr>
                <w:color w:val="auto"/>
                <w:sz w:val="18"/>
                <w:szCs w:val="18"/>
                <w:highlight w:val="none"/>
              </w:rPr>
              <w:t>A</w:t>
            </w:r>
            <w:r>
              <w:rPr>
                <w:rFonts w:hint="eastAsia"/>
                <w:color w:val="auto"/>
                <w:sz w:val="18"/>
                <w:szCs w:val="18"/>
                <w:highlight w:val="none"/>
              </w:rPr>
              <w:t>；</w:t>
            </w:r>
          </w:p>
          <w:p>
            <w:pPr>
              <w:snapToGrid w:val="0"/>
              <w:jc w:val="center"/>
              <w:rPr>
                <w:rFonts w:hint="eastAsia"/>
                <w:color w:val="auto"/>
                <w:sz w:val="18"/>
                <w:szCs w:val="18"/>
                <w:highlight w:val="none"/>
              </w:rPr>
            </w:pPr>
            <w:r>
              <w:rPr>
                <w:rFonts w:hint="eastAsia"/>
                <w:color w:val="auto"/>
                <w:sz w:val="18"/>
                <w:szCs w:val="18"/>
                <w:highlight w:val="none"/>
              </w:rPr>
              <w:t>触点断开容量为不小于</w:t>
            </w:r>
            <w:r>
              <w:rPr>
                <w:color w:val="auto"/>
                <w:sz w:val="18"/>
                <w:szCs w:val="18"/>
                <w:highlight w:val="none"/>
              </w:rPr>
              <w:t>30W</w:t>
            </w:r>
          </w:p>
        </w:tc>
      </w:tr>
    </w:tbl>
    <w:p>
      <w:pPr>
        <w:adjustRightInd w:val="0"/>
        <w:snapToGrid w:val="0"/>
        <w:spacing w:line="360" w:lineRule="auto"/>
        <w:rPr>
          <w:rFonts w:ascii="宋体"/>
          <w:color w:val="auto"/>
          <w:szCs w:val="21"/>
          <w:highlight w:val="none"/>
        </w:rPr>
      </w:pP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 xml:space="preserve"> P</w:t>
      </w:r>
      <w:r>
        <w:rPr>
          <w:rFonts w:ascii="宋体"/>
          <w:color w:val="auto"/>
          <w:szCs w:val="21"/>
          <w:highlight w:val="none"/>
        </w:rPr>
        <w:t>CS-941A-G</w:t>
      </w:r>
      <w:r>
        <w:rPr>
          <w:rFonts w:hint="eastAsia" w:ascii="宋体"/>
          <w:color w:val="auto"/>
          <w:szCs w:val="21"/>
          <w:highlight w:val="none"/>
        </w:rPr>
        <w:t>保护标准技术参数表</w:t>
      </w:r>
    </w:p>
    <w:tbl>
      <w:tblPr>
        <w:tblStyle w:val="16"/>
        <w:tblW w:w="7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2699"/>
        <w:gridCol w:w="709"/>
        <w:gridCol w:w="3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trPr>
        <w:tc>
          <w:tcPr>
            <w:tcW w:w="528"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序号</w:t>
            </w:r>
          </w:p>
        </w:tc>
        <w:tc>
          <w:tcPr>
            <w:tcW w:w="269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参数名称</w:t>
            </w:r>
          </w:p>
        </w:tc>
        <w:tc>
          <w:tcPr>
            <w:tcW w:w="70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单位</w:t>
            </w:r>
          </w:p>
        </w:tc>
        <w:tc>
          <w:tcPr>
            <w:tcW w:w="3786" w:type="dxa"/>
            <w:vAlign w:val="center"/>
          </w:tcPr>
          <w:p>
            <w:pPr>
              <w:snapToGrid w:val="0"/>
              <w:spacing w:before="62" w:beforeLines="20" w:after="62" w:afterLines="20"/>
              <w:jc w:val="center"/>
              <w:rPr>
                <w:rFonts w:hint="eastAsia"/>
                <w:color w:val="auto"/>
                <w:sz w:val="18"/>
                <w:szCs w:val="18"/>
                <w:highlight w:val="none"/>
              </w:rPr>
            </w:pPr>
            <w:r>
              <w:rPr>
                <w:rFonts w:hint="eastAsia" w:hAnsi="宋体"/>
                <w:color w:val="auto"/>
                <w:sz w:val="18"/>
                <w:szCs w:val="18"/>
                <w:highlight w:val="none"/>
              </w:rPr>
              <w:t>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jc w:val="center"/>
              <w:rPr>
                <w:rFonts w:hint="eastAsia"/>
                <w:color w:val="auto"/>
                <w:sz w:val="18"/>
                <w:szCs w:val="18"/>
                <w:highlight w:val="none"/>
              </w:rPr>
            </w:pPr>
            <w:r>
              <w:rPr>
                <w:rFonts w:hint="eastAsia"/>
                <w:color w:val="auto"/>
                <w:sz w:val="18"/>
                <w:szCs w:val="18"/>
                <w:highlight w:val="none"/>
              </w:rPr>
              <w:t>1</w:t>
            </w:r>
          </w:p>
        </w:tc>
        <w:tc>
          <w:tcPr>
            <w:tcW w:w="2699" w:type="dxa"/>
            <w:vAlign w:val="center"/>
          </w:tcPr>
          <w:p>
            <w:pPr>
              <w:pStyle w:val="7"/>
              <w:snapToGrid w:val="0"/>
              <w:spacing w:before="62" w:beforeLines="20" w:after="62" w:afterLines="20"/>
              <w:jc w:val="center"/>
              <w:rPr>
                <w:color w:val="auto"/>
                <w:highlight w:val="none"/>
              </w:rPr>
            </w:pPr>
            <w:r>
              <w:rPr>
                <w:rFonts w:hint="eastAsia" w:hAnsi="宋体"/>
                <w:color w:val="auto"/>
                <w:highlight w:val="none"/>
              </w:rPr>
              <w:t>电流精工范围</w:t>
            </w:r>
          </w:p>
        </w:tc>
        <w:tc>
          <w:tcPr>
            <w:tcW w:w="709" w:type="dxa"/>
            <w:vAlign w:val="center"/>
          </w:tcPr>
          <w:p>
            <w:pPr>
              <w:pStyle w:val="7"/>
              <w:snapToGrid w:val="0"/>
              <w:spacing w:before="62" w:beforeLines="20" w:after="62" w:afterLines="20"/>
              <w:jc w:val="center"/>
              <w:rPr>
                <w:rFonts w:hint="eastAsia"/>
                <w:color w:val="auto"/>
                <w:szCs w:val="18"/>
                <w:highlight w:val="none"/>
              </w:rPr>
            </w:pPr>
          </w:p>
        </w:tc>
        <w:tc>
          <w:tcPr>
            <w:tcW w:w="3786" w:type="dxa"/>
            <w:vAlign w:val="center"/>
          </w:tcPr>
          <w:p>
            <w:pPr>
              <w:snapToGrid w:val="0"/>
              <w:spacing w:before="62" w:beforeLines="20" w:after="62" w:afterLines="20"/>
              <w:jc w:val="center"/>
              <w:rPr>
                <w:rFonts w:hint="eastAsia" w:ascii="宋体" w:hAnsi="宋体"/>
                <w:color w:val="auto"/>
                <w:sz w:val="18"/>
                <w:szCs w:val="18"/>
                <w:highlight w:val="none"/>
              </w:rPr>
            </w:pPr>
            <w:r>
              <w:rPr>
                <w:rFonts w:hint="eastAsia" w:ascii="宋体" w:hAnsi="宋体"/>
                <w:color w:val="auto"/>
                <w:sz w:val="18"/>
                <w:szCs w:val="18"/>
                <w:highlight w:val="none"/>
              </w:rPr>
              <w:t>测量范围下限为0.05 In，上限为20In～40 In，在电流为0.05 In～（20 In～40In）时，测量误差≤5%（相对误差）或0.02 In（绝对误差），但在0.05 In以下范围用户应能整定并使用，实际故障电流超过电流上限（20 In～40In）时，保护装置不误动不拒动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jc w:val="center"/>
              <w:rPr>
                <w:rFonts w:hint="eastAsia"/>
                <w:color w:val="auto"/>
                <w:sz w:val="18"/>
                <w:szCs w:val="18"/>
                <w:highlight w:val="none"/>
              </w:rPr>
            </w:pPr>
            <w:r>
              <w:rPr>
                <w:rFonts w:hint="eastAsia"/>
                <w:color w:val="auto"/>
                <w:sz w:val="18"/>
                <w:szCs w:val="18"/>
                <w:highlight w:val="none"/>
              </w:rPr>
              <w:t>2</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hAnsi="宋体"/>
                <w:color w:val="auto"/>
                <w:szCs w:val="18"/>
                <w:highlight w:val="none"/>
              </w:rPr>
              <w:t>电压精工范围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V</w:t>
            </w:r>
          </w:p>
        </w:tc>
        <w:tc>
          <w:tcPr>
            <w:tcW w:w="3786" w:type="dxa"/>
            <w:vAlign w:val="center"/>
          </w:tcPr>
          <w:p>
            <w:pPr>
              <w:snapToGrid w:val="0"/>
              <w:spacing w:before="62" w:beforeLines="20" w:after="62" w:afterLines="20"/>
              <w:jc w:val="center"/>
              <w:rPr>
                <w:rFonts w:hint="eastAsia" w:ascii="宋体" w:hAnsi="宋体"/>
                <w:color w:val="auto"/>
                <w:sz w:val="18"/>
                <w:szCs w:val="18"/>
                <w:highlight w:val="none"/>
              </w:rPr>
            </w:pPr>
            <w:r>
              <w:rPr>
                <w:rFonts w:hint="eastAsia"/>
                <w:color w:val="auto"/>
                <w:sz w:val="18"/>
                <w:szCs w:val="18"/>
                <w:highlight w:val="none"/>
              </w:rPr>
              <w:t>0.01Un</w:t>
            </w:r>
            <w:r>
              <w:rPr>
                <w:color w:val="auto"/>
                <w:sz w:val="18"/>
                <w:szCs w:val="18"/>
                <w:highlight w:val="none"/>
              </w:rPr>
              <w:t>—</w:t>
            </w:r>
            <w:r>
              <w:rPr>
                <w:rFonts w:hint="eastAsia"/>
                <w:color w:val="auto"/>
                <w:sz w:val="18"/>
                <w:szCs w:val="18"/>
                <w:highlight w:val="none"/>
              </w:rPr>
              <w:t>1.1Un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3</w:t>
            </w:r>
          </w:p>
        </w:tc>
        <w:tc>
          <w:tcPr>
            <w:tcW w:w="2699" w:type="dxa"/>
            <w:vAlign w:val="center"/>
          </w:tcPr>
          <w:p>
            <w:pPr>
              <w:pStyle w:val="7"/>
              <w:snapToGrid w:val="0"/>
              <w:spacing w:before="62" w:beforeLines="20" w:after="62" w:afterLines="20"/>
              <w:jc w:val="center"/>
              <w:rPr>
                <w:rFonts w:hint="eastAsia" w:hAnsi="宋体"/>
                <w:color w:val="auto"/>
                <w:szCs w:val="18"/>
                <w:highlight w:val="none"/>
              </w:rPr>
            </w:pPr>
            <w:r>
              <w:rPr>
                <w:rFonts w:hint="eastAsia"/>
                <w:color w:val="auto"/>
                <w:szCs w:val="18"/>
                <w:highlight w:val="none"/>
              </w:rPr>
              <w:t>距离I段暂态超越</w:t>
            </w:r>
          </w:p>
        </w:tc>
        <w:tc>
          <w:tcPr>
            <w:tcW w:w="709" w:type="dxa"/>
            <w:vAlign w:val="center"/>
          </w:tcPr>
          <w:p>
            <w:pPr>
              <w:pStyle w:val="7"/>
              <w:snapToGrid w:val="0"/>
              <w:spacing w:before="62" w:beforeLines="20" w:after="62" w:afterLines="20"/>
              <w:jc w:val="center"/>
              <w:rPr>
                <w:rFonts w:hint="eastAsia"/>
                <w:color w:val="auto"/>
                <w:szCs w:val="18"/>
                <w:highlight w:val="none"/>
              </w:rPr>
            </w:pPr>
          </w:p>
        </w:tc>
        <w:tc>
          <w:tcPr>
            <w:tcW w:w="3786"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4</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相间距离I段动作时间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ms</w:t>
            </w:r>
          </w:p>
        </w:tc>
        <w:tc>
          <w:tcPr>
            <w:tcW w:w="3786"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不大于30ms（0.7倍整定值）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5</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接地距离I段动作时间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ms</w:t>
            </w:r>
          </w:p>
        </w:tc>
        <w:tc>
          <w:tcPr>
            <w:tcW w:w="3786"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不大于30ms（0.7倍整定值）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6</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零序过流I段动作时间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ms</w:t>
            </w:r>
          </w:p>
        </w:tc>
        <w:tc>
          <w:tcPr>
            <w:tcW w:w="3786"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不大于25ms（1.2倍整定值）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7</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整组动作时间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ms</w:t>
            </w:r>
          </w:p>
        </w:tc>
        <w:tc>
          <w:tcPr>
            <w:tcW w:w="3786" w:type="dxa"/>
            <w:vAlign w:val="center"/>
          </w:tcPr>
          <w:p>
            <w:pPr>
              <w:jc w:val="center"/>
              <w:rPr>
                <w:rFonts w:hint="eastAsia"/>
                <w:color w:val="auto"/>
                <w:sz w:val="18"/>
                <w:szCs w:val="18"/>
                <w:highlight w:val="none"/>
              </w:rPr>
            </w:pPr>
            <w:r>
              <w:rPr>
                <w:rFonts w:hint="eastAsia"/>
                <w:color w:val="auto"/>
                <w:sz w:val="18"/>
                <w:szCs w:val="18"/>
                <w:highlight w:val="none"/>
              </w:rPr>
              <w:t>近端故障不大于20ms；</w:t>
            </w:r>
          </w:p>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远端故障不大于30ms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8</w:t>
            </w:r>
          </w:p>
        </w:tc>
        <w:tc>
          <w:tcPr>
            <w:tcW w:w="2699" w:type="dxa"/>
            <w:vAlign w:val="center"/>
          </w:tcPr>
          <w:p>
            <w:pPr>
              <w:jc w:val="center"/>
              <w:rPr>
                <w:rFonts w:hint="eastAsia"/>
                <w:color w:val="auto"/>
                <w:sz w:val="18"/>
                <w:szCs w:val="18"/>
                <w:highlight w:val="none"/>
              </w:rPr>
            </w:pPr>
            <w:r>
              <w:rPr>
                <w:rFonts w:hint="eastAsia"/>
                <w:color w:val="auto"/>
                <w:sz w:val="18"/>
                <w:szCs w:val="18"/>
                <w:highlight w:val="none"/>
              </w:rPr>
              <w:t>交流电流回路过载能力</w:t>
            </w:r>
          </w:p>
        </w:tc>
        <w:tc>
          <w:tcPr>
            <w:tcW w:w="709" w:type="dxa"/>
            <w:vAlign w:val="center"/>
          </w:tcPr>
          <w:p>
            <w:pPr>
              <w:pStyle w:val="7"/>
              <w:snapToGrid w:val="0"/>
              <w:spacing w:before="62" w:beforeLines="20" w:after="62" w:afterLines="20"/>
              <w:jc w:val="center"/>
              <w:rPr>
                <w:rFonts w:hint="eastAsia"/>
                <w:color w:val="auto"/>
                <w:szCs w:val="18"/>
                <w:highlight w:val="none"/>
              </w:rPr>
            </w:pPr>
          </w:p>
        </w:tc>
        <w:tc>
          <w:tcPr>
            <w:tcW w:w="3786"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2 In，连续工作；10 In，10s；40 In，1s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9</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hAnsi="宋体"/>
                <w:color w:val="auto"/>
                <w:highlight w:val="none"/>
              </w:rPr>
              <w:t>交流电压回路过载能力</w:t>
            </w:r>
          </w:p>
        </w:tc>
        <w:tc>
          <w:tcPr>
            <w:tcW w:w="709" w:type="dxa"/>
            <w:vAlign w:val="center"/>
          </w:tcPr>
          <w:p>
            <w:pPr>
              <w:snapToGrid w:val="0"/>
              <w:jc w:val="center"/>
              <w:rPr>
                <w:rFonts w:hint="eastAsia"/>
                <w:color w:val="auto"/>
                <w:sz w:val="18"/>
                <w:szCs w:val="18"/>
                <w:highlight w:val="none"/>
              </w:rPr>
            </w:pPr>
          </w:p>
        </w:tc>
        <w:tc>
          <w:tcPr>
            <w:tcW w:w="3786" w:type="dxa"/>
            <w:vAlign w:val="center"/>
          </w:tcPr>
          <w:p>
            <w:pPr>
              <w:jc w:val="center"/>
              <w:rPr>
                <w:rFonts w:hint="eastAsia"/>
                <w:color w:val="auto"/>
                <w:sz w:val="18"/>
                <w:szCs w:val="18"/>
                <w:highlight w:val="none"/>
              </w:rPr>
            </w:pPr>
            <w:r>
              <w:rPr>
                <w:rFonts w:hint="eastAsia"/>
                <w:color w:val="auto"/>
                <w:sz w:val="18"/>
                <w:szCs w:val="18"/>
                <w:highlight w:val="none"/>
              </w:rPr>
              <w:t>1.2 In，连续工作；1.4 In，10s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10</w:t>
            </w:r>
          </w:p>
        </w:tc>
        <w:tc>
          <w:tcPr>
            <w:tcW w:w="2699" w:type="dxa"/>
            <w:vAlign w:val="center"/>
          </w:tcPr>
          <w:p>
            <w:pPr>
              <w:pStyle w:val="7"/>
              <w:snapToGrid w:val="0"/>
              <w:spacing w:before="62" w:beforeLines="20" w:after="62" w:afterLines="20"/>
              <w:jc w:val="center"/>
              <w:rPr>
                <w:color w:val="auto"/>
                <w:highlight w:val="none"/>
              </w:rPr>
            </w:pPr>
            <w:r>
              <w:rPr>
                <w:rFonts w:hint="eastAsia"/>
                <w:color w:val="auto"/>
                <w:highlight w:val="none"/>
              </w:rPr>
              <w:t>交流电压回路功率损耗（每相）</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VA</w:t>
            </w:r>
          </w:p>
        </w:tc>
        <w:tc>
          <w:tcPr>
            <w:tcW w:w="3786" w:type="dxa"/>
            <w:vAlign w:val="center"/>
          </w:tcPr>
          <w:p>
            <w:pPr>
              <w:jc w:val="center"/>
              <w:rPr>
                <w:rFonts w:hint="eastAsia"/>
                <w:color w:val="auto"/>
                <w:sz w:val="18"/>
                <w:szCs w:val="18"/>
                <w:highlight w:val="none"/>
              </w:rPr>
            </w:pPr>
            <w:r>
              <w:rPr>
                <w:rFonts w:hint="eastAsia" w:ascii="宋体" w:hAnsi="宋体"/>
                <w:color w:val="auto"/>
                <w:sz w:val="18"/>
                <w:szCs w:val="18"/>
                <w:highlight w:val="none"/>
              </w:rPr>
              <w:t>≤1VA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11</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交流电流回路功率损耗（每相）</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VA</w:t>
            </w:r>
          </w:p>
        </w:tc>
        <w:tc>
          <w:tcPr>
            <w:tcW w:w="3786" w:type="dxa"/>
            <w:vAlign w:val="center"/>
          </w:tcPr>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≤0.5VA(In=1A)</w:t>
            </w:r>
          </w:p>
          <w:p>
            <w:pPr>
              <w:snapToGrid w:val="0"/>
              <w:jc w:val="center"/>
              <w:rPr>
                <w:rFonts w:hint="eastAsia"/>
                <w:color w:val="auto"/>
                <w:sz w:val="18"/>
                <w:szCs w:val="18"/>
                <w:highlight w:val="none"/>
              </w:rPr>
            </w:pPr>
            <w:r>
              <w:rPr>
                <w:rFonts w:hint="eastAsia" w:ascii="宋体" w:hAnsi="宋体"/>
                <w:color w:val="auto"/>
                <w:sz w:val="18"/>
                <w:szCs w:val="18"/>
                <w:highlight w:val="none"/>
              </w:rPr>
              <w:t>≤1VA（In=5A）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12</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装置直流消耗</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W</w:t>
            </w:r>
          </w:p>
        </w:tc>
        <w:tc>
          <w:tcPr>
            <w:tcW w:w="3786" w:type="dxa"/>
            <w:vAlign w:val="center"/>
          </w:tcPr>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≤30W(工作时)</w:t>
            </w:r>
          </w:p>
          <w:p>
            <w:pPr>
              <w:snapToGrid w:val="0"/>
              <w:jc w:val="center"/>
              <w:rPr>
                <w:color w:val="auto"/>
                <w:sz w:val="18"/>
                <w:szCs w:val="18"/>
                <w:highlight w:val="none"/>
              </w:rPr>
            </w:pPr>
            <w:r>
              <w:rPr>
                <w:rFonts w:hint="eastAsia" w:ascii="宋体" w:hAnsi="宋体"/>
                <w:color w:val="auto"/>
                <w:sz w:val="18"/>
                <w:szCs w:val="18"/>
                <w:highlight w:val="none"/>
              </w:rPr>
              <w:t>≤50W（动作时）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13</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跳闸触点容量</w:t>
            </w:r>
          </w:p>
        </w:tc>
        <w:tc>
          <w:tcPr>
            <w:tcW w:w="709" w:type="dxa"/>
            <w:vAlign w:val="center"/>
          </w:tcPr>
          <w:p>
            <w:pPr>
              <w:snapToGrid w:val="0"/>
              <w:jc w:val="center"/>
              <w:rPr>
                <w:rFonts w:hint="eastAsia"/>
                <w:color w:val="auto"/>
                <w:sz w:val="18"/>
                <w:szCs w:val="18"/>
                <w:highlight w:val="none"/>
              </w:rPr>
            </w:pPr>
          </w:p>
        </w:tc>
        <w:tc>
          <w:tcPr>
            <w:tcW w:w="3786" w:type="dxa"/>
            <w:vAlign w:val="center"/>
          </w:tcPr>
          <w:p>
            <w:pPr>
              <w:jc w:val="center"/>
              <w:rPr>
                <w:rFonts w:hint="eastAsia"/>
                <w:color w:val="auto"/>
                <w:sz w:val="18"/>
                <w:szCs w:val="18"/>
                <w:highlight w:val="none"/>
              </w:rPr>
            </w:pPr>
            <w:r>
              <w:rPr>
                <w:rFonts w:hint="eastAsia"/>
                <w:color w:val="auto"/>
                <w:sz w:val="18"/>
                <w:szCs w:val="18"/>
                <w:highlight w:val="none"/>
              </w:rPr>
              <w:t>长期允许通过电流不小于</w:t>
            </w:r>
            <w:r>
              <w:rPr>
                <w:color w:val="auto"/>
                <w:sz w:val="18"/>
                <w:szCs w:val="18"/>
                <w:highlight w:val="none"/>
              </w:rPr>
              <w:t>5A</w:t>
            </w:r>
            <w:r>
              <w:rPr>
                <w:rFonts w:hint="eastAsia"/>
                <w:color w:val="auto"/>
                <w:sz w:val="18"/>
                <w:szCs w:val="18"/>
                <w:highlight w:val="none"/>
              </w:rPr>
              <w:t>；</w:t>
            </w:r>
          </w:p>
          <w:p>
            <w:pPr>
              <w:snapToGrid w:val="0"/>
              <w:jc w:val="center"/>
              <w:rPr>
                <w:rFonts w:hint="eastAsia" w:ascii="宋体" w:hAnsi="宋体"/>
                <w:color w:val="auto"/>
                <w:sz w:val="18"/>
                <w:szCs w:val="18"/>
                <w:highlight w:val="none"/>
              </w:rPr>
            </w:pPr>
            <w:r>
              <w:rPr>
                <w:rFonts w:hint="eastAsia"/>
                <w:color w:val="auto"/>
                <w:sz w:val="18"/>
                <w:szCs w:val="18"/>
                <w:highlight w:val="none"/>
              </w:rPr>
              <w:t>触点断开容量为不小于</w:t>
            </w:r>
            <w:r>
              <w:rPr>
                <w:color w:val="auto"/>
                <w:sz w:val="18"/>
                <w:szCs w:val="18"/>
                <w:highlight w:val="none"/>
              </w:rPr>
              <w:t>50W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14</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其它触点容量</w:t>
            </w:r>
          </w:p>
        </w:tc>
        <w:tc>
          <w:tcPr>
            <w:tcW w:w="709" w:type="dxa"/>
            <w:vAlign w:val="center"/>
          </w:tcPr>
          <w:p>
            <w:pPr>
              <w:snapToGrid w:val="0"/>
              <w:jc w:val="center"/>
              <w:rPr>
                <w:rFonts w:hint="eastAsia"/>
                <w:color w:val="auto"/>
                <w:sz w:val="18"/>
                <w:szCs w:val="18"/>
                <w:highlight w:val="none"/>
              </w:rPr>
            </w:pPr>
          </w:p>
        </w:tc>
        <w:tc>
          <w:tcPr>
            <w:tcW w:w="3786" w:type="dxa"/>
            <w:vAlign w:val="center"/>
          </w:tcPr>
          <w:p>
            <w:pPr>
              <w:jc w:val="center"/>
              <w:rPr>
                <w:rFonts w:hint="eastAsia"/>
                <w:color w:val="auto"/>
                <w:sz w:val="18"/>
                <w:szCs w:val="18"/>
                <w:highlight w:val="none"/>
              </w:rPr>
            </w:pPr>
            <w:r>
              <w:rPr>
                <w:rFonts w:hint="eastAsia"/>
                <w:color w:val="auto"/>
                <w:sz w:val="18"/>
                <w:szCs w:val="18"/>
                <w:highlight w:val="none"/>
              </w:rPr>
              <w:t>长期允许通过电流不小于2</w:t>
            </w:r>
            <w:r>
              <w:rPr>
                <w:color w:val="auto"/>
                <w:sz w:val="18"/>
                <w:szCs w:val="18"/>
                <w:highlight w:val="none"/>
              </w:rPr>
              <w:t>A</w:t>
            </w:r>
            <w:r>
              <w:rPr>
                <w:rFonts w:hint="eastAsia"/>
                <w:color w:val="auto"/>
                <w:sz w:val="18"/>
                <w:szCs w:val="18"/>
                <w:highlight w:val="none"/>
              </w:rPr>
              <w:t>；</w:t>
            </w:r>
          </w:p>
          <w:p>
            <w:pPr>
              <w:snapToGrid w:val="0"/>
              <w:jc w:val="center"/>
              <w:rPr>
                <w:rFonts w:hint="eastAsia" w:ascii="宋体" w:hAnsi="宋体"/>
                <w:color w:val="auto"/>
                <w:sz w:val="18"/>
                <w:szCs w:val="18"/>
                <w:highlight w:val="none"/>
              </w:rPr>
            </w:pPr>
            <w:r>
              <w:rPr>
                <w:rFonts w:hint="eastAsia"/>
                <w:color w:val="auto"/>
                <w:sz w:val="18"/>
                <w:szCs w:val="18"/>
                <w:highlight w:val="none"/>
              </w:rPr>
              <w:t>触点断开容量为不小于</w:t>
            </w:r>
            <w:r>
              <w:rPr>
                <w:color w:val="auto"/>
                <w:sz w:val="18"/>
                <w:szCs w:val="18"/>
                <w:highlight w:val="none"/>
              </w:rPr>
              <w:t>30W</w:t>
            </w:r>
          </w:p>
        </w:tc>
      </w:tr>
    </w:tbl>
    <w:p>
      <w:pPr>
        <w:ind w:firstLine="360" w:firstLineChars="200"/>
        <w:rPr>
          <w:color w:val="auto"/>
          <w:sz w:val="18"/>
          <w:szCs w:val="18"/>
          <w:highlight w:val="none"/>
        </w:rPr>
      </w:pP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3.1.</w:t>
      </w:r>
      <w:r>
        <w:rPr>
          <w:rFonts w:ascii="宋体"/>
          <w:color w:val="auto"/>
          <w:szCs w:val="21"/>
          <w:highlight w:val="none"/>
        </w:rPr>
        <w:t>2</w:t>
      </w:r>
      <w:r>
        <w:rPr>
          <w:rFonts w:hint="eastAsia" w:ascii="宋体"/>
          <w:color w:val="auto"/>
          <w:szCs w:val="21"/>
          <w:highlight w:val="none"/>
        </w:rPr>
        <w:t xml:space="preserve"> 打印机标准技术参数表</w:t>
      </w:r>
    </w:p>
    <w:tbl>
      <w:tblPr>
        <w:tblStyle w:val="16"/>
        <w:tblW w:w="7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2699"/>
        <w:gridCol w:w="709"/>
        <w:gridCol w:w="3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trPr>
        <w:tc>
          <w:tcPr>
            <w:tcW w:w="528"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序号</w:t>
            </w:r>
          </w:p>
        </w:tc>
        <w:tc>
          <w:tcPr>
            <w:tcW w:w="269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参数名称</w:t>
            </w:r>
          </w:p>
        </w:tc>
        <w:tc>
          <w:tcPr>
            <w:tcW w:w="70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单位</w:t>
            </w:r>
          </w:p>
        </w:tc>
        <w:tc>
          <w:tcPr>
            <w:tcW w:w="3803" w:type="dxa"/>
            <w:vAlign w:val="center"/>
          </w:tcPr>
          <w:p>
            <w:pPr>
              <w:snapToGrid w:val="0"/>
              <w:spacing w:before="62" w:beforeLines="20" w:after="62" w:afterLines="20"/>
              <w:jc w:val="center"/>
              <w:rPr>
                <w:rFonts w:hint="eastAsia"/>
                <w:color w:val="auto"/>
                <w:sz w:val="18"/>
                <w:szCs w:val="18"/>
                <w:highlight w:val="none"/>
              </w:rPr>
            </w:pPr>
            <w:r>
              <w:rPr>
                <w:rFonts w:hint="eastAsia" w:hAnsi="宋体"/>
                <w:color w:val="auto"/>
                <w:sz w:val="18"/>
                <w:szCs w:val="18"/>
                <w:highlight w:val="none"/>
              </w:rPr>
              <w:t>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1</w:t>
            </w:r>
          </w:p>
        </w:tc>
        <w:tc>
          <w:tcPr>
            <w:tcW w:w="2699" w:type="dxa"/>
            <w:vAlign w:val="center"/>
          </w:tcPr>
          <w:p>
            <w:pPr>
              <w:spacing w:line="312" w:lineRule="exact"/>
              <w:jc w:val="center"/>
              <w:rPr>
                <w:rFonts w:hint="eastAsia"/>
                <w:color w:val="auto"/>
                <w:sz w:val="18"/>
                <w:szCs w:val="18"/>
                <w:highlight w:val="none"/>
              </w:rPr>
            </w:pPr>
            <w:r>
              <w:rPr>
                <w:rFonts w:hint="eastAsia" w:hAnsi="宋体"/>
                <w:color w:val="auto"/>
                <w:sz w:val="18"/>
                <w:szCs w:val="18"/>
                <w:highlight w:val="none"/>
              </w:rPr>
              <w:t>工作电源</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V</w:t>
            </w:r>
          </w:p>
        </w:tc>
        <w:tc>
          <w:tcPr>
            <w:tcW w:w="3803" w:type="dxa"/>
            <w:vAlign w:val="center"/>
          </w:tcPr>
          <w:p>
            <w:pPr>
              <w:spacing w:line="312" w:lineRule="exact"/>
              <w:jc w:val="center"/>
              <w:rPr>
                <w:rFonts w:hint="eastAsia"/>
                <w:color w:val="auto"/>
                <w:sz w:val="18"/>
                <w:szCs w:val="18"/>
                <w:highlight w:val="none"/>
              </w:rPr>
            </w:pPr>
            <w:r>
              <w:rPr>
                <w:rFonts w:hint="eastAsia"/>
                <w:color w:val="auto"/>
                <w:sz w:val="18"/>
                <w:szCs w:val="18"/>
                <w:highlight w:val="none"/>
              </w:rPr>
              <w:t>220VAC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2</w:t>
            </w:r>
          </w:p>
        </w:tc>
        <w:tc>
          <w:tcPr>
            <w:tcW w:w="2699" w:type="dxa"/>
            <w:vAlign w:val="center"/>
          </w:tcPr>
          <w:p>
            <w:pPr>
              <w:spacing w:line="312" w:lineRule="exact"/>
              <w:jc w:val="center"/>
              <w:rPr>
                <w:rFonts w:hint="eastAsia" w:hAnsi="宋体"/>
                <w:color w:val="auto"/>
                <w:sz w:val="18"/>
                <w:szCs w:val="18"/>
                <w:highlight w:val="none"/>
              </w:rPr>
            </w:pPr>
            <w:r>
              <w:rPr>
                <w:rFonts w:hint="eastAsia" w:hAnsi="宋体"/>
                <w:color w:val="auto"/>
                <w:sz w:val="18"/>
                <w:szCs w:val="18"/>
                <w:highlight w:val="none"/>
              </w:rPr>
              <w:t>接口型式</w:t>
            </w:r>
          </w:p>
        </w:tc>
        <w:tc>
          <w:tcPr>
            <w:tcW w:w="709" w:type="dxa"/>
            <w:vAlign w:val="center"/>
          </w:tcPr>
          <w:p>
            <w:pPr>
              <w:snapToGrid w:val="0"/>
              <w:jc w:val="center"/>
              <w:rPr>
                <w:rFonts w:hint="eastAsia"/>
                <w:color w:val="auto"/>
                <w:sz w:val="18"/>
                <w:szCs w:val="18"/>
                <w:highlight w:val="none"/>
              </w:rPr>
            </w:pPr>
          </w:p>
        </w:tc>
        <w:tc>
          <w:tcPr>
            <w:tcW w:w="3803" w:type="dxa"/>
            <w:vAlign w:val="center"/>
          </w:tcPr>
          <w:p>
            <w:pPr>
              <w:spacing w:line="312" w:lineRule="exact"/>
              <w:jc w:val="center"/>
              <w:rPr>
                <w:rFonts w:hint="eastAsia"/>
                <w:color w:val="auto"/>
                <w:sz w:val="18"/>
                <w:szCs w:val="18"/>
                <w:highlight w:val="none"/>
              </w:rPr>
            </w:pPr>
            <w:r>
              <w:rPr>
                <w:rFonts w:hint="eastAsia"/>
                <w:color w:val="auto"/>
                <w:sz w:val="18"/>
                <w:szCs w:val="18"/>
                <w:highlight w:val="none"/>
              </w:rPr>
              <w:t>与保护装置配套</w:t>
            </w:r>
          </w:p>
        </w:tc>
      </w:tr>
    </w:tbl>
    <w:p>
      <w:pPr>
        <w:ind w:firstLine="360" w:firstLineChars="200"/>
        <w:rPr>
          <w:rFonts w:hint="eastAsia"/>
          <w:color w:val="auto"/>
          <w:sz w:val="18"/>
          <w:szCs w:val="18"/>
          <w:highlight w:val="none"/>
        </w:rPr>
      </w:pP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3.1.</w:t>
      </w:r>
      <w:r>
        <w:rPr>
          <w:rFonts w:ascii="宋体"/>
          <w:color w:val="auto"/>
          <w:szCs w:val="21"/>
          <w:highlight w:val="none"/>
        </w:rPr>
        <w:t>3</w:t>
      </w:r>
      <w:r>
        <w:rPr>
          <w:rFonts w:hint="eastAsia" w:ascii="宋体"/>
          <w:color w:val="auto"/>
          <w:szCs w:val="21"/>
          <w:highlight w:val="none"/>
        </w:rPr>
        <w:t>保护柜标准技术参数表</w:t>
      </w:r>
    </w:p>
    <w:tbl>
      <w:tblPr>
        <w:tblStyle w:val="16"/>
        <w:tblW w:w="7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2699"/>
        <w:gridCol w:w="709"/>
        <w:gridCol w:w="3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trPr>
        <w:tc>
          <w:tcPr>
            <w:tcW w:w="528"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序号</w:t>
            </w:r>
          </w:p>
        </w:tc>
        <w:tc>
          <w:tcPr>
            <w:tcW w:w="269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参数名称</w:t>
            </w:r>
          </w:p>
        </w:tc>
        <w:tc>
          <w:tcPr>
            <w:tcW w:w="70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单位</w:t>
            </w:r>
          </w:p>
        </w:tc>
        <w:tc>
          <w:tcPr>
            <w:tcW w:w="3803" w:type="dxa"/>
            <w:vAlign w:val="center"/>
          </w:tcPr>
          <w:p>
            <w:pPr>
              <w:snapToGrid w:val="0"/>
              <w:spacing w:before="62" w:beforeLines="20" w:after="62" w:afterLines="20"/>
              <w:jc w:val="center"/>
              <w:rPr>
                <w:rFonts w:hint="eastAsia"/>
                <w:color w:val="auto"/>
                <w:sz w:val="18"/>
                <w:szCs w:val="18"/>
                <w:highlight w:val="none"/>
              </w:rPr>
            </w:pPr>
            <w:r>
              <w:rPr>
                <w:rFonts w:hint="eastAsia" w:hAnsi="宋体"/>
                <w:color w:val="auto"/>
                <w:sz w:val="18"/>
                <w:szCs w:val="18"/>
                <w:highlight w:val="none"/>
              </w:rPr>
              <w:t>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1</w:t>
            </w:r>
          </w:p>
        </w:tc>
        <w:tc>
          <w:tcPr>
            <w:tcW w:w="2699" w:type="dxa"/>
            <w:vAlign w:val="center"/>
          </w:tcPr>
          <w:p>
            <w:pPr>
              <w:spacing w:line="312" w:lineRule="exact"/>
              <w:jc w:val="center"/>
              <w:rPr>
                <w:rFonts w:hint="eastAsia"/>
                <w:color w:val="auto"/>
                <w:sz w:val="18"/>
                <w:szCs w:val="18"/>
                <w:highlight w:val="none"/>
              </w:rPr>
            </w:pPr>
            <w:r>
              <w:rPr>
                <w:rFonts w:hint="eastAsia" w:ascii="宋体" w:hAnsi="宋体"/>
                <w:color w:val="auto"/>
                <w:sz w:val="18"/>
                <w:szCs w:val="18"/>
                <w:highlight w:val="none"/>
              </w:rPr>
              <w:t>尺寸</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mm</w:t>
            </w:r>
          </w:p>
        </w:tc>
        <w:tc>
          <w:tcPr>
            <w:tcW w:w="3803" w:type="dxa"/>
            <w:vAlign w:val="center"/>
          </w:tcPr>
          <w:p>
            <w:pPr>
              <w:spacing w:line="312" w:lineRule="exact"/>
              <w:rPr>
                <w:rFonts w:hint="eastAsia"/>
                <w:color w:val="auto"/>
                <w:sz w:val="18"/>
                <w:szCs w:val="18"/>
                <w:highlight w:val="none"/>
              </w:rPr>
            </w:pPr>
            <w:r>
              <w:rPr>
                <w:rFonts w:hint="eastAsia"/>
                <w:color w:val="auto"/>
                <w:sz w:val="18"/>
                <w:szCs w:val="18"/>
                <w:highlight w:val="none"/>
              </w:rPr>
              <w:t>高度：2260 mm</w:t>
            </w:r>
          </w:p>
          <w:p>
            <w:pPr>
              <w:spacing w:line="312" w:lineRule="exact"/>
              <w:rPr>
                <w:rFonts w:hint="eastAsia"/>
                <w:color w:val="auto"/>
                <w:sz w:val="18"/>
                <w:szCs w:val="18"/>
                <w:highlight w:val="none"/>
              </w:rPr>
            </w:pPr>
            <w:r>
              <w:rPr>
                <w:rFonts w:hint="eastAsia"/>
                <w:color w:val="auto"/>
                <w:sz w:val="18"/>
                <w:szCs w:val="18"/>
                <w:highlight w:val="none"/>
              </w:rPr>
              <w:t>宽度：800mm</w:t>
            </w:r>
          </w:p>
          <w:p>
            <w:pPr>
              <w:spacing w:line="312" w:lineRule="exact"/>
              <w:rPr>
                <w:rFonts w:hint="eastAsia"/>
                <w:color w:val="auto"/>
                <w:sz w:val="18"/>
                <w:szCs w:val="18"/>
                <w:highlight w:val="none"/>
              </w:rPr>
            </w:pPr>
            <w:r>
              <w:rPr>
                <w:rFonts w:hint="eastAsia"/>
                <w:color w:val="auto"/>
                <w:sz w:val="18"/>
                <w:szCs w:val="18"/>
                <w:highlight w:val="none"/>
              </w:rPr>
              <w:t>深度：600mm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2</w:t>
            </w:r>
          </w:p>
        </w:tc>
        <w:tc>
          <w:tcPr>
            <w:tcW w:w="2699" w:type="dxa"/>
            <w:vAlign w:val="center"/>
          </w:tcPr>
          <w:p>
            <w:pPr>
              <w:spacing w:line="312" w:lineRule="exact"/>
              <w:jc w:val="center"/>
              <w:rPr>
                <w:rFonts w:hint="eastAsia" w:ascii="宋体" w:hAnsi="宋体"/>
                <w:color w:val="auto"/>
                <w:sz w:val="18"/>
                <w:szCs w:val="18"/>
                <w:highlight w:val="none"/>
              </w:rPr>
            </w:pPr>
            <w:r>
              <w:rPr>
                <w:rFonts w:hint="eastAsia" w:ascii="宋体" w:hAnsi="宋体"/>
                <w:color w:val="auto"/>
                <w:sz w:val="18"/>
                <w:szCs w:val="18"/>
                <w:highlight w:val="none"/>
              </w:rPr>
              <w:t>颜色</w:t>
            </w:r>
          </w:p>
        </w:tc>
        <w:tc>
          <w:tcPr>
            <w:tcW w:w="709" w:type="dxa"/>
            <w:vAlign w:val="center"/>
          </w:tcPr>
          <w:p>
            <w:pPr>
              <w:snapToGrid w:val="0"/>
              <w:jc w:val="center"/>
              <w:rPr>
                <w:rFonts w:hint="eastAsia"/>
                <w:color w:val="auto"/>
                <w:sz w:val="18"/>
                <w:szCs w:val="18"/>
                <w:highlight w:val="none"/>
              </w:rPr>
            </w:pPr>
          </w:p>
        </w:tc>
        <w:tc>
          <w:tcPr>
            <w:tcW w:w="3803" w:type="dxa"/>
            <w:vAlign w:val="center"/>
          </w:tcPr>
          <w:p>
            <w:pPr>
              <w:spacing w:line="312" w:lineRule="exact"/>
              <w:rPr>
                <w:rFonts w:hint="eastAsia"/>
                <w:color w:val="auto"/>
                <w:sz w:val="18"/>
                <w:szCs w:val="18"/>
                <w:highlight w:val="none"/>
              </w:rPr>
            </w:pPr>
            <w:r>
              <w:rPr>
                <w:rFonts w:hint="eastAsia" w:ascii="宋体" w:hAnsi="宋体" w:eastAsia="宋体"/>
                <w:color w:val="auto"/>
                <w:sz w:val="18"/>
                <w:szCs w:val="18"/>
                <w:highlight w:val="none"/>
                <w:lang w:val="en-US" w:eastAsia="zh-CN"/>
              </w:rPr>
              <w:t>工程灰 （RAL 7035色标）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3</w:t>
            </w:r>
          </w:p>
        </w:tc>
        <w:tc>
          <w:tcPr>
            <w:tcW w:w="2699" w:type="dxa"/>
            <w:vAlign w:val="center"/>
          </w:tcPr>
          <w:p>
            <w:pPr>
              <w:spacing w:line="312" w:lineRule="exact"/>
              <w:jc w:val="center"/>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柜体</w:t>
            </w:r>
          </w:p>
        </w:tc>
        <w:tc>
          <w:tcPr>
            <w:tcW w:w="709" w:type="dxa"/>
            <w:vAlign w:val="center"/>
          </w:tcPr>
          <w:p>
            <w:pPr>
              <w:spacing w:line="312" w:lineRule="exact"/>
              <w:jc w:val="both"/>
              <w:rPr>
                <w:rFonts w:hint="eastAsia" w:ascii="宋体" w:hAnsi="宋体" w:eastAsia="宋体"/>
                <w:color w:val="auto"/>
                <w:sz w:val="18"/>
                <w:szCs w:val="18"/>
                <w:highlight w:val="none"/>
                <w:lang w:val="en-US" w:eastAsia="zh-CN"/>
              </w:rPr>
            </w:pPr>
          </w:p>
        </w:tc>
        <w:tc>
          <w:tcPr>
            <w:tcW w:w="3803" w:type="dxa"/>
            <w:vAlign w:val="center"/>
          </w:tcPr>
          <w:p>
            <w:pPr>
              <w:spacing w:line="312" w:lineRule="exact"/>
              <w:jc w:val="both"/>
              <w:rPr>
                <w:rFonts w:hint="eastAsia" w:ascii="宋体" w:hAnsi="宋体" w:eastAsia="宋体"/>
                <w:color w:val="auto"/>
                <w:sz w:val="18"/>
                <w:szCs w:val="18"/>
                <w:highlight w:val="none"/>
                <w:lang w:val="en-US" w:eastAsia="zh-CN"/>
              </w:rPr>
            </w:pPr>
            <w:r>
              <w:rPr>
                <w:rFonts w:hint="eastAsia" w:ascii="宋体" w:hAnsi="宋体" w:eastAsia="宋体"/>
                <w:color w:val="auto"/>
                <w:sz w:val="18"/>
                <w:szCs w:val="18"/>
                <w:highlight w:val="none"/>
                <w:lang w:val="en-US" w:eastAsia="zh-CN"/>
              </w:rPr>
              <w:t>面板采用冷轧钢板静电喷涂（喷塑），其板材厚度要求不小于2.0mm</w:t>
            </w:r>
          </w:p>
        </w:tc>
      </w:tr>
    </w:tbl>
    <w:p>
      <w:pPr>
        <w:adjustRightInd w:val="0"/>
        <w:spacing w:before="156" w:beforeLines="50" w:line="360" w:lineRule="auto"/>
        <w:rPr>
          <w:rFonts w:hint="eastAsia" w:ascii="宋体" w:cs="新宋体"/>
          <w:bCs/>
          <w:color w:val="auto"/>
          <w:szCs w:val="21"/>
          <w:highlight w:val="none"/>
        </w:rPr>
      </w:pPr>
      <w:r>
        <w:rPr>
          <w:rFonts w:hint="eastAsia" w:ascii="宋体" w:cs="新宋体"/>
          <w:bCs/>
          <w:color w:val="auto"/>
          <w:szCs w:val="21"/>
          <w:highlight w:val="none"/>
        </w:rPr>
        <w:t>3.2技术要求</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1 母联保护应带有二段时限的过流及二段时限的零序过流保护功能。</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2 母联保护应具有母线充电保护功能，向故障母线充电时，跳开本断路器。</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hint="eastAsia" w:ascii="宋体"/>
          <w:color w:val="auto"/>
          <w:szCs w:val="21"/>
          <w:highlight w:val="none"/>
          <w:lang w:val="en-US" w:eastAsia="zh-CN"/>
        </w:rPr>
        <w:t>3</w:t>
      </w:r>
      <w:r>
        <w:rPr>
          <w:rFonts w:hint="eastAsia" w:ascii="宋体"/>
          <w:color w:val="auto"/>
          <w:szCs w:val="21"/>
          <w:highlight w:val="none"/>
        </w:rPr>
        <w:t xml:space="preserve"> 110kV线路应配置一套线路保护，每套保护均具有完整的后备保护。</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hint="eastAsia" w:ascii="宋体"/>
          <w:color w:val="auto"/>
          <w:szCs w:val="21"/>
          <w:highlight w:val="none"/>
          <w:lang w:val="en-US" w:eastAsia="zh-CN"/>
        </w:rPr>
        <w:t>4</w:t>
      </w:r>
      <w:r>
        <w:rPr>
          <w:rFonts w:hint="eastAsia" w:ascii="宋体"/>
          <w:color w:val="auto"/>
          <w:szCs w:val="21"/>
          <w:highlight w:val="none"/>
        </w:rPr>
        <w:t xml:space="preserve"> 110kV线路保护均应含三相一次重合闸功能。重合闸可实现三重和停用方式。</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hint="eastAsia" w:ascii="宋体"/>
          <w:color w:val="auto"/>
          <w:szCs w:val="21"/>
          <w:highlight w:val="none"/>
          <w:lang w:val="en-US" w:eastAsia="zh-CN"/>
        </w:rPr>
        <w:t>5</w:t>
      </w:r>
      <w:r>
        <w:rPr>
          <w:rFonts w:hint="eastAsia" w:ascii="宋体"/>
          <w:color w:val="auto"/>
          <w:szCs w:val="21"/>
          <w:highlight w:val="none"/>
        </w:rPr>
        <w:t xml:space="preserve"> 110kV线路保护设有三段相间和接地距离、四段零序方向过流和三段相电流过流保护。</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hint="eastAsia" w:ascii="宋体"/>
          <w:color w:val="auto"/>
          <w:szCs w:val="21"/>
          <w:highlight w:val="none"/>
          <w:lang w:val="en-US" w:eastAsia="zh-CN"/>
        </w:rPr>
        <w:t>6</w:t>
      </w:r>
      <w:r>
        <w:rPr>
          <w:rFonts w:hint="eastAsia" w:ascii="宋体"/>
          <w:color w:val="auto"/>
          <w:szCs w:val="21"/>
          <w:highlight w:val="none"/>
        </w:rPr>
        <w:t xml:space="preserve"> </w:t>
      </w:r>
      <w:r>
        <w:rPr>
          <w:rFonts w:ascii="宋体"/>
          <w:color w:val="auto"/>
          <w:szCs w:val="21"/>
          <w:highlight w:val="none"/>
        </w:rPr>
        <w:t>装置含</w:t>
      </w:r>
      <w:r>
        <w:rPr>
          <w:rFonts w:hint="eastAsia" w:ascii="宋体"/>
          <w:color w:val="auto"/>
          <w:szCs w:val="21"/>
          <w:highlight w:val="none"/>
        </w:rPr>
        <w:t>操作箱及电压切换回路。</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hint="eastAsia" w:ascii="宋体"/>
          <w:color w:val="auto"/>
          <w:szCs w:val="21"/>
          <w:highlight w:val="none"/>
          <w:lang w:val="en-US" w:eastAsia="zh-CN"/>
        </w:rPr>
        <w:t>7</w:t>
      </w:r>
      <w:r>
        <w:rPr>
          <w:rFonts w:ascii="宋体"/>
          <w:color w:val="auto"/>
          <w:szCs w:val="21"/>
          <w:highlight w:val="none"/>
        </w:rPr>
        <w:t xml:space="preserve"> </w:t>
      </w:r>
      <w:r>
        <w:rPr>
          <w:rFonts w:hint="eastAsia" w:ascii="宋体"/>
          <w:color w:val="auto"/>
          <w:szCs w:val="21"/>
          <w:highlight w:val="none"/>
        </w:rPr>
        <w:t>线路两侧保护、远方跳闸保护选型应一致，主保护的软件版本与硬件应完全一致。</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hint="eastAsia" w:ascii="宋体"/>
          <w:color w:val="auto"/>
          <w:szCs w:val="21"/>
          <w:highlight w:val="none"/>
          <w:lang w:val="en-US" w:eastAsia="zh-CN"/>
        </w:rPr>
        <w:t>8</w:t>
      </w:r>
      <w:r>
        <w:rPr>
          <w:rFonts w:hint="eastAsia" w:ascii="宋体"/>
          <w:color w:val="auto"/>
          <w:szCs w:val="21"/>
          <w:highlight w:val="none"/>
        </w:rPr>
        <w:t>在空载、轻载、满载等各种工况下，在线路保护范围内发生金属性和非金属性（不大于100Ω）的各种故障时，线路保护应能正确动作。系统无故障、外部故障、故障转换、功率突然倒向以及系统操作等情况下保护不应误动。</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hint="eastAsia" w:ascii="宋体"/>
          <w:color w:val="auto"/>
          <w:szCs w:val="21"/>
          <w:highlight w:val="none"/>
          <w:lang w:val="en-US" w:eastAsia="zh-CN"/>
        </w:rPr>
        <w:t>9</w:t>
      </w:r>
      <w:r>
        <w:rPr>
          <w:rFonts w:hint="eastAsia" w:ascii="宋体"/>
          <w:color w:val="auto"/>
          <w:szCs w:val="21"/>
          <w:highlight w:val="none"/>
        </w:rPr>
        <w:t>线路保护装置需考虑线路分布电容、变压器（励磁涌流）等所产生的暂态及稳态过程的谐波分量和直流分量的影响，有抑制这些分量的措施。</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hint="eastAsia" w:ascii="宋体"/>
          <w:color w:val="auto"/>
          <w:szCs w:val="21"/>
          <w:highlight w:val="none"/>
          <w:lang w:val="en-US" w:eastAsia="zh-CN"/>
        </w:rPr>
        <w:t>10</w:t>
      </w:r>
      <w:r>
        <w:rPr>
          <w:rFonts w:hint="eastAsia" w:ascii="宋体"/>
          <w:color w:val="auto"/>
          <w:szCs w:val="21"/>
          <w:highlight w:val="none"/>
        </w:rPr>
        <w:t>线路保护都应自身带有故障录波、测距及事件记录功能，并能提供相应的远方通讯和分析软件。</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hint="eastAsia" w:ascii="宋体"/>
          <w:color w:val="auto"/>
          <w:szCs w:val="21"/>
          <w:highlight w:val="none"/>
          <w:lang w:val="en-US" w:eastAsia="zh-CN"/>
        </w:rPr>
        <w:t>11</w:t>
      </w:r>
      <w:r>
        <w:rPr>
          <w:rFonts w:hint="eastAsia" w:ascii="宋体"/>
          <w:color w:val="auto"/>
          <w:szCs w:val="21"/>
          <w:highlight w:val="none"/>
        </w:rPr>
        <w:t>手动合闸或重合于故障线路上时，保护应能可靠瞬时三相跳闸。手动合闸或重合于无故障线路时应可靠不动作。</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hint="eastAsia" w:ascii="宋体"/>
          <w:color w:val="auto"/>
          <w:szCs w:val="21"/>
          <w:highlight w:val="none"/>
          <w:lang w:val="en-US" w:eastAsia="zh-CN"/>
        </w:rPr>
        <w:t>12</w:t>
      </w:r>
      <w:r>
        <w:rPr>
          <w:rFonts w:hint="eastAsia" w:ascii="宋体"/>
          <w:color w:val="auto"/>
          <w:szCs w:val="21"/>
          <w:highlight w:val="none"/>
        </w:rPr>
        <w:t>保护装置应保证出口对称三相短路时可靠动作，同时应保证正方向故障及反方向出口经小电阻故障时动作的正确性。</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1</w:t>
      </w:r>
      <w:r>
        <w:rPr>
          <w:rFonts w:hint="eastAsia" w:ascii="宋体"/>
          <w:color w:val="auto"/>
          <w:szCs w:val="21"/>
          <w:highlight w:val="none"/>
          <w:lang w:val="en-US" w:eastAsia="zh-CN"/>
        </w:rPr>
        <w:t>3</w:t>
      </w:r>
      <w:r>
        <w:rPr>
          <w:rFonts w:hint="eastAsia" w:ascii="宋体"/>
          <w:color w:val="auto"/>
          <w:szCs w:val="21"/>
          <w:highlight w:val="none"/>
        </w:rPr>
        <w:t>保护装置在各种工作环境下（包括就地下放的环境），应能耐受雷击过电压、一次回路操作、开关场故障及其它强电磁干扰作用，不应误动或拒动。</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1</w:t>
      </w:r>
      <w:r>
        <w:rPr>
          <w:rFonts w:hint="eastAsia" w:ascii="宋体"/>
          <w:color w:val="auto"/>
          <w:szCs w:val="21"/>
          <w:highlight w:val="none"/>
          <w:lang w:val="en-US" w:eastAsia="zh-CN"/>
        </w:rPr>
        <w:t>4</w:t>
      </w:r>
      <w:r>
        <w:rPr>
          <w:rFonts w:hint="eastAsia" w:ascii="宋体"/>
          <w:color w:val="auto"/>
          <w:szCs w:val="21"/>
          <w:highlight w:val="none"/>
        </w:rPr>
        <w:t>保护装置在电压二次回路断线(包括三相断线)或短路时应闭锁有可能误动的保护，并发出告警信号；保护装置在电流二次回路断线时应能发出告警信号，并可选择允许保护跳闸。</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1</w:t>
      </w:r>
      <w:r>
        <w:rPr>
          <w:rFonts w:hint="eastAsia" w:ascii="宋体"/>
          <w:color w:val="auto"/>
          <w:szCs w:val="21"/>
          <w:highlight w:val="none"/>
          <w:lang w:val="en-US" w:eastAsia="zh-CN"/>
        </w:rPr>
        <w:t>5</w:t>
      </w:r>
      <w:r>
        <w:rPr>
          <w:rFonts w:hint="eastAsia" w:ascii="宋体"/>
          <w:color w:val="auto"/>
          <w:szCs w:val="21"/>
          <w:highlight w:val="none"/>
        </w:rPr>
        <w:t>重合闸装置起动后应能延时自动复归，重合闸应具有停用或闭锁（断路器低气压、重合闸装置故障、重合闸被其他保护闭锁等）回路。</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lang w:val="en-US" w:eastAsia="zh-CN"/>
        </w:rPr>
        <w:t>16</w:t>
      </w:r>
      <w:r>
        <w:rPr>
          <w:rFonts w:hint="eastAsia" w:ascii="宋体"/>
          <w:color w:val="auto"/>
          <w:szCs w:val="21"/>
          <w:highlight w:val="none"/>
        </w:rPr>
        <w:t xml:space="preserve"> 保护装置应具有对时功能，采用RS-485 串行数据通信接口接收时间同步系统发出的IRIG-B（DC）时码作为对时信号源。保护应具备通信管理功能，与计算机监控系统和保护及故障信息管理子站系统通信，通信规约采用IEC6</w:t>
      </w:r>
      <w:r>
        <w:rPr>
          <w:rFonts w:ascii="宋体"/>
          <w:color w:val="auto"/>
          <w:szCs w:val="21"/>
          <w:highlight w:val="none"/>
        </w:rPr>
        <w:t>1850</w:t>
      </w:r>
      <w:r>
        <w:rPr>
          <w:rFonts w:hint="eastAsia" w:ascii="宋体"/>
          <w:color w:val="auto"/>
          <w:szCs w:val="21"/>
          <w:highlight w:val="none"/>
        </w:rPr>
        <w:t>或</w:t>
      </w:r>
      <w:r>
        <w:rPr>
          <w:rFonts w:ascii="宋体"/>
          <w:color w:val="auto"/>
          <w:szCs w:val="21"/>
          <w:highlight w:val="none"/>
        </w:rPr>
        <w:t>103</w:t>
      </w:r>
      <w:r>
        <w:rPr>
          <w:rFonts w:hint="eastAsia" w:ascii="宋体"/>
          <w:color w:val="auto"/>
          <w:szCs w:val="21"/>
          <w:highlight w:val="none"/>
        </w:rPr>
        <w:t>，接口采用以太网或RS-485 串口。</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lang w:val="en-US" w:eastAsia="zh-CN"/>
        </w:rPr>
        <w:t>17</w:t>
      </w:r>
      <w:r>
        <w:rPr>
          <w:rFonts w:hint="eastAsia" w:ascii="宋体"/>
          <w:color w:val="auto"/>
          <w:szCs w:val="21"/>
          <w:highlight w:val="none"/>
        </w:rPr>
        <w:t xml:space="preserve">  为便于调试，保护装置上应设置打印机接口。</w:t>
      </w:r>
    </w:p>
    <w:p>
      <w:pPr>
        <w:adjustRightInd w:val="0"/>
        <w:snapToGrid w:val="0"/>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3.3特殊要求：</w:t>
      </w:r>
    </w:p>
    <w:p>
      <w:pPr>
        <w:adjustRightInd w:val="0"/>
        <w:snapToGrid w:val="0"/>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3.3.1 110KV母线接线方式：双母线带旁路。</w:t>
      </w:r>
    </w:p>
    <w:p>
      <w:pPr>
        <w:adjustRightInd w:val="0"/>
        <w:snapToGrid w:val="0"/>
        <w:spacing w:line="360" w:lineRule="auto"/>
        <w:ind w:firstLine="420" w:firstLineChars="200"/>
        <w:rPr>
          <w:rFonts w:hint="eastAsia" w:ascii="宋体"/>
          <w:color w:val="auto"/>
          <w:szCs w:val="21"/>
          <w:highlight w:val="none"/>
          <w:lang w:val="en-US" w:eastAsia="zh-CN"/>
        </w:rPr>
      </w:pPr>
      <w:r>
        <w:rPr>
          <w:rFonts w:hint="eastAsia" w:ascii="宋体"/>
          <w:color w:val="auto"/>
          <w:szCs w:val="21"/>
          <w:highlight w:val="none"/>
          <w:lang w:val="en-US" w:eastAsia="zh-CN"/>
        </w:rPr>
        <w:t>当母联作为旁路断路器通过旁母接待线路时：具备线路的距离、零序等保护功能。</w:t>
      </w:r>
    </w:p>
    <w:p>
      <w:pPr>
        <w:adjustRightInd w:val="0"/>
        <w:snapToGrid w:val="0"/>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3.3.2  电压切换插件：能防止带电母线向空母线充电时，PT二次侧向一次侧反送电。</w:t>
      </w:r>
    </w:p>
    <w:p>
      <w:pPr>
        <w:adjustRightInd w:val="0"/>
        <w:snapToGrid w:val="0"/>
        <w:spacing w:line="360" w:lineRule="auto"/>
        <w:rPr>
          <w:rFonts w:hint="eastAsia" w:ascii="宋体"/>
          <w:color w:val="auto"/>
          <w:kern w:val="0"/>
          <w:szCs w:val="21"/>
          <w:highlight w:val="none"/>
        </w:rPr>
      </w:pPr>
      <w:r>
        <w:rPr>
          <w:rFonts w:hint="eastAsia" w:ascii="宋体"/>
          <w:color w:val="auto"/>
          <w:szCs w:val="21"/>
          <w:highlight w:val="none"/>
          <w:lang w:val="en-US" w:eastAsia="zh-CN"/>
        </w:rPr>
        <w:t xml:space="preserve">*3.3.3  </w:t>
      </w:r>
      <w:r>
        <w:rPr>
          <w:rFonts w:hint="eastAsia" w:ascii="宋体"/>
          <w:color w:val="auto"/>
          <w:kern w:val="0"/>
          <w:szCs w:val="21"/>
          <w:highlight w:val="none"/>
        </w:rPr>
        <w:t>中标方负责原设备拆除及新购设备的安装、调试，直至设备正常运行。</w:t>
      </w:r>
    </w:p>
    <w:p>
      <w:pPr>
        <w:adjustRightInd w:val="0"/>
        <w:snapToGrid w:val="0"/>
        <w:spacing w:line="360" w:lineRule="auto"/>
        <w:rPr>
          <w:rFonts w:hint="eastAsia" w:ascii="宋体" w:cs="Arial"/>
          <w:color w:val="auto"/>
          <w:szCs w:val="21"/>
          <w:highlight w:val="none"/>
          <w:lang w:bidi="ar-SA"/>
        </w:rPr>
      </w:pPr>
      <w:r>
        <w:rPr>
          <w:rFonts w:hint="eastAsia" w:ascii="宋体"/>
          <w:color w:val="auto"/>
          <w:kern w:val="0"/>
          <w:szCs w:val="21"/>
          <w:highlight w:val="none"/>
        </w:rPr>
        <w:t>*3.</w:t>
      </w:r>
      <w:r>
        <w:rPr>
          <w:rFonts w:hint="eastAsia" w:ascii="宋体"/>
          <w:color w:val="auto"/>
          <w:kern w:val="0"/>
          <w:szCs w:val="21"/>
          <w:highlight w:val="none"/>
          <w:lang w:val="en-US" w:eastAsia="zh-CN"/>
        </w:rPr>
        <w:t>3.4</w:t>
      </w:r>
      <w:r>
        <w:rPr>
          <w:rFonts w:hint="eastAsia" w:ascii="宋体"/>
          <w:color w:val="auto"/>
          <w:kern w:val="0"/>
          <w:szCs w:val="21"/>
          <w:highlight w:val="none"/>
        </w:rPr>
        <w:t>投标方要进行现场踏勘，对招标方现场设备进行了解，确定</w:t>
      </w:r>
      <w:r>
        <w:rPr>
          <w:rFonts w:hint="eastAsia" w:ascii="宋体"/>
          <w:color w:val="auto"/>
          <w:kern w:val="0"/>
          <w:szCs w:val="21"/>
          <w:highlight w:val="none"/>
          <w:lang w:eastAsia="zh-CN"/>
        </w:rPr>
        <w:t>并免费提供</w:t>
      </w:r>
      <w:r>
        <w:rPr>
          <w:rFonts w:hint="eastAsia" w:ascii="宋体"/>
          <w:color w:val="auto"/>
          <w:kern w:val="0"/>
          <w:szCs w:val="21"/>
          <w:highlight w:val="none"/>
        </w:rPr>
        <w:t>新设备安装调试所需一切原件、配件及材料，随设备运至设备安装地点。</w:t>
      </w:r>
    </w:p>
    <w:p>
      <w:pPr>
        <w:spacing w:line="360" w:lineRule="auto"/>
        <w:rPr>
          <w:rFonts w:hint="eastAsia" w:ascii="宋体" w:cs="新宋体"/>
          <w:bCs/>
          <w:snapToGrid w:val="0"/>
          <w:color w:val="auto"/>
          <w:kern w:val="0"/>
          <w:szCs w:val="21"/>
          <w:highlight w:val="none"/>
        </w:rPr>
      </w:pPr>
      <w:r>
        <w:rPr>
          <w:rFonts w:hint="eastAsia" w:ascii="宋体" w:cs="新宋体"/>
          <w:bCs/>
          <w:snapToGrid w:val="0"/>
          <w:color w:val="auto"/>
          <w:kern w:val="0"/>
          <w:szCs w:val="21"/>
          <w:highlight w:val="none"/>
        </w:rPr>
        <w:t>4.供货范围</w:t>
      </w:r>
    </w:p>
    <w:p>
      <w:pPr>
        <w:tabs>
          <w:tab w:val="left" w:pos="360"/>
        </w:tabs>
        <w:snapToGrid w:val="0"/>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完整的、全新的、符合制造标准的、满足本招标技术附件各项条件及技术要求的共计</w:t>
      </w:r>
      <w:r>
        <w:rPr>
          <w:rFonts w:hint="eastAsia" w:ascii="宋体" w:cs="新宋体"/>
          <w:bCs/>
          <w:color w:val="auto"/>
          <w:szCs w:val="21"/>
          <w:highlight w:val="none"/>
          <w:u w:val="single"/>
        </w:rPr>
        <w:t xml:space="preserve">    1</w:t>
      </w:r>
      <w:r>
        <w:rPr>
          <w:rFonts w:hint="eastAsia" w:ascii="宋体" w:cs="新宋体"/>
          <w:bCs/>
          <w:color w:val="auto"/>
          <w:szCs w:val="21"/>
          <w:highlight w:val="none"/>
        </w:rPr>
        <w:t>套</w:t>
      </w:r>
      <w:r>
        <w:rPr>
          <w:rFonts w:hint="eastAsia" w:ascii="宋体"/>
          <w:color w:val="auto"/>
          <w:szCs w:val="21"/>
          <w:highlight w:val="none"/>
        </w:rPr>
        <w:t>母联断路器保护柜</w:t>
      </w:r>
      <w:r>
        <w:rPr>
          <w:rFonts w:hint="eastAsia" w:ascii="宋体" w:cs="新宋体"/>
          <w:bCs/>
          <w:color w:val="auto"/>
          <w:szCs w:val="21"/>
          <w:highlight w:val="none"/>
        </w:rPr>
        <w:t>等均由投标方提供。</w:t>
      </w:r>
    </w:p>
    <w:p>
      <w:pPr>
        <w:spacing w:line="360" w:lineRule="auto"/>
        <w:rPr>
          <w:rFonts w:hint="eastAsia" w:ascii="宋体" w:cs="新宋体"/>
          <w:bCs/>
          <w:snapToGrid w:val="0"/>
          <w:color w:val="auto"/>
          <w:kern w:val="0"/>
          <w:szCs w:val="21"/>
          <w:highlight w:val="none"/>
        </w:rPr>
      </w:pPr>
      <w:r>
        <w:rPr>
          <w:rFonts w:hint="eastAsia" w:ascii="宋体" w:cs="新宋体"/>
          <w:bCs/>
          <w:snapToGrid w:val="0"/>
          <w:color w:val="auto"/>
          <w:kern w:val="0"/>
          <w:szCs w:val="21"/>
          <w:highlight w:val="none"/>
        </w:rPr>
        <w:t>5.技术资料</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5.1投标方必须提供下表所列中文技术资料（但不限于此），并按下表要求时间交货。</w:t>
      </w:r>
    </w:p>
    <w:tbl>
      <w:tblPr>
        <w:tblStyle w:val="16"/>
        <w:tblpPr w:leftFromText="180" w:rightFromText="180" w:vertAnchor="text" w:horzAnchor="page" w:tblpX="1637" w:tblpY="209"/>
        <w:tblOverlap w:val="never"/>
        <w:tblW w:w="8921" w:type="dxa"/>
        <w:tblInd w:w="-5" w:type="dxa"/>
        <w:tblLayout w:type="fixed"/>
        <w:tblCellMar>
          <w:top w:w="0" w:type="dxa"/>
          <w:left w:w="0" w:type="dxa"/>
          <w:bottom w:w="0" w:type="dxa"/>
          <w:right w:w="0" w:type="dxa"/>
        </w:tblCellMar>
      </w:tblPr>
      <w:tblGrid>
        <w:gridCol w:w="818"/>
        <w:gridCol w:w="3298"/>
        <w:gridCol w:w="1985"/>
        <w:gridCol w:w="2820"/>
      </w:tblGrid>
      <w:tr>
        <w:tblPrEx>
          <w:tblLayout w:type="fixed"/>
          <w:tblCellMar>
            <w:top w:w="0" w:type="dxa"/>
            <w:left w:w="0" w:type="dxa"/>
            <w:bottom w:w="0" w:type="dxa"/>
            <w:right w:w="0" w:type="dxa"/>
          </w:tblCellMar>
        </w:tblPrEx>
        <w:trPr>
          <w:trHeight w:val="375" w:hRule="atLeast"/>
        </w:trPr>
        <w:tc>
          <w:tcPr>
            <w:tcW w:w="8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序号</w:t>
            </w:r>
          </w:p>
        </w:tc>
        <w:tc>
          <w:tcPr>
            <w:tcW w:w="3298" w:type="dxa"/>
            <w:tcBorders>
              <w:top w:val="single" w:color="auto" w:sz="4" w:space="0"/>
              <w:left w:val="nil"/>
              <w:bottom w:val="single" w:color="auto" w:sz="4" w:space="0"/>
              <w:right w:val="single" w:color="auto" w:sz="4" w:space="0"/>
            </w:tcBorders>
            <w:vAlign w:val="center"/>
          </w:tcPr>
          <w:p>
            <w:pPr>
              <w:jc w:val="center"/>
              <w:rPr>
                <w:rFonts w:hint="eastAsia" w:ascii="宋体"/>
                <w:color w:val="auto"/>
                <w:szCs w:val="21"/>
                <w:highlight w:val="none"/>
              </w:rPr>
            </w:pPr>
            <w:r>
              <w:rPr>
                <w:rFonts w:hint="eastAsia" w:ascii="宋体"/>
                <w:color w:val="auto"/>
                <w:szCs w:val="21"/>
                <w:highlight w:val="none"/>
              </w:rPr>
              <w:t>名    称</w:t>
            </w:r>
          </w:p>
        </w:tc>
        <w:tc>
          <w:tcPr>
            <w:tcW w:w="1985"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数量（每台）</w:t>
            </w:r>
          </w:p>
        </w:tc>
        <w:tc>
          <w:tcPr>
            <w:tcW w:w="282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要求交货时间</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1</w:t>
            </w:r>
          </w:p>
        </w:tc>
        <w:tc>
          <w:tcPr>
            <w:tcW w:w="3298"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技术资料</w:t>
            </w:r>
          </w:p>
          <w:p>
            <w:pPr>
              <w:jc w:val="center"/>
              <w:rPr>
                <w:rFonts w:hint="eastAsia" w:ascii="宋体"/>
                <w:color w:val="auto"/>
                <w:szCs w:val="21"/>
                <w:highlight w:val="none"/>
              </w:rPr>
            </w:pPr>
            <w:r>
              <w:rPr>
                <w:rFonts w:hint="eastAsia" w:ascii="宋体" w:hAnsi="宋体" w:cs="宋体"/>
                <w:color w:val="auto"/>
                <w:szCs w:val="21"/>
                <w:highlight w:val="none"/>
              </w:rPr>
              <w:t>（使用说明书）</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2</w:t>
            </w:r>
          </w:p>
        </w:tc>
        <w:tc>
          <w:tcPr>
            <w:tcW w:w="3298" w:type="dxa"/>
            <w:tcBorders>
              <w:top w:val="nil"/>
              <w:left w:val="nil"/>
              <w:bottom w:val="single" w:color="auto" w:sz="4" w:space="0"/>
              <w:right w:val="single" w:color="auto" w:sz="4" w:space="0"/>
            </w:tcBorders>
            <w:vAlign w:val="center"/>
          </w:tcPr>
          <w:p>
            <w:pPr>
              <w:jc w:val="center"/>
              <w:rPr>
                <w:rFonts w:hint="eastAsia" w:ascii="宋体" w:cs="新宋体"/>
                <w:bCs/>
                <w:color w:val="auto"/>
                <w:szCs w:val="21"/>
                <w:highlight w:val="none"/>
              </w:rPr>
            </w:pPr>
            <w:r>
              <w:rPr>
                <w:rFonts w:hint="eastAsia" w:ascii="宋体"/>
                <w:color w:val="auto"/>
                <w:szCs w:val="21"/>
                <w:highlight w:val="none"/>
              </w:rPr>
              <w:t>检验合格证书</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nil"/>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3</w:t>
            </w:r>
          </w:p>
        </w:tc>
        <w:tc>
          <w:tcPr>
            <w:tcW w:w="3298" w:type="dxa"/>
            <w:tcBorders>
              <w:top w:val="nil"/>
              <w:left w:val="nil"/>
              <w:bottom w:val="nil"/>
              <w:right w:val="single" w:color="auto" w:sz="4" w:space="0"/>
            </w:tcBorders>
            <w:vAlign w:val="center"/>
          </w:tcPr>
          <w:p>
            <w:pPr>
              <w:jc w:val="center"/>
              <w:rPr>
                <w:rFonts w:hint="eastAsia" w:ascii="宋体" w:cs="新宋体"/>
                <w:bCs/>
                <w:color w:val="auto"/>
                <w:szCs w:val="21"/>
                <w:highlight w:val="none"/>
              </w:rPr>
            </w:pPr>
            <w:r>
              <w:rPr>
                <w:rFonts w:hint="eastAsia" w:ascii="宋体"/>
                <w:color w:val="auto"/>
                <w:szCs w:val="21"/>
                <w:highlight w:val="none"/>
              </w:rPr>
              <w:t>产品说明书</w:t>
            </w:r>
          </w:p>
        </w:tc>
        <w:tc>
          <w:tcPr>
            <w:tcW w:w="1985" w:type="dxa"/>
            <w:tcBorders>
              <w:top w:val="nil"/>
              <w:left w:val="nil"/>
              <w:bottom w:val="nil"/>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nil"/>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4</w:t>
            </w:r>
          </w:p>
        </w:tc>
        <w:tc>
          <w:tcPr>
            <w:tcW w:w="3298" w:type="dxa"/>
            <w:tcBorders>
              <w:top w:val="nil"/>
              <w:left w:val="nil"/>
              <w:bottom w:val="single" w:color="auto" w:sz="4" w:space="0"/>
              <w:right w:val="single" w:color="auto" w:sz="4" w:space="0"/>
            </w:tcBorders>
            <w:vAlign w:val="center"/>
          </w:tcPr>
          <w:p>
            <w:pPr>
              <w:jc w:val="center"/>
              <w:rPr>
                <w:rFonts w:hint="eastAsia" w:ascii="宋体"/>
                <w:color w:val="auto"/>
                <w:szCs w:val="21"/>
                <w:highlight w:val="none"/>
              </w:rPr>
            </w:pPr>
            <w:r>
              <w:rPr>
                <w:rFonts w:hint="eastAsia" w:ascii="宋体"/>
                <w:color w:val="auto"/>
                <w:szCs w:val="21"/>
                <w:highlight w:val="none"/>
              </w:rPr>
              <w:t>图纸</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bl>
    <w:p>
      <w:pPr>
        <w:spacing w:line="360" w:lineRule="auto"/>
        <w:rPr>
          <w:rFonts w:hint="eastAsia" w:ascii="宋体" w:cs="新宋体"/>
          <w:bCs/>
          <w:color w:val="auto"/>
          <w:szCs w:val="21"/>
          <w:highlight w:val="none"/>
        </w:rPr>
      </w:pPr>
      <w:r>
        <w:rPr>
          <w:rFonts w:hint="eastAsia" w:ascii="宋体"/>
          <w:color w:val="auto"/>
          <w:szCs w:val="21"/>
          <w:highlight w:val="none"/>
        </w:rPr>
        <w:t>5.2</w:t>
      </w:r>
      <w:r>
        <w:rPr>
          <w:rFonts w:hint="eastAsia" w:ascii="宋体" w:cs="新宋体"/>
          <w:bCs/>
          <w:color w:val="auto"/>
          <w:szCs w:val="21"/>
          <w:highlight w:val="none"/>
        </w:rPr>
        <w:t>投标人必须交付全新的、完整的、与提供设备相符的、招标方认可的技术资料和图纸（包括纸质版本与电子版本）。对于缺失损坏、不符合要求的技术资料和图纸，投标方在</w:t>
      </w:r>
      <w:r>
        <w:rPr>
          <w:rFonts w:hint="eastAsia" w:ascii="宋体" w:cs="新宋体"/>
          <w:bCs/>
          <w:color w:val="auto"/>
          <w:szCs w:val="21"/>
          <w:highlight w:val="none"/>
          <w:u w:val="single"/>
        </w:rPr>
        <w:t xml:space="preserve">        </w:t>
      </w:r>
      <w:r>
        <w:rPr>
          <w:rFonts w:hint="eastAsia" w:ascii="宋体" w:cs="新宋体"/>
          <w:bCs/>
          <w:color w:val="auto"/>
          <w:szCs w:val="21"/>
          <w:highlight w:val="none"/>
        </w:rPr>
        <w:t>日内，补齐、更换。招标方将</w:t>
      </w:r>
      <w:r>
        <w:rPr>
          <w:rFonts w:hint="eastAsia" w:ascii="宋体" w:cs="新宋体"/>
          <w:bCs/>
          <w:color w:val="auto"/>
          <w:szCs w:val="21"/>
          <w:highlight w:val="none"/>
          <w:u w:val="single"/>
        </w:rPr>
        <w:t xml:space="preserve"> 2 </w:t>
      </w:r>
      <w:r>
        <w:rPr>
          <w:rFonts w:hint="eastAsia" w:ascii="宋体" w:cs="新宋体"/>
          <w:bCs/>
          <w:color w:val="auto"/>
          <w:szCs w:val="21"/>
          <w:highlight w:val="none"/>
        </w:rPr>
        <w:t>套电子版文件，分别存储于U盘中与纸质版本一并交付。招标方出于培训目的，有权复制交付的技术资料和图纸。</w:t>
      </w:r>
    </w:p>
    <w:p>
      <w:pPr>
        <w:adjustRightInd w:val="0"/>
        <w:spacing w:line="360" w:lineRule="auto"/>
        <w:jc w:val="left"/>
        <w:rPr>
          <w:rFonts w:hint="eastAsia" w:ascii="宋体" w:cs="新宋体"/>
          <w:bCs/>
          <w:color w:val="auto"/>
          <w:szCs w:val="21"/>
          <w:highlight w:val="none"/>
        </w:rPr>
      </w:pPr>
      <w:r>
        <w:rPr>
          <w:rFonts w:hint="eastAsia" w:ascii="宋体" w:cs="新宋体"/>
          <w:bCs/>
          <w:color w:val="auto"/>
          <w:szCs w:val="21"/>
          <w:highlight w:val="none"/>
        </w:rPr>
        <w:t>6.技术服务及培训</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6.1技术服务</w:t>
      </w:r>
    </w:p>
    <w:p>
      <w:pPr>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在</w:t>
      </w:r>
      <w:r>
        <w:rPr>
          <w:rFonts w:hint="eastAsia" w:ascii="宋体"/>
          <w:color w:val="auto"/>
          <w:szCs w:val="21"/>
          <w:highlight w:val="none"/>
        </w:rPr>
        <w:t>母联断路器保护柜</w:t>
      </w:r>
      <w:r>
        <w:rPr>
          <w:rFonts w:hint="eastAsia" w:ascii="宋体" w:cs="新宋体"/>
          <w:bCs/>
          <w:color w:val="auto"/>
          <w:szCs w:val="21"/>
          <w:highlight w:val="none"/>
        </w:rPr>
        <w:t>组装、调试、试运以及整机质量保证期内，投标人应派遣必要数量的有资格、有经验、有技术、健康、能胜任工作的技术人员到招标人现场从事技术服务工作，在正确安装维修、故障排除及操作使用等方面为招标人提供技术上的帮助和支持，以保证</w:t>
      </w:r>
      <w:r>
        <w:rPr>
          <w:rFonts w:hint="eastAsia" w:ascii="宋体" w:cs="新宋体"/>
          <w:bCs/>
          <w:color w:val="auto"/>
          <w:szCs w:val="21"/>
          <w:highlight w:val="none"/>
          <w:lang w:eastAsia="zh-CN"/>
        </w:rPr>
        <w:t>设备</w:t>
      </w:r>
      <w:r>
        <w:rPr>
          <w:rFonts w:hint="eastAsia" w:ascii="宋体" w:cs="新宋体"/>
          <w:bCs/>
          <w:color w:val="auto"/>
          <w:szCs w:val="21"/>
          <w:highlight w:val="none"/>
        </w:rPr>
        <w:t>能顺利投入使用。</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6.2 技术培训</w:t>
      </w:r>
    </w:p>
    <w:p>
      <w:pPr>
        <w:snapToGrid w:val="0"/>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设备安装后，投标方要为招标方人员提供必要的技术培训，其中投标方在设备安装现场进行培训，培训时间：</w:t>
      </w:r>
      <w:r>
        <w:rPr>
          <w:rFonts w:hint="eastAsia" w:ascii="宋体" w:cs="新宋体"/>
          <w:bCs/>
          <w:color w:val="auto"/>
          <w:szCs w:val="21"/>
          <w:highlight w:val="none"/>
          <w:u w:val="single"/>
        </w:rPr>
        <w:t xml:space="preserve">  1   </w:t>
      </w:r>
      <w:r>
        <w:rPr>
          <w:rFonts w:hint="eastAsia" w:ascii="宋体" w:cs="新宋体"/>
          <w:bCs/>
          <w:color w:val="auto"/>
          <w:szCs w:val="21"/>
          <w:highlight w:val="none"/>
        </w:rPr>
        <w:t>周。</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7.安装调试、性能测试及考核验收</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7.1 安装调试</w:t>
      </w:r>
    </w:p>
    <w:p>
      <w:pPr>
        <w:tabs>
          <w:tab w:val="left" w:pos="1274"/>
          <w:tab w:val="left" w:pos="1785"/>
        </w:tabs>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设备到货后，设备安装、调试由投标方技术服务人员负责完成。整个系统的安装质量、设备调试及现场技术培训均由投标方负责。在安装调试过程中，如发现缺件、损件等问题由投标方负责。</w:t>
      </w:r>
    </w:p>
    <w:p>
      <w:pPr>
        <w:tabs>
          <w:tab w:val="left" w:pos="900"/>
        </w:tabs>
        <w:spacing w:line="360" w:lineRule="auto"/>
        <w:outlineLvl w:val="9"/>
        <w:rPr>
          <w:rFonts w:hint="eastAsia" w:ascii="宋体" w:cs="新宋体"/>
          <w:bCs/>
          <w:color w:val="auto"/>
          <w:szCs w:val="21"/>
          <w:highlight w:val="none"/>
        </w:rPr>
      </w:pPr>
      <w:r>
        <w:rPr>
          <w:rFonts w:hint="eastAsia" w:ascii="宋体" w:cs="新宋体"/>
          <w:bCs/>
          <w:color w:val="auto"/>
          <w:szCs w:val="21"/>
          <w:highlight w:val="none"/>
        </w:rPr>
        <w:t>7.2验收</w:t>
      </w:r>
    </w:p>
    <w:p>
      <w:pPr>
        <w:tabs>
          <w:tab w:val="left" w:pos="1580"/>
        </w:tabs>
        <w:spacing w:line="360" w:lineRule="auto"/>
        <w:ind w:firstLine="420" w:firstLineChars="200"/>
        <w:rPr>
          <w:rFonts w:hint="eastAsia" w:ascii="宋体" w:cs="新宋体"/>
          <w:bCs/>
          <w:color w:val="auto"/>
          <w:szCs w:val="21"/>
          <w:highlight w:val="none"/>
          <w:lang w:val="zh-CN"/>
        </w:rPr>
      </w:pPr>
      <w:r>
        <w:rPr>
          <w:rFonts w:hint="eastAsia" w:ascii="宋体" w:cs="新宋体"/>
          <w:bCs/>
          <w:color w:val="auto"/>
          <w:szCs w:val="21"/>
          <w:highlight w:val="none"/>
          <w:lang w:val="zh-CN"/>
        </w:rPr>
        <w:t>设备在上述考核合格后，按照</w:t>
      </w:r>
      <w:r>
        <w:rPr>
          <w:rFonts w:hint="eastAsia" w:ascii="宋体" w:cs="新宋体"/>
          <w:bCs/>
          <w:color w:val="auto"/>
          <w:szCs w:val="21"/>
          <w:highlight w:val="none"/>
        </w:rPr>
        <w:t>中国国家相关标准和合同规定的要求验收，设备予以验收。</w:t>
      </w:r>
    </w:p>
    <w:p>
      <w:pPr>
        <w:tabs>
          <w:tab w:val="left" w:pos="900"/>
        </w:tabs>
        <w:spacing w:line="360" w:lineRule="auto"/>
        <w:outlineLvl w:val="9"/>
        <w:rPr>
          <w:rFonts w:hint="eastAsia" w:ascii="宋体" w:cs="新宋体"/>
          <w:bCs/>
          <w:color w:val="auto"/>
          <w:szCs w:val="21"/>
          <w:highlight w:val="none"/>
        </w:rPr>
      </w:pPr>
      <w:r>
        <w:rPr>
          <w:rFonts w:hint="eastAsia" w:ascii="宋体" w:cs="新宋体"/>
          <w:bCs/>
          <w:color w:val="auto"/>
          <w:szCs w:val="21"/>
          <w:highlight w:val="none"/>
        </w:rPr>
        <w:t>8.质量保证</w:t>
      </w:r>
    </w:p>
    <w:p>
      <w:pPr>
        <w:tabs>
          <w:tab w:val="left" w:pos="1274"/>
          <w:tab w:val="left" w:pos="1785"/>
        </w:tabs>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整机的质量保证期限为12个月，质保期从设备安装、调试、考核、验收合格双方签字后开始算起。</w:t>
      </w:r>
    </w:p>
    <w:p>
      <w:pPr>
        <w:tabs>
          <w:tab w:val="left" w:pos="900"/>
        </w:tabs>
        <w:spacing w:line="360" w:lineRule="auto"/>
        <w:outlineLvl w:val="9"/>
        <w:rPr>
          <w:rFonts w:hint="eastAsia" w:ascii="宋体" w:cs="新宋体"/>
          <w:bCs/>
          <w:color w:val="auto"/>
          <w:szCs w:val="21"/>
          <w:highlight w:val="none"/>
        </w:rPr>
      </w:pPr>
      <w:r>
        <w:rPr>
          <w:rFonts w:hint="eastAsia" w:ascii="宋体" w:cs="新宋体"/>
          <w:bCs/>
          <w:color w:val="auto"/>
          <w:szCs w:val="21"/>
          <w:highlight w:val="none"/>
        </w:rPr>
        <w:t>9.售后支持</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投标方应在报价中说明质保期满后如何在技术上继续给招标方以支持。</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9.2 维修支持</w:t>
      </w:r>
    </w:p>
    <w:p>
      <w:pPr>
        <w:tabs>
          <w:tab w:val="left" w:pos="1580"/>
        </w:tabs>
        <w:spacing w:line="360" w:lineRule="auto"/>
        <w:ind w:firstLine="420" w:firstLineChars="200"/>
        <w:rPr>
          <w:rFonts w:hint="eastAsia" w:ascii="宋体" w:cs="新宋体"/>
          <w:bCs/>
          <w:color w:val="auto"/>
          <w:szCs w:val="21"/>
          <w:highlight w:val="none"/>
          <w:lang w:val="zh-CN"/>
        </w:rPr>
      </w:pPr>
      <w:r>
        <w:rPr>
          <w:rFonts w:hint="eastAsia" w:ascii="宋体" w:cs="新宋体"/>
          <w:bCs/>
          <w:color w:val="auto"/>
          <w:szCs w:val="21"/>
          <w:highlight w:val="none"/>
          <w:lang w:val="zh-CN"/>
        </w:rPr>
        <w:t>投标方应在报价中说明质保期满后，投标方在设备维修方面能给招标方什么样的支持。如招标方是否可得到投标方在专业维修点的帮助；对于招标方遇到的紧急故障需要投标方帮助处理时，投标方如何以最快的速度给予支持。</w:t>
      </w:r>
    </w:p>
    <w:p>
      <w:pPr>
        <w:adjustRightInd w:val="0"/>
        <w:spacing w:line="360" w:lineRule="auto"/>
        <w:ind w:firstLine="3092" w:firstLineChars="1100"/>
        <w:rPr>
          <w:rFonts w:hint="eastAsia" w:ascii="宋体" w:hAnsi="宋体" w:eastAsia="宋体" w:cs="宋体"/>
          <w:b/>
          <w:bCs/>
          <w:color w:val="auto"/>
          <w:kern w:val="2"/>
          <w:sz w:val="28"/>
          <w:szCs w:val="28"/>
          <w:highlight w:val="none"/>
          <w:lang w:val="en-US" w:eastAsia="zh-CN" w:bidi="ar-SA"/>
        </w:rPr>
      </w:pPr>
      <w:bookmarkStart w:id="24" w:name="_Toc7213"/>
      <w:bookmarkStart w:id="25" w:name="_Toc9332"/>
      <w:bookmarkStart w:id="26" w:name="_Toc26789"/>
      <w:bookmarkStart w:id="27" w:name="_Toc25651"/>
      <w:r>
        <w:rPr>
          <w:rFonts w:hint="eastAsia" w:ascii="宋体" w:hAnsi="宋体" w:eastAsia="宋体" w:cs="宋体"/>
          <w:b/>
          <w:bCs/>
          <w:color w:val="auto"/>
          <w:kern w:val="2"/>
          <w:sz w:val="28"/>
          <w:szCs w:val="28"/>
          <w:highlight w:val="none"/>
          <w:lang w:val="en-US" w:eastAsia="zh-CN" w:bidi="ar-SA"/>
        </w:rPr>
        <w:t>二、线路保护柜</w:t>
      </w:r>
    </w:p>
    <w:p>
      <w:pPr>
        <w:adjustRightInd w:val="0"/>
        <w:spacing w:line="360" w:lineRule="auto"/>
        <w:rPr>
          <w:rFonts w:hint="eastAsia" w:ascii="宋体" w:cs="新宋体"/>
          <w:bCs/>
          <w:color w:val="auto"/>
          <w:szCs w:val="21"/>
          <w:highlight w:val="none"/>
        </w:rPr>
      </w:pPr>
      <w:r>
        <w:rPr>
          <w:rFonts w:hint="eastAsia" w:ascii="宋体" w:cs="新宋体"/>
          <w:bCs/>
          <w:color w:val="auto"/>
          <w:szCs w:val="21"/>
          <w:highlight w:val="none"/>
        </w:rPr>
        <w:t>1.货物需求</w:t>
      </w:r>
    </w:p>
    <w:p>
      <w:pPr>
        <w:spacing w:line="360" w:lineRule="auto"/>
        <w:rPr>
          <w:rFonts w:hint="eastAsia" w:ascii="宋体" w:cs="新宋体"/>
          <w:bCs/>
          <w:color w:val="auto"/>
          <w:szCs w:val="21"/>
          <w:highlight w:val="none"/>
        </w:rPr>
      </w:pPr>
      <w:r>
        <w:rPr>
          <w:rFonts w:hint="eastAsia" w:ascii="宋体" w:cs="新宋体"/>
          <w:bCs/>
          <w:color w:val="auto"/>
          <w:szCs w:val="21"/>
          <w:highlight w:val="none"/>
        </w:rPr>
        <w:t xml:space="preserve"> *1.1货物需求一览表(不局限以下内容,投标方详细描述每台套包括部件的名称、规格型号、数量 、生产厂家）。</w:t>
      </w:r>
    </w:p>
    <w:tbl>
      <w:tblPr>
        <w:tblStyle w:val="16"/>
        <w:tblW w:w="81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605"/>
        <w:gridCol w:w="2053"/>
        <w:gridCol w:w="955"/>
        <w:gridCol w:w="667"/>
        <w:gridCol w:w="825"/>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525" w:type="dxa"/>
            <w:tcBorders>
              <w:top w:val="single" w:color="auto" w:sz="4" w:space="0"/>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序号</w:t>
            </w:r>
          </w:p>
        </w:tc>
        <w:tc>
          <w:tcPr>
            <w:tcW w:w="1605"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名称</w:t>
            </w:r>
          </w:p>
        </w:tc>
        <w:tc>
          <w:tcPr>
            <w:tcW w:w="2053"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规格/型号</w:t>
            </w:r>
          </w:p>
        </w:tc>
        <w:tc>
          <w:tcPr>
            <w:tcW w:w="955"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单位</w:t>
            </w:r>
          </w:p>
        </w:tc>
        <w:tc>
          <w:tcPr>
            <w:tcW w:w="667"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数量</w:t>
            </w:r>
          </w:p>
        </w:tc>
        <w:tc>
          <w:tcPr>
            <w:tcW w:w="825"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制造厂家</w:t>
            </w:r>
          </w:p>
        </w:tc>
        <w:tc>
          <w:tcPr>
            <w:tcW w:w="1500" w:type="dxa"/>
            <w:tcBorders>
              <w:top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5" w:type="dxa"/>
            <w:tcBorders>
              <w:left w:val="single" w:color="auto" w:sz="4" w:space="0"/>
              <w:bottom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一</w:t>
            </w:r>
          </w:p>
        </w:tc>
        <w:tc>
          <w:tcPr>
            <w:tcW w:w="1605" w:type="dxa"/>
            <w:tcBorders>
              <w:bottom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线路保护柜</w:t>
            </w:r>
          </w:p>
        </w:tc>
        <w:tc>
          <w:tcPr>
            <w:tcW w:w="2053" w:type="dxa"/>
            <w:tcBorders>
              <w:bottom w:val="single" w:color="auto" w:sz="4" w:space="0"/>
            </w:tcBorders>
            <w:vAlign w:val="center"/>
          </w:tcPr>
          <w:p>
            <w:pPr>
              <w:spacing w:line="360" w:lineRule="auto"/>
              <w:jc w:val="center"/>
              <w:rPr>
                <w:rFonts w:hint="eastAsia" w:ascii="宋体"/>
                <w:color w:val="auto"/>
                <w:szCs w:val="21"/>
                <w:highlight w:val="none"/>
              </w:rPr>
            </w:pPr>
            <w:r>
              <w:rPr>
                <w:rFonts w:hint="eastAsia" w:ascii="宋体"/>
                <w:color w:val="auto"/>
                <w:szCs w:val="21"/>
                <w:highlight w:val="none"/>
              </w:rPr>
              <w:t>每面柜含110</w:t>
            </w:r>
            <w:r>
              <w:rPr>
                <w:rFonts w:ascii="宋体"/>
                <w:color w:val="auto"/>
                <w:szCs w:val="21"/>
                <w:highlight w:val="none"/>
              </w:rPr>
              <w:t>kV</w:t>
            </w:r>
            <w:r>
              <w:rPr>
                <w:rFonts w:hint="eastAsia" w:ascii="宋体"/>
                <w:color w:val="auto"/>
                <w:szCs w:val="21"/>
                <w:highlight w:val="none"/>
              </w:rPr>
              <w:t>线路保护P</w:t>
            </w:r>
            <w:r>
              <w:rPr>
                <w:rFonts w:ascii="宋体"/>
                <w:color w:val="auto"/>
                <w:szCs w:val="21"/>
                <w:highlight w:val="none"/>
              </w:rPr>
              <w:t xml:space="preserve">CS-941A-G </w:t>
            </w:r>
            <w:r>
              <w:rPr>
                <w:rFonts w:hint="eastAsia" w:ascii="宋体"/>
                <w:color w:val="auto"/>
                <w:szCs w:val="21"/>
                <w:highlight w:val="none"/>
              </w:rPr>
              <w:t>1台、针式打印机L</w:t>
            </w:r>
            <w:r>
              <w:rPr>
                <w:rFonts w:ascii="宋体"/>
                <w:color w:val="auto"/>
                <w:szCs w:val="21"/>
                <w:highlight w:val="none"/>
              </w:rPr>
              <w:t xml:space="preserve">Q-300K+ </w:t>
            </w:r>
            <w:r>
              <w:rPr>
                <w:rFonts w:hint="eastAsia" w:ascii="宋体"/>
                <w:color w:val="auto"/>
                <w:szCs w:val="21"/>
                <w:highlight w:val="none"/>
              </w:rPr>
              <w:t>1台</w:t>
            </w:r>
          </w:p>
        </w:tc>
        <w:tc>
          <w:tcPr>
            <w:tcW w:w="955" w:type="dxa"/>
            <w:tcBorders>
              <w:bottom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套</w:t>
            </w:r>
          </w:p>
        </w:tc>
        <w:tc>
          <w:tcPr>
            <w:tcW w:w="667" w:type="dxa"/>
            <w:tcBorders>
              <w:bottom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5</w:t>
            </w:r>
          </w:p>
        </w:tc>
        <w:tc>
          <w:tcPr>
            <w:tcW w:w="825" w:type="dxa"/>
            <w:tcBorders>
              <w:bottom w:val="single" w:color="auto" w:sz="4" w:space="0"/>
            </w:tcBorders>
            <w:vAlign w:val="center"/>
          </w:tcPr>
          <w:p>
            <w:pPr>
              <w:spacing w:line="360" w:lineRule="auto"/>
              <w:jc w:val="center"/>
              <w:rPr>
                <w:rFonts w:hint="eastAsia" w:ascii="宋体" w:cs="新宋体"/>
                <w:bCs/>
                <w:color w:val="auto"/>
                <w:szCs w:val="21"/>
                <w:highlight w:val="none"/>
              </w:rPr>
            </w:pPr>
          </w:p>
        </w:tc>
        <w:tc>
          <w:tcPr>
            <w:tcW w:w="1500" w:type="dxa"/>
            <w:tcBorders>
              <w:bottom w:val="single" w:color="auto" w:sz="4" w:space="0"/>
            </w:tcBorders>
            <w:vAlign w:val="center"/>
          </w:tcPr>
          <w:p>
            <w:pPr>
              <w:spacing w:line="360" w:lineRule="auto"/>
              <w:rPr>
                <w:rFonts w:hint="eastAsia" w:ascii="宋体" w:cs="新宋体"/>
                <w:bCs/>
                <w:color w:val="auto"/>
                <w:szCs w:val="21"/>
                <w:highlight w:val="none"/>
              </w:rPr>
            </w:pPr>
            <w:r>
              <w:rPr>
                <w:rFonts w:hint="eastAsia" w:ascii="宋体" w:cs="新宋体"/>
                <w:bCs/>
                <w:color w:val="auto"/>
                <w:szCs w:val="21"/>
                <w:highlight w:val="none"/>
                <w:lang w:val="en-US" w:eastAsia="zh-CN"/>
              </w:rPr>
              <w:t>需与220kV变电站现有后台监控装置及测控装置匹配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exact"/>
          <w:jc w:val="center"/>
        </w:trPr>
        <w:tc>
          <w:tcPr>
            <w:tcW w:w="525" w:type="dxa"/>
            <w:tcBorders>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二</w:t>
            </w:r>
          </w:p>
        </w:tc>
        <w:tc>
          <w:tcPr>
            <w:tcW w:w="160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资料</w:t>
            </w:r>
          </w:p>
        </w:tc>
        <w:tc>
          <w:tcPr>
            <w:tcW w:w="2053" w:type="dxa"/>
            <w:vAlign w:val="center"/>
          </w:tcPr>
          <w:p>
            <w:pPr>
              <w:spacing w:line="360" w:lineRule="auto"/>
              <w:jc w:val="center"/>
              <w:rPr>
                <w:rFonts w:hint="eastAsia" w:ascii="宋体" w:cs="新宋体"/>
                <w:bCs/>
                <w:color w:val="auto"/>
                <w:szCs w:val="21"/>
                <w:highlight w:val="none"/>
              </w:rPr>
            </w:pPr>
          </w:p>
        </w:tc>
        <w:tc>
          <w:tcPr>
            <w:tcW w:w="955" w:type="dxa"/>
            <w:vAlign w:val="center"/>
          </w:tcPr>
          <w:p>
            <w:pPr>
              <w:spacing w:line="360" w:lineRule="auto"/>
              <w:jc w:val="center"/>
              <w:rPr>
                <w:rFonts w:hint="eastAsia" w:ascii="宋体" w:cs="新宋体"/>
                <w:bCs/>
                <w:color w:val="auto"/>
                <w:szCs w:val="21"/>
                <w:highlight w:val="none"/>
              </w:rPr>
            </w:pPr>
          </w:p>
        </w:tc>
        <w:tc>
          <w:tcPr>
            <w:tcW w:w="667" w:type="dxa"/>
            <w:vAlign w:val="center"/>
          </w:tcPr>
          <w:p>
            <w:pPr>
              <w:spacing w:line="360" w:lineRule="auto"/>
              <w:jc w:val="center"/>
              <w:rPr>
                <w:rFonts w:hint="eastAsia" w:ascii="宋体" w:cs="新宋体"/>
                <w:bCs/>
                <w:color w:val="auto"/>
                <w:szCs w:val="21"/>
                <w:highlight w:val="none"/>
              </w:rPr>
            </w:pPr>
          </w:p>
        </w:tc>
        <w:tc>
          <w:tcPr>
            <w:tcW w:w="825" w:type="dxa"/>
            <w:vAlign w:val="center"/>
          </w:tcPr>
          <w:p>
            <w:pPr>
              <w:spacing w:line="360" w:lineRule="auto"/>
              <w:jc w:val="center"/>
              <w:rPr>
                <w:rFonts w:hint="eastAsia" w:ascii="宋体" w:cs="新宋体"/>
                <w:bCs/>
                <w:color w:val="auto"/>
                <w:szCs w:val="21"/>
                <w:highlight w:val="none"/>
              </w:rPr>
            </w:pPr>
          </w:p>
        </w:tc>
        <w:tc>
          <w:tcPr>
            <w:tcW w:w="1500" w:type="dxa"/>
            <w:vAlign w:val="center"/>
          </w:tcPr>
          <w:p>
            <w:pPr>
              <w:spacing w:line="360" w:lineRule="auto"/>
              <w:jc w:val="center"/>
              <w:rPr>
                <w:rFonts w:hint="eastAsia" w:ascii="宋体" w:cs="新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exact"/>
          <w:jc w:val="center"/>
        </w:trPr>
        <w:tc>
          <w:tcPr>
            <w:tcW w:w="525" w:type="dxa"/>
            <w:tcBorders>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1</w:t>
            </w:r>
          </w:p>
        </w:tc>
        <w:tc>
          <w:tcPr>
            <w:tcW w:w="160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技术资料</w:t>
            </w:r>
          </w:p>
          <w:p>
            <w:pPr>
              <w:jc w:val="center"/>
              <w:rPr>
                <w:rFonts w:hint="eastAsia" w:ascii="宋体" w:cs="新宋体"/>
                <w:bCs/>
                <w:color w:val="auto"/>
                <w:szCs w:val="21"/>
                <w:highlight w:val="none"/>
              </w:rPr>
            </w:pPr>
            <w:r>
              <w:rPr>
                <w:rFonts w:hint="eastAsia" w:ascii="宋体" w:hAnsi="宋体" w:cs="宋体"/>
                <w:color w:val="auto"/>
                <w:szCs w:val="21"/>
                <w:highlight w:val="none"/>
              </w:rPr>
              <w:t>（使用说明书）</w:t>
            </w:r>
          </w:p>
        </w:tc>
        <w:tc>
          <w:tcPr>
            <w:tcW w:w="2053" w:type="dxa"/>
            <w:vAlign w:val="center"/>
          </w:tcPr>
          <w:p>
            <w:pPr>
              <w:spacing w:line="360" w:lineRule="auto"/>
              <w:jc w:val="center"/>
              <w:rPr>
                <w:rFonts w:hint="eastAsia" w:ascii="宋体" w:cs="新宋体"/>
                <w:bCs/>
                <w:color w:val="auto"/>
                <w:szCs w:val="21"/>
                <w:highlight w:val="none"/>
              </w:rPr>
            </w:pPr>
          </w:p>
        </w:tc>
        <w:tc>
          <w:tcPr>
            <w:tcW w:w="95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套</w:t>
            </w:r>
          </w:p>
        </w:tc>
        <w:tc>
          <w:tcPr>
            <w:tcW w:w="667"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w:t>
            </w:r>
          </w:p>
        </w:tc>
        <w:tc>
          <w:tcPr>
            <w:tcW w:w="825" w:type="dxa"/>
            <w:vAlign w:val="center"/>
          </w:tcPr>
          <w:p>
            <w:pPr>
              <w:spacing w:line="360" w:lineRule="auto"/>
              <w:jc w:val="center"/>
              <w:rPr>
                <w:rFonts w:hint="eastAsia" w:ascii="宋体" w:cs="新宋体"/>
                <w:bCs/>
                <w:color w:val="auto"/>
                <w:szCs w:val="21"/>
                <w:highlight w:val="none"/>
              </w:rPr>
            </w:pPr>
          </w:p>
        </w:tc>
        <w:tc>
          <w:tcPr>
            <w:tcW w:w="1500" w:type="dxa"/>
            <w:vAlign w:val="center"/>
          </w:tcPr>
          <w:p>
            <w:pPr>
              <w:spacing w:line="360" w:lineRule="auto"/>
              <w:jc w:val="center"/>
              <w:rPr>
                <w:rFonts w:hint="eastAsia" w:ascii="宋体" w:cs="新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exact"/>
          <w:jc w:val="center"/>
        </w:trPr>
        <w:tc>
          <w:tcPr>
            <w:tcW w:w="525" w:type="dxa"/>
            <w:tcBorders>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2</w:t>
            </w:r>
          </w:p>
        </w:tc>
        <w:tc>
          <w:tcPr>
            <w:tcW w:w="1605" w:type="dxa"/>
            <w:vAlign w:val="center"/>
          </w:tcPr>
          <w:p>
            <w:pPr>
              <w:jc w:val="center"/>
              <w:rPr>
                <w:rFonts w:hint="eastAsia" w:ascii="宋体" w:cs="新宋体"/>
                <w:bCs/>
                <w:color w:val="auto"/>
                <w:szCs w:val="21"/>
                <w:highlight w:val="none"/>
              </w:rPr>
            </w:pPr>
            <w:r>
              <w:rPr>
                <w:rFonts w:hint="eastAsia" w:ascii="宋体"/>
                <w:color w:val="auto"/>
                <w:szCs w:val="21"/>
                <w:highlight w:val="none"/>
              </w:rPr>
              <w:t>检验合格证书</w:t>
            </w:r>
          </w:p>
        </w:tc>
        <w:tc>
          <w:tcPr>
            <w:tcW w:w="2053" w:type="dxa"/>
            <w:vAlign w:val="center"/>
          </w:tcPr>
          <w:p>
            <w:pPr>
              <w:spacing w:line="360" w:lineRule="auto"/>
              <w:jc w:val="center"/>
              <w:rPr>
                <w:rFonts w:hint="eastAsia" w:ascii="宋体" w:cs="新宋体"/>
                <w:bCs/>
                <w:color w:val="auto"/>
                <w:szCs w:val="21"/>
                <w:highlight w:val="none"/>
              </w:rPr>
            </w:pPr>
          </w:p>
        </w:tc>
        <w:tc>
          <w:tcPr>
            <w:tcW w:w="95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套</w:t>
            </w:r>
          </w:p>
        </w:tc>
        <w:tc>
          <w:tcPr>
            <w:tcW w:w="667"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w:t>
            </w:r>
          </w:p>
        </w:tc>
        <w:tc>
          <w:tcPr>
            <w:tcW w:w="825" w:type="dxa"/>
            <w:vAlign w:val="center"/>
          </w:tcPr>
          <w:p>
            <w:pPr>
              <w:spacing w:line="360" w:lineRule="auto"/>
              <w:jc w:val="center"/>
              <w:rPr>
                <w:rFonts w:hint="eastAsia" w:ascii="宋体" w:cs="新宋体"/>
                <w:bCs/>
                <w:color w:val="auto"/>
                <w:szCs w:val="21"/>
                <w:highlight w:val="none"/>
              </w:rPr>
            </w:pPr>
          </w:p>
        </w:tc>
        <w:tc>
          <w:tcPr>
            <w:tcW w:w="1500" w:type="dxa"/>
            <w:vAlign w:val="center"/>
          </w:tcPr>
          <w:p>
            <w:pPr>
              <w:spacing w:line="360" w:lineRule="auto"/>
              <w:jc w:val="center"/>
              <w:rPr>
                <w:rFonts w:hint="eastAsia" w:ascii="宋体" w:cs="新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exact"/>
          <w:jc w:val="center"/>
        </w:trPr>
        <w:tc>
          <w:tcPr>
            <w:tcW w:w="525" w:type="dxa"/>
            <w:tcBorders>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3</w:t>
            </w:r>
          </w:p>
        </w:tc>
        <w:tc>
          <w:tcPr>
            <w:tcW w:w="1605" w:type="dxa"/>
            <w:vAlign w:val="center"/>
          </w:tcPr>
          <w:p>
            <w:pPr>
              <w:jc w:val="center"/>
              <w:rPr>
                <w:rFonts w:hint="eastAsia" w:ascii="宋体" w:cs="新宋体"/>
                <w:bCs/>
                <w:color w:val="auto"/>
                <w:szCs w:val="21"/>
                <w:highlight w:val="none"/>
              </w:rPr>
            </w:pPr>
            <w:r>
              <w:rPr>
                <w:rFonts w:hint="eastAsia" w:ascii="宋体"/>
                <w:color w:val="auto"/>
                <w:szCs w:val="21"/>
                <w:highlight w:val="none"/>
              </w:rPr>
              <w:t>产品说明书</w:t>
            </w:r>
          </w:p>
        </w:tc>
        <w:tc>
          <w:tcPr>
            <w:tcW w:w="2053" w:type="dxa"/>
            <w:vAlign w:val="center"/>
          </w:tcPr>
          <w:p>
            <w:pPr>
              <w:spacing w:line="360" w:lineRule="auto"/>
              <w:jc w:val="center"/>
              <w:rPr>
                <w:rFonts w:hint="eastAsia" w:ascii="宋体" w:cs="新宋体"/>
                <w:bCs/>
                <w:color w:val="auto"/>
                <w:szCs w:val="21"/>
                <w:highlight w:val="none"/>
              </w:rPr>
            </w:pPr>
          </w:p>
        </w:tc>
        <w:tc>
          <w:tcPr>
            <w:tcW w:w="95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套</w:t>
            </w:r>
          </w:p>
        </w:tc>
        <w:tc>
          <w:tcPr>
            <w:tcW w:w="667"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w:t>
            </w:r>
          </w:p>
        </w:tc>
        <w:tc>
          <w:tcPr>
            <w:tcW w:w="825" w:type="dxa"/>
            <w:vAlign w:val="center"/>
          </w:tcPr>
          <w:p>
            <w:pPr>
              <w:spacing w:line="360" w:lineRule="auto"/>
              <w:jc w:val="center"/>
              <w:rPr>
                <w:rFonts w:hint="eastAsia" w:ascii="宋体" w:cs="新宋体"/>
                <w:bCs/>
                <w:color w:val="auto"/>
                <w:szCs w:val="21"/>
                <w:highlight w:val="none"/>
              </w:rPr>
            </w:pPr>
          </w:p>
        </w:tc>
        <w:tc>
          <w:tcPr>
            <w:tcW w:w="1500" w:type="dxa"/>
            <w:vAlign w:val="center"/>
          </w:tcPr>
          <w:p>
            <w:pPr>
              <w:spacing w:line="360" w:lineRule="auto"/>
              <w:jc w:val="center"/>
              <w:rPr>
                <w:rFonts w:hint="eastAsia" w:ascii="宋体" w:cs="新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525" w:type="dxa"/>
            <w:tcBorders>
              <w:lef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4</w:t>
            </w:r>
          </w:p>
        </w:tc>
        <w:tc>
          <w:tcPr>
            <w:tcW w:w="1605" w:type="dxa"/>
            <w:vAlign w:val="center"/>
          </w:tcPr>
          <w:p>
            <w:pPr>
              <w:jc w:val="center"/>
              <w:rPr>
                <w:rFonts w:hint="eastAsia" w:ascii="宋体" w:cs="新宋体"/>
                <w:bCs/>
                <w:color w:val="auto"/>
                <w:szCs w:val="21"/>
                <w:highlight w:val="none"/>
              </w:rPr>
            </w:pPr>
            <w:r>
              <w:rPr>
                <w:rFonts w:hint="eastAsia" w:ascii="宋体"/>
                <w:color w:val="auto"/>
                <w:szCs w:val="21"/>
                <w:highlight w:val="none"/>
              </w:rPr>
              <w:t>图纸</w:t>
            </w:r>
          </w:p>
        </w:tc>
        <w:tc>
          <w:tcPr>
            <w:tcW w:w="2053" w:type="dxa"/>
            <w:vAlign w:val="center"/>
          </w:tcPr>
          <w:p>
            <w:pPr>
              <w:spacing w:line="360" w:lineRule="auto"/>
              <w:jc w:val="center"/>
              <w:rPr>
                <w:rFonts w:hint="eastAsia" w:ascii="宋体" w:cs="新宋体"/>
                <w:bCs/>
                <w:color w:val="auto"/>
                <w:szCs w:val="21"/>
                <w:highlight w:val="none"/>
              </w:rPr>
            </w:pPr>
          </w:p>
        </w:tc>
        <w:tc>
          <w:tcPr>
            <w:tcW w:w="955"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套</w:t>
            </w:r>
          </w:p>
        </w:tc>
        <w:tc>
          <w:tcPr>
            <w:tcW w:w="667" w:type="dxa"/>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w:t>
            </w:r>
          </w:p>
        </w:tc>
        <w:tc>
          <w:tcPr>
            <w:tcW w:w="825" w:type="dxa"/>
            <w:vAlign w:val="center"/>
          </w:tcPr>
          <w:p>
            <w:pPr>
              <w:spacing w:line="360" w:lineRule="auto"/>
              <w:jc w:val="center"/>
              <w:rPr>
                <w:rFonts w:hint="eastAsia" w:ascii="宋体" w:cs="新宋体"/>
                <w:bCs/>
                <w:color w:val="auto"/>
                <w:szCs w:val="21"/>
                <w:highlight w:val="none"/>
              </w:rPr>
            </w:pPr>
          </w:p>
        </w:tc>
        <w:tc>
          <w:tcPr>
            <w:tcW w:w="1500" w:type="dxa"/>
            <w:vAlign w:val="center"/>
          </w:tcPr>
          <w:p>
            <w:pPr>
              <w:spacing w:line="360" w:lineRule="auto"/>
              <w:jc w:val="center"/>
              <w:rPr>
                <w:rFonts w:hint="eastAsia" w:ascii="宋体" w:cs="新宋体"/>
                <w:bCs/>
                <w:color w:val="auto"/>
                <w:szCs w:val="21"/>
                <w:highlight w:val="none"/>
              </w:rPr>
            </w:pPr>
          </w:p>
        </w:tc>
      </w:tr>
    </w:tbl>
    <w:p>
      <w:pPr>
        <w:spacing w:line="360" w:lineRule="auto"/>
        <w:rPr>
          <w:rFonts w:hint="eastAsia" w:ascii="宋体" w:cs="新宋体"/>
          <w:bCs/>
          <w:color w:val="auto"/>
          <w:szCs w:val="21"/>
          <w:highlight w:val="none"/>
        </w:rPr>
      </w:pPr>
      <w:r>
        <w:rPr>
          <w:rFonts w:hint="eastAsia" w:ascii="宋体" w:cs="新宋体"/>
          <w:bCs/>
          <w:color w:val="auto"/>
          <w:szCs w:val="21"/>
          <w:highlight w:val="none"/>
          <w:lang w:eastAsia="zh-CN"/>
        </w:rPr>
        <w:t>备注：变电站</w:t>
      </w:r>
      <w:r>
        <w:rPr>
          <w:rFonts w:hint="eastAsia" w:ascii="宋体" w:cs="新宋体"/>
          <w:bCs/>
          <w:color w:val="auto"/>
          <w:szCs w:val="21"/>
          <w:highlight w:val="none"/>
          <w:lang w:val="en-US" w:eastAsia="zh-CN"/>
        </w:rPr>
        <w:t>综自系统、主变等保护测控系统</w:t>
      </w:r>
      <w:r>
        <w:rPr>
          <w:rFonts w:hint="eastAsia" w:ascii="宋体" w:cs="新宋体"/>
          <w:bCs/>
          <w:color w:val="auto"/>
          <w:szCs w:val="21"/>
          <w:highlight w:val="none"/>
          <w:lang w:eastAsia="zh-CN"/>
        </w:rPr>
        <w:t>为南瑞继保生产，考虑到新旧设备兼容、正常通信以及投运后的运行维护管理，推荐使用</w:t>
      </w:r>
      <w:r>
        <w:rPr>
          <w:rFonts w:hint="eastAsia" w:ascii="宋体" w:cs="Arial"/>
          <w:color w:val="auto"/>
          <w:szCs w:val="21"/>
          <w:highlight w:val="none"/>
          <w:lang w:bidi="ar-SA"/>
        </w:rPr>
        <w:t>南京南瑞继保电气有限公司</w:t>
      </w:r>
      <w:r>
        <w:rPr>
          <w:rFonts w:hint="eastAsia" w:ascii="宋体" w:cs="新宋体"/>
          <w:bCs/>
          <w:color w:val="auto"/>
          <w:szCs w:val="21"/>
          <w:highlight w:val="none"/>
          <w:lang w:eastAsia="zh-CN"/>
        </w:rPr>
        <w:t>、珠海优特电力科技股份有限公司、思源电气股份有限公司设备。</w:t>
      </w:r>
    </w:p>
    <w:p>
      <w:pPr>
        <w:spacing w:line="360" w:lineRule="auto"/>
        <w:rPr>
          <w:rFonts w:hint="eastAsia" w:ascii="宋体" w:cs="新宋体"/>
          <w:bCs/>
          <w:color w:val="auto"/>
          <w:szCs w:val="21"/>
          <w:highlight w:val="none"/>
        </w:rPr>
      </w:pPr>
      <w:r>
        <w:rPr>
          <w:rFonts w:hint="eastAsia" w:ascii="宋体" w:cs="新宋体"/>
          <w:bCs/>
          <w:color w:val="auto"/>
          <w:szCs w:val="21"/>
          <w:highlight w:val="none"/>
        </w:rPr>
        <w:t>1.2设计要求</w:t>
      </w:r>
    </w:p>
    <w:p>
      <w:pPr>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设计合理，符合现场使用条件，必要时需与招标方取得联系。</w:t>
      </w:r>
    </w:p>
    <w:p>
      <w:pPr>
        <w:numPr>
          <w:ilvl w:val="0"/>
          <w:numId w:val="0"/>
        </w:numPr>
        <w:tabs>
          <w:tab w:val="left" w:pos="426"/>
        </w:tabs>
        <w:spacing w:line="360" w:lineRule="auto"/>
        <w:rPr>
          <w:rFonts w:hint="eastAsia" w:ascii="宋体" w:eastAsia="宋体" w:cs="新宋体"/>
          <w:bCs/>
          <w:color w:val="auto"/>
          <w:sz w:val="21"/>
          <w:szCs w:val="21"/>
          <w:highlight w:val="none"/>
        </w:rPr>
      </w:pPr>
      <w:r>
        <w:rPr>
          <w:rFonts w:hint="eastAsia" w:ascii="宋体" w:eastAsia="宋体" w:cs="新宋体"/>
          <w:bCs/>
          <w:color w:val="auto"/>
          <w:sz w:val="21"/>
          <w:szCs w:val="21"/>
          <w:highlight w:val="none"/>
        </w:rPr>
        <w:t>1.3交货时间:自合同签订之日起</w:t>
      </w:r>
      <w:r>
        <w:rPr>
          <w:rFonts w:hint="eastAsia" w:ascii="宋体" w:eastAsia="宋体" w:cs="新宋体"/>
          <w:bCs/>
          <w:color w:val="auto"/>
          <w:sz w:val="21"/>
          <w:szCs w:val="21"/>
          <w:highlight w:val="none"/>
          <w:u w:val="single"/>
        </w:rPr>
        <w:t xml:space="preserve">    1    </w:t>
      </w:r>
      <w:r>
        <w:rPr>
          <w:rFonts w:hint="eastAsia" w:ascii="宋体" w:eastAsia="宋体" w:cs="新宋体"/>
          <w:bCs/>
          <w:color w:val="auto"/>
          <w:sz w:val="21"/>
          <w:szCs w:val="21"/>
          <w:highlight w:val="none"/>
        </w:rPr>
        <w:t>个月内</w:t>
      </w:r>
      <w:r>
        <w:rPr>
          <w:rFonts w:hint="eastAsia" w:ascii="宋体" w:eastAsia="宋体"/>
          <w:bCs/>
          <w:color w:val="auto"/>
          <w:sz w:val="21"/>
          <w:szCs w:val="21"/>
          <w:highlight w:val="none"/>
        </w:rPr>
        <w:t>到达交货地点</w:t>
      </w:r>
      <w:r>
        <w:rPr>
          <w:rFonts w:hint="eastAsia" w:ascii="宋体" w:eastAsia="宋体" w:cs="新宋体"/>
          <w:bCs/>
          <w:color w:val="auto"/>
          <w:sz w:val="21"/>
          <w:szCs w:val="21"/>
          <w:highlight w:val="none"/>
        </w:rPr>
        <w:t>。</w:t>
      </w:r>
    </w:p>
    <w:p>
      <w:pPr>
        <w:tabs>
          <w:tab w:val="left" w:pos="426"/>
        </w:tabs>
        <w:spacing w:line="360" w:lineRule="auto"/>
        <w:ind w:firstLine="420" w:firstLineChars="200"/>
        <w:rPr>
          <w:rStyle w:val="14"/>
          <w:rFonts w:hint="eastAsia" w:ascii="宋体" w:eastAsia="宋体"/>
          <w:b w:val="0"/>
          <w:color w:val="auto"/>
          <w:sz w:val="21"/>
          <w:szCs w:val="21"/>
          <w:highlight w:val="none"/>
        </w:rPr>
      </w:pPr>
      <w:r>
        <w:rPr>
          <w:rFonts w:hint="eastAsia" w:ascii="宋体" w:eastAsia="宋体" w:cs="新宋体"/>
          <w:bCs/>
          <w:color w:val="auto"/>
          <w:sz w:val="21"/>
          <w:szCs w:val="21"/>
          <w:highlight w:val="none"/>
        </w:rPr>
        <w:t>交货地点：</w:t>
      </w:r>
      <w:r>
        <w:rPr>
          <w:rFonts w:hint="eastAsia" w:ascii="宋体" w:eastAsia="宋体" w:cs="新宋体"/>
          <w:bCs/>
          <w:color w:val="auto"/>
          <w:sz w:val="21"/>
          <w:szCs w:val="21"/>
          <w:highlight w:val="none"/>
          <w:u w:val="single"/>
        </w:rPr>
        <w:t xml:space="preserve">    神华准能供电公司220kV变电站       </w:t>
      </w:r>
      <w:r>
        <w:rPr>
          <w:rFonts w:hint="eastAsia" w:ascii="宋体" w:eastAsia="宋体" w:cs="新宋体"/>
          <w:bCs/>
          <w:color w:val="auto"/>
          <w:sz w:val="21"/>
          <w:szCs w:val="21"/>
          <w:highlight w:val="none"/>
        </w:rPr>
        <w:t>。</w:t>
      </w:r>
    </w:p>
    <w:p>
      <w:pPr>
        <w:numPr>
          <w:ilvl w:val="0"/>
          <w:numId w:val="1"/>
        </w:numPr>
        <w:adjustRightInd w:val="0"/>
        <w:spacing w:line="360" w:lineRule="auto"/>
        <w:rPr>
          <w:rFonts w:hint="eastAsia" w:ascii="宋体" w:cs="新宋体"/>
          <w:bCs/>
          <w:color w:val="auto"/>
          <w:szCs w:val="21"/>
          <w:highlight w:val="none"/>
        </w:rPr>
      </w:pPr>
      <w:r>
        <w:rPr>
          <w:rFonts w:hint="eastAsia" w:ascii="宋体" w:cs="新宋体"/>
          <w:bCs/>
          <w:color w:val="auto"/>
          <w:szCs w:val="21"/>
          <w:highlight w:val="none"/>
        </w:rPr>
        <w:t>使用条件</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使用环境：</w:t>
      </w:r>
      <w:r>
        <w:rPr>
          <w:rFonts w:hint="eastAsia" w:ascii="宋体"/>
          <w:color w:val="auto"/>
          <w:szCs w:val="21"/>
          <w:highlight w:val="none"/>
          <w:u w:val="single"/>
        </w:rPr>
        <w:t xml:space="preserve">   室内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最高温度：</w:t>
      </w:r>
      <w:r>
        <w:rPr>
          <w:rFonts w:hint="eastAsia" w:ascii="宋体"/>
          <w:color w:val="auto"/>
          <w:szCs w:val="21"/>
          <w:highlight w:val="none"/>
          <w:u w:val="single"/>
        </w:rPr>
        <w:t xml:space="preserve">   45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最低温度：</w:t>
      </w:r>
      <w:r>
        <w:rPr>
          <w:rFonts w:hint="eastAsia" w:ascii="宋体"/>
          <w:color w:val="auto"/>
          <w:szCs w:val="21"/>
          <w:highlight w:val="none"/>
          <w:u w:val="single"/>
        </w:rPr>
        <w:t xml:space="preserve">   -37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年平均气温：</w:t>
      </w:r>
      <w:r>
        <w:rPr>
          <w:rFonts w:hint="eastAsia" w:ascii="宋体"/>
          <w:color w:val="auto"/>
          <w:szCs w:val="21"/>
          <w:highlight w:val="none"/>
          <w:u w:val="single"/>
        </w:rPr>
        <w:t xml:space="preserve">   9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环境相对湿度：</w:t>
      </w:r>
      <w:r>
        <w:rPr>
          <w:rFonts w:hint="eastAsia" w:ascii="宋体"/>
          <w:color w:val="auto"/>
          <w:szCs w:val="21"/>
          <w:highlight w:val="none"/>
          <w:u w:val="single"/>
        </w:rPr>
        <w:t xml:space="preserve">   54%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地震烈度：</w:t>
      </w:r>
      <w:r>
        <w:rPr>
          <w:rFonts w:hint="eastAsia" w:ascii="宋体"/>
          <w:color w:val="auto"/>
          <w:szCs w:val="21"/>
          <w:highlight w:val="none"/>
          <w:u w:val="single"/>
        </w:rPr>
        <w:t xml:space="preserve">   8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安装地点及用途：</w:t>
      </w:r>
      <w:r>
        <w:rPr>
          <w:rFonts w:hint="eastAsia" w:ascii="宋体"/>
          <w:color w:val="auto"/>
          <w:szCs w:val="21"/>
          <w:highlight w:val="none"/>
          <w:u w:val="single"/>
        </w:rPr>
        <w:t xml:space="preserve">   220kV继电保护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海拔高度：</w:t>
      </w:r>
      <w:r>
        <w:rPr>
          <w:rFonts w:hint="eastAsia" w:ascii="宋体"/>
          <w:color w:val="auto"/>
          <w:szCs w:val="21"/>
          <w:highlight w:val="none"/>
          <w:u w:val="single"/>
        </w:rPr>
        <w:t xml:space="preserve">   1300m   </w:t>
      </w:r>
      <w:r>
        <w:rPr>
          <w:rFonts w:hint="eastAsia" w:ascii="宋体"/>
          <w:color w:val="auto"/>
          <w:szCs w:val="21"/>
          <w:highlight w:val="none"/>
        </w:rPr>
        <w:t>。</w:t>
      </w:r>
    </w:p>
    <w:p>
      <w:pPr>
        <w:adjustRightInd w:val="0"/>
        <w:spacing w:line="360" w:lineRule="auto"/>
        <w:rPr>
          <w:rFonts w:hint="eastAsia" w:ascii="宋体" w:cs="新宋体"/>
          <w:bCs/>
          <w:color w:val="auto"/>
          <w:szCs w:val="21"/>
          <w:highlight w:val="none"/>
        </w:rPr>
      </w:pPr>
      <w:r>
        <w:rPr>
          <w:rFonts w:hint="eastAsia" w:ascii="宋体"/>
          <w:color w:val="auto"/>
          <w:szCs w:val="21"/>
          <w:highlight w:val="none"/>
        </w:rPr>
        <w:t>污秽等级：</w:t>
      </w:r>
      <w:r>
        <w:rPr>
          <w:rFonts w:hint="eastAsia" w:ascii="宋体"/>
          <w:color w:val="auto"/>
          <w:szCs w:val="21"/>
          <w:highlight w:val="none"/>
          <w:u w:val="single"/>
        </w:rPr>
        <w:t xml:space="preserve">   III   </w:t>
      </w:r>
      <w:r>
        <w:rPr>
          <w:rFonts w:hint="eastAsia" w:ascii="宋体"/>
          <w:color w:val="auto"/>
          <w:szCs w:val="21"/>
          <w:highlight w:val="none"/>
        </w:rPr>
        <w:t xml:space="preserve">。    </w:t>
      </w:r>
    </w:p>
    <w:p>
      <w:pPr>
        <w:numPr>
          <w:ilvl w:val="0"/>
          <w:numId w:val="0"/>
        </w:numPr>
        <w:tabs>
          <w:tab w:val="left" w:pos="312"/>
        </w:tabs>
        <w:adjustRightInd/>
        <w:spacing w:before="0" w:beforeLines="0" w:line="360" w:lineRule="auto"/>
        <w:rPr>
          <w:rFonts w:hint="eastAsia" w:ascii="宋体" w:cs="新宋体"/>
          <w:bCs/>
          <w:color w:val="auto"/>
          <w:szCs w:val="21"/>
          <w:highlight w:val="none"/>
        </w:rPr>
      </w:pPr>
      <w:r>
        <w:rPr>
          <w:rFonts w:hint="eastAsia" w:ascii="宋体" w:cs="新宋体"/>
          <w:bCs/>
          <w:color w:val="auto"/>
          <w:szCs w:val="21"/>
          <w:highlight w:val="none"/>
          <w:lang w:val="en-US" w:eastAsia="zh-CN"/>
        </w:rPr>
        <w:t>3</w:t>
      </w:r>
      <w:r>
        <w:rPr>
          <w:rFonts w:hint="eastAsia" w:ascii="宋体" w:cs="新宋体"/>
          <w:bCs/>
          <w:color w:val="auto"/>
          <w:szCs w:val="21"/>
          <w:highlight w:val="none"/>
        </w:rPr>
        <w:t>技术参数及技术要求</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3.1技术参数</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3.1.1 110kV线路保护标准技术参数表</w:t>
      </w:r>
    </w:p>
    <w:tbl>
      <w:tblPr>
        <w:tblStyle w:val="16"/>
        <w:tblW w:w="8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2699"/>
        <w:gridCol w:w="709"/>
        <w:gridCol w:w="4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trPr>
        <w:tc>
          <w:tcPr>
            <w:tcW w:w="528"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序号</w:t>
            </w:r>
          </w:p>
        </w:tc>
        <w:tc>
          <w:tcPr>
            <w:tcW w:w="269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参数名称</w:t>
            </w:r>
          </w:p>
        </w:tc>
        <w:tc>
          <w:tcPr>
            <w:tcW w:w="70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单位</w:t>
            </w:r>
          </w:p>
        </w:tc>
        <w:tc>
          <w:tcPr>
            <w:tcW w:w="4210" w:type="dxa"/>
            <w:vAlign w:val="center"/>
          </w:tcPr>
          <w:p>
            <w:pPr>
              <w:snapToGrid w:val="0"/>
              <w:spacing w:before="62" w:beforeLines="20" w:after="62" w:afterLines="20"/>
              <w:jc w:val="center"/>
              <w:rPr>
                <w:rFonts w:hint="eastAsia"/>
                <w:color w:val="auto"/>
                <w:sz w:val="18"/>
                <w:szCs w:val="18"/>
                <w:highlight w:val="none"/>
              </w:rPr>
            </w:pPr>
            <w:r>
              <w:rPr>
                <w:rFonts w:hint="eastAsia" w:hAnsi="宋体"/>
                <w:color w:val="auto"/>
                <w:sz w:val="18"/>
                <w:szCs w:val="18"/>
                <w:highlight w:val="none"/>
              </w:rPr>
              <w:t>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jc w:val="center"/>
              <w:rPr>
                <w:rFonts w:hint="eastAsia"/>
                <w:color w:val="auto"/>
                <w:sz w:val="18"/>
                <w:szCs w:val="18"/>
                <w:highlight w:val="none"/>
              </w:rPr>
            </w:pPr>
            <w:r>
              <w:rPr>
                <w:rFonts w:hint="eastAsia"/>
                <w:color w:val="auto"/>
                <w:sz w:val="18"/>
                <w:szCs w:val="18"/>
                <w:highlight w:val="none"/>
              </w:rPr>
              <w:t>1</w:t>
            </w:r>
          </w:p>
        </w:tc>
        <w:tc>
          <w:tcPr>
            <w:tcW w:w="2699" w:type="dxa"/>
            <w:vAlign w:val="center"/>
          </w:tcPr>
          <w:p>
            <w:pPr>
              <w:pStyle w:val="7"/>
              <w:snapToGrid w:val="0"/>
              <w:spacing w:before="62" w:beforeLines="20" w:after="62" w:afterLines="20"/>
              <w:jc w:val="center"/>
              <w:rPr>
                <w:color w:val="auto"/>
                <w:highlight w:val="none"/>
              </w:rPr>
            </w:pPr>
            <w:r>
              <w:rPr>
                <w:rFonts w:hint="eastAsia" w:hAnsi="宋体"/>
                <w:color w:val="auto"/>
                <w:highlight w:val="none"/>
              </w:rPr>
              <w:t>电流精工范围</w:t>
            </w:r>
          </w:p>
        </w:tc>
        <w:tc>
          <w:tcPr>
            <w:tcW w:w="709" w:type="dxa"/>
            <w:vAlign w:val="center"/>
          </w:tcPr>
          <w:p>
            <w:pPr>
              <w:pStyle w:val="7"/>
              <w:snapToGrid w:val="0"/>
              <w:spacing w:before="62" w:beforeLines="20" w:after="62" w:afterLines="20"/>
              <w:jc w:val="center"/>
              <w:rPr>
                <w:rFonts w:hint="eastAsia"/>
                <w:color w:val="auto"/>
                <w:szCs w:val="18"/>
                <w:highlight w:val="none"/>
              </w:rPr>
            </w:pPr>
          </w:p>
        </w:tc>
        <w:tc>
          <w:tcPr>
            <w:tcW w:w="4210" w:type="dxa"/>
            <w:vAlign w:val="center"/>
          </w:tcPr>
          <w:p>
            <w:pPr>
              <w:snapToGrid w:val="0"/>
              <w:spacing w:before="62" w:beforeLines="20" w:after="62" w:afterLines="20"/>
              <w:jc w:val="center"/>
              <w:rPr>
                <w:rFonts w:hint="eastAsia" w:ascii="宋体" w:hAnsi="宋体"/>
                <w:color w:val="auto"/>
                <w:sz w:val="18"/>
                <w:szCs w:val="18"/>
                <w:highlight w:val="none"/>
              </w:rPr>
            </w:pPr>
            <w:r>
              <w:rPr>
                <w:rFonts w:hint="eastAsia" w:ascii="宋体" w:hAnsi="宋体"/>
                <w:color w:val="auto"/>
                <w:sz w:val="18"/>
                <w:szCs w:val="18"/>
                <w:highlight w:val="none"/>
              </w:rPr>
              <w:t>测量范围下限为0.05 In，上限为20In～40 In，在电流为0.05 In～（20 In～40In）时，测量误差≤5%（相对误差）或0.02 In（绝对误差），但在0.05 In以下范围用户应能整定并使用，实际故障电流超过电流上限（20 In～40In）时，保护装置不误动不拒动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jc w:val="center"/>
              <w:rPr>
                <w:rFonts w:hint="eastAsia"/>
                <w:color w:val="auto"/>
                <w:sz w:val="18"/>
                <w:szCs w:val="18"/>
                <w:highlight w:val="none"/>
              </w:rPr>
            </w:pPr>
            <w:r>
              <w:rPr>
                <w:rFonts w:hint="eastAsia"/>
                <w:color w:val="auto"/>
                <w:sz w:val="18"/>
                <w:szCs w:val="18"/>
                <w:highlight w:val="none"/>
              </w:rPr>
              <w:t>2</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hAnsi="宋体"/>
                <w:color w:val="auto"/>
                <w:szCs w:val="18"/>
                <w:highlight w:val="none"/>
              </w:rPr>
              <w:t>电压精工范围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V</w:t>
            </w:r>
          </w:p>
        </w:tc>
        <w:tc>
          <w:tcPr>
            <w:tcW w:w="4210" w:type="dxa"/>
            <w:vAlign w:val="center"/>
          </w:tcPr>
          <w:p>
            <w:pPr>
              <w:snapToGrid w:val="0"/>
              <w:spacing w:before="62" w:beforeLines="20" w:after="62" w:afterLines="20"/>
              <w:jc w:val="center"/>
              <w:rPr>
                <w:rFonts w:hint="eastAsia" w:ascii="宋体" w:hAnsi="宋体"/>
                <w:color w:val="auto"/>
                <w:sz w:val="18"/>
                <w:szCs w:val="18"/>
                <w:highlight w:val="none"/>
              </w:rPr>
            </w:pPr>
            <w:r>
              <w:rPr>
                <w:rFonts w:hint="eastAsia"/>
                <w:color w:val="auto"/>
                <w:sz w:val="18"/>
                <w:szCs w:val="18"/>
                <w:highlight w:val="none"/>
              </w:rPr>
              <w:t>0.01Un</w:t>
            </w:r>
            <w:r>
              <w:rPr>
                <w:color w:val="auto"/>
                <w:sz w:val="18"/>
                <w:szCs w:val="18"/>
                <w:highlight w:val="none"/>
              </w:rPr>
              <w:t>—</w:t>
            </w:r>
            <w:r>
              <w:rPr>
                <w:rFonts w:hint="eastAsia"/>
                <w:color w:val="auto"/>
                <w:sz w:val="18"/>
                <w:szCs w:val="18"/>
                <w:highlight w:val="none"/>
              </w:rPr>
              <w:t>1.1Un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3</w:t>
            </w:r>
          </w:p>
        </w:tc>
        <w:tc>
          <w:tcPr>
            <w:tcW w:w="2699" w:type="dxa"/>
            <w:vAlign w:val="center"/>
          </w:tcPr>
          <w:p>
            <w:pPr>
              <w:pStyle w:val="7"/>
              <w:snapToGrid w:val="0"/>
              <w:spacing w:before="62" w:beforeLines="20" w:after="62" w:afterLines="20"/>
              <w:jc w:val="center"/>
              <w:rPr>
                <w:rFonts w:hint="eastAsia" w:hAnsi="宋体"/>
                <w:color w:val="auto"/>
                <w:szCs w:val="18"/>
                <w:highlight w:val="none"/>
              </w:rPr>
            </w:pPr>
            <w:r>
              <w:rPr>
                <w:rFonts w:hint="eastAsia"/>
                <w:color w:val="auto"/>
                <w:szCs w:val="18"/>
                <w:highlight w:val="none"/>
              </w:rPr>
              <w:t>距离I段暂态超越</w:t>
            </w:r>
          </w:p>
        </w:tc>
        <w:tc>
          <w:tcPr>
            <w:tcW w:w="709" w:type="dxa"/>
            <w:vAlign w:val="center"/>
          </w:tcPr>
          <w:p>
            <w:pPr>
              <w:pStyle w:val="7"/>
              <w:snapToGrid w:val="0"/>
              <w:spacing w:before="62" w:beforeLines="20" w:after="62" w:afterLines="20"/>
              <w:jc w:val="center"/>
              <w:rPr>
                <w:rFonts w:hint="eastAsia"/>
                <w:color w:val="auto"/>
                <w:szCs w:val="18"/>
                <w:highlight w:val="none"/>
              </w:rPr>
            </w:pPr>
          </w:p>
        </w:tc>
        <w:tc>
          <w:tcPr>
            <w:tcW w:w="4210"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4</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相间距离I段动作时间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ms</w:t>
            </w:r>
          </w:p>
        </w:tc>
        <w:tc>
          <w:tcPr>
            <w:tcW w:w="4210"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不大于30ms（0.7倍整定值）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5</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接地距离I段动作时间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ms</w:t>
            </w:r>
          </w:p>
        </w:tc>
        <w:tc>
          <w:tcPr>
            <w:tcW w:w="4210"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不大于30ms（0.7倍整定值）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6</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零序过流I段动作时间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ms</w:t>
            </w:r>
          </w:p>
        </w:tc>
        <w:tc>
          <w:tcPr>
            <w:tcW w:w="4210"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不大于25ms（1.2倍整定值）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7</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整组动作时间</w:t>
            </w:r>
          </w:p>
        </w:tc>
        <w:tc>
          <w:tcPr>
            <w:tcW w:w="709" w:type="dxa"/>
            <w:vAlign w:val="center"/>
          </w:tcPr>
          <w:p>
            <w:pPr>
              <w:pStyle w:val="7"/>
              <w:snapToGrid w:val="0"/>
              <w:spacing w:before="62" w:beforeLines="20" w:after="62" w:afterLines="20"/>
              <w:jc w:val="center"/>
              <w:rPr>
                <w:rFonts w:hint="eastAsia"/>
                <w:color w:val="auto"/>
                <w:szCs w:val="18"/>
                <w:highlight w:val="none"/>
              </w:rPr>
            </w:pPr>
            <w:r>
              <w:rPr>
                <w:rFonts w:hint="eastAsia"/>
                <w:color w:val="auto"/>
                <w:szCs w:val="18"/>
                <w:highlight w:val="none"/>
              </w:rPr>
              <w:t>ms</w:t>
            </w:r>
          </w:p>
        </w:tc>
        <w:tc>
          <w:tcPr>
            <w:tcW w:w="4210" w:type="dxa"/>
            <w:vAlign w:val="center"/>
          </w:tcPr>
          <w:p>
            <w:pPr>
              <w:jc w:val="center"/>
              <w:rPr>
                <w:rFonts w:hint="eastAsia"/>
                <w:color w:val="auto"/>
                <w:sz w:val="18"/>
                <w:szCs w:val="18"/>
                <w:highlight w:val="none"/>
              </w:rPr>
            </w:pPr>
            <w:r>
              <w:rPr>
                <w:rFonts w:hint="eastAsia"/>
                <w:color w:val="auto"/>
                <w:sz w:val="18"/>
                <w:szCs w:val="18"/>
                <w:highlight w:val="none"/>
              </w:rPr>
              <w:t>近端故障不大于20ms；</w:t>
            </w:r>
          </w:p>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远端故障不大于30ms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8</w:t>
            </w:r>
          </w:p>
        </w:tc>
        <w:tc>
          <w:tcPr>
            <w:tcW w:w="2699" w:type="dxa"/>
            <w:vAlign w:val="center"/>
          </w:tcPr>
          <w:p>
            <w:pPr>
              <w:jc w:val="center"/>
              <w:rPr>
                <w:rFonts w:hint="eastAsia"/>
                <w:color w:val="auto"/>
                <w:sz w:val="18"/>
                <w:szCs w:val="18"/>
                <w:highlight w:val="none"/>
              </w:rPr>
            </w:pPr>
            <w:r>
              <w:rPr>
                <w:rFonts w:hint="eastAsia"/>
                <w:color w:val="auto"/>
                <w:sz w:val="18"/>
                <w:szCs w:val="18"/>
                <w:highlight w:val="none"/>
              </w:rPr>
              <w:t>交流电流回路过载能力</w:t>
            </w:r>
          </w:p>
        </w:tc>
        <w:tc>
          <w:tcPr>
            <w:tcW w:w="709" w:type="dxa"/>
            <w:vAlign w:val="center"/>
          </w:tcPr>
          <w:p>
            <w:pPr>
              <w:pStyle w:val="7"/>
              <w:snapToGrid w:val="0"/>
              <w:spacing w:before="62" w:beforeLines="20" w:after="62" w:afterLines="20"/>
              <w:jc w:val="center"/>
              <w:rPr>
                <w:rFonts w:hint="eastAsia"/>
                <w:color w:val="auto"/>
                <w:szCs w:val="18"/>
                <w:highlight w:val="none"/>
              </w:rPr>
            </w:pPr>
          </w:p>
        </w:tc>
        <w:tc>
          <w:tcPr>
            <w:tcW w:w="4210"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2 In，连续工作；10 In，10s；40 In，1s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9</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hAnsi="宋体"/>
                <w:color w:val="auto"/>
                <w:highlight w:val="none"/>
              </w:rPr>
              <w:t>交流电压回路过载能力</w:t>
            </w:r>
          </w:p>
        </w:tc>
        <w:tc>
          <w:tcPr>
            <w:tcW w:w="709" w:type="dxa"/>
            <w:vAlign w:val="center"/>
          </w:tcPr>
          <w:p>
            <w:pPr>
              <w:snapToGrid w:val="0"/>
              <w:jc w:val="center"/>
              <w:rPr>
                <w:rFonts w:hint="eastAsia"/>
                <w:color w:val="auto"/>
                <w:sz w:val="18"/>
                <w:szCs w:val="18"/>
                <w:highlight w:val="none"/>
              </w:rPr>
            </w:pPr>
          </w:p>
        </w:tc>
        <w:tc>
          <w:tcPr>
            <w:tcW w:w="4210" w:type="dxa"/>
            <w:vAlign w:val="center"/>
          </w:tcPr>
          <w:p>
            <w:pPr>
              <w:jc w:val="center"/>
              <w:rPr>
                <w:rFonts w:hint="eastAsia"/>
                <w:color w:val="auto"/>
                <w:sz w:val="18"/>
                <w:szCs w:val="18"/>
                <w:highlight w:val="none"/>
              </w:rPr>
            </w:pPr>
            <w:r>
              <w:rPr>
                <w:rFonts w:hint="eastAsia"/>
                <w:color w:val="auto"/>
                <w:sz w:val="18"/>
                <w:szCs w:val="18"/>
                <w:highlight w:val="none"/>
              </w:rPr>
              <w:t>1.2 In，连续工作；1.4 In，10s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10</w:t>
            </w:r>
          </w:p>
        </w:tc>
        <w:tc>
          <w:tcPr>
            <w:tcW w:w="2699" w:type="dxa"/>
            <w:vAlign w:val="center"/>
          </w:tcPr>
          <w:p>
            <w:pPr>
              <w:pStyle w:val="7"/>
              <w:snapToGrid w:val="0"/>
              <w:spacing w:before="62" w:beforeLines="20" w:after="62" w:afterLines="20"/>
              <w:jc w:val="center"/>
              <w:rPr>
                <w:color w:val="auto"/>
                <w:highlight w:val="none"/>
              </w:rPr>
            </w:pPr>
            <w:r>
              <w:rPr>
                <w:rFonts w:hint="eastAsia"/>
                <w:color w:val="auto"/>
                <w:highlight w:val="none"/>
              </w:rPr>
              <w:t>交流电压回路功率损耗（每相）</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VA</w:t>
            </w:r>
          </w:p>
        </w:tc>
        <w:tc>
          <w:tcPr>
            <w:tcW w:w="4210" w:type="dxa"/>
            <w:vAlign w:val="center"/>
          </w:tcPr>
          <w:p>
            <w:pPr>
              <w:jc w:val="center"/>
              <w:rPr>
                <w:rFonts w:hint="eastAsia"/>
                <w:color w:val="auto"/>
                <w:sz w:val="18"/>
                <w:szCs w:val="18"/>
                <w:highlight w:val="none"/>
              </w:rPr>
            </w:pPr>
            <w:r>
              <w:rPr>
                <w:rFonts w:hint="eastAsia" w:ascii="宋体" w:hAnsi="宋体"/>
                <w:color w:val="auto"/>
                <w:sz w:val="18"/>
                <w:szCs w:val="18"/>
                <w:highlight w:val="none"/>
              </w:rPr>
              <w:t>≤1VA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11</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交流电流回路功率损耗（每相）</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VA</w:t>
            </w:r>
          </w:p>
        </w:tc>
        <w:tc>
          <w:tcPr>
            <w:tcW w:w="4210" w:type="dxa"/>
            <w:vAlign w:val="center"/>
          </w:tcPr>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≤0.5VA(In=1A)</w:t>
            </w:r>
          </w:p>
          <w:p>
            <w:pPr>
              <w:snapToGrid w:val="0"/>
              <w:jc w:val="center"/>
              <w:rPr>
                <w:rFonts w:hint="eastAsia"/>
                <w:color w:val="auto"/>
                <w:sz w:val="18"/>
                <w:szCs w:val="18"/>
                <w:highlight w:val="none"/>
              </w:rPr>
            </w:pPr>
            <w:r>
              <w:rPr>
                <w:rFonts w:hint="eastAsia" w:ascii="宋体" w:hAnsi="宋体"/>
                <w:color w:val="auto"/>
                <w:sz w:val="18"/>
                <w:szCs w:val="18"/>
                <w:highlight w:val="none"/>
              </w:rPr>
              <w:t>≤1VA（In=5A）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12</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装置直流消耗</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W</w:t>
            </w:r>
          </w:p>
        </w:tc>
        <w:tc>
          <w:tcPr>
            <w:tcW w:w="4210" w:type="dxa"/>
            <w:vAlign w:val="center"/>
          </w:tcPr>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≤30W(工作时)</w:t>
            </w:r>
          </w:p>
          <w:p>
            <w:pPr>
              <w:snapToGrid w:val="0"/>
              <w:jc w:val="center"/>
              <w:rPr>
                <w:color w:val="auto"/>
                <w:sz w:val="18"/>
                <w:szCs w:val="18"/>
                <w:highlight w:val="none"/>
              </w:rPr>
            </w:pPr>
            <w:r>
              <w:rPr>
                <w:rFonts w:hint="eastAsia" w:ascii="宋体" w:hAnsi="宋体"/>
                <w:color w:val="auto"/>
                <w:sz w:val="18"/>
                <w:szCs w:val="18"/>
                <w:highlight w:val="none"/>
              </w:rPr>
              <w:t>≤50W（动作时）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13</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跳闸触点容量</w:t>
            </w:r>
          </w:p>
        </w:tc>
        <w:tc>
          <w:tcPr>
            <w:tcW w:w="709" w:type="dxa"/>
            <w:vAlign w:val="center"/>
          </w:tcPr>
          <w:p>
            <w:pPr>
              <w:snapToGrid w:val="0"/>
              <w:jc w:val="center"/>
              <w:rPr>
                <w:rFonts w:hint="eastAsia"/>
                <w:color w:val="auto"/>
                <w:sz w:val="18"/>
                <w:szCs w:val="18"/>
                <w:highlight w:val="none"/>
              </w:rPr>
            </w:pPr>
          </w:p>
        </w:tc>
        <w:tc>
          <w:tcPr>
            <w:tcW w:w="4210" w:type="dxa"/>
            <w:vAlign w:val="center"/>
          </w:tcPr>
          <w:p>
            <w:pPr>
              <w:jc w:val="center"/>
              <w:rPr>
                <w:rFonts w:hint="eastAsia"/>
                <w:color w:val="auto"/>
                <w:sz w:val="18"/>
                <w:szCs w:val="18"/>
                <w:highlight w:val="none"/>
              </w:rPr>
            </w:pPr>
            <w:r>
              <w:rPr>
                <w:rFonts w:hint="eastAsia"/>
                <w:color w:val="auto"/>
                <w:sz w:val="18"/>
                <w:szCs w:val="18"/>
                <w:highlight w:val="none"/>
              </w:rPr>
              <w:t>长期允许通过电流不小于</w:t>
            </w:r>
            <w:r>
              <w:rPr>
                <w:color w:val="auto"/>
                <w:sz w:val="18"/>
                <w:szCs w:val="18"/>
                <w:highlight w:val="none"/>
              </w:rPr>
              <w:t>5A</w:t>
            </w:r>
            <w:r>
              <w:rPr>
                <w:rFonts w:hint="eastAsia"/>
                <w:color w:val="auto"/>
                <w:sz w:val="18"/>
                <w:szCs w:val="18"/>
                <w:highlight w:val="none"/>
              </w:rPr>
              <w:t>；</w:t>
            </w:r>
          </w:p>
          <w:p>
            <w:pPr>
              <w:snapToGrid w:val="0"/>
              <w:jc w:val="center"/>
              <w:rPr>
                <w:rFonts w:hint="eastAsia" w:ascii="宋体" w:hAnsi="宋体"/>
                <w:color w:val="auto"/>
                <w:sz w:val="18"/>
                <w:szCs w:val="18"/>
                <w:highlight w:val="none"/>
              </w:rPr>
            </w:pPr>
            <w:r>
              <w:rPr>
                <w:rFonts w:hint="eastAsia"/>
                <w:color w:val="auto"/>
                <w:sz w:val="18"/>
                <w:szCs w:val="18"/>
                <w:highlight w:val="none"/>
              </w:rPr>
              <w:t>触点断开容量为不小于</w:t>
            </w:r>
            <w:r>
              <w:rPr>
                <w:color w:val="auto"/>
                <w:sz w:val="18"/>
                <w:szCs w:val="18"/>
                <w:highlight w:val="none"/>
              </w:rPr>
              <w:t>50W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14</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其它触点容量</w:t>
            </w:r>
          </w:p>
        </w:tc>
        <w:tc>
          <w:tcPr>
            <w:tcW w:w="709" w:type="dxa"/>
            <w:vAlign w:val="center"/>
          </w:tcPr>
          <w:p>
            <w:pPr>
              <w:snapToGrid w:val="0"/>
              <w:jc w:val="center"/>
              <w:rPr>
                <w:rFonts w:hint="eastAsia"/>
                <w:color w:val="auto"/>
                <w:sz w:val="18"/>
                <w:szCs w:val="18"/>
                <w:highlight w:val="none"/>
              </w:rPr>
            </w:pPr>
          </w:p>
        </w:tc>
        <w:tc>
          <w:tcPr>
            <w:tcW w:w="4210" w:type="dxa"/>
            <w:vAlign w:val="center"/>
          </w:tcPr>
          <w:p>
            <w:pPr>
              <w:jc w:val="center"/>
              <w:rPr>
                <w:rFonts w:hint="eastAsia"/>
                <w:color w:val="auto"/>
                <w:sz w:val="18"/>
                <w:szCs w:val="18"/>
                <w:highlight w:val="none"/>
              </w:rPr>
            </w:pPr>
            <w:r>
              <w:rPr>
                <w:rFonts w:hint="eastAsia"/>
                <w:color w:val="auto"/>
                <w:sz w:val="18"/>
                <w:szCs w:val="18"/>
                <w:highlight w:val="none"/>
              </w:rPr>
              <w:t>长期允许通过电流不小于2</w:t>
            </w:r>
            <w:r>
              <w:rPr>
                <w:color w:val="auto"/>
                <w:sz w:val="18"/>
                <w:szCs w:val="18"/>
                <w:highlight w:val="none"/>
              </w:rPr>
              <w:t>A</w:t>
            </w:r>
            <w:r>
              <w:rPr>
                <w:rFonts w:hint="eastAsia"/>
                <w:color w:val="auto"/>
                <w:sz w:val="18"/>
                <w:szCs w:val="18"/>
                <w:highlight w:val="none"/>
              </w:rPr>
              <w:t>；</w:t>
            </w:r>
          </w:p>
          <w:p>
            <w:pPr>
              <w:snapToGrid w:val="0"/>
              <w:jc w:val="center"/>
              <w:rPr>
                <w:rFonts w:hint="eastAsia" w:ascii="宋体" w:hAnsi="宋体"/>
                <w:color w:val="auto"/>
                <w:sz w:val="18"/>
                <w:szCs w:val="18"/>
                <w:highlight w:val="none"/>
              </w:rPr>
            </w:pPr>
            <w:r>
              <w:rPr>
                <w:rFonts w:hint="eastAsia"/>
                <w:color w:val="auto"/>
                <w:sz w:val="18"/>
                <w:szCs w:val="18"/>
                <w:highlight w:val="none"/>
              </w:rPr>
              <w:t>触点断开容量为不小于</w:t>
            </w:r>
            <w:r>
              <w:rPr>
                <w:color w:val="auto"/>
                <w:sz w:val="18"/>
                <w:szCs w:val="18"/>
                <w:highlight w:val="none"/>
              </w:rPr>
              <w:t>30W</w:t>
            </w:r>
          </w:p>
        </w:tc>
      </w:tr>
    </w:tbl>
    <w:p>
      <w:pPr>
        <w:ind w:firstLine="360" w:firstLineChars="200"/>
        <w:rPr>
          <w:color w:val="auto"/>
          <w:sz w:val="18"/>
          <w:szCs w:val="18"/>
          <w:highlight w:val="none"/>
        </w:rPr>
      </w:pPr>
    </w:p>
    <w:p>
      <w:pPr>
        <w:adjustRightInd w:val="0"/>
        <w:snapToGrid w:val="0"/>
        <w:spacing w:line="360" w:lineRule="auto"/>
        <w:rPr>
          <w:rFonts w:hint="eastAsia" w:ascii="宋体"/>
          <w:color w:val="auto"/>
          <w:szCs w:val="21"/>
          <w:highlight w:val="none"/>
        </w:rPr>
      </w:pPr>
      <w:r>
        <w:rPr>
          <w:color w:val="auto"/>
          <w:sz w:val="18"/>
          <w:szCs w:val="18"/>
          <w:highlight w:val="none"/>
        </w:rPr>
        <w:br w:type="page"/>
      </w:r>
      <w:r>
        <w:rPr>
          <w:rFonts w:hint="eastAsia" w:ascii="宋体"/>
          <w:color w:val="auto"/>
          <w:szCs w:val="21"/>
          <w:highlight w:val="none"/>
        </w:rPr>
        <w:t>3.1.</w:t>
      </w:r>
      <w:r>
        <w:rPr>
          <w:rFonts w:ascii="宋体"/>
          <w:color w:val="auto"/>
          <w:szCs w:val="21"/>
          <w:highlight w:val="none"/>
        </w:rPr>
        <w:t>2</w:t>
      </w:r>
      <w:r>
        <w:rPr>
          <w:rFonts w:hint="eastAsia" w:ascii="宋体"/>
          <w:color w:val="auto"/>
          <w:szCs w:val="21"/>
          <w:highlight w:val="none"/>
        </w:rPr>
        <w:t xml:space="preserve"> 打印机标准技术参数表</w:t>
      </w:r>
    </w:p>
    <w:tbl>
      <w:tblPr>
        <w:tblStyle w:val="16"/>
        <w:tblW w:w="8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2699"/>
        <w:gridCol w:w="709"/>
        <w:gridCol w:w="4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trPr>
        <w:tc>
          <w:tcPr>
            <w:tcW w:w="528"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序号</w:t>
            </w:r>
          </w:p>
        </w:tc>
        <w:tc>
          <w:tcPr>
            <w:tcW w:w="269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参数名称</w:t>
            </w:r>
          </w:p>
        </w:tc>
        <w:tc>
          <w:tcPr>
            <w:tcW w:w="70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单位</w:t>
            </w:r>
          </w:p>
        </w:tc>
        <w:tc>
          <w:tcPr>
            <w:tcW w:w="4210" w:type="dxa"/>
            <w:vAlign w:val="center"/>
          </w:tcPr>
          <w:p>
            <w:pPr>
              <w:snapToGrid w:val="0"/>
              <w:spacing w:before="62" w:beforeLines="20" w:after="62" w:afterLines="20"/>
              <w:jc w:val="center"/>
              <w:rPr>
                <w:rFonts w:hint="eastAsia"/>
                <w:color w:val="auto"/>
                <w:sz w:val="18"/>
                <w:szCs w:val="18"/>
                <w:highlight w:val="none"/>
              </w:rPr>
            </w:pPr>
            <w:r>
              <w:rPr>
                <w:rFonts w:hint="eastAsia" w:hAnsi="宋体"/>
                <w:color w:val="auto"/>
                <w:sz w:val="18"/>
                <w:szCs w:val="18"/>
                <w:highlight w:val="none"/>
              </w:rPr>
              <w:t>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1</w:t>
            </w:r>
          </w:p>
        </w:tc>
        <w:tc>
          <w:tcPr>
            <w:tcW w:w="2699" w:type="dxa"/>
            <w:vAlign w:val="center"/>
          </w:tcPr>
          <w:p>
            <w:pPr>
              <w:spacing w:line="312" w:lineRule="exact"/>
              <w:jc w:val="center"/>
              <w:rPr>
                <w:rFonts w:hint="eastAsia"/>
                <w:color w:val="auto"/>
                <w:sz w:val="18"/>
                <w:szCs w:val="18"/>
                <w:highlight w:val="none"/>
              </w:rPr>
            </w:pPr>
            <w:r>
              <w:rPr>
                <w:rFonts w:hint="eastAsia" w:hAnsi="宋体"/>
                <w:color w:val="auto"/>
                <w:sz w:val="18"/>
                <w:szCs w:val="18"/>
                <w:highlight w:val="none"/>
              </w:rPr>
              <w:t>工作电源</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V</w:t>
            </w:r>
          </w:p>
        </w:tc>
        <w:tc>
          <w:tcPr>
            <w:tcW w:w="4210" w:type="dxa"/>
            <w:vAlign w:val="center"/>
          </w:tcPr>
          <w:p>
            <w:pPr>
              <w:spacing w:line="312" w:lineRule="exact"/>
              <w:jc w:val="center"/>
              <w:rPr>
                <w:rFonts w:hint="eastAsia"/>
                <w:color w:val="auto"/>
                <w:sz w:val="18"/>
                <w:szCs w:val="18"/>
                <w:highlight w:val="none"/>
              </w:rPr>
            </w:pPr>
            <w:r>
              <w:rPr>
                <w:rFonts w:hint="eastAsia"/>
                <w:color w:val="auto"/>
                <w:sz w:val="18"/>
                <w:szCs w:val="18"/>
                <w:highlight w:val="none"/>
              </w:rPr>
              <w:t>220VAC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2</w:t>
            </w:r>
          </w:p>
        </w:tc>
        <w:tc>
          <w:tcPr>
            <w:tcW w:w="2699" w:type="dxa"/>
            <w:vAlign w:val="center"/>
          </w:tcPr>
          <w:p>
            <w:pPr>
              <w:spacing w:line="312" w:lineRule="exact"/>
              <w:jc w:val="center"/>
              <w:rPr>
                <w:rFonts w:hint="eastAsia" w:hAnsi="宋体"/>
                <w:color w:val="auto"/>
                <w:sz w:val="18"/>
                <w:szCs w:val="18"/>
                <w:highlight w:val="none"/>
              </w:rPr>
            </w:pPr>
            <w:r>
              <w:rPr>
                <w:rFonts w:hint="eastAsia" w:hAnsi="宋体"/>
                <w:color w:val="auto"/>
                <w:sz w:val="18"/>
                <w:szCs w:val="18"/>
                <w:highlight w:val="none"/>
              </w:rPr>
              <w:t>接口型式</w:t>
            </w:r>
          </w:p>
        </w:tc>
        <w:tc>
          <w:tcPr>
            <w:tcW w:w="709" w:type="dxa"/>
            <w:vAlign w:val="center"/>
          </w:tcPr>
          <w:p>
            <w:pPr>
              <w:snapToGrid w:val="0"/>
              <w:jc w:val="center"/>
              <w:rPr>
                <w:rFonts w:hint="eastAsia"/>
                <w:color w:val="auto"/>
                <w:sz w:val="18"/>
                <w:szCs w:val="18"/>
                <w:highlight w:val="none"/>
              </w:rPr>
            </w:pPr>
          </w:p>
        </w:tc>
        <w:tc>
          <w:tcPr>
            <w:tcW w:w="4210" w:type="dxa"/>
            <w:vAlign w:val="center"/>
          </w:tcPr>
          <w:p>
            <w:pPr>
              <w:spacing w:line="312" w:lineRule="exact"/>
              <w:jc w:val="center"/>
              <w:rPr>
                <w:rFonts w:hint="eastAsia"/>
                <w:color w:val="auto"/>
                <w:sz w:val="18"/>
                <w:szCs w:val="18"/>
                <w:highlight w:val="none"/>
              </w:rPr>
            </w:pPr>
            <w:r>
              <w:rPr>
                <w:rFonts w:hint="eastAsia"/>
                <w:color w:val="auto"/>
                <w:sz w:val="18"/>
                <w:szCs w:val="18"/>
                <w:highlight w:val="none"/>
              </w:rPr>
              <w:t>与保护装置配套</w:t>
            </w:r>
          </w:p>
        </w:tc>
      </w:tr>
    </w:tbl>
    <w:p>
      <w:pPr>
        <w:ind w:firstLine="360" w:firstLineChars="200"/>
        <w:rPr>
          <w:rFonts w:hint="eastAsia"/>
          <w:color w:val="auto"/>
          <w:sz w:val="18"/>
          <w:szCs w:val="18"/>
          <w:highlight w:val="none"/>
        </w:rPr>
      </w:pP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3.1.</w:t>
      </w:r>
      <w:r>
        <w:rPr>
          <w:rFonts w:ascii="宋体"/>
          <w:color w:val="auto"/>
          <w:szCs w:val="21"/>
          <w:highlight w:val="none"/>
        </w:rPr>
        <w:t>3</w:t>
      </w:r>
      <w:r>
        <w:rPr>
          <w:rFonts w:hint="eastAsia" w:ascii="宋体"/>
          <w:color w:val="auto"/>
          <w:szCs w:val="21"/>
          <w:highlight w:val="none"/>
        </w:rPr>
        <w:t>保护柜标准技术参数表</w:t>
      </w:r>
    </w:p>
    <w:tbl>
      <w:tblPr>
        <w:tblStyle w:val="16"/>
        <w:tblW w:w="8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2699"/>
        <w:gridCol w:w="709"/>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trPr>
        <w:tc>
          <w:tcPr>
            <w:tcW w:w="528"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序号</w:t>
            </w:r>
          </w:p>
        </w:tc>
        <w:tc>
          <w:tcPr>
            <w:tcW w:w="269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参数名称</w:t>
            </w:r>
          </w:p>
        </w:tc>
        <w:tc>
          <w:tcPr>
            <w:tcW w:w="70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单位</w:t>
            </w:r>
          </w:p>
        </w:tc>
        <w:tc>
          <w:tcPr>
            <w:tcW w:w="4225" w:type="dxa"/>
            <w:vAlign w:val="center"/>
          </w:tcPr>
          <w:p>
            <w:pPr>
              <w:snapToGrid w:val="0"/>
              <w:spacing w:before="62" w:beforeLines="20" w:after="62" w:afterLines="20"/>
              <w:jc w:val="center"/>
              <w:rPr>
                <w:rFonts w:hint="eastAsia"/>
                <w:color w:val="auto"/>
                <w:sz w:val="18"/>
                <w:szCs w:val="18"/>
                <w:highlight w:val="none"/>
              </w:rPr>
            </w:pPr>
            <w:r>
              <w:rPr>
                <w:rFonts w:hint="eastAsia" w:hAnsi="宋体"/>
                <w:color w:val="auto"/>
                <w:sz w:val="18"/>
                <w:szCs w:val="18"/>
                <w:highlight w:val="none"/>
              </w:rPr>
              <w:t>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1</w:t>
            </w:r>
          </w:p>
        </w:tc>
        <w:tc>
          <w:tcPr>
            <w:tcW w:w="2699" w:type="dxa"/>
            <w:vAlign w:val="center"/>
          </w:tcPr>
          <w:p>
            <w:pPr>
              <w:spacing w:line="312" w:lineRule="exact"/>
              <w:jc w:val="center"/>
              <w:rPr>
                <w:rFonts w:hint="eastAsia"/>
                <w:color w:val="auto"/>
                <w:sz w:val="18"/>
                <w:szCs w:val="18"/>
                <w:highlight w:val="none"/>
              </w:rPr>
            </w:pPr>
            <w:r>
              <w:rPr>
                <w:rFonts w:hint="eastAsia" w:ascii="宋体" w:hAnsi="宋体"/>
                <w:color w:val="auto"/>
                <w:sz w:val="18"/>
                <w:szCs w:val="18"/>
                <w:highlight w:val="none"/>
              </w:rPr>
              <w:t>尺寸</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mm</w:t>
            </w:r>
          </w:p>
        </w:tc>
        <w:tc>
          <w:tcPr>
            <w:tcW w:w="4225" w:type="dxa"/>
            <w:vAlign w:val="center"/>
          </w:tcPr>
          <w:p>
            <w:pPr>
              <w:spacing w:line="312" w:lineRule="exact"/>
              <w:rPr>
                <w:rFonts w:hint="eastAsia"/>
                <w:color w:val="auto"/>
                <w:sz w:val="18"/>
                <w:szCs w:val="18"/>
                <w:highlight w:val="none"/>
              </w:rPr>
            </w:pPr>
            <w:r>
              <w:rPr>
                <w:rFonts w:hint="eastAsia"/>
                <w:color w:val="auto"/>
                <w:sz w:val="18"/>
                <w:szCs w:val="18"/>
                <w:highlight w:val="none"/>
              </w:rPr>
              <w:t>高度：2260 mm</w:t>
            </w:r>
          </w:p>
          <w:p>
            <w:pPr>
              <w:spacing w:line="312" w:lineRule="exact"/>
              <w:rPr>
                <w:rFonts w:hint="eastAsia"/>
                <w:color w:val="auto"/>
                <w:sz w:val="18"/>
                <w:szCs w:val="18"/>
                <w:highlight w:val="none"/>
              </w:rPr>
            </w:pPr>
            <w:r>
              <w:rPr>
                <w:rFonts w:hint="eastAsia"/>
                <w:color w:val="auto"/>
                <w:sz w:val="18"/>
                <w:szCs w:val="18"/>
                <w:highlight w:val="none"/>
              </w:rPr>
              <w:t>宽度：800mm</w:t>
            </w:r>
          </w:p>
          <w:p>
            <w:pPr>
              <w:spacing w:line="312" w:lineRule="exact"/>
              <w:rPr>
                <w:rFonts w:hint="eastAsia"/>
                <w:color w:val="auto"/>
                <w:sz w:val="18"/>
                <w:szCs w:val="18"/>
                <w:highlight w:val="none"/>
              </w:rPr>
            </w:pPr>
            <w:r>
              <w:rPr>
                <w:rFonts w:hint="eastAsia"/>
                <w:color w:val="auto"/>
                <w:sz w:val="18"/>
                <w:szCs w:val="18"/>
                <w:highlight w:val="none"/>
              </w:rPr>
              <w:t>深度：600mm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2</w:t>
            </w:r>
          </w:p>
        </w:tc>
        <w:tc>
          <w:tcPr>
            <w:tcW w:w="2699" w:type="dxa"/>
            <w:vAlign w:val="center"/>
          </w:tcPr>
          <w:p>
            <w:pPr>
              <w:spacing w:line="312" w:lineRule="exact"/>
              <w:jc w:val="center"/>
              <w:rPr>
                <w:rFonts w:hint="eastAsia" w:ascii="宋体" w:hAnsi="宋体"/>
                <w:color w:val="auto"/>
                <w:sz w:val="18"/>
                <w:szCs w:val="18"/>
                <w:highlight w:val="none"/>
              </w:rPr>
            </w:pPr>
            <w:r>
              <w:rPr>
                <w:rFonts w:hint="eastAsia" w:ascii="宋体" w:hAnsi="宋体"/>
                <w:color w:val="auto"/>
                <w:sz w:val="18"/>
                <w:szCs w:val="18"/>
                <w:highlight w:val="none"/>
              </w:rPr>
              <w:t>颜色</w:t>
            </w:r>
          </w:p>
        </w:tc>
        <w:tc>
          <w:tcPr>
            <w:tcW w:w="709" w:type="dxa"/>
            <w:vAlign w:val="center"/>
          </w:tcPr>
          <w:p>
            <w:pPr>
              <w:snapToGrid w:val="0"/>
              <w:jc w:val="center"/>
              <w:rPr>
                <w:rFonts w:hint="eastAsia"/>
                <w:color w:val="auto"/>
                <w:sz w:val="18"/>
                <w:szCs w:val="18"/>
                <w:highlight w:val="none"/>
              </w:rPr>
            </w:pPr>
          </w:p>
        </w:tc>
        <w:tc>
          <w:tcPr>
            <w:tcW w:w="4225" w:type="dxa"/>
            <w:vAlign w:val="center"/>
          </w:tcPr>
          <w:p>
            <w:pPr>
              <w:spacing w:line="312" w:lineRule="exact"/>
              <w:rPr>
                <w:rFonts w:hint="eastAsia"/>
                <w:color w:val="auto"/>
                <w:sz w:val="18"/>
                <w:szCs w:val="18"/>
                <w:highlight w:val="none"/>
              </w:rPr>
            </w:pPr>
            <w:r>
              <w:rPr>
                <w:rFonts w:hint="eastAsia" w:ascii="宋体" w:hAnsi="宋体" w:eastAsia="宋体"/>
                <w:color w:val="auto"/>
                <w:sz w:val="18"/>
                <w:szCs w:val="18"/>
                <w:highlight w:val="none"/>
                <w:lang w:val="en-US" w:eastAsia="zh-CN"/>
              </w:rPr>
              <w:t>电漆亮灰色 （RAL 7035色标）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lang w:val="en-US" w:eastAsia="zh-CN"/>
              </w:rPr>
              <w:t>3</w:t>
            </w:r>
          </w:p>
        </w:tc>
        <w:tc>
          <w:tcPr>
            <w:tcW w:w="2699" w:type="dxa"/>
            <w:vAlign w:val="center"/>
          </w:tcPr>
          <w:p>
            <w:pPr>
              <w:spacing w:line="312" w:lineRule="exact"/>
              <w:jc w:val="center"/>
              <w:rPr>
                <w:rFonts w:hint="eastAsia" w:ascii="宋体" w:hAnsi="宋体"/>
                <w:color w:val="auto"/>
                <w:sz w:val="18"/>
                <w:szCs w:val="18"/>
                <w:highlight w:val="none"/>
              </w:rPr>
            </w:pPr>
            <w:r>
              <w:rPr>
                <w:rFonts w:hint="eastAsia" w:ascii="宋体" w:hAnsi="宋体" w:eastAsia="宋体"/>
                <w:color w:val="auto"/>
                <w:sz w:val="18"/>
                <w:szCs w:val="18"/>
                <w:highlight w:val="none"/>
                <w:lang w:val="en-US" w:eastAsia="zh-CN"/>
              </w:rPr>
              <w:t>柜体</w:t>
            </w:r>
          </w:p>
        </w:tc>
        <w:tc>
          <w:tcPr>
            <w:tcW w:w="709" w:type="dxa"/>
            <w:vAlign w:val="center"/>
          </w:tcPr>
          <w:p>
            <w:pPr>
              <w:spacing w:line="312" w:lineRule="exact"/>
              <w:jc w:val="both"/>
              <w:rPr>
                <w:rFonts w:hint="eastAsia"/>
                <w:color w:val="auto"/>
                <w:sz w:val="18"/>
                <w:szCs w:val="18"/>
                <w:highlight w:val="none"/>
              </w:rPr>
            </w:pPr>
          </w:p>
        </w:tc>
        <w:tc>
          <w:tcPr>
            <w:tcW w:w="4225" w:type="dxa"/>
            <w:vAlign w:val="center"/>
          </w:tcPr>
          <w:p>
            <w:pPr>
              <w:spacing w:line="312" w:lineRule="exact"/>
              <w:jc w:val="both"/>
              <w:rPr>
                <w:rFonts w:hint="eastAsia"/>
                <w:color w:val="auto"/>
                <w:sz w:val="18"/>
                <w:szCs w:val="18"/>
                <w:highlight w:val="none"/>
              </w:rPr>
            </w:pPr>
            <w:r>
              <w:rPr>
                <w:rFonts w:hint="eastAsia" w:ascii="宋体" w:hAnsi="宋体" w:eastAsia="宋体"/>
                <w:color w:val="auto"/>
                <w:sz w:val="18"/>
                <w:szCs w:val="18"/>
                <w:highlight w:val="none"/>
                <w:lang w:val="en-US" w:eastAsia="zh-CN"/>
              </w:rPr>
              <w:t>面板采用冷轧钢板静电喷涂（喷塑），其板材厚度要求不小于2.0mm</w:t>
            </w:r>
          </w:p>
        </w:tc>
      </w:tr>
    </w:tbl>
    <w:p>
      <w:pPr>
        <w:adjustRightInd w:val="0"/>
        <w:spacing w:before="156" w:beforeLines="50" w:line="360" w:lineRule="auto"/>
        <w:rPr>
          <w:rFonts w:hint="eastAsia" w:ascii="宋体" w:cs="新宋体"/>
          <w:bCs/>
          <w:color w:val="auto"/>
          <w:szCs w:val="21"/>
          <w:highlight w:val="none"/>
        </w:rPr>
      </w:pPr>
      <w:r>
        <w:rPr>
          <w:rFonts w:hint="eastAsia" w:ascii="宋体" w:cs="新宋体"/>
          <w:bCs/>
          <w:color w:val="auto"/>
          <w:szCs w:val="21"/>
          <w:highlight w:val="none"/>
        </w:rPr>
        <w:t>3.2技术要求</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.1 110kV线路应配置一套线路保护，每套保护均具有完整的后备保护。</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.2 110kV线路保护均应含三相一次重合闸功能。重合闸可实现三重和停用方式。</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.3 110kV线路保护设有三段相间和接地距离、四段零序方向过流和三段相电流过流保护。</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 xml:space="preserve">.4 </w:t>
      </w:r>
      <w:r>
        <w:rPr>
          <w:rFonts w:ascii="宋体"/>
          <w:color w:val="auto"/>
          <w:szCs w:val="21"/>
          <w:highlight w:val="none"/>
        </w:rPr>
        <w:t>装置含</w:t>
      </w:r>
      <w:r>
        <w:rPr>
          <w:rFonts w:hint="eastAsia" w:ascii="宋体"/>
          <w:color w:val="auto"/>
          <w:szCs w:val="21"/>
          <w:highlight w:val="none"/>
        </w:rPr>
        <w:t>操作箱及电压切换回路。</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 xml:space="preserve">5 </w:t>
      </w:r>
      <w:r>
        <w:rPr>
          <w:rFonts w:hint="eastAsia" w:ascii="宋体"/>
          <w:color w:val="auto"/>
          <w:szCs w:val="21"/>
          <w:highlight w:val="none"/>
        </w:rPr>
        <w:t>线路两侧保护、远方跳闸保护选型应一致，主保护的软件版本与硬件应完全一致。</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6</w:t>
      </w:r>
      <w:r>
        <w:rPr>
          <w:rFonts w:hint="eastAsia" w:ascii="宋体"/>
          <w:color w:val="auto"/>
          <w:szCs w:val="21"/>
          <w:highlight w:val="none"/>
        </w:rPr>
        <w:t>在空载、轻载、满载等各种工况下，在线路保护范围内发生金属性和非金属性（不大于100Ω）的各种故障时，线路保护应能正确动作。系统无故障、外部故障、故障转换、功率突然倒向以及系统操作等情况下保护不应误动。</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7</w:t>
      </w:r>
      <w:r>
        <w:rPr>
          <w:rFonts w:hint="eastAsia" w:ascii="宋体"/>
          <w:color w:val="auto"/>
          <w:szCs w:val="21"/>
          <w:highlight w:val="none"/>
        </w:rPr>
        <w:t>线路保护装置需考虑线路分布电容、变压器（励磁涌流）等所产生的暂态及稳态过程的谐波分量和直流分量的影响，有抑制这些分量的措施。</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8</w:t>
      </w:r>
      <w:r>
        <w:rPr>
          <w:rFonts w:hint="eastAsia" w:ascii="宋体"/>
          <w:color w:val="auto"/>
          <w:szCs w:val="21"/>
          <w:highlight w:val="none"/>
        </w:rPr>
        <w:t>每一套线路保护都应自身带有故障录波、测距及事件记录功能，并能提供相应的远方通讯和分析软件。</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9</w:t>
      </w:r>
      <w:r>
        <w:rPr>
          <w:rFonts w:hint="eastAsia" w:ascii="宋体"/>
          <w:color w:val="auto"/>
          <w:szCs w:val="21"/>
          <w:highlight w:val="none"/>
        </w:rPr>
        <w:t>手动合闸或重合于故障线路上时，保护应能可靠瞬时三相跳闸。手动合闸或重合于无故障线路时应可靠不动作。</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10</w:t>
      </w:r>
      <w:r>
        <w:rPr>
          <w:rFonts w:hint="eastAsia" w:ascii="宋体"/>
          <w:color w:val="auto"/>
          <w:szCs w:val="21"/>
          <w:highlight w:val="none"/>
        </w:rPr>
        <w:t>保护装置应保证出口对称三相短路时可靠动作，同时应保证正方向故障及反方向出口经小电阻故障时动作的正确性。</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11</w:t>
      </w:r>
      <w:r>
        <w:rPr>
          <w:rFonts w:hint="eastAsia" w:ascii="宋体"/>
          <w:color w:val="auto"/>
          <w:szCs w:val="21"/>
          <w:highlight w:val="none"/>
        </w:rPr>
        <w:t>保护装置在各种工作环境下（包括就地下放的环境），应能耐受雷击过电压、一次回路操作、开关场故障及其它强电磁干扰作用，不应误动或拒动。</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12</w:t>
      </w:r>
      <w:r>
        <w:rPr>
          <w:rFonts w:hint="eastAsia" w:ascii="宋体"/>
          <w:color w:val="auto"/>
          <w:szCs w:val="21"/>
          <w:highlight w:val="none"/>
        </w:rPr>
        <w:t>保护装置在电压二次回路断线(包括三相断线)或短路时应闭锁有可能误动的保护，并发出告警信号；保护装置在电流二次回路断线时应能发出告警信号，并可选择允许保护跳闸。</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13</w:t>
      </w:r>
      <w:r>
        <w:rPr>
          <w:rFonts w:hint="eastAsia" w:ascii="宋体"/>
          <w:color w:val="auto"/>
          <w:szCs w:val="21"/>
          <w:highlight w:val="none"/>
        </w:rPr>
        <w:t>重合闸装置起动后应能延时自动复归，重合闸应具有停用或闭锁（断路器低气压、重合闸装置故障、重合闸被其他保护闭锁等）回路。</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14</w:t>
      </w:r>
      <w:r>
        <w:rPr>
          <w:rFonts w:hint="eastAsia" w:ascii="宋体"/>
          <w:color w:val="auto"/>
          <w:szCs w:val="21"/>
          <w:highlight w:val="none"/>
        </w:rPr>
        <w:t>保护装置应具有对时功能，采用RS-485 串行数据通信接口接收时间同步系统发出的IRIG-B（DC）时码作为对时信号源。保护应具备通信管理功能，与计算机监控系统和保护及故障信息管理子站系统通信，通信规约采用IEC6</w:t>
      </w:r>
      <w:r>
        <w:rPr>
          <w:rFonts w:ascii="宋体"/>
          <w:color w:val="auto"/>
          <w:szCs w:val="21"/>
          <w:highlight w:val="none"/>
        </w:rPr>
        <w:t>1850</w:t>
      </w:r>
      <w:r>
        <w:rPr>
          <w:rFonts w:hint="eastAsia" w:ascii="宋体"/>
          <w:color w:val="auto"/>
          <w:szCs w:val="21"/>
          <w:highlight w:val="none"/>
        </w:rPr>
        <w:t>或1</w:t>
      </w:r>
      <w:r>
        <w:rPr>
          <w:rFonts w:ascii="宋体"/>
          <w:color w:val="auto"/>
          <w:szCs w:val="21"/>
          <w:highlight w:val="none"/>
        </w:rPr>
        <w:t>03</w:t>
      </w:r>
      <w:r>
        <w:rPr>
          <w:rFonts w:hint="eastAsia" w:ascii="宋体"/>
          <w:color w:val="auto"/>
          <w:szCs w:val="21"/>
          <w:highlight w:val="none"/>
        </w:rPr>
        <w:t>，接口采用以太网或RS-485 串口。</w:t>
      </w:r>
    </w:p>
    <w:p>
      <w:pPr>
        <w:adjustRightInd w:val="0"/>
        <w:snapToGrid w:val="0"/>
        <w:spacing w:line="360" w:lineRule="auto"/>
        <w:rPr>
          <w:rFonts w:hint="eastAsia" w:ascii="宋体"/>
          <w:color w:val="auto"/>
          <w:szCs w:val="21"/>
          <w:highlight w:val="none"/>
        </w:rPr>
      </w:pPr>
      <w:r>
        <w:rPr>
          <w:rFonts w:ascii="宋体"/>
          <w:color w:val="auto"/>
          <w:szCs w:val="21"/>
          <w:highlight w:val="none"/>
        </w:rPr>
        <w:t>3.2</w:t>
      </w:r>
      <w:r>
        <w:rPr>
          <w:rFonts w:hint="eastAsia" w:ascii="宋体"/>
          <w:color w:val="auto"/>
          <w:szCs w:val="21"/>
          <w:highlight w:val="none"/>
        </w:rPr>
        <w:t>.</w:t>
      </w:r>
      <w:r>
        <w:rPr>
          <w:rFonts w:ascii="宋体"/>
          <w:color w:val="auto"/>
          <w:szCs w:val="21"/>
          <w:highlight w:val="none"/>
        </w:rPr>
        <w:t>15</w:t>
      </w:r>
      <w:r>
        <w:rPr>
          <w:rFonts w:hint="eastAsia" w:ascii="宋体"/>
          <w:color w:val="auto"/>
          <w:szCs w:val="21"/>
          <w:highlight w:val="none"/>
        </w:rPr>
        <w:t>为便于调试，保护装置上应设置打印机接口。</w:t>
      </w:r>
    </w:p>
    <w:p>
      <w:pPr>
        <w:adjustRightInd w:val="0"/>
        <w:snapToGrid w:val="0"/>
        <w:spacing w:line="360" w:lineRule="auto"/>
        <w:rPr>
          <w:rFonts w:hint="eastAsia" w:ascii="宋体"/>
          <w:color w:val="auto"/>
          <w:szCs w:val="21"/>
          <w:highlight w:val="none"/>
          <w:lang w:val="en-US" w:eastAsia="zh-CN"/>
        </w:rPr>
      </w:pPr>
      <w:r>
        <w:rPr>
          <w:rFonts w:hint="eastAsia" w:ascii="宋体"/>
          <w:color w:val="auto"/>
          <w:szCs w:val="21"/>
          <w:highlight w:val="none"/>
          <w:lang w:val="en-US" w:eastAsia="zh-CN"/>
        </w:rPr>
        <w:t>*3.3 特殊要求</w:t>
      </w:r>
    </w:p>
    <w:p>
      <w:pPr>
        <w:adjustRightInd w:val="0"/>
        <w:snapToGrid w:val="0"/>
        <w:spacing w:line="360" w:lineRule="auto"/>
        <w:rPr>
          <w:rFonts w:hint="eastAsia" w:ascii="宋体"/>
          <w:color w:val="auto"/>
          <w:kern w:val="0"/>
          <w:szCs w:val="21"/>
          <w:highlight w:val="none"/>
        </w:rPr>
      </w:pPr>
      <w:r>
        <w:rPr>
          <w:rFonts w:hint="eastAsia" w:ascii="宋体"/>
          <w:color w:val="auto"/>
          <w:szCs w:val="21"/>
          <w:highlight w:val="none"/>
          <w:lang w:val="en-US" w:eastAsia="zh-CN"/>
        </w:rPr>
        <w:t xml:space="preserve">3.3.1 </w:t>
      </w:r>
      <w:r>
        <w:rPr>
          <w:rFonts w:hint="eastAsia" w:ascii="宋体"/>
          <w:color w:val="auto"/>
          <w:kern w:val="0"/>
          <w:szCs w:val="21"/>
          <w:highlight w:val="none"/>
        </w:rPr>
        <w:t>中标方负责原设备拆除及新购设备的安装、调试，直至设备正常运行。</w:t>
      </w:r>
    </w:p>
    <w:p>
      <w:pPr>
        <w:adjustRightInd w:val="0"/>
        <w:snapToGrid w:val="0"/>
        <w:spacing w:line="360" w:lineRule="auto"/>
        <w:rPr>
          <w:rFonts w:hint="eastAsia" w:ascii="宋体" w:cs="Arial"/>
          <w:color w:val="auto"/>
          <w:szCs w:val="21"/>
          <w:highlight w:val="none"/>
          <w:lang w:bidi="ar-SA"/>
        </w:rPr>
      </w:pPr>
      <w:r>
        <w:rPr>
          <w:rFonts w:hint="eastAsia" w:ascii="宋体"/>
          <w:color w:val="auto"/>
          <w:kern w:val="0"/>
          <w:szCs w:val="21"/>
          <w:highlight w:val="none"/>
        </w:rPr>
        <w:t>3.</w:t>
      </w:r>
      <w:r>
        <w:rPr>
          <w:rFonts w:hint="eastAsia" w:ascii="宋体"/>
          <w:color w:val="auto"/>
          <w:kern w:val="0"/>
          <w:szCs w:val="21"/>
          <w:highlight w:val="none"/>
          <w:lang w:val="en-US" w:eastAsia="zh-CN"/>
        </w:rPr>
        <w:t>3.2</w:t>
      </w:r>
      <w:r>
        <w:rPr>
          <w:rFonts w:hint="eastAsia" w:ascii="宋体"/>
          <w:color w:val="auto"/>
          <w:kern w:val="0"/>
          <w:szCs w:val="21"/>
          <w:highlight w:val="none"/>
        </w:rPr>
        <w:t>投标方要进行现场踏勘，对招标方现场设备进行了解，确定</w:t>
      </w:r>
      <w:r>
        <w:rPr>
          <w:rFonts w:hint="eastAsia" w:ascii="宋体"/>
          <w:color w:val="auto"/>
          <w:kern w:val="0"/>
          <w:szCs w:val="21"/>
          <w:highlight w:val="none"/>
          <w:lang w:eastAsia="zh-CN"/>
        </w:rPr>
        <w:t>并免费提供</w:t>
      </w:r>
      <w:r>
        <w:rPr>
          <w:rFonts w:hint="eastAsia" w:ascii="宋体"/>
          <w:color w:val="auto"/>
          <w:kern w:val="0"/>
          <w:szCs w:val="21"/>
          <w:highlight w:val="none"/>
        </w:rPr>
        <w:t>新设备安装调试所需一切原件、配件及材料，随设备运至设备安装地点。</w:t>
      </w:r>
    </w:p>
    <w:p>
      <w:pPr>
        <w:spacing w:line="360" w:lineRule="auto"/>
        <w:rPr>
          <w:rFonts w:hint="eastAsia" w:ascii="宋体" w:cs="新宋体"/>
          <w:bCs/>
          <w:snapToGrid w:val="0"/>
          <w:color w:val="auto"/>
          <w:kern w:val="0"/>
          <w:szCs w:val="21"/>
          <w:highlight w:val="none"/>
        </w:rPr>
      </w:pPr>
      <w:r>
        <w:rPr>
          <w:rFonts w:hint="eastAsia" w:ascii="宋体" w:cs="新宋体"/>
          <w:bCs/>
          <w:snapToGrid w:val="0"/>
          <w:color w:val="auto"/>
          <w:kern w:val="0"/>
          <w:szCs w:val="21"/>
          <w:highlight w:val="none"/>
        </w:rPr>
        <w:t>4.供货范围</w:t>
      </w:r>
    </w:p>
    <w:p>
      <w:pPr>
        <w:tabs>
          <w:tab w:val="left" w:pos="360"/>
        </w:tabs>
        <w:snapToGrid w:val="0"/>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完整的、全新的、符合制造标准的、满足本招标技术附件各项条件及技术要求的共计</w:t>
      </w:r>
      <w:r>
        <w:rPr>
          <w:rFonts w:hint="eastAsia" w:ascii="宋体" w:cs="新宋体"/>
          <w:bCs/>
          <w:color w:val="auto"/>
          <w:szCs w:val="21"/>
          <w:highlight w:val="none"/>
          <w:u w:val="single"/>
        </w:rPr>
        <w:t xml:space="preserve">    5</w:t>
      </w:r>
      <w:r>
        <w:rPr>
          <w:rFonts w:hint="eastAsia" w:ascii="宋体" w:cs="新宋体"/>
          <w:bCs/>
          <w:color w:val="auto"/>
          <w:szCs w:val="21"/>
          <w:highlight w:val="none"/>
        </w:rPr>
        <w:t>套</w:t>
      </w:r>
      <w:r>
        <w:rPr>
          <w:rFonts w:hint="eastAsia" w:ascii="宋体"/>
          <w:color w:val="auto"/>
          <w:szCs w:val="21"/>
          <w:highlight w:val="none"/>
        </w:rPr>
        <w:t>线路保护柜</w:t>
      </w:r>
      <w:r>
        <w:rPr>
          <w:rFonts w:hint="eastAsia" w:ascii="宋体" w:cs="新宋体"/>
          <w:bCs/>
          <w:color w:val="auto"/>
          <w:szCs w:val="21"/>
          <w:highlight w:val="none"/>
        </w:rPr>
        <w:t>等均由投标方提供。</w:t>
      </w:r>
    </w:p>
    <w:p>
      <w:pPr>
        <w:spacing w:line="360" w:lineRule="auto"/>
        <w:rPr>
          <w:rFonts w:hint="eastAsia" w:ascii="宋体" w:cs="新宋体"/>
          <w:bCs/>
          <w:snapToGrid w:val="0"/>
          <w:color w:val="auto"/>
          <w:kern w:val="0"/>
          <w:szCs w:val="21"/>
          <w:highlight w:val="none"/>
        </w:rPr>
      </w:pPr>
      <w:r>
        <w:rPr>
          <w:rFonts w:hint="eastAsia" w:ascii="宋体" w:cs="新宋体"/>
          <w:bCs/>
          <w:snapToGrid w:val="0"/>
          <w:color w:val="auto"/>
          <w:kern w:val="0"/>
          <w:szCs w:val="21"/>
          <w:highlight w:val="none"/>
        </w:rPr>
        <w:t>5.技术资料</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5.1投标方必须提供下表所列中文技术资料（但不限于此），并按下表要求时间交货。</w:t>
      </w:r>
    </w:p>
    <w:tbl>
      <w:tblPr>
        <w:tblStyle w:val="16"/>
        <w:tblpPr w:leftFromText="180" w:rightFromText="180" w:vertAnchor="text" w:horzAnchor="page" w:tblpX="1637" w:tblpY="209"/>
        <w:tblOverlap w:val="never"/>
        <w:tblW w:w="8921" w:type="dxa"/>
        <w:tblInd w:w="-5" w:type="dxa"/>
        <w:tblLayout w:type="fixed"/>
        <w:tblCellMar>
          <w:top w:w="0" w:type="dxa"/>
          <w:left w:w="0" w:type="dxa"/>
          <w:bottom w:w="0" w:type="dxa"/>
          <w:right w:w="0" w:type="dxa"/>
        </w:tblCellMar>
      </w:tblPr>
      <w:tblGrid>
        <w:gridCol w:w="818"/>
        <w:gridCol w:w="3298"/>
        <w:gridCol w:w="1985"/>
        <w:gridCol w:w="2820"/>
      </w:tblGrid>
      <w:tr>
        <w:tblPrEx>
          <w:tblLayout w:type="fixed"/>
          <w:tblCellMar>
            <w:top w:w="0" w:type="dxa"/>
            <w:left w:w="0" w:type="dxa"/>
            <w:bottom w:w="0" w:type="dxa"/>
            <w:right w:w="0" w:type="dxa"/>
          </w:tblCellMar>
        </w:tblPrEx>
        <w:trPr>
          <w:trHeight w:val="375" w:hRule="atLeast"/>
        </w:trPr>
        <w:tc>
          <w:tcPr>
            <w:tcW w:w="8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序号</w:t>
            </w:r>
          </w:p>
        </w:tc>
        <w:tc>
          <w:tcPr>
            <w:tcW w:w="3298" w:type="dxa"/>
            <w:tcBorders>
              <w:top w:val="single" w:color="auto" w:sz="4" w:space="0"/>
              <w:left w:val="nil"/>
              <w:bottom w:val="single" w:color="auto" w:sz="4" w:space="0"/>
              <w:right w:val="single" w:color="auto" w:sz="4" w:space="0"/>
            </w:tcBorders>
            <w:vAlign w:val="center"/>
          </w:tcPr>
          <w:p>
            <w:pPr>
              <w:jc w:val="center"/>
              <w:rPr>
                <w:rFonts w:hint="eastAsia" w:ascii="宋体"/>
                <w:color w:val="auto"/>
                <w:szCs w:val="21"/>
                <w:highlight w:val="none"/>
              </w:rPr>
            </w:pPr>
            <w:r>
              <w:rPr>
                <w:rFonts w:hint="eastAsia" w:ascii="宋体"/>
                <w:color w:val="auto"/>
                <w:szCs w:val="21"/>
                <w:highlight w:val="none"/>
              </w:rPr>
              <w:t>名    称</w:t>
            </w:r>
          </w:p>
        </w:tc>
        <w:tc>
          <w:tcPr>
            <w:tcW w:w="1985"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数量（每台）</w:t>
            </w:r>
          </w:p>
        </w:tc>
        <w:tc>
          <w:tcPr>
            <w:tcW w:w="282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要求交货时间</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1</w:t>
            </w:r>
          </w:p>
        </w:tc>
        <w:tc>
          <w:tcPr>
            <w:tcW w:w="3298"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技术资料</w:t>
            </w:r>
          </w:p>
          <w:p>
            <w:pPr>
              <w:jc w:val="center"/>
              <w:rPr>
                <w:rFonts w:hint="eastAsia" w:ascii="宋体"/>
                <w:color w:val="auto"/>
                <w:szCs w:val="21"/>
                <w:highlight w:val="none"/>
              </w:rPr>
            </w:pPr>
            <w:r>
              <w:rPr>
                <w:rFonts w:hint="eastAsia" w:ascii="宋体" w:hAnsi="宋体" w:cs="宋体"/>
                <w:color w:val="auto"/>
                <w:szCs w:val="21"/>
                <w:highlight w:val="none"/>
              </w:rPr>
              <w:t>（使用说明书）</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2</w:t>
            </w:r>
          </w:p>
        </w:tc>
        <w:tc>
          <w:tcPr>
            <w:tcW w:w="3298" w:type="dxa"/>
            <w:tcBorders>
              <w:top w:val="nil"/>
              <w:left w:val="nil"/>
              <w:bottom w:val="single" w:color="auto" w:sz="4" w:space="0"/>
              <w:right w:val="single" w:color="auto" w:sz="4" w:space="0"/>
            </w:tcBorders>
            <w:vAlign w:val="center"/>
          </w:tcPr>
          <w:p>
            <w:pPr>
              <w:jc w:val="center"/>
              <w:rPr>
                <w:rFonts w:hint="eastAsia" w:ascii="宋体" w:cs="新宋体"/>
                <w:bCs/>
                <w:color w:val="auto"/>
                <w:szCs w:val="21"/>
                <w:highlight w:val="none"/>
              </w:rPr>
            </w:pPr>
            <w:r>
              <w:rPr>
                <w:rFonts w:hint="eastAsia" w:ascii="宋体"/>
                <w:color w:val="auto"/>
                <w:szCs w:val="21"/>
                <w:highlight w:val="none"/>
              </w:rPr>
              <w:t>检验合格证书</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nil"/>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3</w:t>
            </w:r>
          </w:p>
        </w:tc>
        <w:tc>
          <w:tcPr>
            <w:tcW w:w="3298" w:type="dxa"/>
            <w:tcBorders>
              <w:top w:val="nil"/>
              <w:left w:val="nil"/>
              <w:bottom w:val="nil"/>
              <w:right w:val="single" w:color="auto" w:sz="4" w:space="0"/>
            </w:tcBorders>
            <w:vAlign w:val="center"/>
          </w:tcPr>
          <w:p>
            <w:pPr>
              <w:jc w:val="center"/>
              <w:rPr>
                <w:rFonts w:hint="eastAsia" w:ascii="宋体" w:cs="新宋体"/>
                <w:bCs/>
                <w:color w:val="auto"/>
                <w:szCs w:val="21"/>
                <w:highlight w:val="none"/>
              </w:rPr>
            </w:pPr>
            <w:r>
              <w:rPr>
                <w:rFonts w:hint="eastAsia" w:ascii="宋体"/>
                <w:color w:val="auto"/>
                <w:szCs w:val="21"/>
                <w:highlight w:val="none"/>
              </w:rPr>
              <w:t>产品说明书</w:t>
            </w:r>
          </w:p>
        </w:tc>
        <w:tc>
          <w:tcPr>
            <w:tcW w:w="1985" w:type="dxa"/>
            <w:tcBorders>
              <w:top w:val="nil"/>
              <w:left w:val="nil"/>
              <w:bottom w:val="nil"/>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nil"/>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4</w:t>
            </w:r>
          </w:p>
        </w:tc>
        <w:tc>
          <w:tcPr>
            <w:tcW w:w="3298" w:type="dxa"/>
            <w:tcBorders>
              <w:top w:val="nil"/>
              <w:left w:val="nil"/>
              <w:bottom w:val="single" w:color="auto" w:sz="4" w:space="0"/>
              <w:right w:val="single" w:color="auto" w:sz="4" w:space="0"/>
            </w:tcBorders>
            <w:vAlign w:val="center"/>
          </w:tcPr>
          <w:p>
            <w:pPr>
              <w:jc w:val="center"/>
              <w:rPr>
                <w:rFonts w:hint="eastAsia" w:ascii="宋体"/>
                <w:color w:val="auto"/>
                <w:szCs w:val="21"/>
                <w:highlight w:val="none"/>
              </w:rPr>
            </w:pPr>
            <w:r>
              <w:rPr>
                <w:rFonts w:hint="eastAsia" w:ascii="宋体"/>
                <w:color w:val="auto"/>
                <w:szCs w:val="21"/>
                <w:highlight w:val="none"/>
              </w:rPr>
              <w:t>图纸</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bl>
    <w:p>
      <w:pPr>
        <w:spacing w:line="360" w:lineRule="auto"/>
        <w:rPr>
          <w:rFonts w:hint="eastAsia" w:ascii="宋体" w:cs="新宋体"/>
          <w:bCs/>
          <w:color w:val="auto"/>
          <w:szCs w:val="21"/>
          <w:highlight w:val="none"/>
        </w:rPr>
      </w:pPr>
      <w:r>
        <w:rPr>
          <w:rFonts w:hint="eastAsia" w:ascii="宋体"/>
          <w:color w:val="auto"/>
          <w:szCs w:val="21"/>
          <w:highlight w:val="none"/>
        </w:rPr>
        <w:t>5.2</w:t>
      </w:r>
      <w:r>
        <w:rPr>
          <w:rFonts w:hint="eastAsia" w:ascii="宋体" w:cs="新宋体"/>
          <w:bCs/>
          <w:color w:val="auto"/>
          <w:szCs w:val="21"/>
          <w:highlight w:val="none"/>
        </w:rPr>
        <w:t>投标人必须交付全新的、完整的、与提供设备相符的、招标方认可的技术资料和图纸（包括纸质版本与电子版本）。对于缺失损坏、不符合要求的技术资料和图纸，投标方在</w:t>
      </w:r>
      <w:r>
        <w:rPr>
          <w:rFonts w:hint="eastAsia" w:ascii="宋体" w:cs="新宋体"/>
          <w:bCs/>
          <w:color w:val="auto"/>
          <w:szCs w:val="21"/>
          <w:highlight w:val="none"/>
          <w:u w:val="single"/>
        </w:rPr>
        <w:t xml:space="preserve">        </w:t>
      </w:r>
      <w:r>
        <w:rPr>
          <w:rFonts w:hint="eastAsia" w:ascii="宋体" w:cs="新宋体"/>
          <w:bCs/>
          <w:color w:val="auto"/>
          <w:szCs w:val="21"/>
          <w:highlight w:val="none"/>
        </w:rPr>
        <w:t>日内，补齐、更换。招标方将</w:t>
      </w:r>
      <w:r>
        <w:rPr>
          <w:rFonts w:hint="eastAsia" w:ascii="宋体" w:cs="新宋体"/>
          <w:bCs/>
          <w:color w:val="auto"/>
          <w:szCs w:val="21"/>
          <w:highlight w:val="none"/>
          <w:u w:val="single"/>
        </w:rPr>
        <w:t xml:space="preserve"> 2 </w:t>
      </w:r>
      <w:r>
        <w:rPr>
          <w:rFonts w:hint="eastAsia" w:ascii="宋体" w:cs="新宋体"/>
          <w:bCs/>
          <w:color w:val="auto"/>
          <w:szCs w:val="21"/>
          <w:highlight w:val="none"/>
        </w:rPr>
        <w:t>套电子版文件，分别存储于U盘中与纸质版本一并交付。招标方出于培训目的，有权复制交付的技术资料和图纸。</w:t>
      </w:r>
    </w:p>
    <w:p>
      <w:pPr>
        <w:adjustRightInd w:val="0"/>
        <w:spacing w:line="360" w:lineRule="auto"/>
        <w:jc w:val="left"/>
        <w:rPr>
          <w:rFonts w:hint="eastAsia" w:ascii="宋体" w:cs="新宋体"/>
          <w:bCs/>
          <w:color w:val="auto"/>
          <w:szCs w:val="21"/>
          <w:highlight w:val="none"/>
        </w:rPr>
      </w:pPr>
      <w:r>
        <w:rPr>
          <w:rFonts w:hint="eastAsia" w:ascii="宋体" w:cs="新宋体"/>
          <w:bCs/>
          <w:color w:val="auto"/>
          <w:szCs w:val="21"/>
          <w:highlight w:val="none"/>
        </w:rPr>
        <w:t>6.技术服务及培训</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6.1技术服务</w:t>
      </w:r>
    </w:p>
    <w:p>
      <w:pPr>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在</w:t>
      </w:r>
      <w:r>
        <w:rPr>
          <w:rFonts w:hint="eastAsia" w:ascii="宋体"/>
          <w:color w:val="auto"/>
          <w:szCs w:val="21"/>
          <w:highlight w:val="none"/>
        </w:rPr>
        <w:t>线路保护柜</w:t>
      </w:r>
      <w:r>
        <w:rPr>
          <w:rFonts w:hint="eastAsia" w:ascii="宋体" w:cs="新宋体"/>
          <w:bCs/>
          <w:color w:val="auto"/>
          <w:szCs w:val="21"/>
          <w:highlight w:val="none"/>
        </w:rPr>
        <w:t>组装、调试、试运以及整机质量保证期内，投标人应派遣必要数量的有资格、有经验、有技术、健康、能胜任工作的技术人员到招标人现场从事技术服务工作，在正确安装维修、故障排除及操作使用等方面为招标人提供技术上的帮助和支持，以保证</w:t>
      </w:r>
      <w:r>
        <w:rPr>
          <w:rFonts w:hint="eastAsia" w:ascii="宋体" w:cs="新宋体"/>
          <w:bCs/>
          <w:color w:val="auto"/>
          <w:szCs w:val="21"/>
          <w:highlight w:val="none"/>
          <w:lang w:eastAsia="zh-CN"/>
        </w:rPr>
        <w:t>设备</w:t>
      </w:r>
      <w:r>
        <w:rPr>
          <w:rFonts w:hint="eastAsia" w:ascii="宋体" w:cs="新宋体"/>
          <w:bCs/>
          <w:color w:val="auto"/>
          <w:szCs w:val="21"/>
          <w:highlight w:val="none"/>
        </w:rPr>
        <w:t>能顺利投入使用。</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6.2 技术培训</w:t>
      </w:r>
    </w:p>
    <w:p>
      <w:pPr>
        <w:snapToGrid w:val="0"/>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设备安装后，投标方要为招标方人员提供必要的技术培训，其中投标方在设备安装现场进行培训，培训时间：</w:t>
      </w:r>
      <w:r>
        <w:rPr>
          <w:rFonts w:hint="eastAsia" w:ascii="宋体" w:cs="新宋体"/>
          <w:bCs/>
          <w:color w:val="auto"/>
          <w:szCs w:val="21"/>
          <w:highlight w:val="none"/>
          <w:u w:val="single"/>
        </w:rPr>
        <w:t xml:space="preserve">  1   </w:t>
      </w:r>
      <w:r>
        <w:rPr>
          <w:rFonts w:hint="eastAsia" w:ascii="宋体" w:cs="新宋体"/>
          <w:bCs/>
          <w:color w:val="auto"/>
          <w:szCs w:val="21"/>
          <w:highlight w:val="none"/>
        </w:rPr>
        <w:t>周。</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7.安装调试、性能测试及考核验收</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7.1 安装调试</w:t>
      </w:r>
    </w:p>
    <w:p>
      <w:pPr>
        <w:tabs>
          <w:tab w:val="left" w:pos="1274"/>
          <w:tab w:val="left" w:pos="1785"/>
        </w:tabs>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设备到货后，设备安装、调试由投标方技术服务人员负责完成。整个系统的安装质量、设备调试及现场技术培训均由投标方负责。在安装调试过程中，如发现缺件、损件等问题由投标方负责。</w:t>
      </w:r>
    </w:p>
    <w:p>
      <w:pPr>
        <w:tabs>
          <w:tab w:val="left" w:pos="900"/>
        </w:tabs>
        <w:spacing w:line="360" w:lineRule="auto"/>
        <w:outlineLvl w:val="9"/>
        <w:rPr>
          <w:rFonts w:hint="eastAsia" w:ascii="宋体" w:cs="新宋体"/>
          <w:bCs/>
          <w:color w:val="auto"/>
          <w:szCs w:val="21"/>
          <w:highlight w:val="none"/>
        </w:rPr>
      </w:pPr>
      <w:r>
        <w:rPr>
          <w:rFonts w:hint="eastAsia" w:ascii="宋体" w:cs="新宋体"/>
          <w:bCs/>
          <w:color w:val="auto"/>
          <w:szCs w:val="21"/>
          <w:highlight w:val="none"/>
        </w:rPr>
        <w:t>7.2验收</w:t>
      </w:r>
    </w:p>
    <w:p>
      <w:pPr>
        <w:tabs>
          <w:tab w:val="left" w:pos="1580"/>
        </w:tabs>
        <w:spacing w:line="360" w:lineRule="auto"/>
        <w:ind w:firstLine="420" w:firstLineChars="200"/>
        <w:rPr>
          <w:rFonts w:hint="eastAsia" w:ascii="宋体" w:cs="新宋体"/>
          <w:bCs/>
          <w:color w:val="auto"/>
          <w:szCs w:val="21"/>
          <w:highlight w:val="none"/>
          <w:lang w:val="zh-CN"/>
        </w:rPr>
      </w:pPr>
      <w:r>
        <w:rPr>
          <w:rFonts w:hint="eastAsia" w:ascii="宋体" w:cs="新宋体"/>
          <w:bCs/>
          <w:color w:val="auto"/>
          <w:szCs w:val="21"/>
          <w:highlight w:val="none"/>
          <w:lang w:val="zh-CN"/>
        </w:rPr>
        <w:t>设备在上述考核合格后，按照</w:t>
      </w:r>
      <w:r>
        <w:rPr>
          <w:rFonts w:hint="eastAsia" w:ascii="宋体" w:cs="新宋体"/>
          <w:bCs/>
          <w:color w:val="auto"/>
          <w:szCs w:val="21"/>
          <w:highlight w:val="none"/>
        </w:rPr>
        <w:t>中国国家相关标准和合同规定的要求验收，设备予以验收。</w:t>
      </w:r>
    </w:p>
    <w:p>
      <w:pPr>
        <w:tabs>
          <w:tab w:val="left" w:pos="900"/>
        </w:tabs>
        <w:spacing w:line="360" w:lineRule="auto"/>
        <w:outlineLvl w:val="9"/>
        <w:rPr>
          <w:rFonts w:hint="eastAsia" w:ascii="宋体" w:cs="新宋体"/>
          <w:bCs/>
          <w:color w:val="auto"/>
          <w:szCs w:val="21"/>
          <w:highlight w:val="none"/>
        </w:rPr>
      </w:pPr>
      <w:r>
        <w:rPr>
          <w:rFonts w:hint="eastAsia" w:ascii="宋体" w:cs="新宋体"/>
          <w:bCs/>
          <w:color w:val="auto"/>
          <w:szCs w:val="21"/>
          <w:highlight w:val="none"/>
        </w:rPr>
        <w:t>8.质量保证</w:t>
      </w:r>
    </w:p>
    <w:p>
      <w:pPr>
        <w:tabs>
          <w:tab w:val="left" w:pos="1274"/>
          <w:tab w:val="left" w:pos="1785"/>
        </w:tabs>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整机的质量保证期限为12个月，质保期从设备安装、调试、考核、验收合格双方签字后开始算起。</w:t>
      </w:r>
    </w:p>
    <w:p>
      <w:pPr>
        <w:tabs>
          <w:tab w:val="left" w:pos="900"/>
        </w:tabs>
        <w:spacing w:line="360" w:lineRule="auto"/>
        <w:outlineLvl w:val="9"/>
        <w:rPr>
          <w:rFonts w:hint="eastAsia" w:ascii="宋体" w:cs="新宋体"/>
          <w:bCs/>
          <w:color w:val="auto"/>
          <w:szCs w:val="21"/>
          <w:highlight w:val="none"/>
        </w:rPr>
      </w:pPr>
      <w:r>
        <w:rPr>
          <w:rFonts w:hint="eastAsia" w:ascii="宋体" w:cs="新宋体"/>
          <w:bCs/>
          <w:color w:val="auto"/>
          <w:szCs w:val="21"/>
          <w:highlight w:val="none"/>
        </w:rPr>
        <w:t>9.售后支持</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投标方应在报价中说明质保期满后如何在技术上继续给招标方以支持。</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9.2 维修支持</w:t>
      </w:r>
    </w:p>
    <w:p>
      <w:pPr>
        <w:spacing w:line="360" w:lineRule="auto"/>
        <w:ind w:firstLine="420" w:firstLineChars="200"/>
        <w:rPr>
          <w:rFonts w:hint="eastAsia" w:ascii="宋体" w:hAnsi="宋体" w:eastAsia="宋体" w:cs="宋体"/>
          <w:b/>
          <w:bCs/>
          <w:color w:val="auto"/>
          <w:kern w:val="2"/>
          <w:sz w:val="36"/>
          <w:szCs w:val="24"/>
          <w:highlight w:val="none"/>
          <w:lang w:val="en-US" w:eastAsia="zh-CN" w:bidi="ar-SA"/>
        </w:rPr>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Times New Roman" w:eastAsia="宋体" w:cs="新宋体"/>
          <w:b w:val="0"/>
          <w:bCs/>
          <w:color w:val="auto"/>
          <w:sz w:val="21"/>
          <w:szCs w:val="21"/>
          <w:highlight w:val="none"/>
          <w:lang w:val="en-US"/>
        </w:rPr>
        <w:t>投标方应在报价中说明质保期满后，投标方在设备维修方面能给招标方什么样的支持。如招标方是否可得到投标方在专业维修点的帮助；对于招标方遇到的紧急故障需要投标方帮助处理时，投标方如何以最快的速度给予支持。</w:t>
      </w:r>
    </w:p>
    <w:p>
      <w:pPr>
        <w:pStyle w:val="2"/>
        <w:ind w:firstLine="2570" w:firstLineChars="800"/>
        <w:rPr>
          <w:rFonts w:hint="eastAsia"/>
          <w:lang w:val="en-US" w:eastAsia="zh-CN"/>
        </w:rPr>
      </w:pPr>
      <w:r>
        <w:rPr>
          <w:rFonts w:hint="eastAsia"/>
          <w:lang w:val="en-US" w:eastAsia="zh-CN"/>
        </w:rPr>
        <w:t>第七包：</w:t>
      </w:r>
      <w:r>
        <w:rPr>
          <w:rFonts w:hint="eastAsia"/>
        </w:rPr>
        <w:t>配电柜</w:t>
      </w:r>
      <w:r>
        <w:rPr>
          <w:rFonts w:hint="eastAsia"/>
          <w:lang w:val="en-US" w:eastAsia="zh-CN"/>
        </w:rPr>
        <w:t>技术要求</w:t>
      </w:r>
      <w:bookmarkEnd w:id="24"/>
      <w:bookmarkEnd w:id="25"/>
      <w:bookmarkEnd w:id="26"/>
      <w:bookmarkEnd w:id="27"/>
    </w:p>
    <w:p>
      <w:pPr>
        <w:adjustRightInd w:val="0"/>
        <w:spacing w:line="360" w:lineRule="auto"/>
        <w:rPr>
          <w:rFonts w:hint="eastAsia" w:ascii="宋体" w:cs="新宋体"/>
          <w:bCs/>
          <w:szCs w:val="21"/>
        </w:rPr>
      </w:pPr>
      <w:r>
        <w:rPr>
          <w:rFonts w:hint="eastAsia" w:ascii="宋体" w:cs="新宋体"/>
          <w:bCs/>
          <w:szCs w:val="21"/>
        </w:rPr>
        <w:t>1.货物需求</w:t>
      </w:r>
    </w:p>
    <w:p>
      <w:pPr>
        <w:spacing w:line="360" w:lineRule="auto"/>
        <w:rPr>
          <w:rFonts w:hint="eastAsia" w:ascii="宋体" w:cs="新宋体"/>
          <w:bCs/>
          <w:szCs w:val="21"/>
        </w:rPr>
      </w:pPr>
      <w:r>
        <w:rPr>
          <w:rFonts w:hint="eastAsia" w:ascii="宋体" w:cs="新宋体"/>
          <w:bCs/>
          <w:szCs w:val="21"/>
        </w:rPr>
        <w:t xml:space="preserve"> *1.1货物需求一览表(不局限以下内容,投标方详细描述每台套包括部件的名称、规格型号、数量 、生产厂家）。</w:t>
      </w:r>
    </w:p>
    <w:p>
      <w:pPr>
        <w:spacing w:line="360" w:lineRule="auto"/>
        <w:rPr>
          <w:rFonts w:hint="eastAsia" w:ascii="宋体" w:cs="新宋体"/>
          <w:bCs/>
          <w:szCs w:val="21"/>
        </w:rPr>
      </w:pPr>
    </w:p>
    <w:tbl>
      <w:tblPr>
        <w:tblStyle w:val="16"/>
        <w:tblW w:w="8753" w:type="dxa"/>
        <w:jc w:val="center"/>
        <w:tblInd w:w="-5"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
      <w:tblGrid>
        <w:gridCol w:w="672"/>
        <w:gridCol w:w="1959"/>
        <w:gridCol w:w="1276"/>
        <w:gridCol w:w="709"/>
        <w:gridCol w:w="850"/>
        <w:gridCol w:w="992"/>
        <w:gridCol w:w="1244"/>
        <w:gridCol w:w="1051"/>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序号</w:t>
            </w:r>
          </w:p>
        </w:tc>
        <w:tc>
          <w:tcPr>
            <w:tcW w:w="19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名称</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规格型号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数量</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交货时间</w:t>
            </w:r>
          </w:p>
        </w:tc>
        <w:tc>
          <w:tcPr>
            <w:tcW w:w="124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交货地点</w:t>
            </w:r>
          </w:p>
        </w:tc>
        <w:tc>
          <w:tcPr>
            <w:tcW w:w="105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备注</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trHeight w:val="454" w:hRule="atLeast"/>
          <w:jc w:val="center"/>
        </w:trPr>
        <w:tc>
          <w:tcPr>
            <w:tcW w:w="8753" w:type="dxa"/>
            <w:gridSpan w:val="8"/>
            <w:tcBorders>
              <w:top w:val="single" w:color="auto" w:sz="4" w:space="0"/>
              <w:left w:val="single" w:color="auto" w:sz="4" w:space="0"/>
              <w:bottom w:val="single" w:color="auto" w:sz="4" w:space="0"/>
              <w:right w:val="single" w:color="auto" w:sz="4" w:space="0"/>
            </w:tcBorders>
            <w:vAlign w:val="center"/>
          </w:tcPr>
          <w:p>
            <w:pPr>
              <w:pStyle w:val="6"/>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szCs w:val="21"/>
              </w:rPr>
            </w:pPr>
            <w:r>
              <w:rPr>
                <w:rFonts w:hint="eastAsia"/>
                <w:szCs w:val="21"/>
              </w:rPr>
              <w:t>一、</w:t>
            </w:r>
            <w:r>
              <w:rPr>
                <w:szCs w:val="21"/>
              </w:rPr>
              <w:t>低压配电柜</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1</w:t>
            </w:r>
          </w:p>
        </w:tc>
        <w:tc>
          <w:tcPr>
            <w:tcW w:w="19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配电柜</w:t>
            </w:r>
          </w:p>
        </w:tc>
        <w:tc>
          <w:tcPr>
            <w:tcW w:w="1276"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低压抽出式MNS</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3</w:t>
            </w:r>
          </w:p>
        </w:tc>
        <w:tc>
          <w:tcPr>
            <w:tcW w:w="992"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合同签订后</w:t>
            </w:r>
            <w:r>
              <w:rPr>
                <w:rFonts w:hint="default" w:ascii="Times New Roman" w:hAnsi="Times New Roman" w:cs="Times New Roman"/>
                <w:szCs w:val="21"/>
              </w:rPr>
              <w:t>30</w:t>
            </w:r>
            <w:r>
              <w:rPr>
                <w:rFonts w:hint="eastAsia" w:ascii="宋体"/>
                <w:szCs w:val="21"/>
              </w:rPr>
              <w:t>日</w:t>
            </w:r>
          </w:p>
        </w:tc>
        <w:tc>
          <w:tcPr>
            <w:tcW w:w="1244" w:type="dxa"/>
            <w:tcBorders>
              <w:top w:val="single" w:color="auto" w:sz="4" w:space="0"/>
              <w:left w:val="single" w:color="auto" w:sz="4" w:space="0"/>
              <w:bottom w:val="single" w:color="auto" w:sz="4" w:space="0"/>
              <w:right w:val="single" w:color="auto" w:sz="4" w:space="0"/>
            </w:tcBorders>
            <w:vAlign w:val="top"/>
          </w:tcPr>
          <w:p>
            <w:pPr>
              <w:jc w:val="center"/>
              <w:rPr>
                <w:rFonts w:hint="eastAsia"/>
              </w:rPr>
            </w:pPr>
            <w:r>
              <w:rPr>
                <w:rFonts w:hint="eastAsia"/>
              </w:rPr>
              <w:t>供电公司220kV变电站</w:t>
            </w:r>
          </w:p>
        </w:tc>
        <w:tc>
          <w:tcPr>
            <w:tcW w:w="105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双电源进线开关</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2</w:t>
            </w:r>
          </w:p>
        </w:tc>
        <w:tc>
          <w:tcPr>
            <w:tcW w:w="19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配电柜</w:t>
            </w:r>
          </w:p>
        </w:tc>
        <w:tc>
          <w:tcPr>
            <w:tcW w:w="1276"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szCs w:val="21"/>
              </w:rPr>
            </w:pPr>
            <w:r>
              <w:rPr>
                <w:rFonts w:hint="eastAsia" w:ascii="宋体"/>
                <w:szCs w:val="21"/>
              </w:rPr>
              <w:t>低压抽出式MNS</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4</w:t>
            </w:r>
          </w:p>
        </w:tc>
        <w:tc>
          <w:tcPr>
            <w:tcW w:w="992"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244"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05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trHeight w:val="454" w:hRule="atLeast"/>
          <w:jc w:val="center"/>
        </w:trPr>
        <w:tc>
          <w:tcPr>
            <w:tcW w:w="8753" w:type="dxa"/>
            <w:gridSpan w:val="8"/>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二、技术资料</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1</w:t>
            </w:r>
          </w:p>
        </w:tc>
        <w:tc>
          <w:tcPr>
            <w:tcW w:w="1959"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val="0"/>
              <w:spacing w:line="360" w:lineRule="auto"/>
              <w:ind w:firstLine="420" w:firstLineChars="200"/>
              <w:jc w:val="left"/>
              <w:textAlignment w:val="bottom"/>
              <w:rPr>
                <w:rFonts w:hint="eastAsia" w:ascii="宋体"/>
                <w:szCs w:val="21"/>
              </w:rPr>
            </w:pPr>
            <w:r>
              <w:rPr>
                <w:rFonts w:hint="eastAsia" w:ascii="宋体"/>
                <w:szCs w:val="21"/>
              </w:rPr>
              <w:t>装箱单</w:t>
            </w:r>
          </w:p>
        </w:tc>
        <w:tc>
          <w:tcPr>
            <w:tcW w:w="1276" w:type="dxa"/>
            <w:tcBorders>
              <w:top w:val="single" w:color="auto" w:sz="4" w:space="0"/>
              <w:left w:val="single" w:color="auto" w:sz="4" w:space="0"/>
              <w:bottom w:val="single" w:color="auto" w:sz="4" w:space="0"/>
              <w:right w:val="single" w:color="auto" w:sz="4" w:space="0"/>
            </w:tcBorders>
            <w:vAlign w:val="top"/>
          </w:tcPr>
          <w:p>
            <w:pPr>
              <w:jc w:val="cente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3</w:t>
            </w:r>
          </w:p>
        </w:tc>
        <w:tc>
          <w:tcPr>
            <w:tcW w:w="992"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244"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2</w:t>
            </w:r>
          </w:p>
        </w:tc>
        <w:tc>
          <w:tcPr>
            <w:tcW w:w="1959" w:type="dxa"/>
            <w:tcBorders>
              <w:top w:val="single" w:color="auto" w:sz="4" w:space="0"/>
              <w:left w:val="single" w:color="auto" w:sz="4" w:space="0"/>
              <w:bottom w:val="single" w:color="auto" w:sz="4" w:space="0"/>
              <w:right w:val="single" w:color="auto" w:sz="4" w:space="0"/>
            </w:tcBorders>
            <w:vAlign w:val="center"/>
          </w:tcPr>
          <w:p>
            <w:pPr>
              <w:ind w:firstLine="315" w:firstLineChars="150"/>
              <w:rPr>
                <w:rFonts w:hint="eastAsia" w:ascii="宋体"/>
                <w:szCs w:val="21"/>
              </w:rPr>
            </w:pPr>
            <w:r>
              <w:rPr>
                <w:rFonts w:hint="eastAsia" w:ascii="宋体"/>
                <w:szCs w:val="21"/>
              </w:rPr>
              <w:t>设备基础图</w:t>
            </w:r>
          </w:p>
        </w:tc>
        <w:tc>
          <w:tcPr>
            <w:tcW w:w="1276" w:type="dxa"/>
            <w:tcBorders>
              <w:top w:val="single" w:color="auto" w:sz="4" w:space="0"/>
              <w:left w:val="single" w:color="auto" w:sz="4" w:space="0"/>
              <w:bottom w:val="single" w:color="auto" w:sz="4" w:space="0"/>
              <w:right w:val="single" w:color="auto" w:sz="4" w:space="0"/>
            </w:tcBorders>
            <w:vAlign w:val="top"/>
          </w:tcPr>
          <w:p>
            <w:pPr>
              <w:jc w:val="cente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3</w:t>
            </w:r>
          </w:p>
        </w:tc>
        <w:tc>
          <w:tcPr>
            <w:tcW w:w="992"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244"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3</w:t>
            </w:r>
          </w:p>
        </w:tc>
        <w:tc>
          <w:tcPr>
            <w:tcW w:w="19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产品检验合格证书</w:t>
            </w:r>
          </w:p>
        </w:tc>
        <w:tc>
          <w:tcPr>
            <w:tcW w:w="1276" w:type="dxa"/>
            <w:tcBorders>
              <w:top w:val="single" w:color="auto" w:sz="4" w:space="0"/>
              <w:left w:val="single" w:color="auto" w:sz="4" w:space="0"/>
              <w:bottom w:val="single" w:color="auto" w:sz="4" w:space="0"/>
              <w:right w:val="single" w:color="auto" w:sz="4" w:space="0"/>
            </w:tcBorders>
            <w:vAlign w:val="top"/>
          </w:tcPr>
          <w:p>
            <w:pPr>
              <w:jc w:val="cente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3</w:t>
            </w:r>
          </w:p>
        </w:tc>
        <w:tc>
          <w:tcPr>
            <w:tcW w:w="992"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244"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4</w:t>
            </w:r>
          </w:p>
        </w:tc>
        <w:tc>
          <w:tcPr>
            <w:tcW w:w="19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安装指示图</w:t>
            </w:r>
          </w:p>
        </w:tc>
        <w:tc>
          <w:tcPr>
            <w:tcW w:w="1276" w:type="dxa"/>
            <w:tcBorders>
              <w:top w:val="single" w:color="auto" w:sz="4" w:space="0"/>
              <w:left w:val="single" w:color="auto" w:sz="4" w:space="0"/>
              <w:bottom w:val="single" w:color="auto" w:sz="4" w:space="0"/>
              <w:right w:val="single" w:color="auto" w:sz="4" w:space="0"/>
            </w:tcBorders>
            <w:vAlign w:val="top"/>
          </w:tcPr>
          <w:p>
            <w:pPr>
              <w:jc w:val="cente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3</w:t>
            </w:r>
          </w:p>
        </w:tc>
        <w:tc>
          <w:tcPr>
            <w:tcW w:w="992"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244"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5</w:t>
            </w:r>
          </w:p>
        </w:tc>
        <w:tc>
          <w:tcPr>
            <w:tcW w:w="19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产品说明书</w:t>
            </w:r>
          </w:p>
        </w:tc>
        <w:tc>
          <w:tcPr>
            <w:tcW w:w="1276" w:type="dxa"/>
            <w:tcBorders>
              <w:top w:val="single" w:color="auto" w:sz="4" w:space="0"/>
              <w:left w:val="single" w:color="auto" w:sz="4" w:space="0"/>
              <w:bottom w:val="single" w:color="auto" w:sz="4" w:space="0"/>
              <w:right w:val="single" w:color="auto" w:sz="4" w:space="0"/>
            </w:tcBorders>
            <w:vAlign w:val="top"/>
          </w:tcPr>
          <w:p>
            <w:pPr>
              <w:jc w:val="cente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r>
              <w:rPr>
                <w:rFonts w:hint="eastAsia" w:asci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6</w:t>
            </w:r>
          </w:p>
        </w:tc>
        <w:tc>
          <w:tcPr>
            <w:tcW w:w="992"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244" w:type="dxa"/>
            <w:tcBorders>
              <w:top w:val="single" w:color="auto" w:sz="4" w:space="0"/>
              <w:left w:val="single" w:color="auto" w:sz="4" w:space="0"/>
              <w:bottom w:val="single" w:color="auto" w:sz="4" w:space="0"/>
              <w:right w:val="single" w:color="auto" w:sz="4" w:space="0"/>
            </w:tcBorders>
            <w:vAlign w:val="top"/>
          </w:tcPr>
          <w:p>
            <w:pPr>
              <w:jc w:val="center"/>
            </w:pPr>
            <w:r>
              <w:rPr>
                <w:rFonts w:hint="eastAsia" w:ascii="宋体"/>
                <w:szCs w:val="21"/>
              </w:rPr>
              <w:t>同上</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trHeight w:val="454" w:hRule="atLeast"/>
          <w:jc w:val="center"/>
        </w:trPr>
        <w:tc>
          <w:tcPr>
            <w:tcW w:w="8753"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Cs w:val="21"/>
              </w:rPr>
            </w:pPr>
            <w:r>
              <w:rPr>
                <w:rFonts w:hint="eastAsia" w:ascii="宋体"/>
                <w:szCs w:val="21"/>
              </w:rPr>
              <w:t>三、专用工具</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672" w:type="dxa"/>
            <w:tcBorders>
              <w:top w:val="single" w:color="auto" w:sz="4" w:space="0"/>
              <w:left w:val="single" w:color="auto" w:sz="4" w:space="0"/>
              <w:bottom w:val="single" w:color="auto" w:sz="4" w:space="0"/>
              <w:right w:val="single" w:color="auto" w:sz="4" w:space="0"/>
            </w:tcBorders>
            <w:vAlign w:val="top"/>
          </w:tcPr>
          <w:p>
            <w:pPr>
              <w:adjustRightInd w:val="0"/>
              <w:jc w:val="center"/>
              <w:textAlignment w:val="baseline"/>
              <w:rPr>
                <w:rFonts w:hint="eastAsia" w:ascii="宋体"/>
                <w:szCs w:val="21"/>
              </w:rPr>
            </w:pPr>
            <w:r>
              <w:rPr>
                <w:rFonts w:hint="eastAsia" w:ascii="宋体"/>
                <w:szCs w:val="21"/>
              </w:rPr>
              <w:t>序号</w:t>
            </w:r>
          </w:p>
        </w:tc>
        <w:tc>
          <w:tcPr>
            <w:tcW w:w="1959" w:type="dxa"/>
            <w:tcBorders>
              <w:top w:val="single" w:color="auto" w:sz="4" w:space="0"/>
              <w:left w:val="single" w:color="auto" w:sz="4" w:space="0"/>
              <w:bottom w:val="single" w:color="auto" w:sz="4" w:space="0"/>
              <w:right w:val="single" w:color="auto" w:sz="4" w:space="0"/>
            </w:tcBorders>
            <w:vAlign w:val="top"/>
          </w:tcPr>
          <w:p>
            <w:pPr>
              <w:adjustRightInd w:val="0"/>
              <w:jc w:val="center"/>
              <w:textAlignment w:val="baseline"/>
              <w:rPr>
                <w:rFonts w:hint="eastAsia" w:ascii="宋体"/>
                <w:szCs w:val="21"/>
              </w:rPr>
            </w:pPr>
            <w:r>
              <w:rPr>
                <w:rFonts w:hint="eastAsia" w:ascii="宋体"/>
                <w:szCs w:val="21"/>
              </w:rPr>
              <w:t>名称</w:t>
            </w:r>
          </w:p>
        </w:tc>
        <w:tc>
          <w:tcPr>
            <w:tcW w:w="1276" w:type="dxa"/>
            <w:tcBorders>
              <w:top w:val="single" w:color="auto" w:sz="4" w:space="0"/>
              <w:left w:val="single" w:color="auto" w:sz="4" w:space="0"/>
              <w:bottom w:val="single" w:color="auto" w:sz="4" w:space="0"/>
              <w:right w:val="single" w:color="auto" w:sz="4" w:space="0"/>
            </w:tcBorders>
            <w:vAlign w:val="top"/>
          </w:tcPr>
          <w:p>
            <w:pPr>
              <w:adjustRightInd w:val="0"/>
              <w:jc w:val="center"/>
              <w:textAlignment w:val="baseline"/>
              <w:rPr>
                <w:rFonts w:hint="eastAsia" w:ascii="宋体"/>
                <w:szCs w:val="21"/>
              </w:rPr>
            </w:pPr>
            <w:r>
              <w:rPr>
                <w:rFonts w:hint="eastAsia" w:ascii="宋体"/>
                <w:szCs w:val="21"/>
              </w:rPr>
              <w:t>规格及型号</w:t>
            </w:r>
          </w:p>
        </w:tc>
        <w:tc>
          <w:tcPr>
            <w:tcW w:w="709" w:type="dxa"/>
            <w:tcBorders>
              <w:top w:val="single" w:color="auto" w:sz="4" w:space="0"/>
              <w:left w:val="single" w:color="auto" w:sz="4" w:space="0"/>
              <w:bottom w:val="single" w:color="auto" w:sz="4" w:space="0"/>
              <w:right w:val="single" w:color="auto" w:sz="4" w:space="0"/>
            </w:tcBorders>
            <w:vAlign w:val="top"/>
          </w:tcPr>
          <w:p>
            <w:pPr>
              <w:adjustRightInd w:val="0"/>
              <w:jc w:val="center"/>
              <w:textAlignment w:val="baseline"/>
              <w:rPr>
                <w:rFonts w:hint="eastAsia" w:ascii="宋体"/>
                <w:szCs w:val="21"/>
              </w:rPr>
            </w:pPr>
            <w:r>
              <w:rPr>
                <w:rFonts w:hint="eastAsia" w:ascii="宋体"/>
                <w:szCs w:val="21"/>
              </w:rPr>
              <w:t>单位</w:t>
            </w:r>
          </w:p>
        </w:tc>
        <w:tc>
          <w:tcPr>
            <w:tcW w:w="850" w:type="dxa"/>
            <w:tcBorders>
              <w:top w:val="single" w:color="auto" w:sz="4" w:space="0"/>
              <w:left w:val="single" w:color="auto" w:sz="4" w:space="0"/>
              <w:bottom w:val="single" w:color="auto" w:sz="4" w:space="0"/>
              <w:right w:val="single" w:color="auto" w:sz="4" w:space="0"/>
            </w:tcBorders>
            <w:vAlign w:val="top"/>
          </w:tcPr>
          <w:p>
            <w:pPr>
              <w:adjustRightInd w:val="0"/>
              <w:jc w:val="center"/>
              <w:textAlignment w:val="baseline"/>
              <w:rPr>
                <w:rFonts w:hint="eastAsia" w:ascii="宋体"/>
                <w:szCs w:val="21"/>
              </w:rPr>
            </w:pPr>
            <w:r>
              <w:rPr>
                <w:rFonts w:hint="eastAsia" w:ascii="宋体"/>
                <w:szCs w:val="21"/>
              </w:rPr>
              <w:t>数量</w:t>
            </w:r>
          </w:p>
        </w:tc>
        <w:tc>
          <w:tcPr>
            <w:tcW w:w="992" w:type="dxa"/>
            <w:tcBorders>
              <w:top w:val="single" w:color="auto" w:sz="4" w:space="0"/>
              <w:left w:val="single" w:color="auto" w:sz="4" w:space="0"/>
              <w:bottom w:val="single" w:color="auto" w:sz="4" w:space="0"/>
              <w:right w:val="single" w:color="auto" w:sz="4" w:space="0"/>
            </w:tcBorders>
            <w:vAlign w:val="top"/>
          </w:tcPr>
          <w:p>
            <w:pPr>
              <w:adjustRightInd w:val="0"/>
              <w:jc w:val="center"/>
              <w:textAlignment w:val="baseline"/>
              <w:rPr>
                <w:rFonts w:hint="eastAsia" w:ascii="宋体"/>
                <w:szCs w:val="21"/>
              </w:rPr>
            </w:pPr>
            <w:r>
              <w:rPr>
                <w:rFonts w:hint="eastAsia" w:ascii="宋体"/>
                <w:szCs w:val="21"/>
              </w:rPr>
              <w:t>产地</w:t>
            </w:r>
          </w:p>
        </w:tc>
        <w:tc>
          <w:tcPr>
            <w:tcW w:w="1244" w:type="dxa"/>
            <w:tcBorders>
              <w:top w:val="single" w:color="auto" w:sz="4" w:space="0"/>
              <w:left w:val="single" w:color="auto" w:sz="4" w:space="0"/>
              <w:bottom w:val="single" w:color="auto" w:sz="4" w:space="0"/>
              <w:right w:val="single" w:color="auto" w:sz="4" w:space="0"/>
            </w:tcBorders>
            <w:vAlign w:val="top"/>
          </w:tcPr>
          <w:p>
            <w:pPr>
              <w:adjustRightInd w:val="0"/>
              <w:jc w:val="center"/>
              <w:textAlignment w:val="baseline"/>
              <w:rPr>
                <w:rFonts w:hint="eastAsia" w:ascii="宋体"/>
                <w:szCs w:val="21"/>
              </w:rPr>
            </w:pPr>
            <w:r>
              <w:rPr>
                <w:rFonts w:hint="eastAsia" w:ascii="宋体"/>
                <w:szCs w:val="21"/>
              </w:rPr>
              <w:t>生产厂家</w:t>
            </w:r>
          </w:p>
        </w:tc>
        <w:tc>
          <w:tcPr>
            <w:tcW w:w="1051" w:type="dxa"/>
            <w:tcBorders>
              <w:top w:val="single" w:color="auto" w:sz="4" w:space="0"/>
              <w:left w:val="single" w:color="auto" w:sz="4" w:space="0"/>
              <w:bottom w:val="single" w:color="auto" w:sz="4" w:space="0"/>
              <w:right w:val="single" w:color="auto" w:sz="4" w:space="0"/>
            </w:tcBorders>
            <w:vAlign w:val="top"/>
          </w:tcPr>
          <w:p>
            <w:pPr>
              <w:adjustRightInd w:val="0"/>
              <w:jc w:val="center"/>
              <w:textAlignment w:val="baseline"/>
              <w:rPr>
                <w:rFonts w:hint="eastAsia" w:ascii="宋体"/>
                <w:szCs w:val="21"/>
              </w:rPr>
            </w:pPr>
            <w:r>
              <w:rPr>
                <w:rFonts w:hint="eastAsia" w:ascii="宋体"/>
                <w:szCs w:val="21"/>
              </w:rPr>
              <w:t>备注</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672"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textAlignment w:val="baseline"/>
              <w:rPr>
                <w:rFonts w:hint="eastAsia" w:ascii="宋体"/>
                <w:szCs w:val="21"/>
              </w:rPr>
            </w:pPr>
            <w:r>
              <w:rPr>
                <w:rFonts w:hint="eastAsia" w:ascii="宋体"/>
                <w:szCs w:val="21"/>
              </w:rPr>
              <w:t>1</w:t>
            </w:r>
          </w:p>
        </w:tc>
        <w:tc>
          <w:tcPr>
            <w:tcW w:w="1959" w:type="dxa"/>
            <w:tcBorders>
              <w:top w:val="single" w:color="auto" w:sz="4" w:space="0"/>
              <w:left w:val="single" w:color="auto" w:sz="4" w:space="0"/>
              <w:bottom w:val="single" w:color="auto" w:sz="4" w:space="0"/>
              <w:right w:val="single" w:color="auto" w:sz="4" w:space="0"/>
            </w:tcBorders>
            <w:vAlign w:val="center"/>
          </w:tcPr>
          <w:p>
            <w:pPr>
              <w:adjustRightInd w:val="0"/>
              <w:textAlignment w:val="baseline"/>
              <w:rPr>
                <w:rFonts w:hint="eastAsia" w:ascii="宋体"/>
                <w:szCs w:val="21"/>
              </w:rPr>
            </w:pPr>
            <w:r>
              <w:rPr>
                <w:rFonts w:hint="eastAsia" w:ascii="宋体"/>
                <w:szCs w:val="21"/>
              </w:rPr>
              <w:t>手柄</w:t>
            </w: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textAlignment w:val="baseline"/>
              <w:rPr>
                <w:rFonts w:hint="eastAsia" w:asci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hint="eastAsia" w:ascii="宋体"/>
                <w:szCs w:val="21"/>
              </w:rPr>
            </w:pPr>
            <w:r>
              <w:rPr>
                <w:rFonts w:hint="eastAsia" w:ascii="宋体"/>
                <w:szCs w:val="21"/>
              </w:rPr>
              <w:t>只</w:t>
            </w:r>
          </w:p>
        </w:tc>
        <w:tc>
          <w:tcPr>
            <w:tcW w:w="85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textAlignment w:val="baseline"/>
              <w:rPr>
                <w:rFonts w:hint="eastAsia" w:ascii="宋体"/>
                <w:szCs w:val="21"/>
              </w:rPr>
            </w:pPr>
            <w:r>
              <w:rPr>
                <w:rFonts w:hint="eastAsia" w:ascii="宋体"/>
                <w:szCs w:val="21"/>
              </w:rPr>
              <w:t>4</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textAlignment w:val="baseline"/>
              <w:rPr>
                <w:rFonts w:hint="eastAsia" w:ascii="宋体"/>
                <w:szCs w:val="21"/>
              </w:rPr>
            </w:pPr>
          </w:p>
        </w:tc>
        <w:tc>
          <w:tcPr>
            <w:tcW w:w="124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textAlignment w:val="baseline"/>
              <w:rPr>
                <w:rFonts w:hint="eastAsia" w:ascii="宋体"/>
                <w:szCs w:val="21"/>
              </w:rPr>
            </w:pPr>
          </w:p>
        </w:tc>
        <w:tc>
          <w:tcPr>
            <w:tcW w:w="1051"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textAlignment w:val="baseline"/>
              <w:rPr>
                <w:rFonts w:hint="eastAsia" w:ascii="宋体"/>
                <w:szCs w:val="21"/>
              </w:rPr>
            </w:pP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672"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textAlignment w:val="baseline"/>
              <w:rPr>
                <w:rFonts w:hint="eastAsia" w:ascii="宋体"/>
                <w:szCs w:val="21"/>
              </w:rPr>
            </w:pPr>
            <w:r>
              <w:rPr>
                <w:rFonts w:hint="eastAsia" w:ascii="宋体"/>
                <w:szCs w:val="21"/>
              </w:rPr>
              <w:t>2</w:t>
            </w:r>
          </w:p>
        </w:tc>
        <w:tc>
          <w:tcPr>
            <w:tcW w:w="1959" w:type="dxa"/>
            <w:tcBorders>
              <w:top w:val="single" w:color="auto" w:sz="4" w:space="0"/>
              <w:left w:val="single" w:color="auto" w:sz="4" w:space="0"/>
              <w:bottom w:val="single" w:color="auto" w:sz="4" w:space="0"/>
              <w:right w:val="single" w:color="auto" w:sz="4" w:space="0"/>
            </w:tcBorders>
            <w:vAlign w:val="center"/>
          </w:tcPr>
          <w:p>
            <w:pPr>
              <w:adjustRightInd w:val="0"/>
              <w:textAlignment w:val="baseline"/>
              <w:rPr>
                <w:rFonts w:hint="eastAsia" w:ascii="宋体"/>
                <w:szCs w:val="21"/>
              </w:rPr>
            </w:pPr>
            <w:r>
              <w:rPr>
                <w:rFonts w:hint="eastAsia" w:ascii="宋体"/>
                <w:szCs w:val="21"/>
              </w:rPr>
              <w:t>钥匙</w:t>
            </w:r>
          </w:p>
        </w:tc>
        <w:tc>
          <w:tcPr>
            <w:tcW w:w="1276"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textAlignment w:val="baseline"/>
              <w:rPr>
                <w:rFonts w:hint="eastAsia" w:asci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hint="eastAsia" w:ascii="宋体"/>
                <w:szCs w:val="21"/>
              </w:rPr>
            </w:pPr>
            <w:r>
              <w:rPr>
                <w:rFonts w:hint="eastAsia" w:ascii="宋体"/>
                <w:szCs w:val="21"/>
              </w:rPr>
              <w:t>把</w:t>
            </w:r>
          </w:p>
        </w:tc>
        <w:tc>
          <w:tcPr>
            <w:tcW w:w="850"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textAlignment w:val="baseline"/>
              <w:rPr>
                <w:rFonts w:hint="eastAsia" w:ascii="宋体"/>
                <w:szCs w:val="21"/>
              </w:rPr>
            </w:pPr>
            <w:r>
              <w:rPr>
                <w:rFonts w:hint="eastAsia" w:ascii="宋体"/>
                <w:szCs w:val="21"/>
              </w:rPr>
              <w:t>4</w:t>
            </w:r>
          </w:p>
        </w:tc>
        <w:tc>
          <w:tcPr>
            <w:tcW w:w="992"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textAlignment w:val="baseline"/>
              <w:rPr>
                <w:rFonts w:hint="eastAsia" w:ascii="宋体"/>
                <w:szCs w:val="21"/>
              </w:rPr>
            </w:pPr>
          </w:p>
        </w:tc>
        <w:tc>
          <w:tcPr>
            <w:tcW w:w="1244"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textAlignment w:val="baseline"/>
              <w:rPr>
                <w:rFonts w:hint="eastAsia" w:ascii="宋体"/>
                <w:szCs w:val="21"/>
              </w:rPr>
            </w:pPr>
          </w:p>
        </w:tc>
        <w:tc>
          <w:tcPr>
            <w:tcW w:w="1051"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textAlignment w:val="baseline"/>
              <w:rPr>
                <w:rFonts w:hint="eastAsia" w:ascii="宋体"/>
                <w:szCs w:val="21"/>
              </w:rPr>
            </w:pPr>
          </w:p>
        </w:tc>
      </w:tr>
    </w:tbl>
    <w:p>
      <w:pPr>
        <w:spacing w:line="360" w:lineRule="auto"/>
        <w:rPr>
          <w:rFonts w:hint="eastAsia" w:ascii="宋体" w:cs="新宋体"/>
          <w:bCs/>
          <w:szCs w:val="21"/>
        </w:rPr>
      </w:pPr>
    </w:p>
    <w:p>
      <w:pPr>
        <w:spacing w:line="360" w:lineRule="auto"/>
        <w:rPr>
          <w:rFonts w:hint="eastAsia" w:ascii="宋体" w:cs="新宋体"/>
          <w:bCs/>
          <w:szCs w:val="21"/>
        </w:rPr>
      </w:pPr>
      <w:r>
        <w:rPr>
          <w:rFonts w:hint="eastAsia" w:ascii="宋体" w:cs="新宋体"/>
          <w:bCs/>
          <w:szCs w:val="21"/>
        </w:rPr>
        <w:t>1.2设计要求</w:t>
      </w:r>
    </w:p>
    <w:p>
      <w:pPr>
        <w:spacing w:line="360" w:lineRule="auto"/>
        <w:ind w:firstLine="420" w:firstLineChars="200"/>
        <w:rPr>
          <w:rFonts w:hint="eastAsia" w:ascii="宋体" w:cs="新宋体"/>
          <w:bCs/>
          <w:szCs w:val="21"/>
        </w:rPr>
      </w:pPr>
      <w:r>
        <w:rPr>
          <w:rFonts w:hint="eastAsia" w:ascii="宋体" w:cs="新宋体"/>
          <w:bCs/>
          <w:szCs w:val="21"/>
        </w:rPr>
        <w:t>设计合理，符合现场使用条件，必要时需与招标方取得联系。</w:t>
      </w:r>
    </w:p>
    <w:p>
      <w:pPr>
        <w:tabs>
          <w:tab w:val="left" w:pos="426"/>
        </w:tabs>
        <w:spacing w:line="360" w:lineRule="auto"/>
        <w:rPr>
          <w:rFonts w:hint="eastAsia" w:ascii="宋体" w:eastAsia="宋体" w:cs="新宋体"/>
          <w:bCs/>
          <w:sz w:val="21"/>
          <w:szCs w:val="21"/>
        </w:rPr>
      </w:pPr>
      <w:r>
        <w:rPr>
          <w:rFonts w:hint="eastAsia" w:ascii="宋体" w:eastAsia="宋体" w:cs="新宋体"/>
          <w:bCs/>
          <w:sz w:val="21"/>
          <w:szCs w:val="21"/>
        </w:rPr>
        <w:t>1.3交货时间:自合同签订之日起</w:t>
      </w:r>
      <w:r>
        <w:rPr>
          <w:rFonts w:hint="eastAsia" w:ascii="宋体" w:eastAsia="宋体" w:cs="新宋体"/>
          <w:bCs/>
          <w:sz w:val="21"/>
          <w:szCs w:val="21"/>
          <w:u w:val="single"/>
        </w:rPr>
        <w:t xml:space="preserve">    1    </w:t>
      </w:r>
      <w:r>
        <w:rPr>
          <w:rFonts w:hint="eastAsia" w:ascii="宋体" w:eastAsia="宋体" w:cs="新宋体"/>
          <w:bCs/>
          <w:sz w:val="21"/>
          <w:szCs w:val="21"/>
        </w:rPr>
        <w:t>个月内</w:t>
      </w:r>
      <w:r>
        <w:rPr>
          <w:rFonts w:hint="eastAsia" w:ascii="宋体" w:eastAsia="宋体"/>
          <w:bCs/>
          <w:sz w:val="21"/>
          <w:szCs w:val="21"/>
        </w:rPr>
        <w:t>到达交货地点</w:t>
      </w:r>
      <w:r>
        <w:rPr>
          <w:rFonts w:hint="eastAsia" w:ascii="宋体" w:eastAsia="宋体" w:cs="新宋体"/>
          <w:bCs/>
          <w:sz w:val="21"/>
          <w:szCs w:val="21"/>
        </w:rPr>
        <w:t>。</w:t>
      </w:r>
    </w:p>
    <w:p>
      <w:pPr>
        <w:tabs>
          <w:tab w:val="left" w:pos="426"/>
        </w:tabs>
        <w:spacing w:line="360" w:lineRule="auto"/>
        <w:ind w:firstLine="420" w:firstLineChars="200"/>
        <w:rPr>
          <w:rStyle w:val="14"/>
          <w:rFonts w:hint="eastAsia" w:ascii="宋体" w:eastAsia="宋体"/>
          <w:b w:val="0"/>
          <w:sz w:val="21"/>
          <w:szCs w:val="21"/>
        </w:rPr>
      </w:pPr>
      <w:r>
        <w:rPr>
          <w:rFonts w:hint="eastAsia" w:ascii="宋体" w:eastAsia="宋体" w:cs="新宋体"/>
          <w:bCs/>
          <w:sz w:val="21"/>
          <w:szCs w:val="21"/>
        </w:rPr>
        <w:t>交货地点：</w:t>
      </w:r>
      <w:r>
        <w:rPr>
          <w:rFonts w:hint="eastAsia" w:ascii="宋体" w:eastAsia="宋体" w:cs="新宋体"/>
          <w:bCs/>
          <w:sz w:val="21"/>
          <w:szCs w:val="21"/>
          <w:u w:val="single"/>
        </w:rPr>
        <w:t xml:space="preserve">      神华准能供电公司220kV变电站     </w:t>
      </w:r>
      <w:r>
        <w:rPr>
          <w:rFonts w:hint="eastAsia" w:ascii="宋体" w:eastAsia="宋体" w:cs="新宋体"/>
          <w:bCs/>
          <w:sz w:val="21"/>
          <w:szCs w:val="21"/>
        </w:rPr>
        <w:t>。</w:t>
      </w:r>
    </w:p>
    <w:p>
      <w:pPr>
        <w:numPr>
          <w:ilvl w:val="0"/>
          <w:numId w:val="1"/>
        </w:numPr>
        <w:adjustRightInd w:val="0"/>
        <w:spacing w:line="360" w:lineRule="auto"/>
        <w:rPr>
          <w:rFonts w:hint="eastAsia" w:ascii="宋体" w:cs="新宋体"/>
          <w:bCs/>
          <w:szCs w:val="21"/>
        </w:rPr>
      </w:pPr>
      <w:r>
        <w:rPr>
          <w:rFonts w:hint="eastAsia" w:ascii="宋体" w:cs="新宋体"/>
          <w:bCs/>
          <w:szCs w:val="21"/>
        </w:rPr>
        <w:t>使用条件</w:t>
      </w:r>
    </w:p>
    <w:p>
      <w:pPr>
        <w:adjustRightInd w:val="0"/>
        <w:snapToGrid w:val="0"/>
        <w:spacing w:line="360" w:lineRule="auto"/>
        <w:rPr>
          <w:rFonts w:hint="eastAsia" w:ascii="宋体"/>
          <w:szCs w:val="21"/>
        </w:rPr>
      </w:pPr>
      <w:r>
        <w:rPr>
          <w:rFonts w:hint="eastAsia" w:ascii="宋体"/>
          <w:szCs w:val="21"/>
        </w:rPr>
        <w:t>使用环境：</w:t>
      </w:r>
      <w:r>
        <w:rPr>
          <w:rFonts w:hint="eastAsia" w:ascii="宋体"/>
          <w:szCs w:val="21"/>
          <w:u w:val="single"/>
        </w:rPr>
        <w:t xml:space="preserve">  室外   </w:t>
      </w:r>
      <w:r>
        <w:rPr>
          <w:rFonts w:hint="eastAsia" w:ascii="宋体"/>
          <w:szCs w:val="21"/>
        </w:rPr>
        <w:t>。</w:t>
      </w:r>
    </w:p>
    <w:p>
      <w:pPr>
        <w:adjustRightInd w:val="0"/>
        <w:snapToGrid w:val="0"/>
        <w:spacing w:line="360" w:lineRule="auto"/>
        <w:rPr>
          <w:rFonts w:hint="eastAsia" w:ascii="宋体"/>
          <w:szCs w:val="21"/>
        </w:rPr>
      </w:pPr>
      <w:r>
        <w:rPr>
          <w:rFonts w:hint="eastAsia" w:ascii="宋体"/>
          <w:szCs w:val="21"/>
        </w:rPr>
        <w:t>最高温度：</w:t>
      </w:r>
      <w:r>
        <w:rPr>
          <w:rFonts w:hint="eastAsia" w:ascii="宋体"/>
          <w:szCs w:val="21"/>
          <w:u w:val="single"/>
        </w:rPr>
        <w:t xml:space="preserve">   45   </w:t>
      </w:r>
      <w:r>
        <w:rPr>
          <w:rFonts w:hint="eastAsia" w:ascii="宋体"/>
          <w:szCs w:val="21"/>
        </w:rPr>
        <w:t>。</w:t>
      </w:r>
    </w:p>
    <w:p>
      <w:pPr>
        <w:adjustRightInd w:val="0"/>
        <w:snapToGrid w:val="0"/>
        <w:spacing w:line="360" w:lineRule="auto"/>
        <w:rPr>
          <w:rFonts w:hint="eastAsia" w:ascii="宋体"/>
          <w:szCs w:val="21"/>
        </w:rPr>
      </w:pPr>
      <w:r>
        <w:rPr>
          <w:rFonts w:hint="eastAsia" w:ascii="宋体"/>
          <w:szCs w:val="21"/>
        </w:rPr>
        <w:t>最低温度：</w:t>
      </w:r>
      <w:r>
        <w:rPr>
          <w:rFonts w:hint="eastAsia" w:ascii="宋体"/>
          <w:szCs w:val="21"/>
          <w:u w:val="single"/>
        </w:rPr>
        <w:t xml:space="preserve">   -37   </w:t>
      </w:r>
      <w:r>
        <w:rPr>
          <w:rFonts w:hint="eastAsia" w:ascii="宋体"/>
          <w:szCs w:val="21"/>
        </w:rPr>
        <w:t>。</w:t>
      </w:r>
    </w:p>
    <w:p>
      <w:pPr>
        <w:adjustRightInd w:val="0"/>
        <w:snapToGrid w:val="0"/>
        <w:spacing w:line="360" w:lineRule="auto"/>
        <w:rPr>
          <w:rFonts w:hint="eastAsia" w:ascii="宋体"/>
          <w:szCs w:val="21"/>
        </w:rPr>
      </w:pPr>
      <w:r>
        <w:rPr>
          <w:rFonts w:hint="eastAsia" w:ascii="宋体"/>
          <w:szCs w:val="21"/>
        </w:rPr>
        <w:t>年平均气温：</w:t>
      </w:r>
      <w:r>
        <w:rPr>
          <w:rFonts w:hint="eastAsia" w:ascii="宋体"/>
          <w:szCs w:val="21"/>
          <w:u w:val="single"/>
        </w:rPr>
        <w:t xml:space="preserve">   9   </w:t>
      </w:r>
      <w:r>
        <w:rPr>
          <w:rFonts w:hint="eastAsia" w:ascii="宋体"/>
          <w:szCs w:val="21"/>
        </w:rPr>
        <w:t>。</w:t>
      </w:r>
    </w:p>
    <w:p>
      <w:pPr>
        <w:adjustRightInd w:val="0"/>
        <w:snapToGrid w:val="0"/>
        <w:spacing w:line="360" w:lineRule="auto"/>
        <w:rPr>
          <w:rFonts w:hint="eastAsia" w:ascii="宋体"/>
          <w:szCs w:val="21"/>
        </w:rPr>
      </w:pPr>
      <w:r>
        <w:rPr>
          <w:rFonts w:hint="eastAsia" w:ascii="宋体"/>
          <w:szCs w:val="21"/>
        </w:rPr>
        <w:t>环境相对湿度：</w:t>
      </w:r>
      <w:r>
        <w:rPr>
          <w:rFonts w:hint="eastAsia" w:ascii="宋体"/>
          <w:szCs w:val="21"/>
          <w:u w:val="single"/>
        </w:rPr>
        <w:t xml:space="preserve">   54%   </w:t>
      </w:r>
      <w:r>
        <w:rPr>
          <w:rFonts w:hint="eastAsia" w:ascii="宋体"/>
          <w:szCs w:val="21"/>
        </w:rPr>
        <w:t>。</w:t>
      </w:r>
    </w:p>
    <w:p>
      <w:pPr>
        <w:adjustRightInd w:val="0"/>
        <w:snapToGrid w:val="0"/>
        <w:spacing w:line="360" w:lineRule="auto"/>
        <w:rPr>
          <w:rFonts w:hint="eastAsia" w:ascii="宋体"/>
          <w:szCs w:val="21"/>
        </w:rPr>
      </w:pPr>
      <w:r>
        <w:rPr>
          <w:rFonts w:hint="eastAsia" w:ascii="宋体"/>
          <w:szCs w:val="21"/>
        </w:rPr>
        <w:t>地震烈度：</w:t>
      </w:r>
      <w:r>
        <w:rPr>
          <w:rFonts w:hint="eastAsia" w:ascii="宋体"/>
          <w:szCs w:val="21"/>
          <w:u w:val="single"/>
        </w:rPr>
        <w:t xml:space="preserve">   8  </w:t>
      </w:r>
      <w:r>
        <w:rPr>
          <w:rFonts w:hint="eastAsia" w:ascii="宋体"/>
          <w:szCs w:val="21"/>
        </w:rPr>
        <w:t>。</w:t>
      </w:r>
    </w:p>
    <w:p>
      <w:pPr>
        <w:adjustRightInd w:val="0"/>
        <w:snapToGrid w:val="0"/>
        <w:spacing w:line="360" w:lineRule="auto"/>
        <w:rPr>
          <w:rFonts w:hint="eastAsia" w:ascii="宋体"/>
          <w:szCs w:val="21"/>
        </w:rPr>
      </w:pPr>
      <w:r>
        <w:rPr>
          <w:rFonts w:hint="eastAsia" w:ascii="宋体"/>
          <w:szCs w:val="21"/>
        </w:rPr>
        <w:t>安装地点及用途：</w:t>
      </w:r>
      <w:r>
        <w:rPr>
          <w:rFonts w:hint="eastAsia" w:ascii="宋体"/>
          <w:szCs w:val="21"/>
          <w:u w:val="single"/>
        </w:rPr>
        <w:t xml:space="preserve">   安装于</w:t>
      </w:r>
      <w:r>
        <w:rPr>
          <w:rFonts w:hint="eastAsia" w:ascii="宋体" w:cs="新宋体"/>
          <w:bCs/>
          <w:snapToGrid w:val="0"/>
          <w:kern w:val="0"/>
          <w:szCs w:val="21"/>
          <w:u w:val="single"/>
        </w:rPr>
        <w:t>供电公司院内用于低压配电</w:t>
      </w:r>
      <w:r>
        <w:rPr>
          <w:rFonts w:hint="eastAsia" w:ascii="宋体"/>
          <w:szCs w:val="21"/>
          <w:u w:val="single"/>
        </w:rPr>
        <w:t xml:space="preserve">  </w:t>
      </w:r>
      <w:r>
        <w:rPr>
          <w:rFonts w:hint="eastAsia" w:ascii="宋体"/>
          <w:szCs w:val="21"/>
        </w:rPr>
        <w:t>。</w:t>
      </w:r>
    </w:p>
    <w:p>
      <w:pPr>
        <w:adjustRightInd w:val="0"/>
        <w:snapToGrid w:val="0"/>
        <w:spacing w:line="360" w:lineRule="auto"/>
        <w:rPr>
          <w:rFonts w:hint="eastAsia" w:ascii="宋体"/>
          <w:szCs w:val="21"/>
        </w:rPr>
      </w:pPr>
      <w:r>
        <w:rPr>
          <w:rFonts w:hint="eastAsia" w:ascii="宋体"/>
          <w:szCs w:val="21"/>
        </w:rPr>
        <w:t>海拔高度：</w:t>
      </w:r>
      <w:r>
        <w:rPr>
          <w:rFonts w:hint="eastAsia" w:ascii="宋体"/>
          <w:szCs w:val="21"/>
          <w:u w:val="single"/>
        </w:rPr>
        <w:t xml:space="preserve">   1300m   </w:t>
      </w:r>
      <w:r>
        <w:rPr>
          <w:rFonts w:hint="eastAsia" w:ascii="宋体"/>
          <w:szCs w:val="21"/>
        </w:rPr>
        <w:t>。</w:t>
      </w:r>
    </w:p>
    <w:p>
      <w:pPr>
        <w:adjustRightInd w:val="0"/>
        <w:spacing w:line="360" w:lineRule="auto"/>
        <w:rPr>
          <w:rFonts w:hint="eastAsia" w:ascii="宋体" w:cs="新宋体"/>
          <w:bCs/>
          <w:szCs w:val="21"/>
        </w:rPr>
      </w:pPr>
      <w:r>
        <w:rPr>
          <w:rFonts w:hint="eastAsia" w:ascii="宋体"/>
          <w:szCs w:val="21"/>
        </w:rPr>
        <w:t>污秽等级：</w:t>
      </w:r>
      <w:r>
        <w:rPr>
          <w:rFonts w:hint="eastAsia" w:ascii="宋体"/>
          <w:szCs w:val="21"/>
          <w:u w:val="single"/>
        </w:rPr>
        <w:t xml:space="preserve">   III   </w:t>
      </w:r>
      <w:r>
        <w:rPr>
          <w:rFonts w:hint="eastAsia" w:ascii="宋体"/>
          <w:szCs w:val="21"/>
        </w:rPr>
        <w:t xml:space="preserve">。    </w:t>
      </w:r>
    </w:p>
    <w:p>
      <w:pPr>
        <w:adjustRightInd w:val="0"/>
        <w:spacing w:before="156" w:beforeLines="50" w:line="360" w:lineRule="auto"/>
        <w:rPr>
          <w:rFonts w:hint="eastAsia" w:ascii="宋体" w:cs="新宋体"/>
          <w:bCs/>
          <w:szCs w:val="21"/>
        </w:rPr>
      </w:pPr>
      <w:r>
        <w:rPr>
          <w:rFonts w:hint="eastAsia" w:ascii="宋体" w:cs="新宋体"/>
          <w:bCs/>
          <w:szCs w:val="21"/>
        </w:rPr>
        <w:t>3.技术参数及技术要求</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 配电柜技术参数</w:t>
      </w:r>
    </w:p>
    <w:p>
      <w:pPr>
        <w:adjustRightInd w:val="0"/>
        <w:snapToGrid w:val="0"/>
        <w:spacing w:line="360" w:lineRule="auto"/>
        <w:ind w:firstLine="400" w:firstLineChars="200"/>
        <w:rPr>
          <w:rFonts w:hint="eastAsia" w:ascii="宋体"/>
          <w:szCs w:val="21"/>
        </w:rPr>
      </w:pPr>
      <w:r>
        <w:rPr>
          <w:rFonts w:hint="eastAsia" w:ascii="宋体"/>
          <w:spacing w:val="-5"/>
          <w:kern w:val="0"/>
          <w:szCs w:val="21"/>
        </w:rPr>
        <w:t>*3.1.1</w:t>
      </w:r>
      <w:r>
        <w:rPr>
          <w:rFonts w:hint="eastAsia" w:ascii="宋体"/>
          <w:szCs w:val="21"/>
        </w:rPr>
        <w:t>型号：</w:t>
      </w:r>
      <w:r>
        <w:rPr>
          <w:rFonts w:hint="eastAsia" w:ascii="宋体"/>
          <w:spacing w:val="-5"/>
          <w:kern w:val="0"/>
          <w:szCs w:val="21"/>
        </w:rPr>
        <w:t xml:space="preserve">  MNS</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 xml:space="preserve">3.1.2 </w:t>
      </w:r>
      <w:r>
        <w:rPr>
          <w:rFonts w:hint="eastAsia" w:ascii="宋体"/>
          <w:kern w:val="0"/>
          <w:szCs w:val="21"/>
        </w:rPr>
        <w:t>额定工作</w:t>
      </w:r>
      <w:r>
        <w:rPr>
          <w:rFonts w:hint="eastAsia" w:ascii="宋体"/>
          <w:spacing w:val="-5"/>
          <w:kern w:val="0"/>
          <w:szCs w:val="21"/>
        </w:rPr>
        <w:t>电压</w:t>
      </w:r>
      <w:r>
        <w:rPr>
          <w:rFonts w:hint="eastAsia" w:ascii="宋体"/>
          <w:szCs w:val="21"/>
        </w:rPr>
        <w:t>： 400</w:t>
      </w:r>
      <w:r>
        <w:rPr>
          <w:rFonts w:hint="eastAsia" w:ascii="宋体"/>
          <w:spacing w:val="-5"/>
          <w:kern w:val="0"/>
          <w:szCs w:val="21"/>
        </w:rPr>
        <w:t>V</w:t>
      </w:r>
    </w:p>
    <w:p>
      <w:pPr>
        <w:adjustRightInd w:val="0"/>
        <w:snapToGrid w:val="0"/>
        <w:spacing w:line="360" w:lineRule="auto"/>
        <w:ind w:firstLine="400" w:firstLineChars="200"/>
        <w:rPr>
          <w:rFonts w:hint="eastAsia" w:ascii="宋体"/>
          <w:szCs w:val="21"/>
        </w:rPr>
      </w:pPr>
      <w:r>
        <w:rPr>
          <w:rFonts w:hint="eastAsia" w:ascii="宋体"/>
          <w:spacing w:val="-5"/>
          <w:kern w:val="0"/>
          <w:szCs w:val="21"/>
        </w:rPr>
        <w:t>3.1.3 额定绝缘电压</w:t>
      </w:r>
      <w:r>
        <w:rPr>
          <w:rFonts w:hint="eastAsia" w:ascii="宋体"/>
          <w:szCs w:val="21"/>
        </w:rPr>
        <w:t>： 690</w:t>
      </w:r>
      <w:r>
        <w:rPr>
          <w:rFonts w:hint="eastAsia" w:ascii="宋体"/>
          <w:spacing w:val="-5"/>
          <w:kern w:val="0"/>
          <w:szCs w:val="21"/>
        </w:rPr>
        <w:t>V</w:t>
      </w:r>
    </w:p>
    <w:p>
      <w:pPr>
        <w:adjustRightInd w:val="0"/>
        <w:snapToGrid w:val="0"/>
        <w:spacing w:line="360" w:lineRule="auto"/>
        <w:ind w:firstLine="420" w:firstLineChars="200"/>
        <w:rPr>
          <w:rFonts w:hint="eastAsia" w:ascii="宋体"/>
          <w:spacing w:val="-5"/>
          <w:kern w:val="0"/>
          <w:szCs w:val="21"/>
        </w:rPr>
      </w:pPr>
      <w:r>
        <w:rPr>
          <w:rFonts w:hint="eastAsia" w:ascii="宋体"/>
          <w:szCs w:val="21"/>
        </w:rPr>
        <w:t>3.1.4 额定脉冲耐受电压</w:t>
      </w:r>
      <w:r>
        <w:rPr>
          <w:rFonts w:hint="eastAsia" w:ascii="宋体"/>
          <w:spacing w:val="-5"/>
          <w:kern w:val="0"/>
          <w:szCs w:val="21"/>
        </w:rPr>
        <w:t>：8000V</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3.1.5 过电压等级：Ⅲ</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3.1.6 污染等级：3级</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3.1.7 额定频率：50 HZ</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3.1.8 主母线额定电流：各段母线额定电流依甲方提供图纸配置</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3.1.9主母线额定峰值耐受电流：220kA</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3.1.10 主母线额定短时耐受电流（1s）：100 kA</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3.1.11外壳：工程灰（RAL 7035色标）</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3.1.12防护等级(按IEC529)：外壳防护等级为IP4X，内部防护等级为IP2X</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3.1.13低压配电柜技术参数依据甲方提供图纸配置</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3.1.14电流互感器：依据甲方提供图纸（推荐与配电柜生产厂家长期合作的优质配套产品）</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3.1.15数显仪表: 依据甲方提供图纸（推荐与配电柜生产厂家长期合作的优质配套产品）</w:t>
      </w:r>
    </w:p>
    <w:p>
      <w:pPr>
        <w:adjustRightInd w:val="0"/>
        <w:snapToGrid w:val="0"/>
        <w:spacing w:line="360" w:lineRule="auto"/>
        <w:ind w:firstLine="400" w:firstLineChars="200"/>
        <w:rPr>
          <w:rFonts w:hint="eastAsia" w:ascii="宋体"/>
          <w:spacing w:val="-5"/>
          <w:kern w:val="0"/>
          <w:szCs w:val="21"/>
        </w:rPr>
      </w:pPr>
      <w:r>
        <w:rPr>
          <w:rFonts w:hint="eastAsia" w:ascii="宋体"/>
          <w:spacing w:val="-5"/>
          <w:kern w:val="0"/>
          <w:szCs w:val="21"/>
        </w:rPr>
        <w:t>3.1.16开关柜外形尺寸（宽×深×高）（mm）：600×1000×2200。</w:t>
      </w:r>
    </w:p>
    <w:p>
      <w:pPr>
        <w:adjustRightInd w:val="0"/>
        <w:snapToGrid w:val="0"/>
        <w:spacing w:line="360" w:lineRule="auto"/>
        <w:ind w:firstLine="420" w:firstLineChars="200"/>
        <w:rPr>
          <w:rFonts w:hint="eastAsia" w:ascii="宋体"/>
          <w:szCs w:val="21"/>
        </w:rPr>
      </w:pPr>
      <w:r>
        <w:rPr>
          <w:rFonts w:hint="eastAsia" w:ascii="宋体"/>
          <w:szCs w:val="21"/>
        </w:rPr>
        <w:t>3.2 双电源进线开关技术参数</w:t>
      </w:r>
    </w:p>
    <w:p>
      <w:pPr>
        <w:adjustRightInd w:val="0"/>
        <w:snapToGrid w:val="0"/>
        <w:spacing w:line="360" w:lineRule="auto"/>
        <w:ind w:firstLine="420" w:firstLineChars="200"/>
        <w:rPr>
          <w:rFonts w:hint="eastAsia" w:ascii="宋体"/>
          <w:szCs w:val="21"/>
        </w:rPr>
      </w:pPr>
      <w:r>
        <w:rPr>
          <w:rFonts w:hint="eastAsia" w:ascii="宋体"/>
          <w:szCs w:val="21"/>
        </w:rPr>
        <w:t>*3.2.1 双电源进线开关型号：</w:t>
      </w:r>
      <w:r>
        <w:rPr>
          <w:rFonts w:hint="eastAsia" w:ascii="宋体"/>
          <w:szCs w:val="21"/>
          <w:lang w:val="zh-CN"/>
        </w:rPr>
        <w:t>ATS400 S-CB 021 R320 4P</w:t>
      </w:r>
    </w:p>
    <w:p>
      <w:pPr>
        <w:adjustRightInd w:val="0"/>
        <w:snapToGrid w:val="0"/>
        <w:spacing w:line="360" w:lineRule="auto"/>
        <w:ind w:firstLine="420" w:firstLineChars="200"/>
        <w:rPr>
          <w:rFonts w:hint="eastAsia" w:ascii="宋体"/>
          <w:szCs w:val="21"/>
        </w:rPr>
      </w:pPr>
      <w:r>
        <w:rPr>
          <w:rFonts w:hint="eastAsia" w:ascii="宋体"/>
          <w:szCs w:val="21"/>
        </w:rPr>
        <w:t>3.2.2额定工作电压： 400 V</w:t>
      </w:r>
    </w:p>
    <w:p>
      <w:pPr>
        <w:adjustRightInd w:val="0"/>
        <w:snapToGrid w:val="0"/>
        <w:spacing w:line="360" w:lineRule="auto"/>
        <w:ind w:firstLine="420" w:firstLineChars="200"/>
        <w:rPr>
          <w:rFonts w:hint="eastAsia" w:ascii="宋体"/>
          <w:szCs w:val="21"/>
        </w:rPr>
      </w:pPr>
      <w:r>
        <w:rPr>
          <w:rFonts w:hint="eastAsia" w:ascii="宋体"/>
          <w:szCs w:val="21"/>
        </w:rPr>
        <w:t>3.2.3额定频率： 50Hz</w:t>
      </w:r>
    </w:p>
    <w:p>
      <w:pPr>
        <w:adjustRightInd w:val="0"/>
        <w:snapToGrid w:val="0"/>
        <w:spacing w:line="360" w:lineRule="auto"/>
        <w:ind w:firstLine="420" w:firstLineChars="200"/>
        <w:rPr>
          <w:rFonts w:hint="eastAsia" w:ascii="宋体"/>
          <w:szCs w:val="21"/>
        </w:rPr>
      </w:pPr>
      <w:r>
        <w:rPr>
          <w:rFonts w:hint="eastAsia" w:ascii="宋体"/>
          <w:szCs w:val="21"/>
        </w:rPr>
        <w:t>3.2.4额定绝缘电压： 690V</w:t>
      </w:r>
    </w:p>
    <w:p>
      <w:pPr>
        <w:adjustRightInd w:val="0"/>
        <w:snapToGrid w:val="0"/>
        <w:spacing w:line="360" w:lineRule="auto"/>
        <w:ind w:firstLine="420" w:firstLineChars="200"/>
        <w:rPr>
          <w:rFonts w:hint="eastAsia" w:ascii="宋体"/>
          <w:szCs w:val="21"/>
        </w:rPr>
      </w:pPr>
      <w:r>
        <w:rPr>
          <w:rFonts w:hint="eastAsia" w:ascii="宋体"/>
          <w:szCs w:val="21"/>
        </w:rPr>
        <w:t>3.2.5额定电流In：320A</w:t>
      </w:r>
    </w:p>
    <w:p>
      <w:pPr>
        <w:adjustRightInd w:val="0"/>
        <w:snapToGrid w:val="0"/>
        <w:spacing w:line="360" w:lineRule="auto"/>
        <w:ind w:firstLine="420" w:firstLineChars="200"/>
        <w:rPr>
          <w:rFonts w:hint="eastAsia" w:ascii="宋体"/>
          <w:szCs w:val="21"/>
        </w:rPr>
      </w:pPr>
      <w:r>
        <w:rPr>
          <w:rFonts w:hint="eastAsia" w:ascii="宋体"/>
          <w:szCs w:val="21"/>
        </w:rPr>
        <w:t>3.2.6额定脉冲冲击电压： 12kV</w:t>
      </w:r>
    </w:p>
    <w:p>
      <w:pPr>
        <w:adjustRightInd w:val="0"/>
        <w:snapToGrid w:val="0"/>
        <w:spacing w:line="360" w:lineRule="auto"/>
        <w:ind w:firstLine="420" w:firstLineChars="200"/>
        <w:rPr>
          <w:rFonts w:hint="eastAsia" w:ascii="宋体"/>
          <w:szCs w:val="21"/>
        </w:rPr>
      </w:pPr>
      <w:r>
        <w:rPr>
          <w:rFonts w:hint="eastAsia" w:ascii="宋体"/>
          <w:szCs w:val="21"/>
        </w:rPr>
        <w:t>3.2.7额定极限、运行短路分断能力：依</w:t>
      </w:r>
      <w:r>
        <w:rPr>
          <w:rFonts w:hint="eastAsia" w:ascii="宋体"/>
          <w:spacing w:val="-5"/>
          <w:kern w:val="0"/>
          <w:szCs w:val="21"/>
        </w:rPr>
        <w:t>甲方提供图纸</w:t>
      </w:r>
    </w:p>
    <w:p>
      <w:pPr>
        <w:adjustRightInd w:val="0"/>
        <w:snapToGrid w:val="0"/>
        <w:spacing w:line="360" w:lineRule="auto"/>
        <w:ind w:firstLine="420" w:firstLineChars="200"/>
        <w:rPr>
          <w:rFonts w:hint="eastAsia" w:ascii="宋体"/>
          <w:szCs w:val="21"/>
        </w:rPr>
      </w:pPr>
      <w:r>
        <w:rPr>
          <w:rFonts w:hint="eastAsia" w:ascii="宋体"/>
          <w:szCs w:val="21"/>
        </w:rPr>
        <w:t>3.2.8双电源进线开关数量、配置：依</w:t>
      </w:r>
      <w:r>
        <w:rPr>
          <w:rFonts w:hint="eastAsia" w:ascii="宋体"/>
          <w:spacing w:val="-5"/>
          <w:kern w:val="0"/>
          <w:szCs w:val="21"/>
        </w:rPr>
        <w:t>甲方提供图纸</w:t>
      </w:r>
    </w:p>
    <w:p>
      <w:pPr>
        <w:adjustRightInd w:val="0"/>
        <w:snapToGrid w:val="0"/>
        <w:spacing w:line="360" w:lineRule="auto"/>
        <w:ind w:firstLine="420" w:firstLineChars="200"/>
        <w:rPr>
          <w:rFonts w:hint="eastAsia" w:ascii="宋体"/>
          <w:szCs w:val="21"/>
        </w:rPr>
      </w:pPr>
      <w:r>
        <w:rPr>
          <w:rFonts w:hint="eastAsia" w:ascii="宋体"/>
          <w:szCs w:val="21"/>
        </w:rPr>
        <w:t>3.3 配电断路器</w:t>
      </w:r>
    </w:p>
    <w:p>
      <w:pPr>
        <w:adjustRightInd w:val="0"/>
        <w:snapToGrid w:val="0"/>
        <w:spacing w:line="360" w:lineRule="auto"/>
        <w:ind w:firstLine="420" w:firstLineChars="200"/>
        <w:rPr>
          <w:rFonts w:hint="eastAsia" w:ascii="宋体"/>
          <w:szCs w:val="21"/>
        </w:rPr>
      </w:pPr>
      <w:r>
        <w:rPr>
          <w:rFonts w:hint="eastAsia" w:ascii="宋体"/>
          <w:szCs w:val="21"/>
        </w:rPr>
        <w:t>3.3.1额定频率： 50Hz</w:t>
      </w:r>
    </w:p>
    <w:p>
      <w:pPr>
        <w:adjustRightInd w:val="0"/>
        <w:snapToGrid w:val="0"/>
        <w:spacing w:line="360" w:lineRule="auto"/>
        <w:ind w:firstLine="420" w:firstLineChars="200"/>
        <w:rPr>
          <w:rFonts w:hint="eastAsia" w:ascii="宋体"/>
          <w:szCs w:val="21"/>
        </w:rPr>
      </w:pPr>
      <w:r>
        <w:rPr>
          <w:rFonts w:hint="eastAsia" w:ascii="宋体"/>
          <w:szCs w:val="21"/>
        </w:rPr>
        <w:t>3.3.2额定工作电压： 400V</w:t>
      </w:r>
    </w:p>
    <w:p>
      <w:pPr>
        <w:adjustRightInd w:val="0"/>
        <w:snapToGrid w:val="0"/>
        <w:spacing w:line="360" w:lineRule="auto"/>
        <w:ind w:firstLine="420" w:firstLineChars="200"/>
        <w:rPr>
          <w:rFonts w:hint="eastAsia" w:ascii="宋体"/>
          <w:szCs w:val="21"/>
        </w:rPr>
      </w:pPr>
      <w:r>
        <w:rPr>
          <w:rFonts w:hint="eastAsia" w:ascii="宋体"/>
          <w:szCs w:val="21"/>
        </w:rPr>
        <w:t>3.3.3 额定绝缘电压： 690V</w:t>
      </w:r>
    </w:p>
    <w:p>
      <w:pPr>
        <w:adjustRightInd w:val="0"/>
        <w:snapToGrid w:val="0"/>
        <w:spacing w:line="360" w:lineRule="auto"/>
        <w:ind w:firstLine="420" w:firstLineChars="200"/>
        <w:rPr>
          <w:rFonts w:hint="eastAsia" w:ascii="宋体"/>
          <w:szCs w:val="21"/>
        </w:rPr>
      </w:pPr>
      <w:r>
        <w:rPr>
          <w:rFonts w:hint="eastAsia" w:ascii="宋体"/>
          <w:szCs w:val="21"/>
        </w:rPr>
        <w:t>3.3.4 额定脉冲电压： 6kV</w:t>
      </w:r>
    </w:p>
    <w:p>
      <w:pPr>
        <w:adjustRightInd w:val="0"/>
        <w:snapToGrid w:val="0"/>
        <w:spacing w:line="360" w:lineRule="auto"/>
        <w:ind w:firstLine="420" w:firstLineChars="200"/>
        <w:rPr>
          <w:rFonts w:hint="eastAsia" w:ascii="宋体"/>
          <w:szCs w:val="21"/>
        </w:rPr>
      </w:pPr>
      <w:r>
        <w:rPr>
          <w:rFonts w:hint="eastAsia" w:ascii="宋体"/>
          <w:szCs w:val="21"/>
        </w:rPr>
        <w:t>3.3.5 额定极限、运行短路分断能力：依</w:t>
      </w:r>
      <w:r>
        <w:rPr>
          <w:rFonts w:hint="eastAsia" w:ascii="宋体"/>
          <w:spacing w:val="-5"/>
          <w:kern w:val="0"/>
          <w:szCs w:val="21"/>
        </w:rPr>
        <w:t>甲方提供图纸</w:t>
      </w:r>
    </w:p>
    <w:p>
      <w:pPr>
        <w:adjustRightInd w:val="0"/>
        <w:snapToGrid w:val="0"/>
        <w:spacing w:line="360" w:lineRule="auto"/>
        <w:ind w:firstLine="420" w:firstLineChars="200"/>
        <w:rPr>
          <w:rFonts w:hint="eastAsia" w:ascii="宋体"/>
          <w:szCs w:val="21"/>
        </w:rPr>
      </w:pPr>
      <w:r>
        <w:rPr>
          <w:rFonts w:hint="eastAsia" w:ascii="宋体"/>
          <w:szCs w:val="21"/>
        </w:rPr>
        <w:t>3.3.6配电断路器数量、配置：依</w:t>
      </w:r>
      <w:r>
        <w:rPr>
          <w:rFonts w:hint="eastAsia" w:ascii="宋体"/>
          <w:spacing w:val="-5"/>
          <w:kern w:val="0"/>
          <w:szCs w:val="21"/>
        </w:rPr>
        <w:t>甲方提供图纸</w:t>
      </w:r>
    </w:p>
    <w:p>
      <w:pPr>
        <w:adjustRightInd w:val="0"/>
        <w:snapToGrid w:val="0"/>
        <w:spacing w:line="360" w:lineRule="auto"/>
        <w:ind w:firstLine="420" w:firstLineChars="200"/>
        <w:rPr>
          <w:rFonts w:hint="eastAsia" w:ascii="宋体"/>
          <w:snapToGrid w:val="0"/>
          <w:szCs w:val="21"/>
        </w:rPr>
      </w:pPr>
      <w:r>
        <w:rPr>
          <w:rFonts w:hint="eastAsia" w:ascii="宋体"/>
          <w:szCs w:val="21"/>
        </w:rPr>
        <w:t>3.4技术要求</w:t>
      </w:r>
    </w:p>
    <w:p>
      <w:pPr>
        <w:adjustRightInd w:val="0"/>
        <w:snapToGrid w:val="0"/>
        <w:spacing w:line="360" w:lineRule="auto"/>
        <w:ind w:firstLine="420" w:firstLineChars="200"/>
        <w:rPr>
          <w:rFonts w:hint="eastAsia" w:ascii="宋体"/>
          <w:szCs w:val="21"/>
        </w:rPr>
      </w:pPr>
      <w:r>
        <w:rPr>
          <w:rFonts w:hint="eastAsia" w:ascii="宋体"/>
          <w:szCs w:val="21"/>
        </w:rPr>
        <w:t>3.4.1 采用柜型</w:t>
      </w:r>
      <w:r>
        <w:rPr>
          <w:rFonts w:hint="eastAsia" w:ascii="宋体"/>
          <w:spacing w:val="-5"/>
          <w:kern w:val="0"/>
          <w:szCs w:val="21"/>
        </w:rPr>
        <w:t>按本技术招标文件货物需求一览表所列</w:t>
      </w:r>
      <w:r>
        <w:rPr>
          <w:rFonts w:hint="eastAsia" w:ascii="宋体"/>
          <w:szCs w:val="21"/>
        </w:rPr>
        <w:t>，</w:t>
      </w:r>
      <w:r>
        <w:rPr>
          <w:rFonts w:hint="eastAsia" w:ascii="宋体"/>
          <w:snapToGrid w:val="0"/>
          <w:szCs w:val="21"/>
        </w:rPr>
        <w:t>柜架及隔板采用优质敷铝锌钢板，壳体由刚性框架组成，框架结构用不小于2.0mm厚的进口敷铝锌板，面板采用冷轧钢板(厚度不小于2mm)静电喷塑，内部分隔板也选用不小于2mm厚敷铝锌板。柜体全部金属结构件做防腐处理。开关柜应采取措施以抑制涡流产生。柜体具有足够的机械和电气强度，能承受运输、安装外力和事故短路时电动力的影响而不损坏。</w:t>
      </w:r>
    </w:p>
    <w:p>
      <w:pPr>
        <w:spacing w:line="360" w:lineRule="auto"/>
        <w:ind w:firstLine="420" w:firstLineChars="200"/>
        <w:rPr>
          <w:rFonts w:hint="eastAsia" w:ascii="宋体"/>
          <w:snapToGrid w:val="0"/>
          <w:kern w:val="0"/>
          <w:szCs w:val="21"/>
        </w:rPr>
      </w:pPr>
      <w:r>
        <w:rPr>
          <w:rFonts w:hint="eastAsia" w:ascii="宋体"/>
          <w:snapToGrid w:val="0"/>
          <w:kern w:val="0"/>
          <w:szCs w:val="21"/>
        </w:rPr>
        <w:t>3.4.2 每台抽屉式开关柜依据甲方提供图纸配置，每个出线单元应为完全抽出式，各抽屉应相互隔离开，柜体内部分隔型式为4b型；开关柜内框架开关不允许叠装，也不允许混装。</w:t>
      </w:r>
    </w:p>
    <w:p>
      <w:pPr>
        <w:spacing w:line="360" w:lineRule="auto"/>
        <w:ind w:firstLine="420" w:firstLineChars="200"/>
        <w:rPr>
          <w:rFonts w:hint="eastAsia" w:ascii="宋体"/>
          <w:snapToGrid w:val="0"/>
          <w:kern w:val="0"/>
          <w:szCs w:val="21"/>
        </w:rPr>
      </w:pPr>
      <w:r>
        <w:rPr>
          <w:rFonts w:hint="eastAsia" w:ascii="宋体"/>
          <w:snapToGrid w:val="0"/>
          <w:kern w:val="0"/>
          <w:szCs w:val="21"/>
        </w:rPr>
        <w:t>3.4.3 开关柜为自然通风式，顶板装有释压装置。</w:t>
      </w:r>
    </w:p>
    <w:p>
      <w:pPr>
        <w:spacing w:line="360" w:lineRule="auto"/>
        <w:ind w:firstLine="420" w:firstLineChars="200"/>
        <w:rPr>
          <w:rFonts w:hint="eastAsia" w:ascii="宋体"/>
          <w:snapToGrid w:val="0"/>
          <w:kern w:val="0"/>
          <w:szCs w:val="21"/>
        </w:rPr>
      </w:pPr>
      <w:r>
        <w:rPr>
          <w:rFonts w:hint="eastAsia" w:ascii="宋体"/>
          <w:snapToGrid w:val="0"/>
          <w:kern w:val="0"/>
          <w:szCs w:val="21"/>
        </w:rPr>
        <w:t>3.4.4 低压开关柜应基本由器件室、母线隔室、电缆连接隔室、横向接线隔室(连接柜与柜间的控制电缆)组成。</w:t>
      </w:r>
    </w:p>
    <w:p>
      <w:pPr>
        <w:spacing w:line="360" w:lineRule="auto"/>
        <w:ind w:firstLine="420" w:firstLineChars="200"/>
        <w:rPr>
          <w:rFonts w:hint="eastAsia" w:ascii="宋体"/>
          <w:snapToGrid w:val="0"/>
          <w:kern w:val="0"/>
          <w:szCs w:val="21"/>
        </w:rPr>
      </w:pPr>
      <w:r>
        <w:rPr>
          <w:rFonts w:hint="eastAsia" w:ascii="宋体"/>
          <w:snapToGrid w:val="0"/>
          <w:kern w:val="0"/>
          <w:szCs w:val="21"/>
        </w:rPr>
        <w:t>3.4.5 开关柜应装设吊耳。其结构应保证操作人员的安全和便于运行、维护、检查、检修和试验。</w:t>
      </w:r>
    </w:p>
    <w:p>
      <w:pPr>
        <w:spacing w:line="360" w:lineRule="auto"/>
        <w:ind w:firstLine="420" w:firstLineChars="200"/>
        <w:rPr>
          <w:rFonts w:hint="eastAsia" w:ascii="宋体"/>
          <w:snapToGrid w:val="0"/>
          <w:kern w:val="0"/>
          <w:szCs w:val="21"/>
        </w:rPr>
      </w:pPr>
      <w:r>
        <w:rPr>
          <w:rFonts w:hint="eastAsia" w:ascii="宋体"/>
          <w:snapToGrid w:val="0"/>
          <w:kern w:val="0"/>
          <w:szCs w:val="21"/>
        </w:rPr>
        <w:t>3.4.6 开关柜的出线方式为后出线。每台开关柜后面设有电缆室；电缆室应考虑大截面电缆的弯曲半径，并带有电缆固定装置；开关柜底部应带密封板。</w:t>
      </w:r>
    </w:p>
    <w:p>
      <w:pPr>
        <w:spacing w:line="360" w:lineRule="auto"/>
        <w:ind w:firstLine="420" w:firstLineChars="200"/>
        <w:rPr>
          <w:rFonts w:hint="eastAsia" w:ascii="宋体"/>
          <w:snapToGrid w:val="0"/>
          <w:kern w:val="0"/>
          <w:szCs w:val="21"/>
        </w:rPr>
      </w:pPr>
      <w:r>
        <w:rPr>
          <w:rFonts w:hint="eastAsia" w:ascii="宋体"/>
          <w:snapToGrid w:val="0"/>
          <w:kern w:val="0"/>
          <w:szCs w:val="21"/>
        </w:rPr>
        <w:t>3.4.7 抽屉式开关柜为完全抽出型，柜体为组合式结构，框架采用模数设计，单面操作。开关柜相同规格的抽屉和元件应具备良好的互换性。</w:t>
      </w:r>
    </w:p>
    <w:p>
      <w:pPr>
        <w:spacing w:line="360" w:lineRule="auto"/>
        <w:ind w:firstLine="420" w:firstLineChars="200"/>
        <w:rPr>
          <w:rFonts w:hint="eastAsia" w:ascii="宋体"/>
          <w:snapToGrid w:val="0"/>
          <w:kern w:val="0"/>
          <w:szCs w:val="21"/>
        </w:rPr>
      </w:pPr>
      <w:r>
        <w:rPr>
          <w:rFonts w:hint="eastAsia" w:ascii="宋体"/>
          <w:snapToGrid w:val="0"/>
          <w:kern w:val="0"/>
          <w:szCs w:val="21"/>
        </w:rPr>
        <w:t>3.4.8 抽出式部件应具有工作、试验及抽出三个位置，并且在每个位置都应与开关柜保持机械上的联锁。</w:t>
      </w:r>
    </w:p>
    <w:p>
      <w:pPr>
        <w:spacing w:line="360" w:lineRule="auto"/>
        <w:ind w:firstLine="315" w:firstLineChars="150"/>
        <w:rPr>
          <w:rFonts w:hint="eastAsia" w:ascii="宋体"/>
          <w:snapToGrid w:val="0"/>
          <w:kern w:val="0"/>
          <w:szCs w:val="21"/>
        </w:rPr>
      </w:pPr>
      <w:bookmarkStart w:id="28" w:name="_Toc179713743"/>
      <w:bookmarkStart w:id="29" w:name="_Toc179645462"/>
      <w:bookmarkStart w:id="30" w:name="_Toc315708504"/>
      <w:bookmarkStart w:id="31" w:name="_Toc302654067"/>
      <w:bookmarkStart w:id="32" w:name="_Toc332861362"/>
      <w:r>
        <w:rPr>
          <w:rFonts w:hint="eastAsia" w:ascii="宋体"/>
          <w:snapToGrid w:val="0"/>
          <w:kern w:val="0"/>
          <w:szCs w:val="21"/>
        </w:rPr>
        <w:t xml:space="preserve">3.4.9 </w:t>
      </w:r>
      <w:bookmarkEnd w:id="28"/>
      <w:bookmarkEnd w:id="29"/>
      <w:bookmarkEnd w:id="30"/>
      <w:bookmarkEnd w:id="31"/>
      <w:bookmarkEnd w:id="32"/>
      <w:r>
        <w:rPr>
          <w:rFonts w:hint="eastAsia" w:ascii="宋体"/>
          <w:snapToGrid w:val="0"/>
          <w:kern w:val="0"/>
          <w:szCs w:val="21"/>
        </w:rPr>
        <w:t>断路器及柜内其他元件</w:t>
      </w:r>
    </w:p>
    <w:p>
      <w:pPr>
        <w:adjustRightInd w:val="0"/>
        <w:snapToGrid w:val="0"/>
        <w:spacing w:line="360" w:lineRule="auto"/>
        <w:ind w:firstLine="315" w:firstLineChars="150"/>
        <w:rPr>
          <w:rFonts w:hint="eastAsia" w:ascii="宋体"/>
          <w:szCs w:val="21"/>
        </w:rPr>
      </w:pPr>
      <w:r>
        <w:rPr>
          <w:rFonts w:hint="eastAsia" w:ascii="宋体"/>
          <w:snapToGrid w:val="0"/>
          <w:kern w:val="0"/>
          <w:szCs w:val="21"/>
        </w:rPr>
        <w:t>3.4.9.1</w:t>
      </w:r>
      <w:r>
        <w:rPr>
          <w:rFonts w:hint="eastAsia" w:ascii="宋体"/>
          <w:szCs w:val="21"/>
        </w:rPr>
        <w:t xml:space="preserve"> 低压断路器各参数依</w:t>
      </w:r>
      <w:r>
        <w:rPr>
          <w:rFonts w:hint="eastAsia" w:ascii="宋体"/>
          <w:spacing w:val="-5"/>
          <w:kern w:val="0"/>
          <w:szCs w:val="21"/>
        </w:rPr>
        <w:t>甲方提供图纸</w:t>
      </w:r>
      <w:r>
        <w:rPr>
          <w:rFonts w:hint="eastAsia" w:ascii="宋体"/>
          <w:szCs w:val="21"/>
        </w:rPr>
        <w:t>。</w:t>
      </w:r>
    </w:p>
    <w:p>
      <w:pPr>
        <w:adjustRightInd w:val="0"/>
        <w:snapToGrid w:val="0"/>
        <w:spacing w:line="360" w:lineRule="auto"/>
        <w:ind w:firstLine="420" w:firstLineChars="200"/>
        <w:rPr>
          <w:rFonts w:hint="eastAsia" w:ascii="宋体"/>
          <w:szCs w:val="21"/>
        </w:rPr>
      </w:pPr>
      <w:r>
        <w:rPr>
          <w:rFonts w:hint="eastAsia" w:ascii="宋体"/>
          <w:snapToGrid w:val="0"/>
          <w:kern w:val="0"/>
          <w:szCs w:val="21"/>
        </w:rPr>
        <w:t xml:space="preserve">3.4.9.2 </w:t>
      </w:r>
      <w:r>
        <w:rPr>
          <w:rFonts w:hint="eastAsia" w:ascii="宋体"/>
          <w:szCs w:val="21"/>
        </w:rPr>
        <w:t>全部仪器的内部布线、控制设备、电源、报警和照明线路均应耐受2000V工频交流电压，导线截面为不小于2.5平方毫米的铜线。</w:t>
      </w:r>
    </w:p>
    <w:p>
      <w:pPr>
        <w:adjustRightInd w:val="0"/>
        <w:snapToGrid w:val="0"/>
        <w:spacing w:line="360" w:lineRule="auto"/>
        <w:ind w:firstLine="420" w:firstLineChars="200"/>
        <w:rPr>
          <w:rFonts w:hint="eastAsia" w:ascii="宋体"/>
          <w:szCs w:val="21"/>
        </w:rPr>
      </w:pPr>
    </w:p>
    <w:p>
      <w:pPr>
        <w:spacing w:line="360" w:lineRule="auto"/>
        <w:rPr>
          <w:rFonts w:hint="eastAsia" w:ascii="宋体" w:cs="新宋体"/>
          <w:bCs/>
          <w:snapToGrid w:val="0"/>
          <w:kern w:val="0"/>
          <w:szCs w:val="21"/>
        </w:rPr>
      </w:pPr>
      <w:r>
        <w:rPr>
          <w:rFonts w:hint="eastAsia" w:ascii="宋体" w:cs="新宋体"/>
          <w:bCs/>
          <w:snapToGrid w:val="0"/>
          <w:kern w:val="0"/>
          <w:szCs w:val="21"/>
        </w:rPr>
        <w:t>4.供货范围</w:t>
      </w:r>
    </w:p>
    <w:p>
      <w:pPr>
        <w:tabs>
          <w:tab w:val="left" w:pos="360"/>
        </w:tabs>
        <w:snapToGrid w:val="0"/>
        <w:spacing w:line="360" w:lineRule="auto"/>
        <w:ind w:firstLine="420" w:firstLineChars="200"/>
        <w:rPr>
          <w:rFonts w:hint="eastAsia" w:ascii="宋体" w:cs="新宋体"/>
          <w:bCs/>
          <w:szCs w:val="21"/>
        </w:rPr>
      </w:pPr>
      <w:r>
        <w:rPr>
          <w:rFonts w:hint="eastAsia" w:ascii="宋体" w:cs="新宋体"/>
          <w:bCs/>
          <w:szCs w:val="21"/>
        </w:rPr>
        <w:t>完整的、全新的、符合制造标准的、满足本招标技术附件各项条件及技术要求的共计</w:t>
      </w:r>
      <w:r>
        <w:rPr>
          <w:rFonts w:hint="eastAsia" w:ascii="宋体" w:cs="新宋体"/>
          <w:bCs/>
          <w:szCs w:val="21"/>
          <w:u w:val="single"/>
        </w:rPr>
        <w:t xml:space="preserve">    7</w:t>
      </w:r>
      <w:r>
        <w:rPr>
          <w:rFonts w:hint="eastAsia" w:ascii="宋体" w:cs="新宋体"/>
          <w:bCs/>
          <w:szCs w:val="21"/>
        </w:rPr>
        <w:t>台</w:t>
      </w:r>
      <w:r>
        <w:rPr>
          <w:rFonts w:hint="eastAsia" w:ascii="宋体"/>
          <w:szCs w:val="21"/>
        </w:rPr>
        <w:t>低压配电柜</w:t>
      </w:r>
      <w:r>
        <w:rPr>
          <w:rFonts w:hint="eastAsia" w:ascii="宋体" w:cs="新宋体"/>
          <w:bCs/>
          <w:szCs w:val="21"/>
        </w:rPr>
        <w:t>等均由投标方提供。</w:t>
      </w:r>
    </w:p>
    <w:p>
      <w:pPr>
        <w:spacing w:line="360" w:lineRule="auto"/>
        <w:rPr>
          <w:rFonts w:hint="eastAsia" w:ascii="宋体" w:cs="新宋体"/>
          <w:bCs/>
          <w:snapToGrid w:val="0"/>
          <w:kern w:val="0"/>
          <w:szCs w:val="21"/>
        </w:rPr>
      </w:pPr>
      <w:r>
        <w:rPr>
          <w:rFonts w:hint="eastAsia" w:ascii="宋体" w:cs="新宋体"/>
          <w:bCs/>
          <w:snapToGrid w:val="0"/>
          <w:kern w:val="0"/>
          <w:szCs w:val="21"/>
        </w:rPr>
        <w:t>5.技术资料</w:t>
      </w:r>
    </w:p>
    <w:p>
      <w:pPr>
        <w:tabs>
          <w:tab w:val="left" w:pos="900"/>
        </w:tabs>
        <w:spacing w:line="360" w:lineRule="auto"/>
        <w:rPr>
          <w:rFonts w:hint="eastAsia" w:ascii="宋体" w:cs="新宋体"/>
          <w:bCs/>
          <w:szCs w:val="21"/>
        </w:rPr>
      </w:pPr>
      <w:r>
        <w:rPr>
          <w:rFonts w:hint="eastAsia" w:ascii="宋体" w:cs="新宋体"/>
          <w:bCs/>
          <w:szCs w:val="21"/>
        </w:rPr>
        <w:t>5.1投标方必须提供下表所列中文技术资料（但不限于此），并按下表要求时间交货。</w:t>
      </w:r>
    </w:p>
    <w:tbl>
      <w:tblPr>
        <w:tblStyle w:val="16"/>
        <w:tblpPr w:leftFromText="180" w:rightFromText="180" w:vertAnchor="text" w:horzAnchor="page" w:tblpX="1637" w:tblpY="209"/>
        <w:tblOverlap w:val="never"/>
        <w:tblW w:w="8921" w:type="dxa"/>
        <w:tblInd w:w="-5" w:type="dxa"/>
        <w:tblLayout w:type="fixed"/>
        <w:tblCellMar>
          <w:top w:w="0" w:type="dxa"/>
          <w:left w:w="0" w:type="dxa"/>
          <w:bottom w:w="0" w:type="dxa"/>
          <w:right w:w="0" w:type="dxa"/>
        </w:tblCellMar>
      </w:tblPr>
      <w:tblGrid>
        <w:gridCol w:w="818"/>
        <w:gridCol w:w="3298"/>
        <w:gridCol w:w="1985"/>
        <w:gridCol w:w="2820"/>
      </w:tblGrid>
      <w:tr>
        <w:tblPrEx>
          <w:tblLayout w:type="fixed"/>
          <w:tblCellMar>
            <w:top w:w="0" w:type="dxa"/>
            <w:left w:w="0" w:type="dxa"/>
            <w:bottom w:w="0" w:type="dxa"/>
            <w:right w:w="0" w:type="dxa"/>
          </w:tblCellMar>
        </w:tblPrEx>
        <w:trPr>
          <w:trHeight w:val="375" w:hRule="atLeast"/>
        </w:trPr>
        <w:tc>
          <w:tcPr>
            <w:tcW w:w="8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序号</w:t>
            </w:r>
          </w:p>
        </w:tc>
        <w:tc>
          <w:tcPr>
            <w:tcW w:w="3298" w:type="dxa"/>
            <w:tcBorders>
              <w:top w:val="single" w:color="auto" w:sz="4" w:space="0"/>
              <w:left w:val="nil"/>
              <w:bottom w:val="single" w:color="auto" w:sz="4" w:space="0"/>
              <w:right w:val="single" w:color="auto" w:sz="4" w:space="0"/>
            </w:tcBorders>
            <w:vAlign w:val="center"/>
          </w:tcPr>
          <w:p>
            <w:pPr>
              <w:jc w:val="center"/>
              <w:rPr>
                <w:rFonts w:hint="eastAsia" w:ascii="宋体"/>
                <w:szCs w:val="21"/>
              </w:rPr>
            </w:pPr>
            <w:r>
              <w:rPr>
                <w:rFonts w:hint="eastAsia" w:ascii="宋体"/>
                <w:szCs w:val="21"/>
              </w:rPr>
              <w:t>名    称</w:t>
            </w:r>
          </w:p>
        </w:tc>
        <w:tc>
          <w:tcPr>
            <w:tcW w:w="1985"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数量（每台）</w:t>
            </w:r>
          </w:p>
        </w:tc>
        <w:tc>
          <w:tcPr>
            <w:tcW w:w="282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要求交货时间</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1</w:t>
            </w:r>
          </w:p>
        </w:tc>
        <w:tc>
          <w:tcPr>
            <w:tcW w:w="3298"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szCs w:val="21"/>
              </w:rPr>
            </w:pPr>
            <w:r>
              <w:rPr>
                <w:rFonts w:hint="eastAsia" w:ascii="宋体" w:hAnsi="宋体" w:cs="宋体"/>
                <w:szCs w:val="21"/>
              </w:rPr>
              <w:t>技术资料</w:t>
            </w:r>
          </w:p>
          <w:p>
            <w:pPr>
              <w:jc w:val="center"/>
              <w:rPr>
                <w:rFonts w:hint="eastAsia" w:ascii="宋体"/>
                <w:szCs w:val="21"/>
              </w:rPr>
            </w:pPr>
            <w:r>
              <w:rPr>
                <w:rFonts w:hint="eastAsia" w:ascii="宋体" w:hAnsi="宋体" w:cs="宋体"/>
                <w:szCs w:val="21"/>
              </w:rPr>
              <w:t>（使用说明书）</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3套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合同签订1个月内</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2</w:t>
            </w:r>
          </w:p>
        </w:tc>
        <w:tc>
          <w:tcPr>
            <w:tcW w:w="3298" w:type="dxa"/>
            <w:tcBorders>
              <w:top w:val="nil"/>
              <w:left w:val="nil"/>
              <w:bottom w:val="single" w:color="auto" w:sz="4" w:space="0"/>
              <w:right w:val="single" w:color="auto" w:sz="4" w:space="0"/>
            </w:tcBorders>
            <w:vAlign w:val="center"/>
          </w:tcPr>
          <w:p>
            <w:pPr>
              <w:jc w:val="center"/>
              <w:rPr>
                <w:rFonts w:hint="eastAsia" w:ascii="宋体" w:cs="新宋体"/>
                <w:bCs/>
                <w:szCs w:val="21"/>
              </w:rPr>
            </w:pPr>
            <w:r>
              <w:rPr>
                <w:rFonts w:hint="eastAsia" w:ascii="宋体"/>
                <w:szCs w:val="21"/>
              </w:rPr>
              <w:t>检验合格证书</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3套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合同签订1个月内</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3</w:t>
            </w:r>
          </w:p>
        </w:tc>
        <w:tc>
          <w:tcPr>
            <w:tcW w:w="3298" w:type="dxa"/>
            <w:tcBorders>
              <w:top w:val="nil"/>
              <w:left w:val="nil"/>
              <w:bottom w:val="single" w:color="auto" w:sz="4" w:space="0"/>
              <w:right w:val="single" w:color="auto" w:sz="4" w:space="0"/>
            </w:tcBorders>
            <w:vAlign w:val="center"/>
          </w:tcPr>
          <w:p>
            <w:pPr>
              <w:jc w:val="center"/>
              <w:rPr>
                <w:rFonts w:hint="eastAsia" w:ascii="宋体" w:cs="新宋体"/>
                <w:bCs/>
                <w:szCs w:val="21"/>
              </w:rPr>
            </w:pPr>
            <w:r>
              <w:rPr>
                <w:rFonts w:hint="eastAsia" w:ascii="宋体"/>
                <w:szCs w:val="21"/>
              </w:rPr>
              <w:t>产品说明书</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6套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szCs w:val="21"/>
              </w:rPr>
            </w:pPr>
            <w:r>
              <w:rPr>
                <w:rFonts w:hint="eastAsia" w:ascii="宋体" w:cs="新宋体"/>
                <w:bCs/>
                <w:szCs w:val="21"/>
              </w:rPr>
              <w:t>合同签订1个月内</w:t>
            </w:r>
          </w:p>
        </w:tc>
      </w:tr>
    </w:tbl>
    <w:p>
      <w:pPr>
        <w:spacing w:line="360" w:lineRule="auto"/>
        <w:rPr>
          <w:rFonts w:hint="eastAsia" w:ascii="宋体" w:cs="新宋体"/>
          <w:bCs/>
          <w:szCs w:val="21"/>
        </w:rPr>
      </w:pPr>
      <w:r>
        <w:rPr>
          <w:rFonts w:hint="eastAsia" w:ascii="宋体"/>
          <w:szCs w:val="21"/>
        </w:rPr>
        <w:t>5.2</w:t>
      </w:r>
      <w:r>
        <w:rPr>
          <w:rFonts w:hint="eastAsia" w:ascii="宋体" w:cs="新宋体"/>
          <w:bCs/>
          <w:szCs w:val="21"/>
        </w:rPr>
        <w:t>投标人必须交付全新的、完整的、与提供设备相符的、招标方认可的技术资料和图纸（包括纸质版本与电子版本）。对于缺失损坏、不符合要求的技术资料和图纸，投标方在</w:t>
      </w:r>
      <w:r>
        <w:rPr>
          <w:rFonts w:hint="eastAsia" w:ascii="宋体" w:cs="新宋体"/>
          <w:bCs/>
          <w:szCs w:val="21"/>
          <w:u w:val="single"/>
        </w:rPr>
        <w:t xml:space="preserve">        </w:t>
      </w:r>
      <w:r>
        <w:rPr>
          <w:rFonts w:hint="eastAsia" w:ascii="宋体" w:cs="新宋体"/>
          <w:bCs/>
          <w:szCs w:val="21"/>
        </w:rPr>
        <w:t>日内，补齐、更换。招标方将</w:t>
      </w:r>
      <w:r>
        <w:rPr>
          <w:rFonts w:hint="eastAsia" w:ascii="宋体" w:cs="新宋体"/>
          <w:bCs/>
          <w:szCs w:val="21"/>
          <w:u w:val="single"/>
        </w:rPr>
        <w:t xml:space="preserve"> 2 </w:t>
      </w:r>
      <w:r>
        <w:rPr>
          <w:rFonts w:hint="eastAsia" w:ascii="宋体" w:cs="新宋体"/>
          <w:bCs/>
          <w:szCs w:val="21"/>
        </w:rPr>
        <w:t>套电子版文件，分别存储于U盘中与纸质版本一并交付。招标方出于培训目的，有权复制交付的技术资料和图纸。</w:t>
      </w:r>
    </w:p>
    <w:p>
      <w:pPr>
        <w:adjustRightInd w:val="0"/>
        <w:spacing w:line="360" w:lineRule="auto"/>
        <w:jc w:val="left"/>
        <w:rPr>
          <w:rFonts w:hint="eastAsia" w:ascii="宋体" w:cs="新宋体"/>
          <w:bCs/>
          <w:szCs w:val="21"/>
        </w:rPr>
      </w:pPr>
      <w:r>
        <w:rPr>
          <w:rFonts w:hint="eastAsia" w:ascii="宋体" w:cs="新宋体"/>
          <w:bCs/>
          <w:szCs w:val="21"/>
        </w:rPr>
        <w:t>6.技术服务及培训</w:t>
      </w:r>
    </w:p>
    <w:p>
      <w:pPr>
        <w:tabs>
          <w:tab w:val="left" w:pos="900"/>
        </w:tabs>
        <w:spacing w:line="360" w:lineRule="auto"/>
        <w:rPr>
          <w:rFonts w:hint="eastAsia" w:ascii="宋体" w:cs="新宋体"/>
          <w:bCs/>
          <w:szCs w:val="21"/>
        </w:rPr>
      </w:pPr>
      <w:r>
        <w:rPr>
          <w:rFonts w:hint="eastAsia" w:ascii="宋体" w:cs="新宋体"/>
          <w:bCs/>
          <w:szCs w:val="21"/>
        </w:rPr>
        <w:t>6.1技术服务</w:t>
      </w:r>
    </w:p>
    <w:p>
      <w:pPr>
        <w:spacing w:line="360" w:lineRule="auto"/>
        <w:ind w:firstLine="420" w:firstLineChars="200"/>
        <w:rPr>
          <w:rFonts w:hint="eastAsia" w:ascii="宋体" w:cs="新宋体"/>
          <w:bCs/>
          <w:szCs w:val="21"/>
        </w:rPr>
      </w:pPr>
      <w:r>
        <w:rPr>
          <w:rFonts w:hint="eastAsia" w:ascii="宋体" w:cs="新宋体"/>
          <w:bCs/>
          <w:szCs w:val="21"/>
        </w:rPr>
        <w:t>在</w:t>
      </w:r>
      <w:r>
        <w:rPr>
          <w:rFonts w:hint="eastAsia" w:ascii="宋体"/>
          <w:szCs w:val="21"/>
        </w:rPr>
        <w:t>低压配电柜</w:t>
      </w:r>
      <w:r>
        <w:rPr>
          <w:rFonts w:hint="eastAsia" w:ascii="宋体" w:cs="新宋体"/>
          <w:bCs/>
          <w:szCs w:val="21"/>
        </w:rPr>
        <w:t>组装、调试、试运以及整机质量保证期内，投标人应派遣必要数量的有资格、有经验、有技术、健康、能胜任工作的技术人员到招标人现场从事技术服务工作，在正确安装维修、故障排除及操作使用等方面为招标人提供技术上的帮助和支持，以保证设备能顺利投入使用。</w:t>
      </w:r>
    </w:p>
    <w:p>
      <w:pPr>
        <w:tabs>
          <w:tab w:val="left" w:pos="900"/>
        </w:tabs>
        <w:spacing w:line="360" w:lineRule="auto"/>
        <w:rPr>
          <w:rFonts w:hint="eastAsia" w:ascii="宋体" w:cs="新宋体"/>
          <w:bCs/>
          <w:szCs w:val="21"/>
        </w:rPr>
      </w:pPr>
      <w:r>
        <w:rPr>
          <w:rFonts w:hint="eastAsia" w:ascii="宋体" w:cs="新宋体"/>
          <w:bCs/>
          <w:szCs w:val="21"/>
        </w:rPr>
        <w:t>6.2 技术培训</w:t>
      </w:r>
    </w:p>
    <w:p>
      <w:pPr>
        <w:snapToGrid w:val="0"/>
        <w:spacing w:line="360" w:lineRule="auto"/>
        <w:ind w:firstLine="420" w:firstLineChars="200"/>
        <w:rPr>
          <w:rFonts w:hint="eastAsia" w:ascii="宋体" w:cs="新宋体"/>
          <w:bCs/>
          <w:szCs w:val="21"/>
        </w:rPr>
      </w:pPr>
      <w:r>
        <w:rPr>
          <w:rFonts w:hint="eastAsia" w:ascii="宋体" w:cs="新宋体"/>
          <w:bCs/>
          <w:szCs w:val="21"/>
        </w:rPr>
        <w:t>设备安装后，投标方要为招标方人员提供必要的技术培训，其中投标方在设备安装现场进行培训，培训时间：</w:t>
      </w:r>
      <w:r>
        <w:rPr>
          <w:rFonts w:hint="eastAsia" w:ascii="宋体" w:cs="新宋体"/>
          <w:bCs/>
          <w:szCs w:val="21"/>
          <w:u w:val="single"/>
        </w:rPr>
        <w:t xml:space="preserve">  1   </w:t>
      </w:r>
      <w:r>
        <w:rPr>
          <w:rFonts w:hint="eastAsia" w:ascii="宋体" w:cs="新宋体"/>
          <w:bCs/>
          <w:szCs w:val="21"/>
        </w:rPr>
        <w:t>周。</w:t>
      </w:r>
    </w:p>
    <w:p>
      <w:pPr>
        <w:tabs>
          <w:tab w:val="left" w:pos="900"/>
        </w:tabs>
        <w:spacing w:line="360" w:lineRule="auto"/>
        <w:rPr>
          <w:rFonts w:hint="eastAsia" w:ascii="宋体" w:cs="新宋体"/>
          <w:bCs/>
          <w:szCs w:val="21"/>
        </w:rPr>
      </w:pPr>
      <w:r>
        <w:rPr>
          <w:rFonts w:hint="eastAsia" w:ascii="宋体" w:cs="新宋体"/>
          <w:bCs/>
          <w:szCs w:val="21"/>
        </w:rPr>
        <w:t>7.安装调试、性能测试及考核验收</w:t>
      </w:r>
    </w:p>
    <w:p>
      <w:pPr>
        <w:tabs>
          <w:tab w:val="left" w:pos="900"/>
        </w:tabs>
        <w:spacing w:line="360" w:lineRule="auto"/>
        <w:rPr>
          <w:rFonts w:hint="eastAsia" w:ascii="宋体" w:cs="新宋体"/>
          <w:bCs/>
          <w:szCs w:val="21"/>
        </w:rPr>
      </w:pPr>
      <w:r>
        <w:rPr>
          <w:rFonts w:hint="eastAsia" w:ascii="宋体" w:cs="新宋体"/>
          <w:bCs/>
          <w:szCs w:val="21"/>
        </w:rPr>
        <w:t>7.1 安装调试</w:t>
      </w:r>
    </w:p>
    <w:p>
      <w:pPr>
        <w:tabs>
          <w:tab w:val="left" w:pos="1274"/>
          <w:tab w:val="left" w:pos="1785"/>
        </w:tabs>
        <w:spacing w:line="360" w:lineRule="auto"/>
        <w:ind w:firstLine="420" w:firstLineChars="200"/>
        <w:rPr>
          <w:rFonts w:hint="eastAsia" w:ascii="宋体" w:cs="新宋体"/>
          <w:bCs/>
          <w:szCs w:val="21"/>
        </w:rPr>
      </w:pPr>
      <w:r>
        <w:rPr>
          <w:rFonts w:hint="eastAsia" w:ascii="宋体" w:cs="新宋体"/>
          <w:bCs/>
          <w:szCs w:val="21"/>
        </w:rPr>
        <w:t>设备到货后，设备安装、调试由投标方技术服务人员负责完成，招标方人员协助。整个系统的安装质量、设备调试及现场技术培训均由投标方负责。在安装调试过程中，如发现缺件、损件等问题由投标方负责。</w:t>
      </w:r>
    </w:p>
    <w:p>
      <w:pPr>
        <w:tabs>
          <w:tab w:val="left" w:pos="900"/>
        </w:tabs>
        <w:spacing w:line="360" w:lineRule="auto"/>
        <w:outlineLvl w:val="9"/>
        <w:rPr>
          <w:rFonts w:hint="eastAsia" w:ascii="宋体" w:cs="新宋体"/>
          <w:bCs/>
          <w:szCs w:val="21"/>
        </w:rPr>
      </w:pPr>
      <w:r>
        <w:rPr>
          <w:rFonts w:hint="eastAsia" w:ascii="宋体" w:cs="新宋体"/>
          <w:bCs/>
          <w:szCs w:val="21"/>
        </w:rPr>
        <w:t>7.2验收</w:t>
      </w:r>
    </w:p>
    <w:p>
      <w:pPr>
        <w:tabs>
          <w:tab w:val="left" w:pos="1580"/>
        </w:tabs>
        <w:spacing w:line="360" w:lineRule="auto"/>
        <w:ind w:firstLine="420" w:firstLineChars="200"/>
        <w:rPr>
          <w:rFonts w:hint="eastAsia" w:ascii="宋体" w:cs="新宋体"/>
          <w:bCs/>
          <w:szCs w:val="21"/>
          <w:lang w:val="zh-CN"/>
        </w:rPr>
      </w:pPr>
      <w:r>
        <w:rPr>
          <w:rFonts w:hint="eastAsia" w:ascii="宋体" w:cs="新宋体"/>
          <w:bCs/>
          <w:szCs w:val="21"/>
          <w:lang w:val="zh-CN"/>
        </w:rPr>
        <w:t>设备在上述考核合格后，按照</w:t>
      </w:r>
      <w:r>
        <w:rPr>
          <w:rFonts w:hint="eastAsia" w:ascii="宋体" w:cs="新宋体"/>
          <w:bCs/>
          <w:szCs w:val="21"/>
        </w:rPr>
        <w:t>中国国家相关标准和合同规定的要求验收，设备予以验收。</w:t>
      </w:r>
    </w:p>
    <w:p>
      <w:pPr>
        <w:tabs>
          <w:tab w:val="left" w:pos="900"/>
        </w:tabs>
        <w:spacing w:line="360" w:lineRule="auto"/>
        <w:outlineLvl w:val="9"/>
        <w:rPr>
          <w:rFonts w:hint="eastAsia" w:ascii="宋体" w:cs="新宋体"/>
          <w:bCs/>
          <w:szCs w:val="21"/>
        </w:rPr>
      </w:pPr>
      <w:r>
        <w:rPr>
          <w:rFonts w:hint="eastAsia" w:ascii="宋体" w:cs="新宋体"/>
          <w:bCs/>
          <w:szCs w:val="21"/>
        </w:rPr>
        <w:t>8.质量保证</w:t>
      </w:r>
    </w:p>
    <w:p>
      <w:pPr>
        <w:tabs>
          <w:tab w:val="left" w:pos="1274"/>
          <w:tab w:val="left" w:pos="1785"/>
        </w:tabs>
        <w:spacing w:line="360" w:lineRule="auto"/>
        <w:ind w:firstLine="420" w:firstLineChars="200"/>
        <w:rPr>
          <w:rFonts w:hint="eastAsia" w:ascii="宋体" w:cs="新宋体"/>
          <w:bCs/>
          <w:szCs w:val="21"/>
        </w:rPr>
      </w:pPr>
      <w:r>
        <w:rPr>
          <w:rFonts w:hint="eastAsia" w:ascii="宋体" w:cs="新宋体"/>
          <w:bCs/>
          <w:szCs w:val="21"/>
        </w:rPr>
        <w:t>整机的质量保证期限为12个月，质保期从设备安装、调试、考核、验收合格双方签字后开始算起。</w:t>
      </w:r>
    </w:p>
    <w:p>
      <w:pPr>
        <w:tabs>
          <w:tab w:val="left" w:pos="900"/>
        </w:tabs>
        <w:spacing w:line="360" w:lineRule="auto"/>
        <w:outlineLvl w:val="9"/>
        <w:rPr>
          <w:rFonts w:hint="eastAsia" w:ascii="宋体" w:cs="新宋体"/>
          <w:bCs/>
          <w:szCs w:val="21"/>
        </w:rPr>
      </w:pPr>
      <w:r>
        <w:rPr>
          <w:rFonts w:hint="eastAsia" w:ascii="宋体" w:cs="新宋体"/>
          <w:bCs/>
          <w:szCs w:val="21"/>
        </w:rPr>
        <w:t>9.售后支持</w:t>
      </w:r>
    </w:p>
    <w:p>
      <w:pPr>
        <w:tabs>
          <w:tab w:val="left" w:pos="900"/>
        </w:tabs>
        <w:spacing w:line="360" w:lineRule="auto"/>
        <w:rPr>
          <w:rFonts w:hint="eastAsia" w:ascii="宋体" w:cs="新宋体"/>
          <w:bCs/>
          <w:szCs w:val="21"/>
        </w:rPr>
      </w:pPr>
      <w:r>
        <w:rPr>
          <w:rFonts w:hint="eastAsia" w:ascii="宋体" w:cs="新宋体"/>
          <w:bCs/>
          <w:szCs w:val="21"/>
        </w:rPr>
        <w:t>9.1 技术支持</w:t>
      </w:r>
    </w:p>
    <w:p>
      <w:pPr>
        <w:tabs>
          <w:tab w:val="left" w:pos="1460"/>
        </w:tabs>
        <w:snapToGrid w:val="0"/>
        <w:spacing w:line="360" w:lineRule="auto"/>
        <w:ind w:firstLine="420" w:firstLineChars="200"/>
        <w:rPr>
          <w:rFonts w:hint="eastAsia" w:ascii="宋体" w:cs="新宋体"/>
          <w:bCs/>
          <w:szCs w:val="21"/>
        </w:rPr>
      </w:pPr>
      <w:r>
        <w:rPr>
          <w:rFonts w:hint="eastAsia" w:ascii="宋体" w:cs="新宋体"/>
          <w:bCs/>
          <w:szCs w:val="21"/>
        </w:rPr>
        <w:t>投标方应在报价中说明质保期满后如何在技术上继续给招标方以支持。</w:t>
      </w:r>
    </w:p>
    <w:p>
      <w:pPr>
        <w:tabs>
          <w:tab w:val="left" w:pos="900"/>
        </w:tabs>
        <w:spacing w:line="360" w:lineRule="auto"/>
        <w:rPr>
          <w:rFonts w:hint="eastAsia" w:ascii="宋体" w:cs="新宋体"/>
          <w:bCs/>
          <w:szCs w:val="21"/>
        </w:rPr>
      </w:pPr>
      <w:r>
        <w:rPr>
          <w:rFonts w:hint="eastAsia" w:ascii="宋体" w:cs="新宋体"/>
          <w:bCs/>
          <w:szCs w:val="21"/>
        </w:rPr>
        <w:t>9.2 维修支持</w:t>
      </w:r>
    </w:p>
    <w:p>
      <w:pPr>
        <w:tabs>
          <w:tab w:val="left" w:pos="1580"/>
        </w:tabs>
        <w:spacing w:line="360" w:lineRule="auto"/>
        <w:ind w:firstLine="420" w:firstLineChars="200"/>
        <w:rPr>
          <w:rFonts w:hint="eastAsia" w:ascii="宋体" w:cs="新宋体"/>
          <w:bCs/>
          <w:szCs w:val="21"/>
          <w:lang w:val="zh-CN"/>
        </w:rPr>
      </w:pPr>
      <w:r>
        <w:rPr>
          <w:rFonts w:hint="eastAsia" w:ascii="宋体" w:cs="新宋体"/>
          <w:bCs/>
          <w:szCs w:val="21"/>
          <w:lang w:val="zh-CN"/>
        </w:rPr>
        <w:t>投标方应在报价中说明质保期满后，投标方在设备维修方面能给招标方什么样的支持。如招标方是否可得到投标方在专业维修点的帮助；对于招标方遇到的紧急故障需要投标方帮助处理时，投标方如何以最快的速度给予支持。</w:t>
      </w:r>
    </w:p>
    <w:p>
      <w:pPr>
        <w:rPr>
          <w:rFonts w:hint="eastAsia"/>
          <w:lang w:eastAsia="zh-CN"/>
        </w:rPr>
      </w:pPr>
    </w:p>
    <w:p>
      <w:pPr>
        <w:spacing w:line="360" w:lineRule="auto"/>
        <w:rPr>
          <w:rFonts w:hint="eastAsia"/>
        </w:rPr>
      </w:pPr>
    </w:p>
    <w:p>
      <w:pPr>
        <w:spacing w:line="240" w:lineRule="auto"/>
        <w:ind w:firstLine="420"/>
        <w:rPr>
          <w:rFonts w:hint="eastAsia" w:ascii="宋体" w:hAnsi="宋体" w:eastAsia="宋体" w:cs="宋体"/>
          <w:color w:val="auto"/>
          <w:sz w:val="36"/>
          <w:szCs w:val="24"/>
          <w:highlight w:val="none"/>
          <w:lang w:eastAsia="zh-CN"/>
        </w:rPr>
      </w:pPr>
    </w:p>
    <w:p>
      <w:pPr>
        <w:pStyle w:val="2"/>
        <w:spacing w:line="240" w:lineRule="auto"/>
        <w:jc w:val="center"/>
        <w:rPr>
          <w:rFonts w:hint="eastAsia" w:ascii="宋体" w:hAnsi="宋体" w:eastAsia="宋体" w:cs="宋体"/>
          <w:color w:val="auto"/>
          <w:sz w:val="36"/>
          <w:szCs w:val="24"/>
          <w:highlight w:val="none"/>
          <w:lang w:eastAsia="zh-CN"/>
        </w:rPr>
      </w:pPr>
      <w:bookmarkStart w:id="33" w:name="_Toc16967"/>
      <w:r>
        <w:rPr>
          <w:rFonts w:hint="eastAsia" w:ascii="宋体" w:hAnsi="宋体" w:eastAsia="宋体" w:cs="宋体"/>
          <w:color w:val="auto"/>
          <w:sz w:val="36"/>
          <w:szCs w:val="24"/>
          <w:highlight w:val="none"/>
          <w:lang w:eastAsia="zh-CN"/>
        </w:rPr>
        <w:br w:type="page"/>
      </w:r>
      <w:bookmarkEnd w:id="33"/>
      <w:bookmarkStart w:id="34" w:name="_Toc32389"/>
      <w:bookmarkStart w:id="35" w:name="_Toc2568"/>
      <w:bookmarkStart w:id="36" w:name="_Toc1231"/>
      <w:bookmarkStart w:id="37" w:name="_GoBack"/>
      <w:bookmarkEnd w:id="37"/>
      <w:r>
        <w:rPr>
          <w:rFonts w:hint="eastAsia" w:ascii="宋体" w:hAnsi="宋体" w:eastAsia="宋体" w:cs="宋体"/>
          <w:color w:val="auto"/>
          <w:sz w:val="36"/>
          <w:szCs w:val="24"/>
          <w:highlight w:val="none"/>
          <w:lang w:eastAsia="zh-CN"/>
        </w:rPr>
        <w:t>第</w:t>
      </w:r>
      <w:r>
        <w:rPr>
          <w:rFonts w:hint="eastAsia" w:ascii="宋体" w:hAnsi="宋体" w:eastAsia="宋体" w:cs="宋体"/>
          <w:color w:val="auto"/>
          <w:sz w:val="36"/>
          <w:szCs w:val="24"/>
          <w:highlight w:val="none"/>
          <w:lang w:val="en-US" w:eastAsia="zh-CN"/>
        </w:rPr>
        <w:t>八</w:t>
      </w:r>
      <w:r>
        <w:rPr>
          <w:rFonts w:hint="eastAsia" w:ascii="宋体" w:hAnsi="宋体" w:eastAsia="宋体" w:cs="宋体"/>
          <w:color w:val="auto"/>
          <w:sz w:val="36"/>
          <w:szCs w:val="24"/>
          <w:highlight w:val="none"/>
          <w:lang w:eastAsia="zh-CN"/>
        </w:rPr>
        <w:t>包：中心区变电站综合自动化系统技术要求</w:t>
      </w:r>
      <w:bookmarkEnd w:id="34"/>
      <w:bookmarkEnd w:id="35"/>
      <w:bookmarkEnd w:id="36"/>
    </w:p>
    <w:p>
      <w:pPr>
        <w:adjustRightInd w:val="0"/>
        <w:spacing w:line="360" w:lineRule="auto"/>
        <w:rPr>
          <w:rFonts w:hint="eastAsia" w:ascii="宋体" w:cs="新宋体"/>
          <w:bCs/>
          <w:color w:val="auto"/>
          <w:szCs w:val="21"/>
          <w:highlight w:val="none"/>
        </w:rPr>
      </w:pPr>
      <w:r>
        <w:rPr>
          <w:rFonts w:hint="eastAsia" w:ascii="宋体" w:cs="新宋体"/>
          <w:bCs/>
          <w:color w:val="auto"/>
          <w:szCs w:val="21"/>
          <w:highlight w:val="none"/>
        </w:rPr>
        <w:t>1.货物需求</w:t>
      </w:r>
    </w:p>
    <w:p>
      <w:pPr>
        <w:spacing w:line="360" w:lineRule="auto"/>
        <w:rPr>
          <w:rFonts w:ascii="宋体" w:cs="新宋体"/>
          <w:bCs/>
          <w:color w:val="auto"/>
          <w:szCs w:val="21"/>
          <w:highlight w:val="none"/>
        </w:rPr>
      </w:pPr>
      <w:r>
        <w:rPr>
          <w:rFonts w:hint="eastAsia" w:ascii="宋体" w:cs="新宋体"/>
          <w:bCs/>
          <w:color w:val="auto"/>
          <w:szCs w:val="21"/>
          <w:highlight w:val="none"/>
        </w:rPr>
        <w:t xml:space="preserve"> *1.1货物需求一览表(不局限以下内容,投标方详细描述每台套包括部件的名称、规格型号、数量 、生产厂家）。</w:t>
      </w:r>
    </w:p>
    <w:tbl>
      <w:tblPr>
        <w:tblStyle w:val="16"/>
        <w:tblW w:w="9013" w:type="dxa"/>
        <w:tblInd w:w="108" w:type="dxa"/>
        <w:tblLayout w:type="fixed"/>
        <w:tblCellMar>
          <w:top w:w="0" w:type="dxa"/>
          <w:left w:w="108" w:type="dxa"/>
          <w:bottom w:w="0" w:type="dxa"/>
          <w:right w:w="108" w:type="dxa"/>
        </w:tblCellMar>
      </w:tblPr>
      <w:tblGrid>
        <w:gridCol w:w="660"/>
        <w:gridCol w:w="2120"/>
        <w:gridCol w:w="2060"/>
        <w:gridCol w:w="820"/>
        <w:gridCol w:w="800"/>
        <w:gridCol w:w="800"/>
        <w:gridCol w:w="1753"/>
      </w:tblGrid>
      <w:tr>
        <w:tblPrEx>
          <w:tblLayout w:type="fixed"/>
          <w:tblCellMar>
            <w:top w:w="0" w:type="dxa"/>
            <w:left w:w="108" w:type="dxa"/>
            <w:bottom w:w="0" w:type="dxa"/>
            <w:right w:w="108" w:type="dxa"/>
          </w:tblCellMar>
        </w:tblPrEx>
        <w:trPr>
          <w:trHeight w:val="600" w:hRule="atLeast"/>
        </w:trPr>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序号</w:t>
            </w:r>
          </w:p>
        </w:tc>
        <w:tc>
          <w:tcPr>
            <w:tcW w:w="212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设备名称</w:t>
            </w:r>
          </w:p>
        </w:tc>
        <w:tc>
          <w:tcPr>
            <w:tcW w:w="206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规格型号</w:t>
            </w:r>
          </w:p>
        </w:tc>
        <w:tc>
          <w:tcPr>
            <w:tcW w:w="82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单位</w:t>
            </w:r>
          </w:p>
        </w:tc>
        <w:tc>
          <w:tcPr>
            <w:tcW w:w="80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数量</w:t>
            </w:r>
          </w:p>
        </w:tc>
        <w:tc>
          <w:tcPr>
            <w:tcW w:w="800" w:type="dxa"/>
            <w:tcBorders>
              <w:top w:val="single" w:color="auto" w:sz="8" w:space="0"/>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制造厂家</w:t>
            </w:r>
          </w:p>
        </w:tc>
        <w:tc>
          <w:tcPr>
            <w:tcW w:w="17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备注</w:t>
            </w:r>
          </w:p>
        </w:tc>
      </w:tr>
      <w:tr>
        <w:tblPrEx>
          <w:tblLayout w:type="fixed"/>
          <w:tblCellMar>
            <w:top w:w="0" w:type="dxa"/>
            <w:left w:w="108" w:type="dxa"/>
            <w:bottom w:w="0" w:type="dxa"/>
            <w:right w:w="108" w:type="dxa"/>
          </w:tblCellMar>
        </w:tblPrEx>
        <w:trPr>
          <w:trHeight w:val="600" w:hRule="atLeast"/>
        </w:trPr>
        <w:tc>
          <w:tcPr>
            <w:tcW w:w="9013"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2"/>
                <w:szCs w:val="22"/>
                <w:highlight w:val="none"/>
              </w:rPr>
            </w:pPr>
            <w:r>
              <w:rPr>
                <w:rFonts w:hint="eastAsia" w:ascii="宋体" w:hAnsi="宋体" w:cs="宋体"/>
                <w:b/>
                <w:bCs/>
                <w:color w:val="auto"/>
                <w:kern w:val="0"/>
                <w:sz w:val="18"/>
                <w:szCs w:val="18"/>
                <w:highlight w:val="none"/>
              </w:rPr>
              <w:t>中心区变电站综合自动化系统</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监控主机柜</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b/>
                <w:bCs/>
                <w:color w:val="auto"/>
                <w:kern w:val="0"/>
                <w:szCs w:val="21"/>
                <w:highlight w:val="none"/>
              </w:rPr>
            </w:pPr>
            <w:r>
              <w:rPr>
                <w:rFonts w:ascii="Calibri" w:hAnsi="Calibri" w:cs="宋体"/>
                <w:b/>
                <w:bCs/>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监控主机兼操作员及工程师工作站、数据服务器</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eastAsia="zh-CN"/>
              </w:rPr>
              <w:t>配套</w:t>
            </w:r>
            <w:r>
              <w:rPr>
                <w:rFonts w:hint="eastAsia" w:ascii="宋体" w:hAnsi="宋体" w:cs="宋体"/>
                <w:color w:val="auto"/>
                <w:kern w:val="0"/>
                <w:sz w:val="18"/>
                <w:szCs w:val="18"/>
                <w:highlight w:val="none"/>
                <w:lang w:val="en-US" w:eastAsia="zh-CN"/>
              </w:rPr>
              <w:t>(国内知名品牌)</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KVM延长器</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瑞创</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屏体</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eastAsia="zh-CN"/>
              </w:rPr>
              <w:t>配套</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18"/>
                <w:szCs w:val="18"/>
                <w:highlight w:val="none"/>
                <w:lang w:eastAsia="zh-CN"/>
              </w:rPr>
            </w:pPr>
            <w:r>
              <w:rPr>
                <w:rFonts w:hint="eastAsia" w:ascii="宋体" w:hAnsi="宋体" w:cs="宋体"/>
                <w:b/>
                <w:bCs/>
                <w:color w:val="auto"/>
                <w:kern w:val="0"/>
                <w:sz w:val="18"/>
                <w:szCs w:val="18"/>
                <w:highlight w:val="none"/>
                <w:lang w:eastAsia="zh-CN"/>
              </w:rPr>
              <w:t>二</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数据通信网关机柜</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I区通信网关机</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PCS-9799C</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屏体</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eastAsia="zh-CN"/>
              </w:rPr>
              <w:t>配套</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18"/>
                <w:szCs w:val="18"/>
                <w:highlight w:val="none"/>
                <w:lang w:eastAsia="zh-CN"/>
              </w:rPr>
            </w:pPr>
            <w:r>
              <w:rPr>
                <w:rFonts w:hint="eastAsia" w:ascii="宋体" w:hAnsi="宋体" w:cs="宋体"/>
                <w:b/>
                <w:bCs/>
                <w:color w:val="auto"/>
                <w:kern w:val="0"/>
                <w:sz w:val="18"/>
                <w:szCs w:val="18"/>
                <w:highlight w:val="none"/>
                <w:lang w:eastAsia="zh-CN"/>
              </w:rPr>
              <w:t>三</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网络通讯柜</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站控层交换机</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PCS-9882AD-S</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间隔层交换机</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PCS-9882AD-S</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规约转换装置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PCS-9794A</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屏体</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eastAsia="zh-CN"/>
              </w:rPr>
              <w:t>配套</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18"/>
                <w:szCs w:val="18"/>
                <w:highlight w:val="none"/>
                <w:lang w:eastAsia="zh-CN"/>
              </w:rPr>
            </w:pPr>
            <w:r>
              <w:rPr>
                <w:rFonts w:hint="eastAsia" w:ascii="宋体" w:hAnsi="宋体" w:cs="宋体"/>
                <w:b/>
                <w:bCs/>
                <w:color w:val="auto"/>
                <w:kern w:val="0"/>
                <w:sz w:val="18"/>
                <w:szCs w:val="18"/>
                <w:highlight w:val="none"/>
                <w:lang w:eastAsia="zh-CN"/>
              </w:rPr>
              <w:t>四</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公用测控柜</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b/>
                <w:bCs/>
                <w:color w:val="auto"/>
                <w:kern w:val="0"/>
                <w:szCs w:val="21"/>
                <w:highlight w:val="none"/>
              </w:rPr>
            </w:pPr>
            <w:r>
              <w:rPr>
                <w:rFonts w:ascii="Calibri" w:hAnsi="Calibri" w:cs="宋体"/>
                <w:b/>
                <w:bCs/>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公共测控装置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PCS-9705B-D-H2</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时钟同步装置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PCS-9785-H2</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屏体</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eastAsia="zh-CN"/>
              </w:rPr>
              <w:t>配套</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18"/>
                <w:szCs w:val="18"/>
                <w:highlight w:val="none"/>
                <w:lang w:eastAsia="zh-CN"/>
              </w:rPr>
            </w:pPr>
            <w:r>
              <w:rPr>
                <w:rFonts w:hint="eastAsia" w:ascii="宋体" w:hAnsi="宋体" w:cs="宋体"/>
                <w:b/>
                <w:bCs/>
                <w:color w:val="auto"/>
                <w:kern w:val="0"/>
                <w:sz w:val="18"/>
                <w:szCs w:val="18"/>
                <w:highlight w:val="none"/>
                <w:lang w:eastAsia="zh-CN"/>
              </w:rPr>
              <w:t>五</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110kV线路保护测控柜</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线路保护测控装置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PCS-943A-DA-G-C</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过程层中心交换机</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PCS-9882BD-S</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3</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屏体</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eastAsia="zh-CN"/>
              </w:rPr>
              <w:t>配套</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18"/>
                <w:szCs w:val="18"/>
                <w:highlight w:val="none"/>
                <w:lang w:eastAsia="zh-CN"/>
              </w:rPr>
            </w:pPr>
            <w:r>
              <w:rPr>
                <w:rFonts w:hint="eastAsia" w:ascii="宋体" w:hAnsi="宋体" w:cs="宋体"/>
                <w:b/>
                <w:bCs/>
                <w:color w:val="auto"/>
                <w:kern w:val="0"/>
                <w:sz w:val="18"/>
                <w:szCs w:val="18"/>
                <w:highlight w:val="none"/>
                <w:lang w:eastAsia="zh-CN"/>
              </w:rPr>
              <w:t>六</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变压器保护测控柜</w:t>
            </w:r>
          </w:p>
        </w:tc>
        <w:tc>
          <w:tcPr>
            <w:tcW w:w="2060" w:type="dxa"/>
            <w:tcBorders>
              <w:top w:val="nil"/>
              <w:left w:val="nil"/>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c>
          <w:tcPr>
            <w:tcW w:w="820" w:type="dxa"/>
            <w:tcBorders>
              <w:top w:val="nil"/>
              <w:left w:val="nil"/>
              <w:bottom w:val="single" w:color="auto" w:sz="4" w:space="0"/>
              <w:right w:val="single" w:color="auto" w:sz="4" w:space="0"/>
            </w:tcBorders>
            <w:vAlign w:val="center"/>
          </w:tcPr>
          <w:p>
            <w:pPr>
              <w:widowControl/>
              <w:jc w:val="left"/>
              <w:rPr>
                <w:rFonts w:ascii="Calibri" w:hAnsi="Calibri" w:cs="宋体"/>
                <w:color w:val="auto"/>
                <w:kern w:val="0"/>
                <w:szCs w:val="21"/>
                <w:highlight w:val="none"/>
              </w:rPr>
            </w:pPr>
            <w:r>
              <w:rPr>
                <w:rFonts w:ascii="Calibri" w:hAnsi="Calibri" w:cs="宋体"/>
                <w:color w:val="auto"/>
                <w:kern w:val="0"/>
                <w:szCs w:val="21"/>
                <w:highlight w:val="none"/>
              </w:rPr>
              <w:t>　</w:t>
            </w:r>
          </w:p>
        </w:tc>
        <w:tc>
          <w:tcPr>
            <w:tcW w:w="800" w:type="dxa"/>
            <w:tcBorders>
              <w:top w:val="nil"/>
              <w:left w:val="nil"/>
              <w:bottom w:val="single" w:color="auto" w:sz="4" w:space="0"/>
              <w:right w:val="single" w:color="auto" w:sz="4" w:space="0"/>
            </w:tcBorders>
            <w:vAlign w:val="center"/>
          </w:tcPr>
          <w:p>
            <w:pPr>
              <w:widowControl/>
              <w:jc w:val="left"/>
              <w:rPr>
                <w:rFonts w:ascii="Calibri" w:hAnsi="Calibri" w:cs="宋体"/>
                <w:color w:val="auto"/>
                <w:kern w:val="0"/>
                <w:szCs w:val="21"/>
                <w:highlight w:val="none"/>
              </w:rPr>
            </w:pPr>
            <w:r>
              <w:rPr>
                <w:rFonts w:ascii="Calibri" w:hAnsi="Calibri" w:cs="宋体"/>
                <w:color w:val="auto"/>
                <w:kern w:val="0"/>
                <w:szCs w:val="21"/>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变压器保护装置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PCS-978T1-DA-G</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主后一体，双套配置</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变压器测控装置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PCS-9705A-D-H2</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过程层交换机</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PCS-9882BD-S</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屏体</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eastAsia="zh-CN"/>
              </w:rPr>
              <w:t>配套</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18"/>
                <w:szCs w:val="18"/>
                <w:highlight w:val="none"/>
                <w:lang w:eastAsia="zh-CN"/>
              </w:rPr>
            </w:pPr>
            <w:r>
              <w:rPr>
                <w:rFonts w:hint="eastAsia" w:ascii="宋体" w:hAnsi="宋体" w:eastAsia="宋体" w:cs="宋体"/>
                <w:b/>
                <w:bCs/>
                <w:color w:val="auto"/>
                <w:kern w:val="0"/>
                <w:sz w:val="18"/>
                <w:szCs w:val="18"/>
                <w:highlight w:val="none"/>
                <w:lang w:eastAsia="zh-CN"/>
              </w:rPr>
              <w:t>七</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10kV保护测控装置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690"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ascii="宋体" w:hAnsi="宋体" w:cs="宋体"/>
                <w:color w:val="auto"/>
                <w:kern w:val="0"/>
                <w:sz w:val="18"/>
                <w:szCs w:val="18"/>
                <w:highlight w:val="none"/>
              </w:rPr>
              <w:t>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10kV分段保护测控</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PCS-9616D-D</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充电保护PCS-9616C需更换为PCS-9616D-D,安装于开关柜</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ascii="宋体" w:hAnsi="宋体" w:cs="宋体"/>
                <w:color w:val="auto"/>
                <w:kern w:val="0"/>
                <w:sz w:val="18"/>
                <w:szCs w:val="18"/>
                <w:highlight w:val="none"/>
              </w:rPr>
              <w:t>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10kV电压并列装置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PCS-9662D</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安装于开关柜</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ascii="宋体" w:hAnsi="宋体" w:cs="宋体"/>
                <w:color w:val="auto"/>
                <w:kern w:val="0"/>
                <w:sz w:val="18"/>
                <w:szCs w:val="18"/>
                <w:highlight w:val="none"/>
              </w:rPr>
              <w:t>3</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10kV母线测控装置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PCS-9705BS-H2</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安装于开关柜</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18"/>
                <w:szCs w:val="18"/>
                <w:highlight w:val="none"/>
                <w:lang w:eastAsia="zh-CN"/>
              </w:rPr>
            </w:pPr>
            <w:r>
              <w:rPr>
                <w:rFonts w:hint="eastAsia" w:ascii="宋体" w:hAnsi="宋体" w:cs="宋体"/>
                <w:b/>
                <w:bCs/>
                <w:color w:val="auto"/>
                <w:kern w:val="0"/>
                <w:sz w:val="18"/>
                <w:szCs w:val="18"/>
                <w:highlight w:val="none"/>
                <w:lang w:eastAsia="zh-CN"/>
              </w:rPr>
              <w:t>八</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后台监控系统</w:t>
            </w:r>
          </w:p>
        </w:tc>
        <w:tc>
          <w:tcPr>
            <w:tcW w:w="2060" w:type="dxa"/>
            <w:tcBorders>
              <w:top w:val="nil"/>
              <w:left w:val="nil"/>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c>
          <w:tcPr>
            <w:tcW w:w="820" w:type="dxa"/>
            <w:tcBorders>
              <w:top w:val="nil"/>
              <w:left w:val="nil"/>
              <w:bottom w:val="single" w:color="auto" w:sz="4" w:space="0"/>
              <w:right w:val="single" w:color="auto" w:sz="4" w:space="0"/>
            </w:tcBorders>
            <w:vAlign w:val="center"/>
          </w:tcPr>
          <w:p>
            <w:pPr>
              <w:widowControl/>
              <w:jc w:val="left"/>
              <w:rPr>
                <w:rFonts w:ascii="Calibri" w:hAnsi="Calibri" w:cs="宋体"/>
                <w:color w:val="auto"/>
                <w:kern w:val="0"/>
                <w:szCs w:val="21"/>
                <w:highlight w:val="none"/>
              </w:rPr>
            </w:pPr>
            <w:r>
              <w:rPr>
                <w:rFonts w:ascii="Calibri" w:hAnsi="Calibri" w:cs="宋体"/>
                <w:color w:val="auto"/>
                <w:kern w:val="0"/>
                <w:szCs w:val="21"/>
                <w:highlight w:val="none"/>
              </w:rPr>
              <w:t>　</w:t>
            </w:r>
          </w:p>
        </w:tc>
        <w:tc>
          <w:tcPr>
            <w:tcW w:w="800" w:type="dxa"/>
            <w:tcBorders>
              <w:top w:val="nil"/>
              <w:left w:val="nil"/>
              <w:bottom w:val="single" w:color="auto" w:sz="4" w:space="0"/>
              <w:right w:val="single" w:color="auto" w:sz="4" w:space="0"/>
            </w:tcBorders>
            <w:vAlign w:val="center"/>
          </w:tcPr>
          <w:p>
            <w:pPr>
              <w:widowControl/>
              <w:jc w:val="left"/>
              <w:rPr>
                <w:rFonts w:ascii="Calibri" w:hAnsi="Calibri" w:cs="宋体"/>
                <w:color w:val="auto"/>
                <w:kern w:val="0"/>
                <w:szCs w:val="21"/>
                <w:highlight w:val="none"/>
              </w:rPr>
            </w:pPr>
            <w:r>
              <w:rPr>
                <w:rFonts w:ascii="Calibri" w:hAnsi="Calibri" w:cs="宋体"/>
                <w:color w:val="auto"/>
                <w:kern w:val="0"/>
                <w:szCs w:val="21"/>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显示器</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Cs w:val="21"/>
                <w:highlight w:val="none"/>
                <w:lang w:val="en-US" w:eastAsia="zh-CN"/>
              </w:rPr>
              <w:t>32</w:t>
            </w:r>
            <w:r>
              <w:rPr>
                <w:rFonts w:hint="eastAsia" w:ascii="宋体" w:hAnsi="宋体" w:cs="宋体"/>
                <w:color w:val="auto"/>
                <w:kern w:val="0"/>
                <w:szCs w:val="21"/>
                <w:highlight w:val="none"/>
              </w:rPr>
              <w:t>寸</w:t>
            </w:r>
            <w:r>
              <w:rPr>
                <w:rFonts w:hint="eastAsia" w:ascii="宋体" w:hAnsi="宋体" w:cs="宋体"/>
                <w:color w:val="auto"/>
                <w:kern w:val="0"/>
                <w:szCs w:val="21"/>
                <w:highlight w:val="none"/>
                <w:lang w:eastAsia="zh-CN"/>
              </w:rPr>
              <w:t>弧形</w:t>
            </w:r>
            <w:r>
              <w:rPr>
                <w:rFonts w:hint="eastAsia" w:ascii="宋体" w:hAnsi="宋体" w:cs="宋体"/>
                <w:color w:val="auto"/>
                <w:kern w:val="0"/>
                <w:szCs w:val="21"/>
                <w:highlight w:val="none"/>
              </w:rPr>
              <w:t>液晶显示器</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打印机</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eastAsia="zh-CN"/>
              </w:rPr>
              <w:t>配套</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后台监控系统软件</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PCS-9700监控软件</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套</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18"/>
                <w:szCs w:val="18"/>
                <w:highlight w:val="none"/>
                <w:lang w:eastAsia="zh-CN"/>
              </w:rPr>
            </w:pPr>
            <w:r>
              <w:rPr>
                <w:rFonts w:hint="eastAsia" w:ascii="宋体" w:hAnsi="宋体" w:cs="宋体"/>
                <w:b/>
                <w:bCs/>
                <w:color w:val="auto"/>
                <w:kern w:val="0"/>
                <w:sz w:val="18"/>
                <w:szCs w:val="18"/>
                <w:highlight w:val="none"/>
                <w:lang w:eastAsia="zh-CN"/>
              </w:rPr>
              <w:t>九</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通信线缆</w:t>
            </w:r>
          </w:p>
        </w:tc>
        <w:tc>
          <w:tcPr>
            <w:tcW w:w="2060" w:type="dxa"/>
            <w:tcBorders>
              <w:top w:val="nil"/>
              <w:left w:val="nil"/>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c>
          <w:tcPr>
            <w:tcW w:w="820" w:type="dxa"/>
            <w:tcBorders>
              <w:top w:val="nil"/>
              <w:left w:val="nil"/>
              <w:bottom w:val="single" w:color="auto" w:sz="4" w:space="0"/>
              <w:right w:val="single" w:color="auto" w:sz="4" w:space="0"/>
            </w:tcBorders>
            <w:vAlign w:val="center"/>
          </w:tcPr>
          <w:p>
            <w:pPr>
              <w:widowControl/>
              <w:jc w:val="left"/>
              <w:rPr>
                <w:rFonts w:ascii="Calibri" w:hAnsi="Calibri" w:cs="宋体"/>
                <w:color w:val="auto"/>
                <w:kern w:val="0"/>
                <w:szCs w:val="21"/>
                <w:highlight w:val="none"/>
              </w:rPr>
            </w:pPr>
            <w:r>
              <w:rPr>
                <w:rFonts w:ascii="Calibri" w:hAnsi="Calibri" w:cs="宋体"/>
                <w:color w:val="auto"/>
                <w:kern w:val="0"/>
                <w:szCs w:val="21"/>
                <w:highlight w:val="none"/>
              </w:rPr>
              <w:t>　</w:t>
            </w:r>
          </w:p>
        </w:tc>
        <w:tc>
          <w:tcPr>
            <w:tcW w:w="800" w:type="dxa"/>
            <w:tcBorders>
              <w:top w:val="nil"/>
              <w:left w:val="nil"/>
              <w:bottom w:val="single" w:color="auto" w:sz="4" w:space="0"/>
              <w:right w:val="single" w:color="auto" w:sz="4" w:space="0"/>
            </w:tcBorders>
            <w:vAlign w:val="center"/>
          </w:tcPr>
          <w:p>
            <w:pPr>
              <w:widowControl/>
              <w:jc w:val="left"/>
              <w:rPr>
                <w:rFonts w:ascii="Calibri" w:hAnsi="Calibri" w:cs="宋体"/>
                <w:color w:val="auto"/>
                <w:kern w:val="0"/>
                <w:szCs w:val="21"/>
                <w:highlight w:val="none"/>
              </w:rPr>
            </w:pPr>
            <w:r>
              <w:rPr>
                <w:rFonts w:ascii="Calibri" w:hAnsi="Calibri" w:cs="宋体"/>
                <w:color w:val="auto"/>
                <w:kern w:val="0"/>
                <w:szCs w:val="21"/>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满足实际工程需要</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屏蔽双绞线</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屏蔽双绞线</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m</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按需</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44"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超五类网络通信线</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超五类网络通信线</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m</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按需</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铠装光缆</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铠装光缆</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m</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按需</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Calibri" w:hAnsi="Calibri" w:cs="宋体"/>
                <w:color w:val="auto"/>
                <w:kern w:val="0"/>
                <w:szCs w:val="21"/>
                <w:highlight w:val="none"/>
              </w:rPr>
            </w:pPr>
            <w:r>
              <w:rPr>
                <w:rFonts w:ascii="Calibri" w:hAnsi="Calibri"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 w:val="18"/>
                <w:szCs w:val="18"/>
                <w:highlight w:val="none"/>
                <w:lang w:eastAsia="zh-CN"/>
              </w:rPr>
            </w:pPr>
            <w:r>
              <w:rPr>
                <w:rFonts w:hint="eastAsia" w:ascii="宋体" w:hAnsi="宋体" w:cs="宋体"/>
                <w:b/>
                <w:bCs/>
                <w:color w:val="auto"/>
                <w:kern w:val="0"/>
                <w:sz w:val="18"/>
                <w:szCs w:val="18"/>
                <w:highlight w:val="none"/>
              </w:rPr>
              <w:t>十</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智能设备</w:t>
            </w:r>
          </w:p>
        </w:tc>
        <w:tc>
          <w:tcPr>
            <w:tcW w:w="206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82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80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主变高压侧智能柜</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合并单元智能终端一体装置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PCS-222CG-G</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屏体</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eastAsia="zh-CN"/>
              </w:rPr>
              <w:t>配套</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主变低压侧智能装置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合并单元智能终端一体装置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PCS-222CG-G</w:t>
            </w:r>
            <w:r>
              <w:rPr>
                <w:rFonts w:hint="eastAsia" w:ascii="宋体" w:hAnsi="宋体" w:cs="宋体"/>
                <w:color w:val="auto"/>
                <w:kern w:val="0"/>
                <w:sz w:val="18"/>
                <w:szCs w:val="18"/>
                <w:highlight w:val="none"/>
                <w:lang w:eastAsia="zh-CN"/>
              </w:rPr>
              <w:t>或</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安装于主变低压侧开关柜</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3</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主变本体智能柜</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本体合并单元</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PCS-221GB-G</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本体智能终端</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PCS-222TU-H2</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3.3</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屏体</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eastAsia="zh-CN"/>
              </w:rPr>
              <w:t>配套</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4</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110kV线路智能柜</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合并单元智能终端一体装置</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PCS-222CG-G</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屏体</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NR-G51 户外柜</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5</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110kV母线智能柜</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5.1</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母线合并单元</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PCS-221N-G-H3</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5.</w:t>
            </w:r>
            <w:r>
              <w:rPr>
                <w:rFonts w:hint="eastAsia" w:ascii="宋体" w:hAnsi="宋体" w:cs="宋体"/>
                <w:color w:val="auto"/>
                <w:kern w:val="0"/>
                <w:sz w:val="18"/>
                <w:szCs w:val="18"/>
                <w:highlight w:val="none"/>
                <w:lang w:val="en-US" w:eastAsia="zh-CN"/>
              </w:rPr>
              <w:t>2</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母线智能终端</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PCS-222C-I</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台</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5.3</w:t>
            </w:r>
          </w:p>
        </w:tc>
        <w:tc>
          <w:tcPr>
            <w:tcW w:w="21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屏体</w:t>
            </w:r>
          </w:p>
        </w:tc>
        <w:tc>
          <w:tcPr>
            <w:tcW w:w="20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eastAsia="zh-CN"/>
              </w:rPr>
              <w:t>配套</w:t>
            </w:r>
          </w:p>
        </w:tc>
        <w:tc>
          <w:tcPr>
            <w:tcW w:w="8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面</w:t>
            </w:r>
          </w:p>
        </w:tc>
        <w:tc>
          <w:tcPr>
            <w:tcW w:w="80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single" w:color="auto" w:sz="8" w:space="0"/>
              <w:left w:val="single" w:color="auto" w:sz="8" w:space="0"/>
              <w:bottom w:val="single" w:color="auto" w:sz="8" w:space="0"/>
              <w:right w:val="single" w:color="auto" w:sz="8" w:space="0"/>
            </w:tcBorders>
            <w:vAlign w:val="center"/>
          </w:tcPr>
          <w:p>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十一</w:t>
            </w:r>
          </w:p>
        </w:tc>
        <w:tc>
          <w:tcPr>
            <w:tcW w:w="2120" w:type="dxa"/>
            <w:tcBorders>
              <w:top w:val="single" w:color="auto" w:sz="8" w:space="0"/>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资料</w:t>
            </w:r>
          </w:p>
        </w:tc>
        <w:tc>
          <w:tcPr>
            <w:tcW w:w="2060" w:type="dxa"/>
            <w:tcBorders>
              <w:top w:val="single" w:color="auto" w:sz="8" w:space="0"/>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820" w:type="dxa"/>
            <w:tcBorders>
              <w:top w:val="single" w:color="auto" w:sz="8" w:space="0"/>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800" w:type="dxa"/>
            <w:tcBorders>
              <w:top w:val="single" w:color="auto" w:sz="8" w:space="0"/>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single" w:color="auto" w:sz="8" w:space="0"/>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tblPrEx>
          <w:tblLayout w:type="fixed"/>
          <w:tblCellMar>
            <w:top w:w="0" w:type="dxa"/>
            <w:left w:w="108" w:type="dxa"/>
            <w:bottom w:w="0" w:type="dxa"/>
            <w:right w:w="108" w:type="dxa"/>
          </w:tblCellMar>
        </w:tblPrEx>
        <w:trPr>
          <w:trHeight w:val="510" w:hRule="atLeast"/>
        </w:trPr>
        <w:tc>
          <w:tcPr>
            <w:tcW w:w="660" w:type="dxa"/>
            <w:vMerge w:val="restart"/>
            <w:tcBorders>
              <w:top w:val="nil"/>
              <w:left w:val="single" w:color="auto" w:sz="8" w:space="0"/>
              <w:bottom w:val="single" w:color="000000"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20" w:type="dxa"/>
            <w:tcBorders>
              <w:top w:val="nil"/>
              <w:left w:val="nil"/>
              <w:bottom w:val="nil"/>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技术资料</w:t>
            </w:r>
          </w:p>
        </w:tc>
        <w:tc>
          <w:tcPr>
            <w:tcW w:w="2060" w:type="dxa"/>
            <w:vMerge w:val="restart"/>
            <w:tcBorders>
              <w:top w:val="nil"/>
              <w:left w:val="single" w:color="auto" w:sz="8" w:space="0"/>
              <w:bottom w:val="single" w:color="000000"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820" w:type="dxa"/>
            <w:vMerge w:val="restart"/>
            <w:tcBorders>
              <w:top w:val="nil"/>
              <w:left w:val="single" w:color="auto" w:sz="8" w:space="0"/>
              <w:bottom w:val="single" w:color="000000"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套</w:t>
            </w:r>
          </w:p>
        </w:tc>
        <w:tc>
          <w:tcPr>
            <w:tcW w:w="800" w:type="dxa"/>
            <w:vMerge w:val="restart"/>
            <w:tcBorders>
              <w:top w:val="nil"/>
              <w:left w:val="single" w:color="auto" w:sz="8" w:space="0"/>
              <w:bottom w:val="single" w:color="000000"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800" w:type="dxa"/>
            <w:tcBorders>
              <w:top w:val="nil"/>
              <w:left w:val="nil"/>
              <w:bottom w:val="nil"/>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vMerge w:val="restart"/>
            <w:tcBorders>
              <w:top w:val="nil"/>
              <w:left w:val="single" w:color="auto" w:sz="8" w:space="0"/>
              <w:bottom w:val="single" w:color="000000"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tblPrEx>
          <w:tblLayout w:type="fixed"/>
          <w:tblCellMar>
            <w:top w:w="0" w:type="dxa"/>
            <w:left w:w="108" w:type="dxa"/>
            <w:bottom w:w="0" w:type="dxa"/>
            <w:right w:w="108" w:type="dxa"/>
          </w:tblCellMar>
        </w:tblPrEx>
        <w:trPr>
          <w:trHeight w:val="285" w:hRule="atLeast"/>
        </w:trPr>
        <w:tc>
          <w:tcPr>
            <w:tcW w:w="660"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cs="宋体"/>
                <w:color w:val="auto"/>
                <w:kern w:val="0"/>
                <w:szCs w:val="21"/>
                <w:highlight w:val="none"/>
              </w:rPr>
            </w:pPr>
          </w:p>
        </w:tc>
        <w:tc>
          <w:tcPr>
            <w:tcW w:w="212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（使用说明书）</w:t>
            </w:r>
          </w:p>
        </w:tc>
        <w:tc>
          <w:tcPr>
            <w:tcW w:w="2060"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cs="宋体"/>
                <w:color w:val="auto"/>
                <w:kern w:val="0"/>
                <w:szCs w:val="21"/>
                <w:highlight w:val="none"/>
              </w:rPr>
            </w:pPr>
          </w:p>
        </w:tc>
        <w:tc>
          <w:tcPr>
            <w:tcW w:w="820"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cs="宋体"/>
                <w:color w:val="auto"/>
                <w:kern w:val="0"/>
                <w:szCs w:val="21"/>
                <w:highlight w:val="none"/>
              </w:rPr>
            </w:pPr>
          </w:p>
        </w:tc>
        <w:tc>
          <w:tcPr>
            <w:tcW w:w="800"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cs="宋体"/>
                <w:color w:val="auto"/>
                <w:kern w:val="0"/>
                <w:szCs w:val="21"/>
                <w:highlight w:val="none"/>
              </w:rPr>
            </w:pP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cs="宋体"/>
                <w:color w:val="auto"/>
                <w:kern w:val="0"/>
                <w:szCs w:val="21"/>
                <w:highlight w:val="none"/>
              </w:rPr>
            </w:pP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8" w:space="0"/>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2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检验合格证书</w:t>
            </w:r>
          </w:p>
        </w:tc>
        <w:tc>
          <w:tcPr>
            <w:tcW w:w="206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82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套</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8" w:space="0"/>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2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产品说明书</w:t>
            </w:r>
          </w:p>
        </w:tc>
        <w:tc>
          <w:tcPr>
            <w:tcW w:w="206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82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套</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tblPrEx>
          <w:tblLayout w:type="fixed"/>
          <w:tblCellMar>
            <w:top w:w="0" w:type="dxa"/>
            <w:left w:w="108" w:type="dxa"/>
            <w:bottom w:w="0" w:type="dxa"/>
            <w:right w:w="108" w:type="dxa"/>
          </w:tblCellMar>
        </w:tblPrEx>
        <w:trPr>
          <w:trHeight w:val="525" w:hRule="atLeast"/>
        </w:trPr>
        <w:tc>
          <w:tcPr>
            <w:tcW w:w="660" w:type="dxa"/>
            <w:tcBorders>
              <w:top w:val="nil"/>
              <w:left w:val="single" w:color="auto" w:sz="8" w:space="0"/>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2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图纸</w:t>
            </w:r>
          </w:p>
        </w:tc>
        <w:tc>
          <w:tcPr>
            <w:tcW w:w="206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82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套</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800"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p>
        </w:tc>
        <w:tc>
          <w:tcPr>
            <w:tcW w:w="1753" w:type="dxa"/>
            <w:tcBorders>
              <w:top w:val="nil"/>
              <w:left w:val="nil"/>
              <w:bottom w:val="single" w:color="auto" w:sz="8" w:space="0"/>
              <w:right w:val="single" w:color="auto" w:sz="8"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bl>
    <w:p>
      <w:pPr>
        <w:spacing w:line="360" w:lineRule="auto"/>
        <w:rPr>
          <w:rFonts w:hint="eastAsia" w:ascii="宋体" w:cs="新宋体"/>
          <w:bCs/>
          <w:color w:val="auto"/>
          <w:szCs w:val="21"/>
          <w:highlight w:val="none"/>
        </w:rPr>
      </w:pPr>
      <w:r>
        <w:rPr>
          <w:rFonts w:hint="eastAsia" w:ascii="宋体" w:cs="新宋体"/>
          <w:bCs/>
          <w:color w:val="auto"/>
          <w:szCs w:val="21"/>
          <w:highlight w:val="none"/>
          <w:lang w:eastAsia="zh-CN"/>
        </w:rPr>
        <w:t>备注：变电站</w:t>
      </w:r>
      <w:r>
        <w:rPr>
          <w:rFonts w:hint="eastAsia" w:ascii="宋体" w:cs="新宋体"/>
          <w:bCs/>
          <w:color w:val="auto"/>
          <w:szCs w:val="21"/>
          <w:highlight w:val="none"/>
          <w:lang w:val="en-US" w:eastAsia="zh-CN"/>
        </w:rPr>
        <w:t>综自系统、10kV保护测控系统</w:t>
      </w:r>
      <w:r>
        <w:rPr>
          <w:rFonts w:hint="eastAsia" w:ascii="宋体" w:cs="新宋体"/>
          <w:bCs/>
          <w:color w:val="auto"/>
          <w:szCs w:val="21"/>
          <w:highlight w:val="none"/>
          <w:lang w:eastAsia="zh-CN"/>
        </w:rPr>
        <w:t>为南瑞继保生产，考虑到新旧设备兼容、正常通信以及投运后的运行维护管理，推荐使用</w:t>
      </w:r>
      <w:r>
        <w:rPr>
          <w:rFonts w:hint="eastAsia" w:ascii="宋体" w:cs="Arial"/>
          <w:color w:val="auto"/>
          <w:szCs w:val="21"/>
          <w:highlight w:val="none"/>
          <w:lang w:bidi="ar-SA"/>
        </w:rPr>
        <w:t>南京南瑞继保电气有限公司</w:t>
      </w:r>
      <w:r>
        <w:rPr>
          <w:rFonts w:hint="eastAsia" w:ascii="宋体" w:cs="新宋体"/>
          <w:bCs/>
          <w:color w:val="auto"/>
          <w:szCs w:val="21"/>
          <w:highlight w:val="none"/>
          <w:lang w:eastAsia="zh-CN"/>
        </w:rPr>
        <w:t>、珠海优特电力科技股份有限公司、思源电气股份有限公司设备。</w:t>
      </w:r>
    </w:p>
    <w:p>
      <w:pPr>
        <w:spacing w:line="360" w:lineRule="auto"/>
        <w:rPr>
          <w:rFonts w:hint="eastAsia" w:ascii="宋体" w:cs="新宋体"/>
          <w:bCs/>
          <w:color w:val="auto"/>
          <w:szCs w:val="21"/>
          <w:highlight w:val="none"/>
        </w:rPr>
      </w:pPr>
      <w:r>
        <w:rPr>
          <w:rFonts w:hint="eastAsia" w:ascii="宋体" w:cs="新宋体"/>
          <w:bCs/>
          <w:color w:val="auto"/>
          <w:szCs w:val="21"/>
          <w:highlight w:val="none"/>
        </w:rPr>
        <w:t>1.2设计要求</w:t>
      </w:r>
    </w:p>
    <w:p>
      <w:pPr>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设计合理，符合现场使用条件，必要时需与招标方取得联系。</w:t>
      </w:r>
    </w:p>
    <w:p>
      <w:pPr>
        <w:tabs>
          <w:tab w:val="left" w:pos="426"/>
        </w:tabs>
        <w:spacing w:line="360" w:lineRule="auto"/>
        <w:rPr>
          <w:rFonts w:hint="eastAsia" w:ascii="宋体" w:eastAsia="宋体" w:cs="新宋体"/>
          <w:bCs/>
          <w:color w:val="auto"/>
          <w:sz w:val="21"/>
          <w:szCs w:val="21"/>
          <w:highlight w:val="none"/>
        </w:rPr>
      </w:pPr>
      <w:r>
        <w:rPr>
          <w:rFonts w:hint="eastAsia" w:ascii="宋体" w:eastAsia="宋体" w:cs="新宋体"/>
          <w:bCs/>
          <w:color w:val="auto"/>
          <w:sz w:val="21"/>
          <w:szCs w:val="21"/>
          <w:highlight w:val="none"/>
        </w:rPr>
        <w:t>1.3交货时间:自合同签订之日起</w:t>
      </w:r>
      <w:r>
        <w:rPr>
          <w:rFonts w:hint="eastAsia" w:ascii="宋体" w:eastAsia="宋体" w:cs="新宋体"/>
          <w:bCs/>
          <w:color w:val="auto"/>
          <w:sz w:val="21"/>
          <w:szCs w:val="21"/>
          <w:highlight w:val="none"/>
          <w:u w:val="single"/>
        </w:rPr>
        <w:t xml:space="preserve">    1    </w:t>
      </w:r>
      <w:r>
        <w:rPr>
          <w:rFonts w:hint="eastAsia" w:ascii="宋体" w:eastAsia="宋体" w:cs="新宋体"/>
          <w:bCs/>
          <w:color w:val="auto"/>
          <w:sz w:val="21"/>
          <w:szCs w:val="21"/>
          <w:highlight w:val="none"/>
        </w:rPr>
        <w:t>个月内</w:t>
      </w:r>
      <w:r>
        <w:rPr>
          <w:rFonts w:hint="eastAsia" w:ascii="宋体" w:eastAsia="宋体"/>
          <w:bCs/>
          <w:color w:val="auto"/>
          <w:sz w:val="21"/>
          <w:szCs w:val="21"/>
          <w:highlight w:val="none"/>
        </w:rPr>
        <w:t>到达交货地点</w:t>
      </w:r>
      <w:r>
        <w:rPr>
          <w:rFonts w:hint="eastAsia" w:ascii="宋体" w:eastAsia="宋体" w:cs="新宋体"/>
          <w:bCs/>
          <w:color w:val="auto"/>
          <w:sz w:val="21"/>
          <w:szCs w:val="21"/>
          <w:highlight w:val="none"/>
        </w:rPr>
        <w:t>。</w:t>
      </w:r>
    </w:p>
    <w:p>
      <w:pPr>
        <w:tabs>
          <w:tab w:val="left" w:pos="426"/>
        </w:tabs>
        <w:spacing w:line="360" w:lineRule="auto"/>
        <w:ind w:firstLine="420" w:firstLineChars="200"/>
        <w:rPr>
          <w:rStyle w:val="14"/>
          <w:rFonts w:hint="eastAsia" w:ascii="宋体" w:eastAsia="宋体"/>
          <w:b w:val="0"/>
          <w:color w:val="auto"/>
          <w:sz w:val="21"/>
          <w:szCs w:val="21"/>
          <w:highlight w:val="none"/>
        </w:rPr>
      </w:pPr>
      <w:r>
        <w:rPr>
          <w:rFonts w:hint="eastAsia" w:ascii="宋体" w:eastAsia="宋体" w:cs="新宋体"/>
          <w:bCs/>
          <w:color w:val="auto"/>
          <w:sz w:val="21"/>
          <w:szCs w:val="21"/>
          <w:highlight w:val="none"/>
        </w:rPr>
        <w:t>交货地点：</w:t>
      </w:r>
      <w:r>
        <w:rPr>
          <w:rFonts w:hint="eastAsia" w:ascii="宋体" w:eastAsia="宋体" w:cs="新宋体"/>
          <w:bCs/>
          <w:color w:val="auto"/>
          <w:sz w:val="21"/>
          <w:szCs w:val="21"/>
          <w:highlight w:val="none"/>
          <w:u w:val="single"/>
        </w:rPr>
        <w:t xml:space="preserve">    神华准能供电公司中心区变电站     </w:t>
      </w:r>
      <w:r>
        <w:rPr>
          <w:rFonts w:hint="eastAsia" w:ascii="宋体" w:eastAsia="宋体" w:cs="新宋体"/>
          <w:bCs/>
          <w:color w:val="auto"/>
          <w:sz w:val="21"/>
          <w:szCs w:val="21"/>
          <w:highlight w:val="none"/>
        </w:rPr>
        <w:t>。</w:t>
      </w:r>
    </w:p>
    <w:p>
      <w:pPr>
        <w:numPr>
          <w:ilvl w:val="0"/>
          <w:numId w:val="1"/>
        </w:numPr>
        <w:adjustRightInd w:val="0"/>
        <w:spacing w:line="360" w:lineRule="auto"/>
        <w:rPr>
          <w:rFonts w:hint="eastAsia" w:ascii="宋体" w:cs="新宋体"/>
          <w:bCs/>
          <w:color w:val="auto"/>
          <w:szCs w:val="21"/>
          <w:highlight w:val="none"/>
        </w:rPr>
      </w:pPr>
      <w:r>
        <w:rPr>
          <w:rFonts w:hint="eastAsia" w:ascii="宋体" w:cs="新宋体"/>
          <w:bCs/>
          <w:color w:val="auto"/>
          <w:szCs w:val="21"/>
          <w:highlight w:val="none"/>
        </w:rPr>
        <w:t>使用条件</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使用环境：</w:t>
      </w:r>
      <w:r>
        <w:rPr>
          <w:rFonts w:hint="eastAsia" w:ascii="宋体"/>
          <w:color w:val="auto"/>
          <w:szCs w:val="21"/>
          <w:highlight w:val="none"/>
          <w:u w:val="single"/>
        </w:rPr>
        <w:t xml:space="preserve">   室内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最高温度：</w:t>
      </w:r>
      <w:r>
        <w:rPr>
          <w:rFonts w:hint="eastAsia" w:ascii="宋体"/>
          <w:color w:val="auto"/>
          <w:szCs w:val="21"/>
          <w:highlight w:val="none"/>
          <w:u w:val="single"/>
        </w:rPr>
        <w:t xml:space="preserve">   45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最低温度：</w:t>
      </w:r>
      <w:r>
        <w:rPr>
          <w:rFonts w:hint="eastAsia" w:ascii="宋体"/>
          <w:color w:val="auto"/>
          <w:szCs w:val="21"/>
          <w:highlight w:val="none"/>
          <w:u w:val="single"/>
        </w:rPr>
        <w:t xml:space="preserve">   -37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年平均气温：</w:t>
      </w:r>
      <w:r>
        <w:rPr>
          <w:rFonts w:hint="eastAsia" w:ascii="宋体"/>
          <w:color w:val="auto"/>
          <w:szCs w:val="21"/>
          <w:highlight w:val="none"/>
          <w:u w:val="single"/>
        </w:rPr>
        <w:t xml:space="preserve">   9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环境相对湿度：</w:t>
      </w:r>
      <w:r>
        <w:rPr>
          <w:rFonts w:hint="eastAsia" w:ascii="宋体"/>
          <w:color w:val="auto"/>
          <w:szCs w:val="21"/>
          <w:highlight w:val="none"/>
          <w:u w:val="single"/>
        </w:rPr>
        <w:t xml:space="preserve">   54%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地震烈度：</w:t>
      </w:r>
      <w:r>
        <w:rPr>
          <w:rFonts w:hint="eastAsia" w:ascii="宋体"/>
          <w:color w:val="auto"/>
          <w:szCs w:val="21"/>
          <w:highlight w:val="none"/>
          <w:u w:val="single"/>
        </w:rPr>
        <w:t xml:space="preserve">   8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安装地点及用途：</w:t>
      </w:r>
      <w:r>
        <w:rPr>
          <w:rFonts w:hint="eastAsia" w:ascii="宋体"/>
          <w:color w:val="auto"/>
          <w:szCs w:val="21"/>
          <w:highlight w:val="none"/>
          <w:u w:val="single"/>
        </w:rPr>
        <w:t xml:space="preserve">   中心区变电站、用于保护测控 </w:t>
      </w:r>
      <w:r>
        <w:rPr>
          <w:rFonts w:hint="eastAsia" w:ascii="宋体"/>
          <w:color w:val="auto"/>
          <w:szCs w:val="21"/>
          <w:highlight w:val="none"/>
        </w:rPr>
        <w:t>。</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海拔高度：</w:t>
      </w:r>
      <w:r>
        <w:rPr>
          <w:rFonts w:hint="eastAsia" w:ascii="宋体"/>
          <w:color w:val="auto"/>
          <w:szCs w:val="21"/>
          <w:highlight w:val="none"/>
          <w:u w:val="single"/>
        </w:rPr>
        <w:t xml:space="preserve">   1300m   </w:t>
      </w:r>
      <w:r>
        <w:rPr>
          <w:rFonts w:hint="eastAsia" w:ascii="宋体"/>
          <w:color w:val="auto"/>
          <w:szCs w:val="21"/>
          <w:highlight w:val="none"/>
        </w:rPr>
        <w:t>。</w:t>
      </w:r>
    </w:p>
    <w:p>
      <w:pPr>
        <w:adjustRightInd w:val="0"/>
        <w:spacing w:line="360" w:lineRule="auto"/>
        <w:rPr>
          <w:rFonts w:hint="eastAsia" w:ascii="宋体" w:cs="新宋体"/>
          <w:bCs/>
          <w:color w:val="auto"/>
          <w:szCs w:val="21"/>
          <w:highlight w:val="none"/>
        </w:rPr>
      </w:pPr>
      <w:r>
        <w:rPr>
          <w:rFonts w:hint="eastAsia" w:ascii="宋体"/>
          <w:color w:val="auto"/>
          <w:szCs w:val="21"/>
          <w:highlight w:val="none"/>
        </w:rPr>
        <w:t>污秽等级：</w:t>
      </w:r>
      <w:r>
        <w:rPr>
          <w:rFonts w:hint="eastAsia" w:ascii="宋体"/>
          <w:color w:val="auto"/>
          <w:szCs w:val="21"/>
          <w:highlight w:val="none"/>
          <w:u w:val="single"/>
        </w:rPr>
        <w:t xml:space="preserve">   III   </w:t>
      </w:r>
      <w:r>
        <w:rPr>
          <w:rFonts w:hint="eastAsia" w:ascii="宋体"/>
          <w:color w:val="auto"/>
          <w:szCs w:val="21"/>
          <w:highlight w:val="none"/>
        </w:rPr>
        <w:t xml:space="preserve">。    </w:t>
      </w:r>
    </w:p>
    <w:p>
      <w:pPr>
        <w:numPr>
          <w:ilvl w:val="0"/>
          <w:numId w:val="1"/>
        </w:numPr>
        <w:adjustRightInd w:val="0"/>
        <w:spacing w:before="156" w:beforeLines="50" w:line="360" w:lineRule="auto"/>
        <w:rPr>
          <w:rFonts w:hint="eastAsia" w:ascii="宋体" w:cs="新宋体"/>
          <w:bCs/>
          <w:color w:val="auto"/>
          <w:szCs w:val="21"/>
          <w:highlight w:val="none"/>
        </w:rPr>
      </w:pPr>
      <w:r>
        <w:rPr>
          <w:rFonts w:hint="eastAsia" w:ascii="宋体" w:cs="新宋体"/>
          <w:bCs/>
          <w:color w:val="auto"/>
          <w:szCs w:val="21"/>
          <w:highlight w:val="none"/>
        </w:rPr>
        <w:t>技术参数及技术要求</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3.1技术参数</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3.1.1</w:t>
      </w:r>
      <w:r>
        <w:rPr>
          <w:rFonts w:hint="eastAsia" w:ascii="宋体" w:cs="新宋体"/>
          <w:bCs/>
          <w:color w:val="auto"/>
          <w:szCs w:val="21"/>
          <w:highlight w:val="none"/>
        </w:rPr>
        <w:t>主变保护测控装置技术参数及要求</w:t>
      </w:r>
    </w:p>
    <w:p>
      <w:pPr>
        <w:adjustRightInd w:val="0"/>
        <w:snapToGrid w:val="0"/>
        <w:spacing w:line="360" w:lineRule="auto"/>
        <w:rPr>
          <w:rFonts w:ascii="宋体"/>
          <w:color w:val="auto"/>
          <w:szCs w:val="21"/>
          <w:highlight w:val="none"/>
        </w:rPr>
      </w:pPr>
      <w:r>
        <w:rPr>
          <w:rFonts w:hint="eastAsia" w:ascii="宋体"/>
          <w:color w:val="auto"/>
          <w:szCs w:val="21"/>
          <w:highlight w:val="none"/>
        </w:rPr>
        <w:t>3.1.1.1主变保护技术参数</w:t>
      </w:r>
    </w:p>
    <w:tbl>
      <w:tblPr>
        <w:tblStyle w:val="16"/>
        <w:tblW w:w="7416" w:type="dxa"/>
        <w:tblInd w:w="-10" w:type="dxa"/>
        <w:tblLayout w:type="fixed"/>
        <w:tblCellMar>
          <w:top w:w="0" w:type="dxa"/>
          <w:left w:w="108" w:type="dxa"/>
          <w:bottom w:w="0" w:type="dxa"/>
          <w:right w:w="108" w:type="dxa"/>
        </w:tblCellMar>
      </w:tblPr>
      <w:tblGrid>
        <w:gridCol w:w="564"/>
        <w:gridCol w:w="3633"/>
        <w:gridCol w:w="1036"/>
        <w:gridCol w:w="2183"/>
      </w:tblGrid>
      <w:tr>
        <w:tblPrEx>
          <w:tblLayout w:type="fixed"/>
          <w:tblCellMar>
            <w:top w:w="0" w:type="dxa"/>
            <w:left w:w="108" w:type="dxa"/>
            <w:bottom w:w="0" w:type="dxa"/>
            <w:right w:w="108" w:type="dxa"/>
          </w:tblCellMar>
        </w:tblPrEx>
        <w:trPr>
          <w:trHeight w:val="340" w:hRule="atLeast"/>
        </w:trPr>
        <w:tc>
          <w:tcPr>
            <w:tcW w:w="564"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序号</w:t>
            </w:r>
          </w:p>
        </w:tc>
        <w:tc>
          <w:tcPr>
            <w:tcW w:w="3633" w:type="dxa"/>
            <w:tcBorders>
              <w:top w:val="single" w:color="000000" w:sz="8" w:space="0"/>
              <w:left w:val="nil"/>
              <w:bottom w:val="single" w:color="000000" w:sz="8" w:space="0"/>
              <w:right w:val="single" w:color="000000" w:sz="8" w:space="0"/>
            </w:tcBorders>
            <w:tcMar>
              <w:top w:w="0" w:type="dxa"/>
              <w:left w:w="0" w:type="dxa"/>
              <w:bottom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参  数  名  称</w:t>
            </w:r>
          </w:p>
        </w:tc>
        <w:tc>
          <w:tcPr>
            <w:tcW w:w="1036" w:type="dxa"/>
            <w:tcBorders>
              <w:top w:val="single" w:color="000000" w:sz="8" w:space="0"/>
              <w:left w:val="nil"/>
              <w:bottom w:val="single" w:color="000000" w:sz="8" w:space="0"/>
              <w:right w:val="single" w:color="000000" w:sz="8" w:space="0"/>
            </w:tcBorders>
            <w:tcMar>
              <w:top w:w="0" w:type="dxa"/>
              <w:left w:w="0" w:type="dxa"/>
              <w:bottom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单位</w:t>
            </w:r>
          </w:p>
        </w:tc>
        <w:tc>
          <w:tcPr>
            <w:tcW w:w="2183" w:type="dxa"/>
            <w:tcBorders>
              <w:top w:val="single" w:color="000000" w:sz="8" w:space="0"/>
              <w:left w:val="nil"/>
              <w:bottom w:val="single" w:color="000000" w:sz="8" w:space="0"/>
              <w:right w:val="single" w:color="000000" w:sz="8" w:space="0"/>
            </w:tcBorders>
            <w:tcMar>
              <w:top w:w="0" w:type="dxa"/>
              <w:left w:w="0" w:type="dxa"/>
              <w:bottom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参数值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Borders>
              <w:top w:val="single" w:color="auto" w:sz="4" w:space="0"/>
              <w:left w:val="single" w:color="auto" w:sz="8" w:space="0"/>
              <w:bottom w:val="single" w:color="auto" w:sz="4" w:space="0"/>
              <w:right w:val="single" w:color="auto" w:sz="4" w:space="0"/>
            </w:tcBorders>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1</w:t>
            </w:r>
          </w:p>
        </w:tc>
        <w:tc>
          <w:tcPr>
            <w:tcW w:w="363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差动速断动作时间</w:t>
            </w:r>
          </w:p>
        </w:tc>
        <w:tc>
          <w:tcPr>
            <w:tcW w:w="1036"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ms</w:t>
            </w:r>
          </w:p>
        </w:tc>
        <w:tc>
          <w:tcPr>
            <w:tcW w:w="218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≤20（1.5倍整定值）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Borders>
              <w:top w:val="single" w:color="auto" w:sz="4" w:space="0"/>
              <w:left w:val="single" w:color="auto" w:sz="8" w:space="0"/>
              <w:bottom w:val="single" w:color="auto" w:sz="4" w:space="0"/>
              <w:right w:val="single" w:color="auto" w:sz="4" w:space="0"/>
            </w:tcBorders>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2</w:t>
            </w:r>
          </w:p>
        </w:tc>
        <w:tc>
          <w:tcPr>
            <w:tcW w:w="363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比率差动动作时间</w:t>
            </w:r>
          </w:p>
        </w:tc>
        <w:tc>
          <w:tcPr>
            <w:tcW w:w="1036"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ms</w:t>
            </w:r>
          </w:p>
        </w:tc>
        <w:tc>
          <w:tcPr>
            <w:tcW w:w="218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≤30（2倍整定值）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Borders>
              <w:top w:val="single" w:color="auto" w:sz="4" w:space="0"/>
              <w:left w:val="single" w:color="auto" w:sz="8" w:space="0"/>
              <w:bottom w:val="single" w:color="auto" w:sz="4" w:space="0"/>
              <w:right w:val="single" w:color="auto" w:sz="4" w:space="0"/>
            </w:tcBorders>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3</w:t>
            </w:r>
          </w:p>
        </w:tc>
        <w:tc>
          <w:tcPr>
            <w:tcW w:w="363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差动速断动作精度误差</w:t>
            </w:r>
          </w:p>
        </w:tc>
        <w:tc>
          <w:tcPr>
            <w:tcW w:w="1036"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p>
        </w:tc>
        <w:tc>
          <w:tcPr>
            <w:tcW w:w="218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不超过±5%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Borders>
              <w:top w:val="single" w:color="auto" w:sz="4" w:space="0"/>
              <w:left w:val="single" w:color="auto" w:sz="8" w:space="0"/>
              <w:bottom w:val="single" w:color="auto" w:sz="4" w:space="0"/>
              <w:right w:val="single" w:color="auto" w:sz="4" w:space="0"/>
            </w:tcBorders>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4</w:t>
            </w:r>
          </w:p>
        </w:tc>
        <w:tc>
          <w:tcPr>
            <w:tcW w:w="363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后备保护电流定值误差</w:t>
            </w:r>
          </w:p>
        </w:tc>
        <w:tc>
          <w:tcPr>
            <w:tcW w:w="1036"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p>
        </w:tc>
        <w:tc>
          <w:tcPr>
            <w:tcW w:w="218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不超过±5%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Borders>
              <w:top w:val="single" w:color="auto" w:sz="4" w:space="0"/>
              <w:left w:val="single" w:color="auto" w:sz="8" w:space="0"/>
              <w:bottom w:val="single" w:color="auto" w:sz="4" w:space="0"/>
              <w:right w:val="single" w:color="auto" w:sz="4" w:space="0"/>
            </w:tcBorders>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5</w:t>
            </w:r>
          </w:p>
        </w:tc>
        <w:tc>
          <w:tcPr>
            <w:tcW w:w="363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后备保护电压定值误差</w:t>
            </w:r>
          </w:p>
        </w:tc>
        <w:tc>
          <w:tcPr>
            <w:tcW w:w="1036"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p>
        </w:tc>
        <w:tc>
          <w:tcPr>
            <w:tcW w:w="218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不超过±5%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Borders>
              <w:top w:val="single" w:color="auto" w:sz="4" w:space="0"/>
              <w:left w:val="single" w:color="auto" w:sz="8" w:space="0"/>
              <w:bottom w:val="single" w:color="auto" w:sz="4" w:space="0"/>
              <w:right w:val="single" w:color="auto" w:sz="4" w:space="0"/>
            </w:tcBorders>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6</w:t>
            </w:r>
          </w:p>
        </w:tc>
        <w:tc>
          <w:tcPr>
            <w:tcW w:w="363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后备保护时间定值误差</w:t>
            </w:r>
          </w:p>
        </w:tc>
        <w:tc>
          <w:tcPr>
            <w:tcW w:w="1036"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p>
        </w:tc>
        <w:tc>
          <w:tcPr>
            <w:tcW w:w="218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当延时时间为0.1s~1s时，不应超过±25ms；延时时间大于1s时，不超过±2.5%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9" w:hRule="atLeast"/>
        </w:trPr>
        <w:tc>
          <w:tcPr>
            <w:tcW w:w="564" w:type="dxa"/>
            <w:tcBorders>
              <w:top w:val="single" w:color="auto" w:sz="4" w:space="0"/>
              <w:left w:val="single" w:color="auto" w:sz="8" w:space="0"/>
              <w:bottom w:val="single" w:color="auto" w:sz="4" w:space="0"/>
              <w:right w:val="single" w:color="auto" w:sz="4" w:space="0"/>
            </w:tcBorders>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7</w:t>
            </w:r>
          </w:p>
        </w:tc>
        <w:tc>
          <w:tcPr>
            <w:tcW w:w="363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后备保护方向元件动作范围边界误差</w:t>
            </w:r>
          </w:p>
        </w:tc>
        <w:tc>
          <w:tcPr>
            <w:tcW w:w="1036"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p>
        </w:tc>
        <w:tc>
          <w:tcPr>
            <w:tcW w:w="2183" w:type="dxa"/>
            <w:tcBorders>
              <w:top w:val="single" w:color="auto" w:sz="4" w:space="0"/>
              <w:left w:val="single" w:color="auto" w:sz="4" w:space="0"/>
              <w:bottom w:val="single" w:color="auto" w:sz="4" w:space="0"/>
              <w:right w:val="single" w:color="auto" w:sz="4" w:space="0"/>
            </w:tcBorders>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不超过±3</w:t>
            </w:r>
            <w:r>
              <w:rPr>
                <w:rFonts w:hAnsi="Times New Roman"/>
                <w:color w:val="auto"/>
                <w:kern w:val="2"/>
                <w:highlight w:val="none"/>
              </w:rPr>
              <w:sym w:font="Symbol" w:char="F0B0"/>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8</w:t>
            </w:r>
          </w:p>
        </w:tc>
        <w:tc>
          <w:tcPr>
            <w:tcW w:w="363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测量电流、电压量误差</w:t>
            </w:r>
          </w:p>
        </w:tc>
        <w:tc>
          <w:tcPr>
            <w:tcW w:w="1036"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p>
        </w:tc>
        <w:tc>
          <w:tcPr>
            <w:tcW w:w="218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9</w:t>
            </w:r>
          </w:p>
        </w:tc>
        <w:tc>
          <w:tcPr>
            <w:tcW w:w="363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有功功率、无功功率测量误差</w:t>
            </w:r>
          </w:p>
        </w:tc>
        <w:tc>
          <w:tcPr>
            <w:tcW w:w="1036"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p>
        </w:tc>
        <w:tc>
          <w:tcPr>
            <w:tcW w:w="218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10</w:t>
            </w:r>
          </w:p>
        </w:tc>
        <w:tc>
          <w:tcPr>
            <w:tcW w:w="363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电网频率测量误差</w:t>
            </w:r>
          </w:p>
        </w:tc>
        <w:tc>
          <w:tcPr>
            <w:tcW w:w="1036"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Hz</w:t>
            </w:r>
          </w:p>
        </w:tc>
        <w:tc>
          <w:tcPr>
            <w:tcW w:w="218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≤0.01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11</w:t>
            </w:r>
          </w:p>
        </w:tc>
        <w:tc>
          <w:tcPr>
            <w:tcW w:w="363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事件顺序记录（SOE）分辨率</w:t>
            </w:r>
          </w:p>
        </w:tc>
        <w:tc>
          <w:tcPr>
            <w:tcW w:w="1036"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ms</w:t>
            </w:r>
          </w:p>
        </w:tc>
        <w:tc>
          <w:tcPr>
            <w:tcW w:w="218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12</w:t>
            </w:r>
          </w:p>
        </w:tc>
        <w:tc>
          <w:tcPr>
            <w:tcW w:w="363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状态量变位传送时间（至站控层）</w:t>
            </w:r>
          </w:p>
        </w:tc>
        <w:tc>
          <w:tcPr>
            <w:tcW w:w="1036"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s</w:t>
            </w:r>
          </w:p>
        </w:tc>
        <w:tc>
          <w:tcPr>
            <w:tcW w:w="218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top w:w="45" w:type="dxa"/>
              <w:left w:w="0" w:type="dxa"/>
              <w:bottom w:w="45" w:type="dxa"/>
              <w:right w:w="0" w:type="dxa"/>
            </w:tcMar>
            <w:vAlign w:val="center"/>
          </w:tcPr>
          <w:p>
            <w:pPr>
              <w:adjustRightInd w:val="0"/>
              <w:snapToGrid w:val="0"/>
              <w:jc w:val="center"/>
              <w:rPr>
                <w:b/>
                <w:color w:val="auto"/>
                <w:sz w:val="18"/>
                <w:szCs w:val="18"/>
                <w:highlight w:val="none"/>
              </w:rPr>
            </w:pPr>
            <w:r>
              <w:rPr>
                <w:b/>
                <w:color w:val="auto"/>
                <w:sz w:val="18"/>
                <w:szCs w:val="18"/>
                <w:highlight w:val="none"/>
              </w:rPr>
              <w:t>13</w:t>
            </w:r>
          </w:p>
        </w:tc>
        <w:tc>
          <w:tcPr>
            <w:tcW w:w="363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控制执行命令从生成到输出的时间</w:t>
            </w:r>
          </w:p>
        </w:tc>
        <w:tc>
          <w:tcPr>
            <w:tcW w:w="1036"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s</w:t>
            </w:r>
          </w:p>
        </w:tc>
        <w:tc>
          <w:tcPr>
            <w:tcW w:w="2183" w:type="dxa"/>
            <w:tcMar>
              <w:top w:w="45" w:type="dxa"/>
              <w:left w:w="0" w:type="dxa"/>
              <w:bottom w:w="45" w:type="dxa"/>
              <w:right w:w="0" w:type="dxa"/>
            </w:tcMar>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≤1</w:t>
            </w:r>
          </w:p>
        </w:tc>
      </w:tr>
    </w:tbl>
    <w:p>
      <w:pPr>
        <w:adjustRightInd w:val="0"/>
        <w:snapToGrid w:val="0"/>
        <w:spacing w:line="360" w:lineRule="auto"/>
        <w:rPr>
          <w:rFonts w:ascii="宋体"/>
          <w:color w:val="auto"/>
          <w:szCs w:val="21"/>
          <w:highlight w:val="none"/>
        </w:rPr>
      </w:pPr>
    </w:p>
    <w:p>
      <w:pPr>
        <w:adjustRightInd w:val="0"/>
        <w:snapToGrid w:val="0"/>
        <w:spacing w:line="360" w:lineRule="auto"/>
        <w:rPr>
          <w:rFonts w:ascii="宋体"/>
          <w:color w:val="auto"/>
          <w:szCs w:val="21"/>
          <w:highlight w:val="none"/>
        </w:rPr>
      </w:pPr>
      <w:r>
        <w:rPr>
          <w:rFonts w:hint="eastAsia" w:ascii="宋体"/>
          <w:color w:val="auto"/>
          <w:szCs w:val="21"/>
          <w:highlight w:val="none"/>
        </w:rPr>
        <w:t>3.1.1.</w:t>
      </w:r>
      <w:r>
        <w:rPr>
          <w:rFonts w:ascii="宋体"/>
          <w:color w:val="auto"/>
          <w:szCs w:val="21"/>
          <w:highlight w:val="none"/>
        </w:rPr>
        <w:t>2</w:t>
      </w:r>
      <w:r>
        <w:rPr>
          <w:rFonts w:hint="eastAsia" w:ascii="宋体"/>
          <w:color w:val="auto"/>
          <w:szCs w:val="21"/>
          <w:highlight w:val="none"/>
        </w:rPr>
        <w:t>主变保护技术要求</w:t>
      </w:r>
    </w:p>
    <w:p>
      <w:pPr>
        <w:adjustRightInd w:val="0"/>
        <w:snapToGrid w:val="0"/>
        <w:spacing w:line="360" w:lineRule="auto"/>
        <w:rPr>
          <w:rFonts w:hint="eastAsia" w:ascii="宋体"/>
          <w:color w:val="auto"/>
          <w:szCs w:val="21"/>
          <w:highlight w:val="none"/>
        </w:rPr>
      </w:pPr>
      <w:r>
        <w:rPr>
          <w:rFonts w:ascii="宋体"/>
          <w:color w:val="auto"/>
          <w:szCs w:val="21"/>
          <w:highlight w:val="none"/>
        </w:rPr>
        <w:t>3.1.1.2</w:t>
      </w:r>
      <w:r>
        <w:rPr>
          <w:rFonts w:hint="eastAsia" w:ascii="宋体"/>
          <w:color w:val="auto"/>
          <w:szCs w:val="21"/>
          <w:highlight w:val="none"/>
        </w:rPr>
        <w:t>.1  比率差动及差动速断保护，应满足工程中制动系数的要求，跳各侧开关，并提供3组同步接点输出。</w:t>
      </w:r>
    </w:p>
    <w:p>
      <w:pPr>
        <w:adjustRightInd w:val="0"/>
        <w:snapToGrid w:val="0"/>
        <w:spacing w:line="360" w:lineRule="auto"/>
        <w:rPr>
          <w:rFonts w:hint="eastAsia" w:ascii="宋体"/>
          <w:color w:val="auto"/>
          <w:szCs w:val="21"/>
          <w:highlight w:val="none"/>
        </w:rPr>
      </w:pPr>
      <w:r>
        <w:rPr>
          <w:rFonts w:ascii="宋体"/>
          <w:color w:val="auto"/>
          <w:szCs w:val="21"/>
          <w:highlight w:val="none"/>
        </w:rPr>
        <w:t>3.1.1.2</w:t>
      </w:r>
      <w:r>
        <w:rPr>
          <w:rFonts w:hint="eastAsia" w:ascii="宋体"/>
          <w:color w:val="auto"/>
          <w:szCs w:val="21"/>
          <w:highlight w:val="none"/>
        </w:rPr>
        <w:t>.</w:t>
      </w:r>
      <w:r>
        <w:rPr>
          <w:rFonts w:ascii="宋体"/>
          <w:color w:val="auto"/>
          <w:szCs w:val="21"/>
          <w:highlight w:val="none"/>
        </w:rPr>
        <w:t>2</w:t>
      </w:r>
      <w:r>
        <w:rPr>
          <w:rFonts w:hint="eastAsia" w:ascii="宋体"/>
          <w:color w:val="auto"/>
          <w:szCs w:val="21"/>
          <w:highlight w:val="none"/>
        </w:rPr>
        <w:t xml:space="preserve">  非电量保护：包括本体重瓦斯、本体轻瓦斯、有载调压重瓦斯、有载调压轻瓦斯、油温、油位异常、压力释放、冷却器全停等。非电量保护（除需经保护装置延时的信号外）直接起动装置跳闸回路，且保护动作应自动记录。并提供3组同步接点输出。</w:t>
      </w:r>
    </w:p>
    <w:p>
      <w:pPr>
        <w:adjustRightInd w:val="0"/>
        <w:snapToGrid w:val="0"/>
        <w:spacing w:line="360" w:lineRule="auto"/>
        <w:rPr>
          <w:rFonts w:hint="eastAsia" w:ascii="宋体"/>
          <w:color w:val="auto"/>
          <w:szCs w:val="21"/>
          <w:highlight w:val="none"/>
        </w:rPr>
      </w:pPr>
      <w:r>
        <w:rPr>
          <w:rFonts w:ascii="宋体"/>
          <w:color w:val="auto"/>
          <w:szCs w:val="21"/>
          <w:highlight w:val="none"/>
        </w:rPr>
        <w:t>3.1.1.2</w:t>
      </w:r>
      <w:r>
        <w:rPr>
          <w:rFonts w:hint="eastAsia" w:ascii="宋体"/>
          <w:color w:val="auto"/>
          <w:szCs w:val="21"/>
          <w:highlight w:val="none"/>
        </w:rPr>
        <w:t>.</w:t>
      </w:r>
      <w:r>
        <w:rPr>
          <w:rFonts w:ascii="宋体"/>
          <w:color w:val="auto"/>
          <w:szCs w:val="21"/>
          <w:highlight w:val="none"/>
        </w:rPr>
        <w:t>3</w:t>
      </w:r>
      <w:r>
        <w:rPr>
          <w:rFonts w:hint="eastAsia" w:ascii="宋体"/>
          <w:color w:val="auto"/>
          <w:szCs w:val="21"/>
          <w:highlight w:val="none"/>
        </w:rPr>
        <w:t xml:space="preserve">  高压侧复合电压闭锁过流保护,一段二时限。 </w:t>
      </w:r>
    </w:p>
    <w:p>
      <w:pPr>
        <w:adjustRightInd w:val="0"/>
        <w:snapToGrid w:val="0"/>
        <w:spacing w:line="360" w:lineRule="auto"/>
        <w:rPr>
          <w:rFonts w:hint="eastAsia" w:ascii="宋体"/>
          <w:color w:val="auto"/>
          <w:szCs w:val="21"/>
          <w:highlight w:val="none"/>
        </w:rPr>
      </w:pPr>
      <w:r>
        <w:rPr>
          <w:rFonts w:ascii="宋体"/>
          <w:color w:val="auto"/>
          <w:szCs w:val="21"/>
          <w:highlight w:val="none"/>
        </w:rPr>
        <w:t>3.1.1.2</w:t>
      </w:r>
      <w:r>
        <w:rPr>
          <w:rFonts w:hint="eastAsia" w:ascii="宋体"/>
          <w:color w:val="auto"/>
          <w:szCs w:val="21"/>
          <w:highlight w:val="none"/>
        </w:rPr>
        <w:t>.</w:t>
      </w:r>
      <w:r>
        <w:rPr>
          <w:rFonts w:ascii="宋体"/>
          <w:color w:val="auto"/>
          <w:szCs w:val="21"/>
          <w:highlight w:val="none"/>
        </w:rPr>
        <w:t>4</w:t>
      </w:r>
      <w:r>
        <w:rPr>
          <w:rFonts w:hint="eastAsia" w:ascii="宋体"/>
          <w:color w:val="auto"/>
          <w:szCs w:val="21"/>
          <w:highlight w:val="none"/>
        </w:rPr>
        <w:t xml:space="preserve">  高压侧间隙零流、零压保护,一段二时限。</w:t>
      </w:r>
    </w:p>
    <w:p>
      <w:pPr>
        <w:adjustRightInd w:val="0"/>
        <w:snapToGrid w:val="0"/>
        <w:spacing w:line="360" w:lineRule="auto"/>
        <w:rPr>
          <w:rFonts w:hint="eastAsia" w:ascii="宋体"/>
          <w:color w:val="auto"/>
          <w:szCs w:val="21"/>
          <w:highlight w:val="none"/>
        </w:rPr>
      </w:pPr>
      <w:r>
        <w:rPr>
          <w:rFonts w:ascii="宋体"/>
          <w:color w:val="auto"/>
          <w:szCs w:val="21"/>
          <w:highlight w:val="none"/>
        </w:rPr>
        <w:t>3.1.1.2</w:t>
      </w:r>
      <w:r>
        <w:rPr>
          <w:rFonts w:hint="eastAsia" w:ascii="宋体"/>
          <w:color w:val="auto"/>
          <w:szCs w:val="21"/>
          <w:highlight w:val="none"/>
        </w:rPr>
        <w:t>.</w:t>
      </w:r>
      <w:r>
        <w:rPr>
          <w:rFonts w:ascii="宋体"/>
          <w:color w:val="auto"/>
          <w:szCs w:val="21"/>
          <w:highlight w:val="none"/>
        </w:rPr>
        <w:t>5</w:t>
      </w:r>
      <w:r>
        <w:rPr>
          <w:rFonts w:hint="eastAsia" w:ascii="宋体"/>
          <w:color w:val="auto"/>
          <w:szCs w:val="21"/>
          <w:highlight w:val="none"/>
        </w:rPr>
        <w:t xml:space="preserve">  高压侧中性点零流方向保护,一段二时限。</w:t>
      </w:r>
    </w:p>
    <w:p>
      <w:pPr>
        <w:adjustRightInd w:val="0"/>
        <w:snapToGrid w:val="0"/>
        <w:spacing w:line="360" w:lineRule="auto"/>
        <w:rPr>
          <w:rFonts w:hint="eastAsia" w:ascii="宋体"/>
          <w:color w:val="auto"/>
          <w:szCs w:val="21"/>
          <w:highlight w:val="none"/>
        </w:rPr>
      </w:pPr>
      <w:r>
        <w:rPr>
          <w:rFonts w:ascii="宋体"/>
          <w:color w:val="auto"/>
          <w:szCs w:val="21"/>
          <w:highlight w:val="none"/>
        </w:rPr>
        <w:t>3.1.1.2</w:t>
      </w:r>
      <w:r>
        <w:rPr>
          <w:rFonts w:hint="eastAsia" w:ascii="宋体"/>
          <w:color w:val="auto"/>
          <w:szCs w:val="21"/>
          <w:highlight w:val="none"/>
        </w:rPr>
        <w:t>.</w:t>
      </w:r>
      <w:r>
        <w:rPr>
          <w:rFonts w:ascii="宋体"/>
          <w:color w:val="auto"/>
          <w:szCs w:val="21"/>
          <w:highlight w:val="none"/>
        </w:rPr>
        <w:t>6</w:t>
      </w:r>
      <w:r>
        <w:rPr>
          <w:rFonts w:hint="eastAsia" w:ascii="宋体"/>
          <w:color w:val="auto"/>
          <w:szCs w:val="21"/>
          <w:highlight w:val="none"/>
        </w:rPr>
        <w:t xml:space="preserve">  低压侧复合电压闭锁过流保护,一段三时限,第三时限跳闸同时并闭锁备自投。</w:t>
      </w:r>
    </w:p>
    <w:p>
      <w:pPr>
        <w:adjustRightInd w:val="0"/>
        <w:snapToGrid w:val="0"/>
        <w:spacing w:line="360" w:lineRule="auto"/>
        <w:rPr>
          <w:rFonts w:hint="eastAsia" w:ascii="宋体"/>
          <w:color w:val="auto"/>
          <w:szCs w:val="21"/>
          <w:highlight w:val="none"/>
        </w:rPr>
      </w:pPr>
      <w:r>
        <w:rPr>
          <w:rFonts w:ascii="宋体"/>
          <w:color w:val="auto"/>
          <w:szCs w:val="21"/>
          <w:highlight w:val="none"/>
        </w:rPr>
        <w:t>3.1.1.2</w:t>
      </w:r>
      <w:r>
        <w:rPr>
          <w:rFonts w:hint="eastAsia" w:ascii="宋体"/>
          <w:color w:val="auto"/>
          <w:szCs w:val="21"/>
          <w:highlight w:val="none"/>
        </w:rPr>
        <w:t>.</w:t>
      </w:r>
      <w:r>
        <w:rPr>
          <w:rFonts w:ascii="宋体"/>
          <w:color w:val="auto"/>
          <w:szCs w:val="21"/>
          <w:highlight w:val="none"/>
        </w:rPr>
        <w:t>7</w:t>
      </w:r>
      <w:r>
        <w:rPr>
          <w:rFonts w:hint="eastAsia" w:ascii="宋体"/>
          <w:color w:val="auto"/>
          <w:szCs w:val="21"/>
          <w:highlight w:val="none"/>
        </w:rPr>
        <w:t xml:space="preserve">  低压侧系统采用电阻接地时，配置零序过流保护，设三段，每段一时限。</w:t>
      </w:r>
    </w:p>
    <w:p>
      <w:pPr>
        <w:adjustRightInd w:val="0"/>
        <w:snapToGrid w:val="0"/>
        <w:spacing w:line="360" w:lineRule="auto"/>
        <w:rPr>
          <w:rFonts w:hint="eastAsia" w:ascii="宋体"/>
          <w:color w:val="auto"/>
          <w:szCs w:val="21"/>
          <w:highlight w:val="none"/>
        </w:rPr>
      </w:pPr>
      <w:r>
        <w:rPr>
          <w:rFonts w:ascii="宋体"/>
          <w:color w:val="auto"/>
          <w:szCs w:val="21"/>
          <w:highlight w:val="none"/>
        </w:rPr>
        <w:t>3.1.1.2</w:t>
      </w:r>
      <w:r>
        <w:rPr>
          <w:rFonts w:hint="eastAsia" w:ascii="宋体"/>
          <w:color w:val="auto"/>
          <w:szCs w:val="21"/>
          <w:highlight w:val="none"/>
        </w:rPr>
        <w:t>.</w:t>
      </w:r>
      <w:r>
        <w:rPr>
          <w:rFonts w:ascii="宋体"/>
          <w:color w:val="auto"/>
          <w:szCs w:val="21"/>
          <w:highlight w:val="none"/>
        </w:rPr>
        <w:t>8</w:t>
      </w:r>
      <w:r>
        <w:rPr>
          <w:rFonts w:hint="eastAsia" w:ascii="宋体"/>
          <w:color w:val="auto"/>
          <w:szCs w:val="21"/>
          <w:highlight w:val="none"/>
        </w:rPr>
        <w:t xml:space="preserve">  高压侧过负荷发信，过流闭锁有载调压，启动风冷保护。</w:t>
      </w:r>
    </w:p>
    <w:p>
      <w:pPr>
        <w:adjustRightInd w:val="0"/>
        <w:snapToGrid w:val="0"/>
        <w:spacing w:line="360" w:lineRule="auto"/>
        <w:rPr>
          <w:rFonts w:ascii="宋体" w:cs="新宋体"/>
          <w:bCs/>
          <w:color w:val="auto"/>
          <w:szCs w:val="21"/>
          <w:highlight w:val="none"/>
        </w:rPr>
      </w:pPr>
      <w:r>
        <w:rPr>
          <w:rFonts w:hint="eastAsia" w:ascii="宋体"/>
          <w:color w:val="auto"/>
          <w:szCs w:val="21"/>
          <w:highlight w:val="none"/>
        </w:rPr>
        <w:t xml:space="preserve">3.1.2 </w:t>
      </w:r>
      <w:r>
        <w:rPr>
          <w:rFonts w:hint="eastAsia" w:ascii="宋体" w:cs="新宋体"/>
          <w:bCs/>
          <w:color w:val="auto"/>
          <w:szCs w:val="21"/>
          <w:highlight w:val="none"/>
        </w:rPr>
        <w:t>110KV线路保护测控装置技术参数及要求</w:t>
      </w:r>
    </w:p>
    <w:p>
      <w:pPr>
        <w:adjustRightInd w:val="0"/>
        <w:snapToGrid w:val="0"/>
        <w:spacing w:line="360" w:lineRule="auto"/>
        <w:rPr>
          <w:rFonts w:hint="eastAsia" w:ascii="宋体"/>
          <w:color w:val="auto"/>
          <w:szCs w:val="21"/>
          <w:highlight w:val="none"/>
        </w:rPr>
      </w:pPr>
      <w:r>
        <w:rPr>
          <w:rFonts w:hint="eastAsia" w:ascii="宋体"/>
          <w:color w:val="auto"/>
          <w:szCs w:val="21"/>
          <w:highlight w:val="none"/>
        </w:rPr>
        <w:t>3.1.</w:t>
      </w:r>
      <w:r>
        <w:rPr>
          <w:rFonts w:ascii="宋体"/>
          <w:color w:val="auto"/>
          <w:szCs w:val="21"/>
          <w:highlight w:val="none"/>
        </w:rPr>
        <w:t>2.</w:t>
      </w:r>
      <w:r>
        <w:rPr>
          <w:rFonts w:hint="eastAsia" w:ascii="宋体"/>
          <w:color w:val="auto"/>
          <w:szCs w:val="21"/>
          <w:highlight w:val="none"/>
        </w:rPr>
        <w:t>1 110kV线路保护测控技术参数</w:t>
      </w:r>
    </w:p>
    <w:tbl>
      <w:tblPr>
        <w:tblStyle w:val="16"/>
        <w:tblW w:w="81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2699"/>
        <w:gridCol w:w="709"/>
        <w:gridCol w:w="4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trPr>
        <w:tc>
          <w:tcPr>
            <w:tcW w:w="528"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序号</w:t>
            </w:r>
          </w:p>
        </w:tc>
        <w:tc>
          <w:tcPr>
            <w:tcW w:w="269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参数名称</w:t>
            </w:r>
          </w:p>
        </w:tc>
        <w:tc>
          <w:tcPr>
            <w:tcW w:w="709" w:type="dxa"/>
            <w:vAlign w:val="center"/>
          </w:tcPr>
          <w:p>
            <w:pPr>
              <w:snapToGrid w:val="0"/>
              <w:spacing w:before="62" w:beforeLines="20" w:after="62" w:afterLines="20"/>
              <w:jc w:val="center"/>
              <w:rPr>
                <w:color w:val="auto"/>
                <w:sz w:val="18"/>
                <w:szCs w:val="18"/>
                <w:highlight w:val="none"/>
              </w:rPr>
            </w:pPr>
            <w:r>
              <w:rPr>
                <w:rFonts w:hAnsi="宋体"/>
                <w:color w:val="auto"/>
                <w:sz w:val="18"/>
                <w:szCs w:val="18"/>
                <w:highlight w:val="none"/>
              </w:rPr>
              <w:t>单位</w:t>
            </w:r>
          </w:p>
        </w:tc>
        <w:tc>
          <w:tcPr>
            <w:tcW w:w="4165" w:type="dxa"/>
            <w:vAlign w:val="center"/>
          </w:tcPr>
          <w:p>
            <w:pPr>
              <w:snapToGrid w:val="0"/>
              <w:spacing w:before="62" w:beforeLines="20" w:after="62" w:afterLines="20"/>
              <w:jc w:val="center"/>
              <w:rPr>
                <w:rFonts w:hint="eastAsia"/>
                <w:color w:val="auto"/>
                <w:sz w:val="18"/>
                <w:szCs w:val="18"/>
                <w:highlight w:val="none"/>
              </w:rPr>
            </w:pPr>
            <w:r>
              <w:rPr>
                <w:rFonts w:hint="eastAsia" w:hAnsi="宋体"/>
                <w:color w:val="auto"/>
                <w:sz w:val="18"/>
                <w:szCs w:val="18"/>
                <w:highlight w:val="none"/>
              </w:rPr>
              <w:t>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jc w:val="center"/>
              <w:rPr>
                <w:rFonts w:hint="eastAsia"/>
                <w:color w:val="auto"/>
                <w:sz w:val="18"/>
                <w:szCs w:val="18"/>
                <w:highlight w:val="none"/>
              </w:rPr>
            </w:pPr>
            <w:r>
              <w:rPr>
                <w:rFonts w:hint="eastAsia"/>
                <w:color w:val="auto"/>
                <w:sz w:val="18"/>
                <w:szCs w:val="18"/>
                <w:highlight w:val="none"/>
              </w:rPr>
              <w:t>1</w:t>
            </w:r>
          </w:p>
        </w:tc>
        <w:tc>
          <w:tcPr>
            <w:tcW w:w="2699" w:type="dxa"/>
            <w:vAlign w:val="center"/>
          </w:tcPr>
          <w:p>
            <w:pPr>
              <w:pStyle w:val="7"/>
              <w:snapToGrid w:val="0"/>
              <w:spacing w:before="62" w:beforeLines="20" w:after="62" w:afterLines="20"/>
              <w:jc w:val="center"/>
              <w:rPr>
                <w:color w:val="auto"/>
                <w:highlight w:val="none"/>
              </w:rPr>
            </w:pPr>
            <w:r>
              <w:rPr>
                <w:rFonts w:hint="eastAsia" w:hAnsi="宋体"/>
                <w:color w:val="auto"/>
                <w:highlight w:val="none"/>
              </w:rPr>
              <w:t>电流精工范围</w:t>
            </w:r>
          </w:p>
        </w:tc>
        <w:tc>
          <w:tcPr>
            <w:tcW w:w="709" w:type="dxa"/>
            <w:vAlign w:val="center"/>
          </w:tcPr>
          <w:p>
            <w:pPr>
              <w:pStyle w:val="7"/>
              <w:snapToGrid w:val="0"/>
              <w:spacing w:before="62" w:beforeLines="20" w:after="62" w:afterLines="20"/>
              <w:jc w:val="center"/>
              <w:rPr>
                <w:rFonts w:hint="eastAsia"/>
                <w:color w:val="auto"/>
                <w:highlight w:val="none"/>
              </w:rPr>
            </w:pPr>
          </w:p>
        </w:tc>
        <w:tc>
          <w:tcPr>
            <w:tcW w:w="4165" w:type="dxa"/>
            <w:vAlign w:val="center"/>
          </w:tcPr>
          <w:p>
            <w:pPr>
              <w:snapToGrid w:val="0"/>
              <w:spacing w:before="62" w:beforeLines="20" w:after="62" w:afterLines="20"/>
              <w:jc w:val="center"/>
              <w:rPr>
                <w:rFonts w:hint="eastAsia" w:ascii="宋体" w:hAnsi="宋体"/>
                <w:color w:val="auto"/>
                <w:sz w:val="18"/>
                <w:szCs w:val="18"/>
                <w:highlight w:val="none"/>
              </w:rPr>
            </w:pPr>
            <w:r>
              <w:rPr>
                <w:rFonts w:hint="eastAsia" w:ascii="宋体" w:hAnsi="宋体"/>
                <w:color w:val="auto"/>
                <w:sz w:val="18"/>
                <w:szCs w:val="18"/>
                <w:highlight w:val="none"/>
              </w:rPr>
              <w:t>测量范围下限为0.05 In，上限为20In～40 In，在电流为0.05 In～（20 In～40In）时，测量误差≤5%（相对误差）或0.02 In（绝对误差），但在0.05 In以下范围用户应能整定并使用，实际故障电流超过电流上限（20 In～40In）时，保护装置不误动不拒动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jc w:val="center"/>
              <w:rPr>
                <w:rFonts w:hint="eastAsia"/>
                <w:color w:val="auto"/>
                <w:sz w:val="18"/>
                <w:szCs w:val="18"/>
                <w:highlight w:val="none"/>
              </w:rPr>
            </w:pPr>
            <w:r>
              <w:rPr>
                <w:rFonts w:hint="eastAsia"/>
                <w:color w:val="auto"/>
                <w:sz w:val="18"/>
                <w:szCs w:val="18"/>
                <w:highlight w:val="none"/>
              </w:rPr>
              <w:t>2</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hAnsi="宋体"/>
                <w:color w:val="auto"/>
                <w:highlight w:val="none"/>
              </w:rPr>
              <w:t>电压精工范围</w:t>
            </w:r>
          </w:p>
        </w:tc>
        <w:tc>
          <w:tcPr>
            <w:tcW w:w="70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V</w:t>
            </w:r>
          </w:p>
        </w:tc>
        <w:tc>
          <w:tcPr>
            <w:tcW w:w="4165" w:type="dxa"/>
            <w:vAlign w:val="center"/>
          </w:tcPr>
          <w:p>
            <w:pPr>
              <w:snapToGrid w:val="0"/>
              <w:spacing w:before="62" w:beforeLines="20" w:after="62" w:afterLines="20"/>
              <w:jc w:val="center"/>
              <w:rPr>
                <w:rFonts w:hint="eastAsia" w:ascii="宋体" w:hAnsi="宋体"/>
                <w:color w:val="auto"/>
                <w:sz w:val="18"/>
                <w:szCs w:val="18"/>
                <w:highlight w:val="none"/>
              </w:rPr>
            </w:pPr>
            <w:r>
              <w:rPr>
                <w:rFonts w:hint="eastAsia"/>
                <w:color w:val="auto"/>
                <w:sz w:val="18"/>
                <w:szCs w:val="18"/>
                <w:highlight w:val="none"/>
              </w:rPr>
              <w:t>0.01Un</w:t>
            </w:r>
            <w:r>
              <w:rPr>
                <w:color w:val="auto"/>
                <w:sz w:val="18"/>
                <w:szCs w:val="18"/>
                <w:highlight w:val="none"/>
              </w:rPr>
              <w:t>—</w:t>
            </w:r>
            <w:r>
              <w:rPr>
                <w:rFonts w:hint="eastAsia"/>
                <w:color w:val="auto"/>
                <w:sz w:val="18"/>
                <w:szCs w:val="18"/>
                <w:highlight w:val="none"/>
              </w:rPr>
              <w:t>1.1Un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3</w:t>
            </w:r>
          </w:p>
        </w:tc>
        <w:tc>
          <w:tcPr>
            <w:tcW w:w="2699" w:type="dxa"/>
            <w:vAlign w:val="center"/>
          </w:tcPr>
          <w:p>
            <w:pPr>
              <w:pStyle w:val="7"/>
              <w:snapToGrid w:val="0"/>
              <w:spacing w:before="62" w:beforeLines="20" w:after="62" w:afterLines="20"/>
              <w:jc w:val="center"/>
              <w:rPr>
                <w:rFonts w:hint="eastAsia" w:hAnsi="宋体"/>
                <w:color w:val="auto"/>
                <w:highlight w:val="none"/>
              </w:rPr>
            </w:pPr>
            <w:r>
              <w:rPr>
                <w:rFonts w:hint="eastAsia"/>
                <w:color w:val="auto"/>
                <w:highlight w:val="none"/>
              </w:rPr>
              <w:t>距离I段暂态超越</w:t>
            </w:r>
          </w:p>
        </w:tc>
        <w:tc>
          <w:tcPr>
            <w:tcW w:w="709" w:type="dxa"/>
            <w:vAlign w:val="center"/>
          </w:tcPr>
          <w:p>
            <w:pPr>
              <w:pStyle w:val="7"/>
              <w:snapToGrid w:val="0"/>
              <w:spacing w:before="62" w:beforeLines="20" w:after="62" w:afterLines="20"/>
              <w:jc w:val="center"/>
              <w:rPr>
                <w:rFonts w:hint="eastAsia"/>
                <w:color w:val="auto"/>
                <w:highlight w:val="none"/>
              </w:rPr>
            </w:pPr>
          </w:p>
        </w:tc>
        <w:tc>
          <w:tcPr>
            <w:tcW w:w="4165"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4</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相间距离I段动作时间</w:t>
            </w:r>
          </w:p>
        </w:tc>
        <w:tc>
          <w:tcPr>
            <w:tcW w:w="70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ms</w:t>
            </w:r>
          </w:p>
        </w:tc>
        <w:tc>
          <w:tcPr>
            <w:tcW w:w="4165"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不大于30ms（0.7倍整定值）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5</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接地距离I段动作时间</w:t>
            </w:r>
          </w:p>
        </w:tc>
        <w:tc>
          <w:tcPr>
            <w:tcW w:w="70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ms</w:t>
            </w:r>
          </w:p>
        </w:tc>
        <w:tc>
          <w:tcPr>
            <w:tcW w:w="4165"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不大于30ms（0.7倍整定值）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6</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零序过流I段动作时间</w:t>
            </w:r>
          </w:p>
        </w:tc>
        <w:tc>
          <w:tcPr>
            <w:tcW w:w="70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ms</w:t>
            </w:r>
          </w:p>
        </w:tc>
        <w:tc>
          <w:tcPr>
            <w:tcW w:w="4165"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不大于25ms（1.2倍整定值）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7</w:t>
            </w:r>
          </w:p>
        </w:tc>
        <w:tc>
          <w:tcPr>
            <w:tcW w:w="2699" w:type="dxa"/>
            <w:vAlign w:val="center"/>
          </w:tcPr>
          <w:p>
            <w:pPr>
              <w:jc w:val="center"/>
              <w:rPr>
                <w:rFonts w:hint="eastAsia" w:hAnsi="宋体"/>
                <w:color w:val="auto"/>
                <w:sz w:val="18"/>
                <w:szCs w:val="18"/>
                <w:highlight w:val="none"/>
              </w:rPr>
            </w:pPr>
            <w:r>
              <w:rPr>
                <w:rFonts w:hint="eastAsia"/>
                <w:color w:val="auto"/>
                <w:sz w:val="18"/>
                <w:szCs w:val="18"/>
                <w:highlight w:val="none"/>
              </w:rPr>
              <w:t>整组动作时间</w:t>
            </w:r>
          </w:p>
        </w:tc>
        <w:tc>
          <w:tcPr>
            <w:tcW w:w="70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ms</w:t>
            </w:r>
          </w:p>
        </w:tc>
        <w:tc>
          <w:tcPr>
            <w:tcW w:w="4165" w:type="dxa"/>
            <w:vAlign w:val="center"/>
          </w:tcPr>
          <w:p>
            <w:pPr>
              <w:jc w:val="center"/>
              <w:rPr>
                <w:rFonts w:hint="eastAsia"/>
                <w:color w:val="auto"/>
                <w:sz w:val="18"/>
                <w:szCs w:val="18"/>
                <w:highlight w:val="none"/>
              </w:rPr>
            </w:pPr>
            <w:r>
              <w:rPr>
                <w:rFonts w:hint="eastAsia"/>
                <w:color w:val="auto"/>
                <w:sz w:val="18"/>
                <w:szCs w:val="18"/>
                <w:highlight w:val="none"/>
              </w:rPr>
              <w:t>近端故障不大于20ms；</w:t>
            </w:r>
          </w:p>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远端故障不大于30ms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8</w:t>
            </w:r>
          </w:p>
        </w:tc>
        <w:tc>
          <w:tcPr>
            <w:tcW w:w="2699" w:type="dxa"/>
            <w:vAlign w:val="center"/>
          </w:tcPr>
          <w:p>
            <w:pPr>
              <w:jc w:val="center"/>
              <w:rPr>
                <w:rFonts w:hint="eastAsia"/>
                <w:color w:val="auto"/>
                <w:sz w:val="18"/>
                <w:szCs w:val="18"/>
                <w:highlight w:val="none"/>
              </w:rPr>
            </w:pPr>
            <w:r>
              <w:rPr>
                <w:rFonts w:hint="eastAsia"/>
                <w:color w:val="auto"/>
                <w:sz w:val="18"/>
                <w:szCs w:val="18"/>
                <w:highlight w:val="none"/>
              </w:rPr>
              <w:t>交流电流回路过载能力</w:t>
            </w:r>
          </w:p>
        </w:tc>
        <w:tc>
          <w:tcPr>
            <w:tcW w:w="709" w:type="dxa"/>
            <w:vAlign w:val="center"/>
          </w:tcPr>
          <w:p>
            <w:pPr>
              <w:pStyle w:val="7"/>
              <w:snapToGrid w:val="0"/>
              <w:spacing w:before="62" w:beforeLines="20" w:after="62" w:afterLines="20"/>
              <w:jc w:val="center"/>
              <w:rPr>
                <w:rFonts w:hint="eastAsia"/>
                <w:color w:val="auto"/>
                <w:highlight w:val="none"/>
              </w:rPr>
            </w:pPr>
          </w:p>
        </w:tc>
        <w:tc>
          <w:tcPr>
            <w:tcW w:w="4165" w:type="dxa"/>
            <w:vAlign w:val="center"/>
          </w:tcPr>
          <w:p>
            <w:pPr>
              <w:snapToGrid w:val="0"/>
              <w:spacing w:before="62" w:beforeLines="20" w:after="62" w:afterLines="20"/>
              <w:jc w:val="center"/>
              <w:rPr>
                <w:rFonts w:hint="eastAsia"/>
                <w:color w:val="auto"/>
                <w:sz w:val="18"/>
                <w:szCs w:val="18"/>
                <w:highlight w:val="none"/>
              </w:rPr>
            </w:pPr>
            <w:r>
              <w:rPr>
                <w:rFonts w:hint="eastAsia"/>
                <w:color w:val="auto"/>
                <w:sz w:val="18"/>
                <w:szCs w:val="18"/>
                <w:highlight w:val="none"/>
              </w:rPr>
              <w:t>2 In，连续工作；10 In，10s；40 In，1s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9</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hAnsi="宋体"/>
                <w:color w:val="auto"/>
                <w:highlight w:val="none"/>
              </w:rPr>
              <w:t>交流电压回路过载能力</w:t>
            </w:r>
          </w:p>
        </w:tc>
        <w:tc>
          <w:tcPr>
            <w:tcW w:w="709" w:type="dxa"/>
            <w:vAlign w:val="center"/>
          </w:tcPr>
          <w:p>
            <w:pPr>
              <w:snapToGrid w:val="0"/>
              <w:jc w:val="center"/>
              <w:rPr>
                <w:rFonts w:hint="eastAsia"/>
                <w:color w:val="auto"/>
                <w:sz w:val="18"/>
                <w:szCs w:val="18"/>
                <w:highlight w:val="none"/>
              </w:rPr>
            </w:pPr>
          </w:p>
        </w:tc>
        <w:tc>
          <w:tcPr>
            <w:tcW w:w="4165" w:type="dxa"/>
            <w:vAlign w:val="center"/>
          </w:tcPr>
          <w:p>
            <w:pPr>
              <w:jc w:val="center"/>
              <w:rPr>
                <w:rFonts w:hint="eastAsia"/>
                <w:color w:val="auto"/>
                <w:sz w:val="18"/>
                <w:szCs w:val="18"/>
                <w:highlight w:val="none"/>
              </w:rPr>
            </w:pPr>
            <w:r>
              <w:rPr>
                <w:rFonts w:hint="eastAsia"/>
                <w:color w:val="auto"/>
                <w:sz w:val="18"/>
                <w:szCs w:val="18"/>
                <w:highlight w:val="none"/>
              </w:rPr>
              <w:t>1.2 In，连续工作；1.4 In，10s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10</w:t>
            </w:r>
          </w:p>
        </w:tc>
        <w:tc>
          <w:tcPr>
            <w:tcW w:w="2699" w:type="dxa"/>
            <w:vAlign w:val="center"/>
          </w:tcPr>
          <w:p>
            <w:pPr>
              <w:pStyle w:val="7"/>
              <w:snapToGrid w:val="0"/>
              <w:spacing w:before="62" w:beforeLines="20" w:after="62" w:afterLines="20"/>
              <w:jc w:val="center"/>
              <w:rPr>
                <w:color w:val="auto"/>
                <w:highlight w:val="none"/>
              </w:rPr>
            </w:pPr>
            <w:r>
              <w:rPr>
                <w:rFonts w:hint="eastAsia"/>
                <w:color w:val="auto"/>
                <w:highlight w:val="none"/>
              </w:rPr>
              <w:t>交流电压回路功率损耗（每相）</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VA</w:t>
            </w:r>
          </w:p>
        </w:tc>
        <w:tc>
          <w:tcPr>
            <w:tcW w:w="4165" w:type="dxa"/>
            <w:vAlign w:val="center"/>
          </w:tcPr>
          <w:p>
            <w:pPr>
              <w:jc w:val="center"/>
              <w:rPr>
                <w:rFonts w:hint="eastAsia"/>
                <w:color w:val="auto"/>
                <w:sz w:val="18"/>
                <w:szCs w:val="18"/>
                <w:highlight w:val="none"/>
              </w:rPr>
            </w:pPr>
            <w:r>
              <w:rPr>
                <w:rFonts w:hint="eastAsia" w:ascii="宋体" w:hAnsi="宋体"/>
                <w:color w:val="auto"/>
                <w:sz w:val="18"/>
                <w:szCs w:val="18"/>
                <w:highlight w:val="none"/>
              </w:rPr>
              <w:t>≤1VA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tabs>
                <w:tab w:val="center" w:pos="286"/>
              </w:tabs>
              <w:snapToGrid w:val="0"/>
              <w:jc w:val="center"/>
              <w:rPr>
                <w:rFonts w:hint="eastAsia"/>
                <w:color w:val="auto"/>
                <w:sz w:val="18"/>
                <w:szCs w:val="18"/>
                <w:highlight w:val="none"/>
              </w:rPr>
            </w:pPr>
            <w:r>
              <w:rPr>
                <w:rFonts w:hint="eastAsia"/>
                <w:color w:val="auto"/>
                <w:sz w:val="18"/>
                <w:szCs w:val="18"/>
                <w:highlight w:val="none"/>
              </w:rPr>
              <w:t>11</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交流电流回路功率损耗（每相）</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VA</w:t>
            </w:r>
          </w:p>
        </w:tc>
        <w:tc>
          <w:tcPr>
            <w:tcW w:w="4165" w:type="dxa"/>
            <w:vAlign w:val="center"/>
          </w:tcPr>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≤0.5VA(In=1A)</w:t>
            </w:r>
          </w:p>
          <w:p>
            <w:pPr>
              <w:snapToGrid w:val="0"/>
              <w:jc w:val="center"/>
              <w:rPr>
                <w:rFonts w:hint="eastAsia"/>
                <w:color w:val="auto"/>
                <w:sz w:val="18"/>
                <w:szCs w:val="18"/>
                <w:highlight w:val="none"/>
              </w:rPr>
            </w:pPr>
            <w:r>
              <w:rPr>
                <w:rFonts w:hint="eastAsia" w:ascii="宋体" w:hAnsi="宋体"/>
                <w:color w:val="auto"/>
                <w:sz w:val="18"/>
                <w:szCs w:val="18"/>
                <w:highlight w:val="none"/>
              </w:rPr>
              <w:t>≤1VA（In=5A）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12</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装置直流消耗</w:t>
            </w:r>
          </w:p>
        </w:tc>
        <w:tc>
          <w:tcPr>
            <w:tcW w:w="709" w:type="dxa"/>
            <w:vAlign w:val="center"/>
          </w:tcPr>
          <w:p>
            <w:pPr>
              <w:snapToGrid w:val="0"/>
              <w:jc w:val="center"/>
              <w:rPr>
                <w:rFonts w:hint="eastAsia"/>
                <w:color w:val="auto"/>
                <w:sz w:val="18"/>
                <w:szCs w:val="18"/>
                <w:highlight w:val="none"/>
              </w:rPr>
            </w:pPr>
            <w:r>
              <w:rPr>
                <w:rFonts w:hint="eastAsia"/>
                <w:color w:val="auto"/>
                <w:sz w:val="18"/>
                <w:szCs w:val="18"/>
                <w:highlight w:val="none"/>
              </w:rPr>
              <w:t>W</w:t>
            </w:r>
          </w:p>
        </w:tc>
        <w:tc>
          <w:tcPr>
            <w:tcW w:w="4165" w:type="dxa"/>
            <w:vAlign w:val="center"/>
          </w:tcPr>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≤30W(工作时)</w:t>
            </w:r>
          </w:p>
          <w:p>
            <w:pPr>
              <w:snapToGrid w:val="0"/>
              <w:jc w:val="center"/>
              <w:rPr>
                <w:color w:val="auto"/>
                <w:sz w:val="18"/>
                <w:szCs w:val="18"/>
                <w:highlight w:val="none"/>
              </w:rPr>
            </w:pPr>
            <w:r>
              <w:rPr>
                <w:rFonts w:hint="eastAsia" w:ascii="宋体" w:hAnsi="宋体"/>
                <w:color w:val="auto"/>
                <w:sz w:val="18"/>
                <w:szCs w:val="18"/>
                <w:highlight w:val="none"/>
              </w:rPr>
              <w:t>≤50W（动作时）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13</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跳闸触点容量</w:t>
            </w:r>
          </w:p>
        </w:tc>
        <w:tc>
          <w:tcPr>
            <w:tcW w:w="709" w:type="dxa"/>
            <w:vAlign w:val="center"/>
          </w:tcPr>
          <w:p>
            <w:pPr>
              <w:snapToGrid w:val="0"/>
              <w:jc w:val="center"/>
              <w:rPr>
                <w:rFonts w:hint="eastAsia"/>
                <w:color w:val="auto"/>
                <w:sz w:val="18"/>
                <w:szCs w:val="18"/>
                <w:highlight w:val="none"/>
              </w:rPr>
            </w:pPr>
          </w:p>
        </w:tc>
        <w:tc>
          <w:tcPr>
            <w:tcW w:w="4165" w:type="dxa"/>
            <w:vAlign w:val="center"/>
          </w:tcPr>
          <w:p>
            <w:pPr>
              <w:jc w:val="center"/>
              <w:rPr>
                <w:rFonts w:hint="eastAsia"/>
                <w:color w:val="auto"/>
                <w:sz w:val="18"/>
                <w:szCs w:val="18"/>
                <w:highlight w:val="none"/>
              </w:rPr>
            </w:pPr>
            <w:r>
              <w:rPr>
                <w:rFonts w:hint="eastAsia"/>
                <w:color w:val="auto"/>
                <w:sz w:val="18"/>
                <w:szCs w:val="18"/>
                <w:highlight w:val="none"/>
              </w:rPr>
              <w:t>长期允许通过电流不小于</w:t>
            </w:r>
            <w:r>
              <w:rPr>
                <w:color w:val="auto"/>
                <w:sz w:val="18"/>
                <w:szCs w:val="18"/>
                <w:highlight w:val="none"/>
              </w:rPr>
              <w:t>5A</w:t>
            </w:r>
            <w:r>
              <w:rPr>
                <w:rFonts w:hint="eastAsia"/>
                <w:color w:val="auto"/>
                <w:sz w:val="18"/>
                <w:szCs w:val="18"/>
                <w:highlight w:val="none"/>
              </w:rPr>
              <w:t>；</w:t>
            </w:r>
          </w:p>
          <w:p>
            <w:pPr>
              <w:snapToGrid w:val="0"/>
              <w:jc w:val="center"/>
              <w:rPr>
                <w:rFonts w:hint="eastAsia" w:ascii="宋体" w:hAnsi="宋体"/>
                <w:color w:val="auto"/>
                <w:sz w:val="18"/>
                <w:szCs w:val="18"/>
                <w:highlight w:val="none"/>
              </w:rPr>
            </w:pPr>
            <w:r>
              <w:rPr>
                <w:rFonts w:hint="eastAsia"/>
                <w:color w:val="auto"/>
                <w:sz w:val="18"/>
                <w:szCs w:val="18"/>
                <w:highlight w:val="none"/>
              </w:rPr>
              <w:t>触点断开容量为不小于</w:t>
            </w:r>
            <w:r>
              <w:rPr>
                <w:color w:val="auto"/>
                <w:sz w:val="18"/>
                <w:szCs w:val="18"/>
                <w:highlight w:val="none"/>
              </w:rPr>
              <w:t>50W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14</w:t>
            </w:r>
          </w:p>
        </w:tc>
        <w:tc>
          <w:tcPr>
            <w:tcW w:w="2699" w:type="dxa"/>
            <w:vAlign w:val="center"/>
          </w:tcPr>
          <w:p>
            <w:pPr>
              <w:pStyle w:val="7"/>
              <w:snapToGrid w:val="0"/>
              <w:spacing w:before="62" w:beforeLines="20" w:after="62" w:afterLines="20"/>
              <w:jc w:val="center"/>
              <w:rPr>
                <w:rFonts w:hint="eastAsia"/>
                <w:color w:val="auto"/>
                <w:highlight w:val="none"/>
              </w:rPr>
            </w:pPr>
            <w:r>
              <w:rPr>
                <w:rFonts w:hint="eastAsia"/>
                <w:color w:val="auto"/>
                <w:highlight w:val="none"/>
              </w:rPr>
              <w:t>其它触点容量</w:t>
            </w:r>
          </w:p>
        </w:tc>
        <w:tc>
          <w:tcPr>
            <w:tcW w:w="709" w:type="dxa"/>
            <w:vAlign w:val="center"/>
          </w:tcPr>
          <w:p>
            <w:pPr>
              <w:snapToGrid w:val="0"/>
              <w:jc w:val="center"/>
              <w:rPr>
                <w:rFonts w:hint="eastAsia"/>
                <w:color w:val="auto"/>
                <w:sz w:val="18"/>
                <w:szCs w:val="18"/>
                <w:highlight w:val="none"/>
              </w:rPr>
            </w:pPr>
          </w:p>
        </w:tc>
        <w:tc>
          <w:tcPr>
            <w:tcW w:w="4165" w:type="dxa"/>
            <w:vAlign w:val="center"/>
          </w:tcPr>
          <w:p>
            <w:pPr>
              <w:jc w:val="center"/>
              <w:rPr>
                <w:rFonts w:hint="eastAsia"/>
                <w:color w:val="auto"/>
                <w:sz w:val="18"/>
                <w:szCs w:val="18"/>
                <w:highlight w:val="none"/>
              </w:rPr>
            </w:pPr>
            <w:r>
              <w:rPr>
                <w:rFonts w:hint="eastAsia"/>
                <w:color w:val="auto"/>
                <w:sz w:val="18"/>
                <w:szCs w:val="18"/>
                <w:highlight w:val="none"/>
              </w:rPr>
              <w:t>长期允许通过电流不小于2</w:t>
            </w:r>
            <w:r>
              <w:rPr>
                <w:color w:val="auto"/>
                <w:sz w:val="18"/>
                <w:szCs w:val="18"/>
                <w:highlight w:val="none"/>
              </w:rPr>
              <w:t>A</w:t>
            </w:r>
            <w:r>
              <w:rPr>
                <w:rFonts w:hint="eastAsia"/>
                <w:color w:val="auto"/>
                <w:sz w:val="18"/>
                <w:szCs w:val="18"/>
                <w:highlight w:val="none"/>
              </w:rPr>
              <w:t>；</w:t>
            </w:r>
          </w:p>
          <w:p>
            <w:pPr>
              <w:snapToGrid w:val="0"/>
              <w:jc w:val="center"/>
              <w:rPr>
                <w:rFonts w:hint="eastAsia" w:ascii="宋体" w:hAnsi="宋体"/>
                <w:color w:val="auto"/>
                <w:sz w:val="18"/>
                <w:szCs w:val="18"/>
                <w:highlight w:val="none"/>
              </w:rPr>
            </w:pPr>
            <w:r>
              <w:rPr>
                <w:rFonts w:hint="eastAsia"/>
                <w:color w:val="auto"/>
                <w:sz w:val="18"/>
                <w:szCs w:val="18"/>
                <w:highlight w:val="none"/>
              </w:rPr>
              <w:t>触点断开容量为不小于</w:t>
            </w:r>
            <w:r>
              <w:rPr>
                <w:color w:val="auto"/>
                <w:sz w:val="18"/>
                <w:szCs w:val="18"/>
                <w:highlight w:val="none"/>
              </w:rPr>
              <w:t>30W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w:t>
            </w:r>
            <w:r>
              <w:rPr>
                <w:color w:val="auto"/>
                <w:sz w:val="18"/>
                <w:szCs w:val="18"/>
                <w:highlight w:val="none"/>
              </w:rPr>
              <w:t>5</w:t>
            </w:r>
          </w:p>
        </w:tc>
        <w:tc>
          <w:tcPr>
            <w:tcW w:w="2699"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测量电流、电压量误差</w:t>
            </w:r>
          </w:p>
        </w:tc>
        <w:tc>
          <w:tcPr>
            <w:tcW w:w="709" w:type="dxa"/>
            <w:vAlign w:val="center"/>
          </w:tcPr>
          <w:p>
            <w:pPr>
              <w:pStyle w:val="18"/>
              <w:adjustRightInd w:val="0"/>
              <w:ind w:firstLine="0" w:firstLineChars="0"/>
              <w:rPr>
                <w:rFonts w:hAnsi="Times New Roman"/>
                <w:color w:val="auto"/>
                <w:kern w:val="2"/>
                <w:highlight w:val="none"/>
              </w:rPr>
            </w:pPr>
          </w:p>
        </w:tc>
        <w:tc>
          <w:tcPr>
            <w:tcW w:w="4165"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w:t>
            </w:r>
            <w:r>
              <w:rPr>
                <w:color w:val="auto"/>
                <w:sz w:val="18"/>
                <w:szCs w:val="18"/>
                <w:highlight w:val="none"/>
              </w:rPr>
              <w:t>6</w:t>
            </w:r>
          </w:p>
        </w:tc>
        <w:tc>
          <w:tcPr>
            <w:tcW w:w="2699"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有功功率、无功功率测量误差</w:t>
            </w:r>
          </w:p>
        </w:tc>
        <w:tc>
          <w:tcPr>
            <w:tcW w:w="709" w:type="dxa"/>
            <w:vAlign w:val="center"/>
          </w:tcPr>
          <w:p>
            <w:pPr>
              <w:pStyle w:val="18"/>
              <w:adjustRightInd w:val="0"/>
              <w:ind w:firstLine="0" w:firstLineChars="0"/>
              <w:rPr>
                <w:rFonts w:hAnsi="Times New Roman"/>
                <w:color w:val="auto"/>
                <w:kern w:val="2"/>
                <w:highlight w:val="none"/>
              </w:rPr>
            </w:pPr>
          </w:p>
        </w:tc>
        <w:tc>
          <w:tcPr>
            <w:tcW w:w="4165"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w:t>
            </w:r>
            <w:r>
              <w:rPr>
                <w:color w:val="auto"/>
                <w:sz w:val="18"/>
                <w:szCs w:val="18"/>
                <w:highlight w:val="none"/>
              </w:rPr>
              <w:t>7</w:t>
            </w:r>
          </w:p>
        </w:tc>
        <w:tc>
          <w:tcPr>
            <w:tcW w:w="2699"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电网频率测量误差</w:t>
            </w:r>
          </w:p>
        </w:tc>
        <w:tc>
          <w:tcPr>
            <w:tcW w:w="709"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Hz</w:t>
            </w:r>
          </w:p>
        </w:tc>
        <w:tc>
          <w:tcPr>
            <w:tcW w:w="4165"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w:t>
            </w:r>
            <w:r>
              <w:rPr>
                <w:color w:val="auto"/>
                <w:sz w:val="18"/>
                <w:szCs w:val="18"/>
                <w:highlight w:val="none"/>
              </w:rPr>
              <w:t>8</w:t>
            </w:r>
          </w:p>
        </w:tc>
        <w:tc>
          <w:tcPr>
            <w:tcW w:w="2699"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事件顺序记录（SOE）分辨率</w:t>
            </w:r>
          </w:p>
        </w:tc>
        <w:tc>
          <w:tcPr>
            <w:tcW w:w="709"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ms</w:t>
            </w:r>
          </w:p>
        </w:tc>
        <w:tc>
          <w:tcPr>
            <w:tcW w:w="4165"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1</w:t>
            </w:r>
            <w:r>
              <w:rPr>
                <w:color w:val="auto"/>
                <w:sz w:val="18"/>
                <w:szCs w:val="18"/>
                <w:highlight w:val="none"/>
              </w:rPr>
              <w:t>9</w:t>
            </w:r>
          </w:p>
        </w:tc>
        <w:tc>
          <w:tcPr>
            <w:tcW w:w="2699"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状态量变位传送时间（至站控层）</w:t>
            </w:r>
          </w:p>
        </w:tc>
        <w:tc>
          <w:tcPr>
            <w:tcW w:w="709"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s</w:t>
            </w:r>
          </w:p>
        </w:tc>
        <w:tc>
          <w:tcPr>
            <w:tcW w:w="4165"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40" w:hRule="atLeast"/>
        </w:trPr>
        <w:tc>
          <w:tcPr>
            <w:tcW w:w="528" w:type="dxa"/>
            <w:vAlign w:val="center"/>
          </w:tcPr>
          <w:p>
            <w:pPr>
              <w:snapToGrid w:val="0"/>
              <w:jc w:val="center"/>
              <w:rPr>
                <w:rFonts w:hint="eastAsia"/>
                <w:color w:val="auto"/>
                <w:sz w:val="18"/>
                <w:szCs w:val="18"/>
                <w:highlight w:val="none"/>
              </w:rPr>
            </w:pPr>
            <w:r>
              <w:rPr>
                <w:rFonts w:hint="eastAsia"/>
                <w:color w:val="auto"/>
                <w:sz w:val="18"/>
                <w:szCs w:val="18"/>
                <w:highlight w:val="none"/>
              </w:rPr>
              <w:t>2</w:t>
            </w:r>
            <w:r>
              <w:rPr>
                <w:color w:val="auto"/>
                <w:sz w:val="18"/>
                <w:szCs w:val="18"/>
                <w:highlight w:val="none"/>
              </w:rPr>
              <w:t>0</w:t>
            </w:r>
          </w:p>
        </w:tc>
        <w:tc>
          <w:tcPr>
            <w:tcW w:w="2699"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控制执行命令从生成到输出的时间</w:t>
            </w:r>
          </w:p>
        </w:tc>
        <w:tc>
          <w:tcPr>
            <w:tcW w:w="709"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s</w:t>
            </w:r>
          </w:p>
        </w:tc>
        <w:tc>
          <w:tcPr>
            <w:tcW w:w="4165" w:type="dxa"/>
            <w:vAlign w:val="center"/>
          </w:tcPr>
          <w:p>
            <w:pPr>
              <w:pStyle w:val="18"/>
              <w:adjustRightInd w:val="0"/>
              <w:ind w:firstLine="0" w:firstLineChars="0"/>
              <w:rPr>
                <w:rFonts w:hAnsi="Times New Roman"/>
                <w:color w:val="auto"/>
                <w:kern w:val="2"/>
                <w:highlight w:val="none"/>
              </w:rPr>
            </w:pPr>
            <w:r>
              <w:rPr>
                <w:rFonts w:hAnsi="Times New Roman"/>
                <w:color w:val="auto"/>
                <w:kern w:val="2"/>
                <w:highlight w:val="none"/>
              </w:rPr>
              <w:t>≤1</w:t>
            </w:r>
          </w:p>
        </w:tc>
      </w:tr>
    </w:tbl>
    <w:p>
      <w:pPr>
        <w:adjustRightInd w:val="0"/>
        <w:spacing w:before="156" w:beforeLines="50" w:line="360" w:lineRule="auto"/>
        <w:rPr>
          <w:rFonts w:hint="eastAsia" w:ascii="宋体" w:cs="新宋体"/>
          <w:bCs/>
          <w:color w:val="auto"/>
          <w:szCs w:val="21"/>
          <w:highlight w:val="none"/>
        </w:rPr>
      </w:pPr>
      <w:r>
        <w:rPr>
          <w:rFonts w:hint="eastAsia" w:ascii="宋体" w:cs="新宋体"/>
          <w:bCs/>
          <w:color w:val="auto"/>
          <w:szCs w:val="21"/>
          <w:highlight w:val="none"/>
        </w:rPr>
        <w:t>3.</w:t>
      </w:r>
      <w:r>
        <w:rPr>
          <w:rFonts w:ascii="宋体" w:cs="新宋体"/>
          <w:bCs/>
          <w:color w:val="auto"/>
          <w:szCs w:val="21"/>
          <w:highlight w:val="none"/>
        </w:rPr>
        <w:t>1.2.</w:t>
      </w:r>
      <w:r>
        <w:rPr>
          <w:rFonts w:hint="eastAsia" w:ascii="宋体" w:cs="新宋体"/>
          <w:bCs/>
          <w:color w:val="auto"/>
          <w:szCs w:val="21"/>
          <w:highlight w:val="none"/>
        </w:rPr>
        <w:t>2线路保护技术要求</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.1 110kV线路应配置一套线路保护，每套保护均具有完整的后备保护。</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.2 110kV线路保护均应含三相一次重合闸功能。重合闸可实现三重和停用方式。</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.3 110kV线路保护设有三段相间和接地距离、四段零序方向过流和三段相电流过流保护。</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 xml:space="preserve">.4 </w:t>
      </w:r>
      <w:r>
        <w:rPr>
          <w:rFonts w:ascii="宋体"/>
          <w:color w:val="auto"/>
          <w:szCs w:val="21"/>
          <w:highlight w:val="none"/>
        </w:rPr>
        <w:t>装置含</w:t>
      </w:r>
      <w:r>
        <w:rPr>
          <w:rFonts w:hint="eastAsia" w:ascii="宋体"/>
          <w:color w:val="auto"/>
          <w:szCs w:val="21"/>
          <w:highlight w:val="none"/>
        </w:rPr>
        <w:t>操作箱及电压切换回路。</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w:t>
      </w:r>
      <w:r>
        <w:rPr>
          <w:rFonts w:ascii="宋体"/>
          <w:color w:val="auto"/>
          <w:szCs w:val="21"/>
          <w:highlight w:val="none"/>
        </w:rPr>
        <w:t xml:space="preserve">5 </w:t>
      </w:r>
      <w:r>
        <w:rPr>
          <w:rFonts w:hint="eastAsia" w:ascii="宋体"/>
          <w:color w:val="auto"/>
          <w:szCs w:val="21"/>
          <w:highlight w:val="none"/>
        </w:rPr>
        <w:t>线路两侧保护、远方跳闸保护选型应一致，主保护的软件版本与硬件应完全一致。</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w:t>
      </w:r>
      <w:r>
        <w:rPr>
          <w:rFonts w:ascii="宋体"/>
          <w:color w:val="auto"/>
          <w:szCs w:val="21"/>
          <w:highlight w:val="none"/>
        </w:rPr>
        <w:t>6</w:t>
      </w:r>
      <w:r>
        <w:rPr>
          <w:rFonts w:hint="eastAsia" w:ascii="宋体"/>
          <w:color w:val="auto"/>
          <w:szCs w:val="21"/>
          <w:highlight w:val="none"/>
        </w:rPr>
        <w:t>在空载、轻载、满载等各种工况下，在线路保护范围内发生金属性和非金属性（不大于100Ω）的各种故障时，线路保护应能正确动作。系统无故障、外部故障、故障转换、功率突然倒向以及系统操作等情况下保护不应误动。</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w:t>
      </w:r>
      <w:r>
        <w:rPr>
          <w:rFonts w:ascii="宋体"/>
          <w:color w:val="auto"/>
          <w:szCs w:val="21"/>
          <w:highlight w:val="none"/>
        </w:rPr>
        <w:t>7</w:t>
      </w:r>
      <w:r>
        <w:rPr>
          <w:rFonts w:hint="eastAsia" w:ascii="宋体"/>
          <w:color w:val="auto"/>
          <w:szCs w:val="21"/>
          <w:highlight w:val="none"/>
        </w:rPr>
        <w:t>线路保护装置需考虑线路分布电容、变压器（励磁涌流）等所产生的暂态及稳态过程的谐波分量和直流分量的影响，有抑制这些分量的措施。</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w:t>
      </w:r>
      <w:r>
        <w:rPr>
          <w:rFonts w:ascii="宋体"/>
          <w:color w:val="auto"/>
          <w:szCs w:val="21"/>
          <w:highlight w:val="none"/>
        </w:rPr>
        <w:t>8</w:t>
      </w:r>
      <w:r>
        <w:rPr>
          <w:rFonts w:hint="eastAsia" w:ascii="宋体"/>
          <w:color w:val="auto"/>
          <w:szCs w:val="21"/>
          <w:highlight w:val="none"/>
        </w:rPr>
        <w:t>每一套线路保护都应自身带有故障录波、测距及事件记录功能，并能提供相应的远方通讯和分析软件。</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w:t>
      </w:r>
      <w:r>
        <w:rPr>
          <w:rFonts w:ascii="宋体"/>
          <w:color w:val="auto"/>
          <w:szCs w:val="21"/>
          <w:highlight w:val="none"/>
        </w:rPr>
        <w:t>9</w:t>
      </w:r>
      <w:r>
        <w:rPr>
          <w:rFonts w:hint="eastAsia" w:ascii="宋体"/>
          <w:color w:val="auto"/>
          <w:szCs w:val="21"/>
          <w:highlight w:val="none"/>
        </w:rPr>
        <w:t>手动合闸或重合于故障线路上时，保护应能可靠瞬时三相跳闸。手动合闸或重合于无故障线路时应可靠不动作。</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w:t>
      </w:r>
      <w:r>
        <w:rPr>
          <w:rFonts w:ascii="宋体"/>
          <w:color w:val="auto"/>
          <w:szCs w:val="21"/>
          <w:highlight w:val="none"/>
        </w:rPr>
        <w:t>10</w:t>
      </w:r>
      <w:r>
        <w:rPr>
          <w:rFonts w:hint="eastAsia" w:ascii="宋体"/>
          <w:color w:val="auto"/>
          <w:szCs w:val="21"/>
          <w:highlight w:val="none"/>
        </w:rPr>
        <w:t>保护装置应保证出口对称三相短路时可靠动作，同时应保证正方向故障及反方向出口经小电阻故障时动作的正确性。</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w:t>
      </w:r>
      <w:r>
        <w:rPr>
          <w:rFonts w:ascii="宋体"/>
          <w:color w:val="auto"/>
          <w:szCs w:val="21"/>
          <w:highlight w:val="none"/>
        </w:rPr>
        <w:t>11</w:t>
      </w:r>
      <w:r>
        <w:rPr>
          <w:rFonts w:hint="eastAsia" w:ascii="宋体"/>
          <w:color w:val="auto"/>
          <w:szCs w:val="21"/>
          <w:highlight w:val="none"/>
        </w:rPr>
        <w:t>保护装置在各种工作环境下（包括就地下放的环境），应能耐受雷击过电压、一次回路操作、开关场故障及其它强电磁干扰作用，不应误动或拒动。</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w:t>
      </w:r>
      <w:r>
        <w:rPr>
          <w:rFonts w:ascii="宋体"/>
          <w:color w:val="auto"/>
          <w:szCs w:val="21"/>
          <w:highlight w:val="none"/>
        </w:rPr>
        <w:t>12</w:t>
      </w:r>
      <w:r>
        <w:rPr>
          <w:rFonts w:hint="eastAsia" w:ascii="宋体"/>
          <w:color w:val="auto"/>
          <w:szCs w:val="21"/>
          <w:highlight w:val="none"/>
        </w:rPr>
        <w:t>保护装置在电压二次回路断线(包括三相断线)或短路时应闭锁有可能误动的保护，并发出告警信号；保护装置在电流二次回路断线时应能发出告警信号，并可选择允许保护跳闸。</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w:t>
      </w:r>
      <w:r>
        <w:rPr>
          <w:rFonts w:ascii="宋体"/>
          <w:color w:val="auto"/>
          <w:szCs w:val="21"/>
          <w:highlight w:val="none"/>
        </w:rPr>
        <w:t>13</w:t>
      </w:r>
      <w:r>
        <w:rPr>
          <w:rFonts w:hint="eastAsia" w:ascii="宋体"/>
          <w:color w:val="auto"/>
          <w:szCs w:val="21"/>
          <w:highlight w:val="none"/>
        </w:rPr>
        <w:t>重合闸装置起动后应能延时自动复归，重合闸应具有停用或闭锁（断路器低气压、重合闸装置故障、重合闸被其他保护闭锁等）回路。</w:t>
      </w:r>
    </w:p>
    <w:p>
      <w:pPr>
        <w:adjustRightInd w:val="0"/>
        <w:snapToGrid w:val="0"/>
        <w:spacing w:line="360" w:lineRule="auto"/>
        <w:rPr>
          <w:rFonts w:hint="eastAsia" w:ascii="宋体"/>
          <w:color w:val="auto"/>
          <w:szCs w:val="21"/>
          <w:highlight w:val="none"/>
        </w:rPr>
      </w:pPr>
      <w:r>
        <w:rPr>
          <w:rFonts w:ascii="宋体"/>
          <w:color w:val="auto"/>
          <w:szCs w:val="21"/>
          <w:highlight w:val="none"/>
        </w:rPr>
        <w:t>3.1.2.2</w:t>
      </w:r>
      <w:r>
        <w:rPr>
          <w:rFonts w:hint="eastAsia" w:ascii="宋体"/>
          <w:color w:val="auto"/>
          <w:szCs w:val="21"/>
          <w:highlight w:val="none"/>
        </w:rPr>
        <w:t>.</w:t>
      </w:r>
      <w:r>
        <w:rPr>
          <w:rFonts w:ascii="宋体"/>
          <w:color w:val="auto"/>
          <w:szCs w:val="21"/>
          <w:highlight w:val="none"/>
        </w:rPr>
        <w:t>14</w:t>
      </w:r>
      <w:r>
        <w:rPr>
          <w:rFonts w:hint="eastAsia" w:ascii="宋体"/>
          <w:color w:val="auto"/>
          <w:szCs w:val="21"/>
          <w:highlight w:val="none"/>
        </w:rPr>
        <w:t>保护装置应具有对时功能，推荐采用RS-485 串行数据通信接口接收时间同步系统发出的IRIG-B（DC）时码作为对时信号源。保护应具备通信管理功能，与计算机监控系统和保护及故障信息管理子站系统通信，通信规约采用IEC6</w:t>
      </w:r>
      <w:r>
        <w:rPr>
          <w:rFonts w:ascii="宋体"/>
          <w:color w:val="auto"/>
          <w:szCs w:val="21"/>
          <w:highlight w:val="none"/>
        </w:rPr>
        <w:t>1850</w:t>
      </w:r>
      <w:r>
        <w:rPr>
          <w:rFonts w:hint="eastAsia" w:ascii="宋体"/>
          <w:color w:val="auto"/>
          <w:szCs w:val="21"/>
          <w:highlight w:val="none"/>
        </w:rPr>
        <w:t>或1</w:t>
      </w:r>
      <w:r>
        <w:rPr>
          <w:rFonts w:ascii="宋体"/>
          <w:color w:val="auto"/>
          <w:szCs w:val="21"/>
          <w:highlight w:val="none"/>
        </w:rPr>
        <w:t>03</w:t>
      </w:r>
      <w:r>
        <w:rPr>
          <w:rFonts w:hint="eastAsia" w:ascii="宋体"/>
          <w:color w:val="auto"/>
          <w:szCs w:val="21"/>
          <w:highlight w:val="none"/>
        </w:rPr>
        <w:t>，接口采用以太网或RS-485 串口。</w:t>
      </w:r>
    </w:p>
    <w:p>
      <w:pPr>
        <w:adjustRightInd w:val="0"/>
        <w:snapToGrid w:val="0"/>
        <w:spacing w:line="360" w:lineRule="auto"/>
        <w:rPr>
          <w:rFonts w:ascii="宋体"/>
          <w:color w:val="auto"/>
          <w:szCs w:val="21"/>
          <w:highlight w:val="none"/>
        </w:rPr>
      </w:pPr>
      <w:r>
        <w:rPr>
          <w:rFonts w:ascii="宋体"/>
          <w:color w:val="auto"/>
          <w:szCs w:val="21"/>
          <w:highlight w:val="none"/>
        </w:rPr>
        <w:t>3.1.2.2</w:t>
      </w:r>
      <w:r>
        <w:rPr>
          <w:rFonts w:hint="eastAsia" w:ascii="宋体"/>
          <w:color w:val="auto"/>
          <w:szCs w:val="21"/>
          <w:highlight w:val="none"/>
        </w:rPr>
        <w:t>.</w:t>
      </w:r>
      <w:r>
        <w:rPr>
          <w:rFonts w:ascii="宋体"/>
          <w:color w:val="auto"/>
          <w:szCs w:val="21"/>
          <w:highlight w:val="none"/>
        </w:rPr>
        <w:t>15</w:t>
      </w:r>
      <w:r>
        <w:rPr>
          <w:rFonts w:hint="eastAsia" w:ascii="宋体"/>
          <w:color w:val="auto"/>
          <w:szCs w:val="21"/>
          <w:highlight w:val="none"/>
        </w:rPr>
        <w:t>为便于调试，保护装置上应设置打印机接口。</w:t>
      </w:r>
    </w:p>
    <w:p>
      <w:pPr>
        <w:adjustRightInd w:val="0"/>
        <w:snapToGrid w:val="0"/>
        <w:spacing w:line="360" w:lineRule="auto"/>
        <w:rPr>
          <w:rFonts w:ascii="宋体" w:cs="新宋体"/>
          <w:bCs/>
          <w:color w:val="auto"/>
          <w:szCs w:val="21"/>
          <w:highlight w:val="none"/>
        </w:rPr>
      </w:pPr>
      <w:r>
        <w:rPr>
          <w:rFonts w:hint="eastAsia" w:ascii="宋体"/>
          <w:color w:val="auto"/>
          <w:szCs w:val="21"/>
          <w:highlight w:val="none"/>
        </w:rPr>
        <w:t>3.1.3</w:t>
      </w:r>
      <w:r>
        <w:rPr>
          <w:rFonts w:hint="eastAsia" w:ascii="宋体" w:cs="新宋体"/>
          <w:bCs/>
          <w:color w:val="auto"/>
          <w:szCs w:val="21"/>
          <w:highlight w:val="none"/>
        </w:rPr>
        <w:t>后台系统技术参数及要求</w:t>
      </w:r>
    </w:p>
    <w:tbl>
      <w:tblPr>
        <w:tblStyle w:val="16"/>
        <w:tblW w:w="8213" w:type="dxa"/>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99"/>
        <w:gridCol w:w="1372"/>
        <w:gridCol w:w="3011"/>
        <w:gridCol w:w="532"/>
        <w:gridCol w:w="27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blHeader/>
        </w:trPr>
        <w:tc>
          <w:tcPr>
            <w:tcW w:w="4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序号</w:t>
            </w:r>
          </w:p>
        </w:tc>
        <w:tc>
          <w:tcPr>
            <w:tcW w:w="4383"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参  数  名  称</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单位</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参数值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w:t>
            </w:r>
          </w:p>
        </w:tc>
        <w:tc>
          <w:tcPr>
            <w:tcW w:w="4383" w:type="dxa"/>
            <w:gridSpan w:val="2"/>
            <w:tcMar>
              <w:left w:w="0" w:type="dxa"/>
              <w:right w:w="0" w:type="dxa"/>
            </w:tcMar>
            <w:vAlign w:val="center"/>
          </w:tcPr>
          <w:p>
            <w:pPr>
              <w:pStyle w:val="7"/>
              <w:overflowPunct w:val="0"/>
              <w:topLinePunct/>
              <w:snapToGrid w:val="0"/>
              <w:ind w:left="42" w:leftChars="20" w:right="42" w:rightChars="20" w:firstLine="180" w:firstLineChars="100"/>
              <w:rPr>
                <w:color w:val="auto"/>
                <w:highlight w:val="none"/>
              </w:rPr>
            </w:pPr>
            <w:r>
              <w:rPr>
                <w:color w:val="auto"/>
                <w:highlight w:val="none"/>
              </w:rPr>
              <w:t>电流量、电压量测量误差</w:t>
            </w:r>
          </w:p>
        </w:tc>
        <w:tc>
          <w:tcPr>
            <w:tcW w:w="532" w:type="dxa"/>
            <w:tcMar>
              <w:left w:w="0" w:type="dxa"/>
              <w:right w:w="0" w:type="dxa"/>
            </w:tcMar>
            <w:vAlign w:val="center"/>
          </w:tcPr>
          <w:p>
            <w:pPr>
              <w:pStyle w:val="7"/>
              <w:overflowPunct w:val="0"/>
              <w:topLinePunct/>
              <w:snapToGrid w:val="0"/>
              <w:jc w:val="center"/>
              <w:rPr>
                <w:color w:val="auto"/>
                <w:highlight w:val="none"/>
              </w:rPr>
            </w:pPr>
            <w:r>
              <w:rPr>
                <w:color w:val="auto"/>
                <w:highlight w:val="none"/>
              </w:rPr>
              <w:t>％</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tabs>
                <w:tab w:val="center" w:pos="286"/>
              </w:tabs>
              <w:overflowPunct w:val="0"/>
              <w:topLinePunct/>
              <w:snapToGrid w:val="0"/>
              <w:jc w:val="center"/>
              <w:rPr>
                <w:color w:val="auto"/>
                <w:sz w:val="18"/>
                <w:szCs w:val="18"/>
                <w:highlight w:val="none"/>
              </w:rPr>
            </w:pPr>
            <w:r>
              <w:rPr>
                <w:color w:val="auto"/>
                <w:sz w:val="18"/>
                <w:szCs w:val="18"/>
                <w:highlight w:val="none"/>
              </w:rPr>
              <w:t>2</w:t>
            </w:r>
          </w:p>
        </w:tc>
        <w:tc>
          <w:tcPr>
            <w:tcW w:w="4383" w:type="dxa"/>
            <w:gridSpan w:val="2"/>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有功功率、无功功率测量误差</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3</w:t>
            </w:r>
          </w:p>
        </w:tc>
        <w:tc>
          <w:tcPr>
            <w:tcW w:w="4383" w:type="dxa"/>
            <w:gridSpan w:val="2"/>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电网频率测量误差</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Hz</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≤0.01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4</w:t>
            </w:r>
          </w:p>
        </w:tc>
        <w:tc>
          <w:tcPr>
            <w:tcW w:w="4383" w:type="dxa"/>
            <w:gridSpan w:val="2"/>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模拟量越死区传送整定最小值</w:t>
            </w:r>
          </w:p>
        </w:tc>
        <w:tc>
          <w:tcPr>
            <w:tcW w:w="532" w:type="dxa"/>
            <w:tcMar>
              <w:left w:w="0" w:type="dxa"/>
              <w:right w:w="0" w:type="dxa"/>
            </w:tcMar>
            <w:vAlign w:val="center"/>
          </w:tcPr>
          <w:p>
            <w:pPr>
              <w:overflowPunct w:val="0"/>
              <w:topLinePunct/>
              <w:snapToGrid w:val="0"/>
              <w:jc w:val="center"/>
              <w:rPr>
                <w:color w:val="auto"/>
                <w:sz w:val="18"/>
                <w:szCs w:val="18"/>
                <w:highlight w:val="none"/>
              </w:rPr>
            </w:pP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≥0.1％（额定值），并逐点可调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restart"/>
            <w:tcMar>
              <w:left w:w="0" w:type="dxa"/>
              <w:right w:w="0" w:type="dxa"/>
            </w:tcMar>
            <w:vAlign w:val="center"/>
          </w:tcPr>
          <w:p>
            <w:pPr>
              <w:tabs>
                <w:tab w:val="center" w:pos="286"/>
              </w:tabs>
              <w:overflowPunct w:val="0"/>
              <w:topLinePunct/>
              <w:snapToGrid w:val="0"/>
              <w:jc w:val="center"/>
              <w:rPr>
                <w:color w:val="auto"/>
                <w:sz w:val="18"/>
                <w:szCs w:val="18"/>
                <w:highlight w:val="none"/>
              </w:rPr>
            </w:pPr>
            <w:r>
              <w:rPr>
                <w:color w:val="auto"/>
                <w:sz w:val="18"/>
                <w:szCs w:val="18"/>
                <w:highlight w:val="none"/>
              </w:rPr>
              <w:t>5</w:t>
            </w:r>
          </w:p>
        </w:tc>
        <w:tc>
          <w:tcPr>
            <w:tcW w:w="1372" w:type="dxa"/>
            <w:vMerge w:val="restart"/>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事件顺序记录分辨率（SOE）</w:t>
            </w: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站控层</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ms</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372"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间隔层测控单元</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ms</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tabs>
                <w:tab w:val="center" w:pos="286"/>
              </w:tabs>
              <w:overflowPunct w:val="0"/>
              <w:topLinePunct/>
              <w:snapToGrid w:val="0"/>
              <w:jc w:val="center"/>
              <w:rPr>
                <w:color w:val="auto"/>
                <w:sz w:val="18"/>
                <w:szCs w:val="18"/>
                <w:highlight w:val="none"/>
              </w:rPr>
            </w:pPr>
            <w:r>
              <w:rPr>
                <w:color w:val="auto"/>
                <w:sz w:val="18"/>
                <w:szCs w:val="18"/>
                <w:highlight w:val="none"/>
              </w:rPr>
              <w:t>6</w:t>
            </w:r>
          </w:p>
        </w:tc>
        <w:tc>
          <w:tcPr>
            <w:tcW w:w="4383" w:type="dxa"/>
            <w:gridSpan w:val="2"/>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模拟量越死区传送时间（至站控层）</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s</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tabs>
                <w:tab w:val="center" w:pos="286"/>
              </w:tabs>
              <w:overflowPunct w:val="0"/>
              <w:topLinePunct/>
              <w:snapToGrid w:val="0"/>
              <w:jc w:val="center"/>
              <w:rPr>
                <w:color w:val="auto"/>
                <w:sz w:val="18"/>
                <w:szCs w:val="18"/>
                <w:highlight w:val="none"/>
              </w:rPr>
            </w:pPr>
            <w:r>
              <w:rPr>
                <w:color w:val="auto"/>
                <w:sz w:val="18"/>
                <w:szCs w:val="18"/>
                <w:highlight w:val="none"/>
              </w:rPr>
              <w:t>7</w:t>
            </w:r>
          </w:p>
        </w:tc>
        <w:tc>
          <w:tcPr>
            <w:tcW w:w="4383" w:type="dxa"/>
            <w:gridSpan w:val="2"/>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lang w:val="zh-CN"/>
              </w:rPr>
            </w:pPr>
            <w:r>
              <w:rPr>
                <w:color w:val="auto"/>
                <w:sz w:val="18"/>
                <w:szCs w:val="18"/>
                <w:highlight w:val="none"/>
              </w:rPr>
              <w:t>状态量变位传送时间（至站控层）</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s</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8</w:t>
            </w:r>
          </w:p>
        </w:tc>
        <w:tc>
          <w:tcPr>
            <w:tcW w:w="4383" w:type="dxa"/>
            <w:gridSpan w:val="2"/>
            <w:tcMar>
              <w:left w:w="0" w:type="dxa"/>
              <w:right w:w="0" w:type="dxa"/>
            </w:tcMar>
            <w:vAlign w:val="center"/>
          </w:tcPr>
          <w:p>
            <w:pPr>
              <w:overflowPunct w:val="0"/>
              <w:topLinePunct/>
              <w:snapToGrid w:val="0"/>
              <w:spacing w:before="62" w:beforeLines="20" w:after="62" w:afterLines="20"/>
              <w:ind w:left="42" w:leftChars="20" w:right="42" w:rightChars="20" w:firstLine="180" w:firstLineChars="100"/>
              <w:rPr>
                <w:color w:val="auto"/>
                <w:sz w:val="18"/>
                <w:szCs w:val="18"/>
                <w:highlight w:val="none"/>
              </w:rPr>
            </w:pPr>
            <w:r>
              <w:rPr>
                <w:color w:val="auto"/>
                <w:sz w:val="18"/>
                <w:szCs w:val="18"/>
                <w:highlight w:val="none"/>
              </w:rPr>
              <w:t>模拟信息响应时间（从I/O输入端至远动通信装置出口）</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s</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9</w:t>
            </w:r>
          </w:p>
        </w:tc>
        <w:tc>
          <w:tcPr>
            <w:tcW w:w="4383" w:type="dxa"/>
            <w:gridSpan w:val="2"/>
            <w:tcMar>
              <w:left w:w="0" w:type="dxa"/>
              <w:right w:w="0" w:type="dxa"/>
            </w:tcMar>
            <w:vAlign w:val="center"/>
          </w:tcPr>
          <w:p>
            <w:pPr>
              <w:overflowPunct w:val="0"/>
              <w:topLinePunct/>
              <w:snapToGrid w:val="0"/>
              <w:spacing w:before="62" w:beforeLines="20" w:after="62" w:afterLines="20"/>
              <w:ind w:left="42" w:leftChars="20" w:right="42" w:rightChars="20" w:firstLine="180" w:firstLineChars="100"/>
              <w:rPr>
                <w:color w:val="auto"/>
                <w:sz w:val="18"/>
                <w:szCs w:val="18"/>
                <w:highlight w:val="none"/>
                <w:lang w:val="zh-CN"/>
              </w:rPr>
            </w:pPr>
            <w:r>
              <w:rPr>
                <w:color w:val="auto"/>
                <w:sz w:val="18"/>
                <w:szCs w:val="18"/>
                <w:highlight w:val="none"/>
              </w:rPr>
              <w:t>状态量变化响应时间（从I/O输入端至远动通信装置出口）</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s</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10</w:t>
            </w:r>
          </w:p>
        </w:tc>
        <w:tc>
          <w:tcPr>
            <w:tcW w:w="4383" w:type="dxa"/>
            <w:gridSpan w:val="2"/>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控制执行命令从生成到输出的时间</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s</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11</w:t>
            </w:r>
          </w:p>
        </w:tc>
        <w:tc>
          <w:tcPr>
            <w:tcW w:w="4383" w:type="dxa"/>
            <w:gridSpan w:val="2"/>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控制操作正确率</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12</w:t>
            </w:r>
          </w:p>
        </w:tc>
        <w:tc>
          <w:tcPr>
            <w:tcW w:w="4383" w:type="dxa"/>
            <w:gridSpan w:val="2"/>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站控层平均无故障间隔时间（MTBF）</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h</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≥20 000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13</w:t>
            </w:r>
          </w:p>
        </w:tc>
        <w:tc>
          <w:tcPr>
            <w:tcW w:w="4383" w:type="dxa"/>
            <w:gridSpan w:val="2"/>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间隔级测控单元平均无故障间隔时间</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h</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≥30 000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restart"/>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14</w:t>
            </w:r>
          </w:p>
        </w:tc>
        <w:tc>
          <w:tcPr>
            <w:tcW w:w="1372" w:type="dxa"/>
            <w:vMerge w:val="restart"/>
            <w:tcMar>
              <w:left w:w="0" w:type="dxa"/>
              <w:right w:w="0" w:type="dxa"/>
            </w:tcMar>
            <w:vAlign w:val="center"/>
          </w:tcPr>
          <w:p>
            <w:pPr>
              <w:overflowPunct w:val="0"/>
              <w:topLinePunct/>
              <w:snapToGrid w:val="0"/>
              <w:spacing w:before="62" w:beforeLines="20" w:after="62" w:afterLines="20"/>
              <w:ind w:left="42" w:leftChars="20" w:right="42" w:rightChars="20" w:firstLine="180" w:firstLineChars="100"/>
              <w:jc w:val="left"/>
              <w:rPr>
                <w:color w:val="auto"/>
                <w:sz w:val="18"/>
                <w:szCs w:val="18"/>
                <w:highlight w:val="none"/>
              </w:rPr>
            </w:pPr>
            <w:r>
              <w:rPr>
                <w:color w:val="auto"/>
                <w:sz w:val="18"/>
                <w:szCs w:val="18"/>
                <w:highlight w:val="none"/>
              </w:rPr>
              <w:t>站控层主机兼操作员工作站的CPU平均负荷率</w:t>
            </w: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正常时（任意30min内）</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372"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电力系统故障（10S内）</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restart"/>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15</w:t>
            </w:r>
          </w:p>
        </w:tc>
        <w:tc>
          <w:tcPr>
            <w:tcW w:w="1372" w:type="dxa"/>
            <w:vMerge w:val="restart"/>
            <w:tcMar>
              <w:left w:w="0" w:type="dxa"/>
              <w:right w:w="0" w:type="dxa"/>
            </w:tcMar>
            <w:vAlign w:val="center"/>
          </w:tcPr>
          <w:p>
            <w:pPr>
              <w:overflowPunct w:val="0"/>
              <w:topLinePunct/>
              <w:snapToGrid w:val="0"/>
              <w:spacing w:before="62" w:beforeLines="20" w:after="62" w:afterLines="20"/>
              <w:ind w:left="42" w:leftChars="20" w:right="42" w:rightChars="20" w:firstLine="180" w:firstLineChars="100"/>
              <w:jc w:val="left"/>
              <w:rPr>
                <w:color w:val="auto"/>
                <w:sz w:val="18"/>
                <w:szCs w:val="18"/>
                <w:highlight w:val="none"/>
              </w:rPr>
            </w:pPr>
            <w:r>
              <w:rPr>
                <w:color w:val="auto"/>
                <w:sz w:val="18"/>
                <w:szCs w:val="18"/>
                <w:highlight w:val="none"/>
              </w:rPr>
              <w:t>网络平均负荷率</w:t>
            </w: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正常时（任意30min内）</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372"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电力系统故障（10S内）</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16</w:t>
            </w:r>
          </w:p>
        </w:tc>
        <w:tc>
          <w:tcPr>
            <w:tcW w:w="4383" w:type="dxa"/>
            <w:gridSpan w:val="2"/>
            <w:tcMar>
              <w:left w:w="0" w:type="dxa"/>
              <w:right w:w="0" w:type="dxa"/>
            </w:tcMar>
            <w:vAlign w:val="center"/>
          </w:tcPr>
          <w:p>
            <w:pPr>
              <w:overflowPunct w:val="0"/>
              <w:topLinePunct/>
              <w:snapToGrid w:val="0"/>
              <w:ind w:left="42" w:leftChars="20" w:right="42" w:rightChars="20"/>
              <w:jc w:val="center"/>
              <w:rPr>
                <w:color w:val="auto"/>
                <w:sz w:val="18"/>
                <w:szCs w:val="18"/>
                <w:highlight w:val="none"/>
              </w:rPr>
            </w:pPr>
            <w:r>
              <w:rPr>
                <w:color w:val="auto"/>
                <w:sz w:val="18"/>
                <w:szCs w:val="18"/>
                <w:highlight w:val="none"/>
              </w:rPr>
              <w:t>*模数转换分辨率</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bit</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restart"/>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17</w:t>
            </w:r>
          </w:p>
        </w:tc>
        <w:tc>
          <w:tcPr>
            <w:tcW w:w="1372" w:type="dxa"/>
            <w:vMerge w:val="restart"/>
            <w:tcMar>
              <w:left w:w="0" w:type="dxa"/>
              <w:right w:w="0" w:type="dxa"/>
            </w:tcMar>
            <w:vAlign w:val="center"/>
          </w:tcPr>
          <w:p>
            <w:pPr>
              <w:overflowPunct w:val="0"/>
              <w:topLinePunct/>
              <w:snapToGrid w:val="0"/>
              <w:spacing w:before="62" w:beforeLines="20" w:after="62" w:afterLines="20"/>
              <w:ind w:left="42" w:leftChars="20" w:right="42" w:rightChars="20" w:firstLine="180" w:firstLineChars="100"/>
              <w:jc w:val="left"/>
              <w:rPr>
                <w:color w:val="auto"/>
                <w:sz w:val="18"/>
                <w:szCs w:val="18"/>
                <w:highlight w:val="none"/>
              </w:rPr>
            </w:pPr>
            <w:r>
              <w:rPr>
                <w:color w:val="auto"/>
                <w:sz w:val="18"/>
                <w:szCs w:val="18"/>
                <w:highlight w:val="none"/>
              </w:rPr>
              <w:t>实时数据库容量</w:t>
            </w: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模拟量</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点</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372"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状态量</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点</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≥5000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372"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遥控</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点</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≥500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372"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计算量</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点</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restart"/>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18</w:t>
            </w:r>
          </w:p>
        </w:tc>
        <w:tc>
          <w:tcPr>
            <w:tcW w:w="1372" w:type="dxa"/>
            <w:vMerge w:val="restart"/>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历史数据库存储容量</w:t>
            </w: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历史曲线采样间隔</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min</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1～30，可调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372"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3011" w:type="dxa"/>
            <w:tcMar>
              <w:left w:w="0" w:type="dxa"/>
              <w:right w:w="0" w:type="dxa"/>
            </w:tcMar>
            <w:vAlign w:val="center"/>
          </w:tcPr>
          <w:p>
            <w:pPr>
              <w:overflowPunct w:val="0"/>
              <w:topLinePunct/>
              <w:snapToGrid w:val="0"/>
              <w:spacing w:before="62" w:beforeLines="20" w:after="62" w:afterLines="20"/>
              <w:ind w:left="42" w:leftChars="20" w:right="42" w:rightChars="20" w:firstLine="180" w:firstLineChars="100"/>
              <w:rPr>
                <w:color w:val="auto"/>
                <w:sz w:val="18"/>
                <w:szCs w:val="18"/>
                <w:highlight w:val="none"/>
              </w:rPr>
            </w:pPr>
            <w:r>
              <w:rPr>
                <w:color w:val="auto"/>
                <w:sz w:val="18"/>
                <w:szCs w:val="18"/>
                <w:highlight w:val="none"/>
              </w:rPr>
              <w:t>历史趋势曲线，日报，月报，年报存储时间</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年</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499"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372"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3011"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历史趋势曲线数量</w:t>
            </w:r>
          </w:p>
        </w:tc>
        <w:tc>
          <w:tcPr>
            <w:tcW w:w="532"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条</w:t>
            </w:r>
          </w:p>
        </w:tc>
        <w:tc>
          <w:tcPr>
            <w:tcW w:w="279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≥300</w:t>
            </w:r>
          </w:p>
        </w:tc>
      </w:tr>
    </w:tbl>
    <w:p>
      <w:pPr>
        <w:adjustRightInd w:val="0"/>
        <w:snapToGrid w:val="0"/>
        <w:spacing w:line="360" w:lineRule="auto"/>
        <w:rPr>
          <w:rFonts w:ascii="宋体" w:cs="新宋体"/>
          <w:bCs/>
          <w:color w:val="auto"/>
          <w:szCs w:val="21"/>
          <w:highlight w:val="none"/>
        </w:rPr>
      </w:pPr>
      <w:r>
        <w:rPr>
          <w:rFonts w:hint="eastAsia" w:ascii="宋体"/>
          <w:color w:val="auto"/>
          <w:szCs w:val="21"/>
          <w:highlight w:val="none"/>
        </w:rPr>
        <w:t>3.1.4</w:t>
      </w:r>
      <w:r>
        <w:rPr>
          <w:rFonts w:hint="eastAsia" w:ascii="宋体" w:cs="新宋体"/>
          <w:bCs/>
          <w:color w:val="auto"/>
          <w:szCs w:val="21"/>
          <w:highlight w:val="none"/>
        </w:rPr>
        <w:t>公用测控装置技术参数及要求</w:t>
      </w:r>
    </w:p>
    <w:tbl>
      <w:tblPr>
        <w:tblStyle w:val="16"/>
        <w:tblW w:w="8213" w:type="dxa"/>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64"/>
        <w:gridCol w:w="3633"/>
        <w:gridCol w:w="1036"/>
        <w:gridCol w:w="2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序号</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rFonts w:hint="eastAsia"/>
                <w:color w:val="auto"/>
                <w:sz w:val="18"/>
                <w:szCs w:val="18"/>
                <w:highlight w:val="none"/>
              </w:rPr>
            </w:pPr>
            <w:r>
              <w:rPr>
                <w:rFonts w:hint="eastAsia"/>
                <w:color w:val="auto"/>
                <w:sz w:val="18"/>
                <w:szCs w:val="18"/>
                <w:highlight w:val="none"/>
              </w:rPr>
              <w:t>项　　目</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单</w:t>
            </w:r>
            <w:r>
              <w:rPr>
                <w:rFonts w:hint="eastAsia"/>
                <w:color w:val="auto"/>
                <w:sz w:val="18"/>
                <w:szCs w:val="18"/>
                <w:highlight w:val="none"/>
              </w:rPr>
              <w:t>　</w:t>
            </w:r>
            <w:r>
              <w:rPr>
                <w:color w:val="auto"/>
                <w:sz w:val="18"/>
                <w:szCs w:val="18"/>
                <w:highlight w:val="none"/>
              </w:rPr>
              <w:t>位</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rFonts w:hint="eastAsia"/>
                <w:color w:val="auto"/>
                <w:sz w:val="18"/>
                <w:szCs w:val="18"/>
                <w:highlight w:val="none"/>
              </w:rPr>
              <w:t>标准参数值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电流量、电压量测量误差</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2</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有功功率、无功功率测量误差</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3</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电网频率测量误差</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Hz</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≤0.01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4</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模拟量越死区传送整定值</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&lt;0.1额定值，并逐点可调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rPr>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5</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事件顺序记录分辨率（SOE）</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ms</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6</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模拟量越死区传送时间（至站控层）</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s</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7</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状态量变位传送时间（至站控层）</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s</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8</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模拟信息响应时间（从I/O输入端至远动通信装置出口）</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s</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9</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状态量变化响应时间（从I/O输入端至远动通信装置出口）</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s</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10</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rFonts w:hint="eastAsia"/>
                <w:color w:val="auto"/>
                <w:sz w:val="18"/>
                <w:szCs w:val="18"/>
                <w:highlight w:val="none"/>
              </w:rPr>
              <w:t>控制执行命令从生成到输出的时间</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s</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11</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控制操作正确率</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12</w:t>
            </w:r>
          </w:p>
        </w:tc>
        <w:tc>
          <w:tcPr>
            <w:tcW w:w="3633"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间隔级测控单元平均无故障间隔时间</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h</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≥30000</w:t>
            </w:r>
          </w:p>
        </w:tc>
      </w:tr>
    </w:tbl>
    <w:p>
      <w:pPr>
        <w:overflowPunct w:val="0"/>
        <w:topLinePunct/>
        <w:snapToGrid w:val="0"/>
        <w:ind w:left="42" w:leftChars="20" w:right="42" w:rightChars="20" w:firstLine="180" w:firstLineChars="100"/>
        <w:jc w:val="left"/>
        <w:rPr>
          <w:rFonts w:hint="eastAsia"/>
          <w:color w:val="auto"/>
          <w:sz w:val="18"/>
          <w:szCs w:val="18"/>
          <w:highlight w:val="none"/>
        </w:rPr>
      </w:pPr>
    </w:p>
    <w:p>
      <w:pPr>
        <w:adjustRightInd w:val="0"/>
        <w:snapToGrid w:val="0"/>
        <w:spacing w:line="360" w:lineRule="auto"/>
        <w:rPr>
          <w:rFonts w:ascii="宋体" w:cs="新宋体"/>
          <w:bCs/>
          <w:color w:val="auto"/>
          <w:szCs w:val="21"/>
          <w:highlight w:val="none"/>
        </w:rPr>
      </w:pPr>
      <w:r>
        <w:rPr>
          <w:rFonts w:hint="eastAsia" w:ascii="宋体"/>
          <w:color w:val="auto"/>
          <w:szCs w:val="21"/>
          <w:highlight w:val="none"/>
        </w:rPr>
        <w:t>3.1.5</w:t>
      </w:r>
      <w:r>
        <w:rPr>
          <w:rFonts w:hint="eastAsia" w:ascii="宋体" w:cs="新宋体"/>
          <w:bCs/>
          <w:color w:val="auto"/>
          <w:szCs w:val="21"/>
          <w:highlight w:val="none"/>
        </w:rPr>
        <w:t>远动通讯装置技术参数及要求</w:t>
      </w:r>
    </w:p>
    <w:tbl>
      <w:tblPr>
        <w:tblStyle w:val="16"/>
        <w:tblW w:w="8213" w:type="dxa"/>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64"/>
        <w:gridCol w:w="1127"/>
        <w:gridCol w:w="2506"/>
        <w:gridCol w:w="1036"/>
        <w:gridCol w:w="2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序号</w:t>
            </w:r>
          </w:p>
        </w:tc>
        <w:tc>
          <w:tcPr>
            <w:tcW w:w="3633" w:type="dxa"/>
            <w:gridSpan w:val="2"/>
            <w:tcMar>
              <w:left w:w="0" w:type="dxa"/>
              <w:right w:w="0" w:type="dxa"/>
            </w:tcMar>
            <w:vAlign w:val="center"/>
          </w:tcPr>
          <w:p>
            <w:pPr>
              <w:overflowPunct w:val="0"/>
              <w:topLinePunct/>
              <w:snapToGrid w:val="0"/>
              <w:ind w:left="42" w:leftChars="20" w:right="42" w:rightChars="20" w:firstLine="180" w:firstLineChars="100"/>
              <w:jc w:val="left"/>
              <w:rPr>
                <w:rFonts w:hint="eastAsia"/>
                <w:color w:val="auto"/>
                <w:sz w:val="18"/>
                <w:szCs w:val="18"/>
                <w:highlight w:val="none"/>
              </w:rPr>
            </w:pPr>
            <w:r>
              <w:rPr>
                <w:rFonts w:hint="eastAsia"/>
                <w:color w:val="auto"/>
                <w:sz w:val="18"/>
                <w:szCs w:val="18"/>
                <w:highlight w:val="none"/>
              </w:rPr>
              <w:t>项　　目</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单</w:t>
            </w:r>
            <w:r>
              <w:rPr>
                <w:rFonts w:hint="eastAsia"/>
                <w:color w:val="auto"/>
                <w:sz w:val="18"/>
                <w:szCs w:val="18"/>
                <w:highlight w:val="none"/>
              </w:rPr>
              <w:t>　</w:t>
            </w:r>
            <w:r>
              <w:rPr>
                <w:color w:val="auto"/>
                <w:sz w:val="18"/>
                <w:szCs w:val="18"/>
                <w:highlight w:val="none"/>
              </w:rPr>
              <w:t>位</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rFonts w:hint="eastAsia"/>
                <w:color w:val="auto"/>
                <w:sz w:val="18"/>
                <w:szCs w:val="18"/>
                <w:highlight w:val="none"/>
              </w:rPr>
              <w:t>标准参数值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w:t>
            </w:r>
          </w:p>
        </w:tc>
        <w:tc>
          <w:tcPr>
            <w:tcW w:w="3633" w:type="dxa"/>
            <w:gridSpan w:val="2"/>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模拟量越死区传送整定值</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&lt;0.1额定值，并逐点可调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2</w:t>
            </w:r>
          </w:p>
        </w:tc>
        <w:tc>
          <w:tcPr>
            <w:tcW w:w="3633" w:type="dxa"/>
            <w:gridSpan w:val="2"/>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事件顺序记录分辨率（SOE）</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ms</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3</w:t>
            </w:r>
          </w:p>
        </w:tc>
        <w:tc>
          <w:tcPr>
            <w:tcW w:w="3633" w:type="dxa"/>
            <w:gridSpan w:val="2"/>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模拟信息响应时间（从I/O输入端至远动通信装置出口）</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s</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4</w:t>
            </w:r>
          </w:p>
        </w:tc>
        <w:tc>
          <w:tcPr>
            <w:tcW w:w="3633" w:type="dxa"/>
            <w:gridSpan w:val="2"/>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状态量变化响应时间（从I/O输入端至远动通信装置出口）</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s</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5</w:t>
            </w:r>
          </w:p>
        </w:tc>
        <w:tc>
          <w:tcPr>
            <w:tcW w:w="3633" w:type="dxa"/>
            <w:gridSpan w:val="2"/>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rFonts w:hint="eastAsia"/>
                <w:color w:val="auto"/>
                <w:sz w:val="18"/>
                <w:szCs w:val="18"/>
                <w:highlight w:val="none"/>
              </w:rPr>
              <w:t>控制执行命令从生成到输出的时间</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s</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6</w:t>
            </w:r>
          </w:p>
        </w:tc>
        <w:tc>
          <w:tcPr>
            <w:tcW w:w="3633" w:type="dxa"/>
            <w:gridSpan w:val="2"/>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双机系统可用率</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≥99.9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7</w:t>
            </w:r>
          </w:p>
        </w:tc>
        <w:tc>
          <w:tcPr>
            <w:tcW w:w="3633" w:type="dxa"/>
            <w:gridSpan w:val="2"/>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控制操作正确率</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8</w:t>
            </w:r>
          </w:p>
        </w:tc>
        <w:tc>
          <w:tcPr>
            <w:tcW w:w="3633" w:type="dxa"/>
            <w:gridSpan w:val="2"/>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站控层平均无故障间隔时间（MTBF）</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h</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≥20000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9</w:t>
            </w:r>
          </w:p>
        </w:tc>
        <w:tc>
          <w:tcPr>
            <w:tcW w:w="3633" w:type="dxa"/>
            <w:gridSpan w:val="2"/>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双机自动切换至功能恢复时间</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s</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vMerge w:val="restart"/>
            <w:tcMar>
              <w:left w:w="0" w:type="dxa"/>
              <w:right w:w="0" w:type="dxa"/>
            </w:tcMar>
            <w:vAlign w:val="center"/>
          </w:tcPr>
          <w:p>
            <w:pPr>
              <w:overflowPunct w:val="0"/>
              <w:topLinePunct/>
              <w:snapToGrid w:val="0"/>
              <w:ind w:left="42" w:leftChars="20" w:right="42" w:rightChars="20" w:firstLine="180" w:firstLineChars="100"/>
              <w:jc w:val="left"/>
              <w:rPr>
                <w:rFonts w:hint="eastAsia"/>
                <w:color w:val="auto"/>
                <w:sz w:val="18"/>
                <w:szCs w:val="18"/>
                <w:highlight w:val="none"/>
              </w:rPr>
            </w:pPr>
            <w:r>
              <w:rPr>
                <w:color w:val="auto"/>
                <w:sz w:val="18"/>
                <w:szCs w:val="18"/>
                <w:highlight w:val="none"/>
              </w:rPr>
              <w:t>10</w:t>
            </w:r>
          </w:p>
        </w:tc>
        <w:tc>
          <w:tcPr>
            <w:tcW w:w="1127" w:type="dxa"/>
            <w:vMerge w:val="restart"/>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实时数据库容量</w:t>
            </w:r>
          </w:p>
        </w:tc>
        <w:tc>
          <w:tcPr>
            <w:tcW w:w="250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模拟量</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点</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≥5000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vMerge w:val="continue"/>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p>
        </w:tc>
        <w:tc>
          <w:tcPr>
            <w:tcW w:w="1127" w:type="dxa"/>
            <w:vMerge w:val="continue"/>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p>
        </w:tc>
        <w:tc>
          <w:tcPr>
            <w:tcW w:w="250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状态量</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点</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vMerge w:val="continue"/>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p>
        </w:tc>
        <w:tc>
          <w:tcPr>
            <w:tcW w:w="1127" w:type="dxa"/>
            <w:vMerge w:val="continue"/>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p>
        </w:tc>
        <w:tc>
          <w:tcPr>
            <w:tcW w:w="250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遥控</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点</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≥3000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vMerge w:val="continue"/>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p>
        </w:tc>
        <w:tc>
          <w:tcPr>
            <w:tcW w:w="1127" w:type="dxa"/>
            <w:vMerge w:val="continue"/>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p>
        </w:tc>
        <w:tc>
          <w:tcPr>
            <w:tcW w:w="250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计算量</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点</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≥2000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vMerge w:val="restart"/>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11</w:t>
            </w:r>
          </w:p>
        </w:tc>
        <w:tc>
          <w:tcPr>
            <w:tcW w:w="1127" w:type="dxa"/>
            <w:vMerge w:val="restart"/>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历史数据库存储容量</w:t>
            </w:r>
          </w:p>
        </w:tc>
        <w:tc>
          <w:tcPr>
            <w:tcW w:w="250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历史曲线采样间隔</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min</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1</w:t>
            </w:r>
            <w:r>
              <w:rPr>
                <w:rFonts w:hint="eastAsia"/>
                <w:color w:val="auto"/>
                <w:sz w:val="18"/>
                <w:szCs w:val="18"/>
                <w:highlight w:val="none"/>
              </w:rPr>
              <w:t>~</w:t>
            </w:r>
            <w:r>
              <w:rPr>
                <w:color w:val="auto"/>
                <w:sz w:val="18"/>
                <w:szCs w:val="18"/>
                <w:highlight w:val="none"/>
              </w:rPr>
              <w:t>30（可调）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vMerge w:val="continue"/>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p>
        </w:tc>
        <w:tc>
          <w:tcPr>
            <w:tcW w:w="1127" w:type="dxa"/>
            <w:vMerge w:val="continue"/>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p>
        </w:tc>
        <w:tc>
          <w:tcPr>
            <w:tcW w:w="250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历史趋势曲线，日报，月报，年报存储时间</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rFonts w:hint="eastAsia"/>
                <w:color w:val="auto"/>
                <w:sz w:val="18"/>
                <w:szCs w:val="18"/>
                <w:highlight w:val="none"/>
              </w:rPr>
              <w:t>年</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564" w:type="dxa"/>
            <w:vMerge w:val="continue"/>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p>
        </w:tc>
        <w:tc>
          <w:tcPr>
            <w:tcW w:w="1127" w:type="dxa"/>
            <w:vMerge w:val="continue"/>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p>
        </w:tc>
        <w:tc>
          <w:tcPr>
            <w:tcW w:w="250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历史趋势曲线数量</w:t>
            </w:r>
          </w:p>
        </w:tc>
        <w:tc>
          <w:tcPr>
            <w:tcW w:w="1036"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rFonts w:hint="eastAsia"/>
                <w:color w:val="auto"/>
                <w:sz w:val="18"/>
                <w:szCs w:val="18"/>
                <w:highlight w:val="none"/>
              </w:rPr>
              <w:t>条</w:t>
            </w:r>
          </w:p>
        </w:tc>
        <w:tc>
          <w:tcPr>
            <w:tcW w:w="2980" w:type="dxa"/>
            <w:tcMar>
              <w:left w:w="0" w:type="dxa"/>
              <w:right w:w="0" w:type="dxa"/>
            </w:tcMar>
            <w:vAlign w:val="center"/>
          </w:tcPr>
          <w:p>
            <w:pPr>
              <w:overflowPunct w:val="0"/>
              <w:topLinePunct/>
              <w:snapToGrid w:val="0"/>
              <w:ind w:left="42" w:leftChars="20" w:right="42" w:rightChars="20" w:firstLine="180" w:firstLineChars="100"/>
              <w:jc w:val="left"/>
              <w:rPr>
                <w:color w:val="auto"/>
                <w:sz w:val="18"/>
                <w:szCs w:val="18"/>
                <w:highlight w:val="none"/>
              </w:rPr>
            </w:pPr>
            <w:r>
              <w:rPr>
                <w:color w:val="auto"/>
                <w:sz w:val="18"/>
                <w:szCs w:val="18"/>
                <w:highlight w:val="none"/>
              </w:rPr>
              <w:t>≥300</w:t>
            </w:r>
          </w:p>
        </w:tc>
      </w:tr>
    </w:tbl>
    <w:p>
      <w:pPr>
        <w:adjustRightInd w:val="0"/>
        <w:snapToGrid w:val="0"/>
        <w:spacing w:line="360" w:lineRule="auto"/>
        <w:rPr>
          <w:rFonts w:hint="eastAsia" w:ascii="宋体" w:cs="新宋体"/>
          <w:bCs/>
          <w:color w:val="auto"/>
          <w:szCs w:val="21"/>
          <w:highlight w:val="none"/>
        </w:rPr>
      </w:pPr>
    </w:p>
    <w:p>
      <w:pPr>
        <w:adjustRightInd w:val="0"/>
        <w:snapToGrid w:val="0"/>
        <w:spacing w:line="360" w:lineRule="auto"/>
        <w:rPr>
          <w:rFonts w:ascii="宋体" w:cs="新宋体"/>
          <w:bCs/>
          <w:color w:val="auto"/>
          <w:szCs w:val="21"/>
          <w:highlight w:val="none"/>
        </w:rPr>
      </w:pPr>
      <w:r>
        <w:rPr>
          <w:rFonts w:hint="eastAsia" w:ascii="宋体"/>
          <w:color w:val="auto"/>
          <w:szCs w:val="21"/>
          <w:highlight w:val="none"/>
        </w:rPr>
        <w:t>3.1.6</w:t>
      </w:r>
      <w:r>
        <w:rPr>
          <w:rFonts w:hint="eastAsia" w:ascii="宋体" w:cs="新宋体"/>
          <w:bCs/>
          <w:color w:val="auto"/>
          <w:szCs w:val="21"/>
          <w:highlight w:val="none"/>
        </w:rPr>
        <w:t>时间同步装置技术参数及要求</w:t>
      </w:r>
    </w:p>
    <w:p>
      <w:pPr>
        <w:adjustRightInd w:val="0"/>
        <w:snapToGrid w:val="0"/>
        <w:spacing w:line="360" w:lineRule="auto"/>
        <w:rPr>
          <w:rFonts w:hint="eastAsia" w:ascii="宋体" w:cs="新宋体"/>
          <w:bCs/>
          <w:color w:val="auto"/>
          <w:szCs w:val="21"/>
          <w:highlight w:val="none"/>
        </w:rPr>
      </w:pPr>
      <w:r>
        <w:rPr>
          <w:rFonts w:hint="eastAsia" w:ascii="宋体" w:cs="新宋体"/>
          <w:bCs/>
          <w:color w:val="auto"/>
          <w:szCs w:val="21"/>
          <w:highlight w:val="none"/>
        </w:rPr>
        <w:t>3</w:t>
      </w:r>
      <w:r>
        <w:rPr>
          <w:rFonts w:ascii="宋体" w:cs="新宋体"/>
          <w:bCs/>
          <w:color w:val="auto"/>
          <w:szCs w:val="21"/>
          <w:highlight w:val="none"/>
        </w:rPr>
        <w:t xml:space="preserve">.1.6.1 </w:t>
      </w:r>
      <w:r>
        <w:rPr>
          <w:rFonts w:hint="eastAsia" w:ascii="宋体" w:cs="新宋体"/>
          <w:bCs/>
          <w:color w:val="auto"/>
          <w:szCs w:val="21"/>
          <w:highlight w:val="none"/>
        </w:rPr>
        <w:t>时间同步装置技术参数</w:t>
      </w:r>
    </w:p>
    <w:tbl>
      <w:tblPr>
        <w:tblStyle w:val="16"/>
        <w:tblW w:w="8228" w:type="dxa"/>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46"/>
        <w:gridCol w:w="983"/>
        <w:gridCol w:w="1001"/>
        <w:gridCol w:w="1001"/>
        <w:gridCol w:w="628"/>
        <w:gridCol w:w="41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blHeader/>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序号</w:t>
            </w:r>
          </w:p>
        </w:tc>
        <w:tc>
          <w:tcPr>
            <w:tcW w:w="2985" w:type="dxa"/>
            <w:gridSpan w:val="3"/>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参</w:t>
            </w:r>
            <w:r>
              <w:rPr>
                <w:rFonts w:hint="eastAsia"/>
                <w:color w:val="auto"/>
                <w:sz w:val="18"/>
                <w:szCs w:val="18"/>
                <w:highlight w:val="none"/>
              </w:rPr>
              <w:t xml:space="preserve">  </w:t>
            </w:r>
            <w:r>
              <w:rPr>
                <w:color w:val="auto"/>
                <w:sz w:val="18"/>
                <w:szCs w:val="18"/>
                <w:highlight w:val="none"/>
              </w:rPr>
              <w:t>数</w:t>
            </w:r>
            <w:r>
              <w:rPr>
                <w:rFonts w:hint="eastAsia"/>
                <w:color w:val="auto"/>
                <w:sz w:val="18"/>
                <w:szCs w:val="18"/>
                <w:highlight w:val="none"/>
              </w:rPr>
              <w:t xml:space="preserve">  </w:t>
            </w:r>
            <w:r>
              <w:rPr>
                <w:color w:val="auto"/>
                <w:sz w:val="18"/>
                <w:szCs w:val="18"/>
                <w:highlight w:val="none"/>
              </w:rPr>
              <w:t>名</w:t>
            </w:r>
            <w:r>
              <w:rPr>
                <w:rFonts w:hint="eastAsia"/>
                <w:color w:val="auto"/>
                <w:sz w:val="18"/>
                <w:szCs w:val="18"/>
                <w:highlight w:val="none"/>
              </w:rPr>
              <w:t xml:space="preserve">  </w:t>
            </w:r>
            <w:r>
              <w:rPr>
                <w:color w:val="auto"/>
                <w:sz w:val="18"/>
                <w:szCs w:val="18"/>
                <w:highlight w:val="none"/>
              </w:rPr>
              <w:t>称</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单位</w:t>
            </w:r>
          </w:p>
        </w:tc>
        <w:tc>
          <w:tcPr>
            <w:tcW w:w="4169"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标</w:t>
            </w:r>
            <w:r>
              <w:rPr>
                <w:rFonts w:hint="eastAsia"/>
                <w:color w:val="auto"/>
                <w:sz w:val="18"/>
                <w:szCs w:val="18"/>
                <w:highlight w:val="none"/>
              </w:rPr>
              <w:t xml:space="preserve"> </w:t>
            </w:r>
            <w:r>
              <w:rPr>
                <w:color w:val="auto"/>
                <w:sz w:val="18"/>
                <w:szCs w:val="18"/>
                <w:highlight w:val="none"/>
              </w:rPr>
              <w:t>准</w:t>
            </w:r>
            <w:r>
              <w:rPr>
                <w:rFonts w:hint="eastAsia"/>
                <w:color w:val="auto"/>
                <w:sz w:val="18"/>
                <w:szCs w:val="18"/>
                <w:highlight w:val="none"/>
              </w:rPr>
              <w:t xml:space="preserve"> </w:t>
            </w:r>
            <w:r>
              <w:rPr>
                <w:color w:val="auto"/>
                <w:sz w:val="18"/>
                <w:szCs w:val="18"/>
                <w:highlight w:val="none"/>
              </w:rPr>
              <w:t>参</w:t>
            </w:r>
            <w:r>
              <w:rPr>
                <w:rFonts w:hint="eastAsia"/>
                <w:color w:val="auto"/>
                <w:sz w:val="18"/>
                <w:szCs w:val="18"/>
                <w:highlight w:val="none"/>
              </w:rPr>
              <w:t xml:space="preserve"> </w:t>
            </w:r>
            <w:r>
              <w:rPr>
                <w:color w:val="auto"/>
                <w:sz w:val="18"/>
                <w:szCs w:val="18"/>
                <w:highlight w:val="none"/>
              </w:rPr>
              <w:t>数</w:t>
            </w:r>
            <w:r>
              <w:rPr>
                <w:rFonts w:hint="eastAsia"/>
                <w:color w:val="auto"/>
                <w:sz w:val="18"/>
                <w:szCs w:val="18"/>
                <w:highlight w:val="none"/>
              </w:rPr>
              <w:t xml:space="preserve"> </w:t>
            </w:r>
            <w:r>
              <w:rPr>
                <w:color w:val="auto"/>
                <w:sz w:val="18"/>
                <w:szCs w:val="18"/>
                <w:highlight w:val="none"/>
              </w:rPr>
              <w:t>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w:t>
            </w:r>
          </w:p>
        </w:tc>
        <w:tc>
          <w:tcPr>
            <w:tcW w:w="983" w:type="dxa"/>
            <w:vMerge w:val="restart"/>
            <w:tcMar>
              <w:left w:w="0" w:type="dxa"/>
              <w:right w:w="0" w:type="dxa"/>
            </w:tcMar>
            <w:vAlign w:val="center"/>
          </w:tcPr>
          <w:p>
            <w:pPr>
              <w:pStyle w:val="7"/>
              <w:overflowPunct w:val="0"/>
              <w:topLinePunct/>
              <w:snapToGrid w:val="0"/>
              <w:jc w:val="center"/>
              <w:rPr>
                <w:color w:val="auto"/>
                <w:highlight w:val="none"/>
              </w:rPr>
            </w:pPr>
            <w:r>
              <w:rPr>
                <w:color w:val="auto"/>
                <w:highlight w:val="none"/>
              </w:rPr>
              <w:t>北斗接收器</w:t>
            </w:r>
            <w:r>
              <w:rPr>
                <w:rFonts w:hint="eastAsia"/>
                <w:color w:val="auto"/>
                <w:highlight w:val="none"/>
              </w:rPr>
              <w:br w:type="textWrapping"/>
            </w:r>
            <w:r>
              <w:rPr>
                <w:color w:val="auto"/>
                <w:highlight w:val="none"/>
              </w:rPr>
              <w:t>和天线</w:t>
            </w: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接收灵敏度</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dBmW</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rFonts w:ascii="Symbol" w:hAnsi="Symbol"/>
                <w:color w:val="auto"/>
                <w:sz w:val="18"/>
                <w:szCs w:val="18"/>
                <w:highlight w:val="none"/>
              </w:rPr>
              <w:t>－</w:t>
            </w:r>
            <w:r>
              <w:rPr>
                <w:color w:val="auto"/>
                <w:sz w:val="18"/>
                <w:szCs w:val="18"/>
                <w:highlight w:val="none"/>
              </w:rPr>
              <w:t>127.6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w:t>
            </w:r>
          </w:p>
        </w:tc>
        <w:tc>
          <w:tcPr>
            <w:tcW w:w="983" w:type="dxa"/>
            <w:vMerge w:val="continue"/>
            <w:tcMar>
              <w:left w:w="0" w:type="dxa"/>
              <w:right w:w="0" w:type="dxa"/>
            </w:tcMar>
            <w:vAlign w:val="center"/>
          </w:tcPr>
          <w:p>
            <w:pPr>
              <w:pStyle w:val="7"/>
              <w:overflowPunct w:val="0"/>
              <w:topLinePunct/>
              <w:snapToGrid w:val="0"/>
              <w:jc w:val="center"/>
              <w:rPr>
                <w:color w:val="auto"/>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授时精度</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ns</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rFonts w:ascii="宋体" w:hAnsi="宋体"/>
                <w:color w:val="auto"/>
                <w:sz w:val="18"/>
                <w:szCs w:val="18"/>
                <w:highlight w:val="none"/>
              </w:rPr>
              <w:t>≤</w:t>
            </w:r>
            <w:r>
              <w:rPr>
                <w:color w:val="auto"/>
                <w:sz w:val="18"/>
                <w:szCs w:val="18"/>
                <w:highlight w:val="none"/>
              </w:rPr>
              <w:t>100（单向）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3</w:t>
            </w:r>
          </w:p>
        </w:tc>
        <w:tc>
          <w:tcPr>
            <w:tcW w:w="983" w:type="dxa"/>
            <w:vMerge w:val="restart"/>
            <w:tcMar>
              <w:left w:w="0" w:type="dxa"/>
              <w:right w:w="0" w:type="dxa"/>
            </w:tcMar>
            <w:vAlign w:val="center"/>
          </w:tcPr>
          <w:p>
            <w:pPr>
              <w:pStyle w:val="7"/>
              <w:overflowPunct w:val="0"/>
              <w:topLinePunct/>
              <w:snapToGrid w:val="0"/>
              <w:jc w:val="center"/>
              <w:rPr>
                <w:color w:val="auto"/>
                <w:highlight w:val="none"/>
              </w:rPr>
            </w:pPr>
            <w:r>
              <w:rPr>
                <w:color w:val="auto"/>
                <w:highlight w:val="none"/>
              </w:rPr>
              <w:t>GPS接收器</w:t>
            </w:r>
            <w:r>
              <w:rPr>
                <w:color w:val="auto"/>
                <w:highlight w:val="none"/>
              </w:rPr>
              <w:br w:type="textWrapping"/>
            </w:r>
            <w:r>
              <w:rPr>
                <w:color w:val="auto"/>
                <w:highlight w:val="none"/>
              </w:rPr>
              <w:t>和天线</w:t>
            </w: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接收器接收灵敏度</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dBW</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捕获&lt;</w:t>
            </w:r>
            <w:r>
              <w:rPr>
                <w:rFonts w:ascii="Symbol" w:hAnsi="Symbol"/>
                <w:color w:val="auto"/>
                <w:sz w:val="18"/>
                <w:szCs w:val="18"/>
                <w:highlight w:val="none"/>
              </w:rPr>
              <w:t>－</w:t>
            </w:r>
            <w:r>
              <w:rPr>
                <w:color w:val="auto"/>
                <w:sz w:val="18"/>
                <w:szCs w:val="18"/>
                <w:highlight w:val="none"/>
              </w:rPr>
              <w:t>160，跟踪&lt;</w:t>
            </w:r>
            <w:r>
              <w:rPr>
                <w:rFonts w:ascii="Symbol" w:hAnsi="Symbol"/>
                <w:color w:val="auto"/>
                <w:sz w:val="18"/>
                <w:szCs w:val="18"/>
                <w:highlight w:val="none"/>
              </w:rPr>
              <w:t>－</w:t>
            </w:r>
            <w:r>
              <w:rPr>
                <w:color w:val="auto"/>
                <w:sz w:val="18"/>
                <w:szCs w:val="18"/>
                <w:highlight w:val="none"/>
              </w:rPr>
              <w:t>163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4</w:t>
            </w:r>
          </w:p>
        </w:tc>
        <w:tc>
          <w:tcPr>
            <w:tcW w:w="983" w:type="dxa"/>
            <w:vMerge w:val="continue"/>
            <w:tcMar>
              <w:left w:w="0" w:type="dxa"/>
              <w:right w:w="0" w:type="dxa"/>
            </w:tcMar>
            <w:vAlign w:val="center"/>
          </w:tcPr>
          <w:p>
            <w:pPr>
              <w:pStyle w:val="7"/>
              <w:overflowPunct w:val="0"/>
              <w:topLinePunct/>
              <w:snapToGrid w:val="0"/>
              <w:jc w:val="center"/>
              <w:rPr>
                <w:color w:val="auto"/>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接收器捕获时间</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min</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热</w:t>
            </w:r>
            <w:r>
              <w:rPr>
                <w:rFonts w:hint="eastAsia"/>
                <w:color w:val="auto"/>
                <w:sz w:val="18"/>
                <w:szCs w:val="18"/>
                <w:highlight w:val="none"/>
              </w:rPr>
              <w:t>启</w:t>
            </w:r>
            <w:r>
              <w:rPr>
                <w:color w:val="auto"/>
                <w:sz w:val="18"/>
                <w:szCs w:val="18"/>
                <w:highlight w:val="none"/>
              </w:rPr>
              <w:t>动时</w:t>
            </w:r>
            <w:r>
              <w:rPr>
                <w:rFonts w:hint="eastAsia" w:ascii="宋体" w:hAnsi="宋体"/>
                <w:color w:val="auto"/>
                <w:sz w:val="18"/>
                <w:szCs w:val="18"/>
                <w:highlight w:val="none"/>
              </w:rPr>
              <w:t>＜</w:t>
            </w:r>
            <w:r>
              <w:rPr>
                <w:color w:val="auto"/>
                <w:sz w:val="18"/>
                <w:szCs w:val="18"/>
                <w:highlight w:val="none"/>
              </w:rPr>
              <w:t>2 min</w:t>
            </w:r>
          </w:p>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冷</w:t>
            </w:r>
            <w:r>
              <w:rPr>
                <w:rFonts w:hint="eastAsia"/>
                <w:color w:val="auto"/>
                <w:sz w:val="18"/>
                <w:szCs w:val="18"/>
                <w:highlight w:val="none"/>
              </w:rPr>
              <w:t>启</w:t>
            </w:r>
            <w:r>
              <w:rPr>
                <w:color w:val="auto"/>
                <w:sz w:val="18"/>
                <w:szCs w:val="18"/>
                <w:highlight w:val="none"/>
              </w:rPr>
              <w:t>动</w:t>
            </w:r>
            <w:r>
              <w:rPr>
                <w:rFonts w:ascii="宋体" w:hAnsi="宋体"/>
                <w:color w:val="auto"/>
                <w:sz w:val="18"/>
                <w:szCs w:val="18"/>
                <w:highlight w:val="none"/>
              </w:rPr>
              <w:t>时</w:t>
            </w:r>
            <w:r>
              <w:rPr>
                <w:rFonts w:hint="eastAsia" w:ascii="宋体" w:hAnsi="宋体"/>
                <w:color w:val="auto"/>
                <w:sz w:val="18"/>
                <w:szCs w:val="18"/>
                <w:highlight w:val="none"/>
              </w:rPr>
              <w:t>＜</w:t>
            </w:r>
            <w:r>
              <w:rPr>
                <w:color w:val="auto"/>
                <w:sz w:val="18"/>
                <w:szCs w:val="18"/>
                <w:highlight w:val="none"/>
              </w:rPr>
              <w:t>20 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5</w:t>
            </w:r>
          </w:p>
        </w:tc>
        <w:tc>
          <w:tcPr>
            <w:tcW w:w="983" w:type="dxa"/>
            <w:vMerge w:val="continue"/>
            <w:tcMar>
              <w:left w:w="0" w:type="dxa"/>
              <w:right w:w="0" w:type="dxa"/>
            </w:tcMar>
            <w:vAlign w:val="center"/>
          </w:tcPr>
          <w:p>
            <w:pPr>
              <w:pStyle w:val="7"/>
              <w:overflowPunct w:val="0"/>
              <w:topLinePunct/>
              <w:snapToGrid w:val="0"/>
              <w:jc w:val="center"/>
              <w:rPr>
                <w:color w:val="auto"/>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接收器时间准确度</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μs</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优于1（1</w:t>
            </w:r>
            <w:r>
              <w:rPr>
                <w:rFonts w:hint="eastAsia"/>
                <w:color w:val="auto"/>
                <w:sz w:val="18"/>
                <w:szCs w:val="18"/>
                <w:highlight w:val="none"/>
              </w:rPr>
              <w:t>pps</w:t>
            </w:r>
            <w:r>
              <w:rPr>
                <w:color w:val="auto"/>
                <w:sz w:val="18"/>
                <w:szCs w:val="18"/>
                <w:highlight w:val="none"/>
              </w:rPr>
              <w:t>，相对于UTC）</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6</w:t>
            </w:r>
          </w:p>
        </w:tc>
        <w:tc>
          <w:tcPr>
            <w:tcW w:w="983" w:type="dxa"/>
            <w:vMerge w:val="continue"/>
            <w:tcMar>
              <w:left w:w="0" w:type="dxa"/>
              <w:right w:w="0" w:type="dxa"/>
            </w:tcMar>
            <w:vAlign w:val="center"/>
          </w:tcPr>
          <w:p>
            <w:pPr>
              <w:pStyle w:val="7"/>
              <w:overflowPunct w:val="0"/>
              <w:topLinePunct/>
              <w:snapToGrid w:val="0"/>
              <w:jc w:val="center"/>
              <w:rPr>
                <w:color w:val="auto"/>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接收天线灵敏度</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dBW</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rFonts w:ascii="宋体" w:hAnsi="宋体"/>
                <w:color w:val="auto"/>
                <w:sz w:val="18"/>
                <w:szCs w:val="18"/>
                <w:highlight w:val="none"/>
              </w:rPr>
              <w:t>≤</w:t>
            </w:r>
            <w:r>
              <w:rPr>
                <w:rFonts w:ascii="Symbol" w:hAnsi="Symbol"/>
                <w:color w:val="auto"/>
                <w:sz w:val="18"/>
                <w:szCs w:val="18"/>
                <w:highlight w:val="none"/>
              </w:rPr>
              <w:t>－</w:t>
            </w:r>
            <w:r>
              <w:rPr>
                <w:color w:val="auto"/>
                <w:sz w:val="18"/>
                <w:szCs w:val="18"/>
                <w:highlight w:val="none"/>
              </w:rPr>
              <w:t xml:space="preserve">163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7</w:t>
            </w:r>
          </w:p>
        </w:tc>
        <w:tc>
          <w:tcPr>
            <w:tcW w:w="983" w:type="dxa"/>
            <w:vMerge w:val="restart"/>
            <w:tcMar>
              <w:left w:w="0" w:type="dxa"/>
              <w:right w:w="0" w:type="dxa"/>
            </w:tcMar>
            <w:vAlign w:val="center"/>
          </w:tcPr>
          <w:p>
            <w:pPr>
              <w:pStyle w:val="7"/>
              <w:overflowPunct w:val="0"/>
              <w:topLinePunct/>
              <w:snapToGrid w:val="0"/>
              <w:jc w:val="center"/>
              <w:rPr>
                <w:color w:val="auto"/>
                <w:highlight w:val="none"/>
              </w:rPr>
            </w:pPr>
            <w:r>
              <w:rPr>
                <w:color w:val="auto"/>
                <w:highlight w:val="none"/>
              </w:rPr>
              <w:t>地面有线授</w:t>
            </w:r>
            <w:r>
              <w:rPr>
                <w:rFonts w:hint="eastAsia"/>
                <w:color w:val="auto"/>
                <w:highlight w:val="none"/>
              </w:rPr>
              <w:br w:type="textWrapping"/>
            </w:r>
            <w:r>
              <w:rPr>
                <w:color w:val="auto"/>
                <w:highlight w:val="none"/>
              </w:rPr>
              <w:t>时网络</w:t>
            </w:r>
          </w:p>
          <w:p>
            <w:pPr>
              <w:pStyle w:val="7"/>
              <w:overflowPunct w:val="0"/>
              <w:topLinePunct/>
              <w:snapToGrid w:val="0"/>
              <w:jc w:val="center"/>
              <w:rPr>
                <w:color w:val="auto"/>
                <w:highlight w:val="none"/>
              </w:rPr>
            </w:pPr>
          </w:p>
        </w:tc>
        <w:tc>
          <w:tcPr>
            <w:tcW w:w="2002" w:type="dxa"/>
            <w:gridSpan w:val="2"/>
            <w:tcMar>
              <w:left w:w="0" w:type="dxa"/>
              <w:right w:w="0" w:type="dxa"/>
            </w:tcMar>
            <w:vAlign w:val="center"/>
          </w:tcPr>
          <w:p>
            <w:pPr>
              <w:pStyle w:val="7"/>
              <w:overflowPunct w:val="0"/>
              <w:topLinePunct/>
              <w:snapToGrid w:val="0"/>
              <w:jc w:val="center"/>
              <w:rPr>
                <w:color w:val="auto"/>
                <w:highlight w:val="none"/>
              </w:rPr>
            </w:pPr>
            <w:r>
              <w:rPr>
                <w:color w:val="auto"/>
                <w:highlight w:val="none"/>
              </w:rPr>
              <w:t>物理接口：</w:t>
            </w:r>
          </w:p>
        </w:tc>
        <w:tc>
          <w:tcPr>
            <w:tcW w:w="628" w:type="dxa"/>
            <w:tcMar>
              <w:left w:w="0" w:type="dxa"/>
              <w:right w:w="0" w:type="dxa"/>
            </w:tcMar>
            <w:vAlign w:val="center"/>
          </w:tcPr>
          <w:p>
            <w:pPr>
              <w:pStyle w:val="7"/>
              <w:overflowPunct w:val="0"/>
              <w:topLinePunct/>
              <w:snapToGrid w:val="0"/>
              <w:jc w:val="center"/>
              <w:rPr>
                <w:color w:val="auto"/>
                <w:highlight w:val="none"/>
              </w:rPr>
            </w:pP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满足G.703 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8</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数据速率</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b</w:t>
            </w:r>
            <w:r>
              <w:rPr>
                <w:rFonts w:hint="eastAsia"/>
                <w:color w:val="auto"/>
                <w:sz w:val="18"/>
                <w:szCs w:val="18"/>
                <w:highlight w:val="none"/>
              </w:rPr>
              <w:t>it/</w:t>
            </w:r>
            <w:r>
              <w:rPr>
                <w:color w:val="auto"/>
                <w:sz w:val="18"/>
                <w:szCs w:val="18"/>
                <w:highlight w:val="none"/>
              </w:rPr>
              <w:t>s</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2.048M（</w:t>
            </w:r>
            <w:r>
              <w:rPr>
                <w:rFonts w:hint="eastAsia"/>
                <w:color w:val="auto"/>
                <w:sz w:val="18"/>
                <w:szCs w:val="18"/>
                <w:highlight w:val="none"/>
              </w:rPr>
              <w:t>＋</w:t>
            </w:r>
            <w:r>
              <w:rPr>
                <w:color w:val="auto"/>
                <w:sz w:val="18"/>
                <w:szCs w:val="18"/>
                <w:highlight w:val="none"/>
              </w:rPr>
              <w:t>/</w:t>
            </w:r>
            <w:r>
              <w:rPr>
                <w:rFonts w:ascii="Symbol" w:hAnsi="Symbol"/>
                <w:color w:val="auto"/>
                <w:sz w:val="18"/>
                <w:szCs w:val="18"/>
                <w:highlight w:val="none"/>
              </w:rPr>
              <w:t>－</w:t>
            </w:r>
            <w:r>
              <w:rPr>
                <w:color w:val="auto"/>
                <w:sz w:val="18"/>
                <w:szCs w:val="18"/>
                <w:highlight w:val="none"/>
              </w:rPr>
              <w:t>50ppm）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9</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同步方式</w:t>
            </w:r>
          </w:p>
        </w:tc>
        <w:tc>
          <w:tcPr>
            <w:tcW w:w="628" w:type="dxa"/>
            <w:tcMar>
              <w:left w:w="0" w:type="dxa"/>
              <w:right w:w="0" w:type="dxa"/>
            </w:tcMar>
            <w:vAlign w:val="center"/>
          </w:tcPr>
          <w:p>
            <w:pPr>
              <w:overflowPunct w:val="0"/>
              <w:topLinePunct/>
              <w:snapToGrid w:val="0"/>
              <w:jc w:val="center"/>
              <w:rPr>
                <w:color w:val="auto"/>
                <w:sz w:val="18"/>
                <w:szCs w:val="18"/>
                <w:highlight w:val="none"/>
              </w:rPr>
            </w:pP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设备本端同步/提取同步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10</w:t>
            </w:r>
          </w:p>
        </w:tc>
        <w:tc>
          <w:tcPr>
            <w:tcW w:w="983" w:type="dxa"/>
            <w:vMerge w:val="restart"/>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时间输出</w:t>
            </w:r>
          </w:p>
        </w:tc>
        <w:tc>
          <w:tcPr>
            <w:tcW w:w="1001" w:type="dxa"/>
            <w:vMerge w:val="restart"/>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脉冲信号</w:t>
            </w:r>
          </w:p>
        </w:tc>
        <w:tc>
          <w:tcPr>
            <w:tcW w:w="1001"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宽度</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bCs/>
                <w:color w:val="auto"/>
                <w:sz w:val="18"/>
                <w:szCs w:val="18"/>
                <w:highlight w:val="none"/>
              </w:rPr>
              <w:t>ms</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10～200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11</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001"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001"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准时沿</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ns</w:t>
            </w:r>
          </w:p>
        </w:tc>
        <w:tc>
          <w:tcPr>
            <w:tcW w:w="4169" w:type="dxa"/>
            <w:tcMar>
              <w:left w:w="0" w:type="dxa"/>
              <w:right w:w="0" w:type="dxa"/>
            </w:tcMar>
            <w:vAlign w:val="center"/>
          </w:tcPr>
          <w:p>
            <w:pPr>
              <w:overflowPunct w:val="0"/>
              <w:topLinePunct/>
              <w:snapToGrid w:val="0"/>
              <w:spacing w:before="62" w:beforeLines="20"/>
              <w:ind w:left="42" w:leftChars="20" w:right="42" w:rightChars="20" w:firstLine="180" w:firstLineChars="100"/>
              <w:rPr>
                <w:color w:val="auto"/>
                <w:sz w:val="18"/>
                <w:szCs w:val="18"/>
                <w:highlight w:val="none"/>
              </w:rPr>
            </w:pPr>
            <w:r>
              <w:rPr>
                <w:color w:val="auto"/>
                <w:sz w:val="18"/>
                <w:szCs w:val="18"/>
                <w:highlight w:val="none"/>
              </w:rPr>
              <w:t>TTL电平：上升沿，上升时间</w:t>
            </w:r>
            <w:r>
              <w:rPr>
                <w:rFonts w:ascii="宋体" w:hAnsi="宋体"/>
                <w:color w:val="auto"/>
                <w:sz w:val="18"/>
                <w:szCs w:val="18"/>
                <w:highlight w:val="none"/>
              </w:rPr>
              <w:t>≤</w:t>
            </w:r>
            <w:r>
              <w:rPr>
                <w:color w:val="auto"/>
                <w:sz w:val="18"/>
                <w:szCs w:val="18"/>
                <w:highlight w:val="none"/>
              </w:rPr>
              <w:t>100；</w:t>
            </w:r>
          </w:p>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RS-422、RS-485：上升沿，上升时间</w:t>
            </w:r>
            <w:r>
              <w:rPr>
                <w:rFonts w:ascii="宋体" w:hAnsi="宋体"/>
                <w:color w:val="auto"/>
                <w:sz w:val="18"/>
                <w:szCs w:val="18"/>
                <w:highlight w:val="none"/>
              </w:rPr>
              <w:t>≤</w:t>
            </w:r>
            <w:r>
              <w:rPr>
                <w:color w:val="auto"/>
                <w:sz w:val="18"/>
                <w:szCs w:val="18"/>
                <w:highlight w:val="none"/>
              </w:rPr>
              <w:t>100；</w:t>
            </w:r>
          </w:p>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光纤：上升沿，上升时间</w:t>
            </w:r>
            <w:r>
              <w:rPr>
                <w:rFonts w:ascii="宋体" w:hAnsi="宋体"/>
                <w:color w:val="auto"/>
                <w:sz w:val="18"/>
                <w:szCs w:val="18"/>
                <w:highlight w:val="none"/>
              </w:rPr>
              <w:t>≤</w:t>
            </w:r>
            <w:r>
              <w:rPr>
                <w:color w:val="auto"/>
                <w:sz w:val="18"/>
                <w:szCs w:val="18"/>
                <w:highlight w:val="none"/>
              </w:rPr>
              <w:t>100；</w:t>
            </w:r>
          </w:p>
          <w:p>
            <w:pPr>
              <w:overflowPunct w:val="0"/>
              <w:topLinePunct/>
              <w:snapToGrid w:val="0"/>
              <w:spacing w:after="62" w:afterLines="20"/>
              <w:ind w:left="42" w:leftChars="20" w:right="42" w:rightChars="20" w:firstLine="180" w:firstLineChars="100"/>
              <w:rPr>
                <w:color w:val="auto"/>
                <w:sz w:val="18"/>
                <w:szCs w:val="18"/>
                <w:highlight w:val="none"/>
              </w:rPr>
            </w:pPr>
            <w:r>
              <w:rPr>
                <w:color w:val="auto"/>
                <w:sz w:val="18"/>
                <w:szCs w:val="18"/>
                <w:highlight w:val="none"/>
              </w:rPr>
              <w:t>静态空接点：上升沿，上升时间</w:t>
            </w:r>
            <w:r>
              <w:rPr>
                <w:rFonts w:ascii="宋体" w:hAnsi="宋体"/>
                <w:color w:val="auto"/>
                <w:sz w:val="18"/>
                <w:szCs w:val="18"/>
                <w:highlight w:val="none"/>
              </w:rPr>
              <w:t>≤</w:t>
            </w:r>
            <w:r>
              <w:rPr>
                <w:color w:val="auto"/>
                <w:sz w:val="18"/>
                <w:szCs w:val="18"/>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12</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001"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001"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准确度</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μs</w:t>
            </w:r>
          </w:p>
        </w:tc>
        <w:tc>
          <w:tcPr>
            <w:tcW w:w="4169" w:type="dxa"/>
            <w:tcMar>
              <w:left w:w="0" w:type="dxa"/>
              <w:right w:w="0" w:type="dxa"/>
            </w:tcMar>
            <w:vAlign w:val="center"/>
          </w:tcPr>
          <w:p>
            <w:pPr>
              <w:overflowPunct w:val="0"/>
              <w:topLinePunct/>
              <w:snapToGrid w:val="0"/>
              <w:spacing w:before="62" w:beforeLines="20"/>
              <w:ind w:left="42" w:leftChars="20" w:right="42" w:rightChars="20" w:firstLine="180" w:firstLineChars="100"/>
              <w:rPr>
                <w:rFonts w:hint="eastAsia"/>
                <w:color w:val="auto"/>
                <w:sz w:val="18"/>
                <w:szCs w:val="18"/>
                <w:highlight w:val="none"/>
              </w:rPr>
            </w:pPr>
            <w:r>
              <w:rPr>
                <w:color w:val="auto"/>
                <w:sz w:val="18"/>
                <w:szCs w:val="18"/>
                <w:highlight w:val="none"/>
              </w:rPr>
              <w:t>TTL电平：</w:t>
            </w:r>
            <w:r>
              <w:rPr>
                <w:rFonts w:ascii="宋体" w:hAnsi="宋体"/>
                <w:color w:val="auto"/>
                <w:sz w:val="18"/>
                <w:szCs w:val="18"/>
                <w:highlight w:val="none"/>
              </w:rPr>
              <w:t>≤</w:t>
            </w:r>
            <w:r>
              <w:rPr>
                <w:color w:val="auto"/>
                <w:sz w:val="18"/>
                <w:szCs w:val="18"/>
                <w:highlight w:val="none"/>
              </w:rPr>
              <w:t>1</w:t>
            </w:r>
            <w:r>
              <w:rPr>
                <w:rFonts w:hint="eastAsia"/>
                <w:color w:val="auto"/>
                <w:sz w:val="18"/>
                <w:szCs w:val="18"/>
                <w:highlight w:val="none"/>
              </w:rPr>
              <w:t>；</w:t>
            </w:r>
          </w:p>
          <w:p>
            <w:pPr>
              <w:overflowPunct w:val="0"/>
              <w:topLinePunct/>
              <w:snapToGrid w:val="0"/>
              <w:ind w:left="42" w:leftChars="20" w:right="42" w:rightChars="20" w:firstLine="180" w:firstLineChars="100"/>
              <w:rPr>
                <w:rFonts w:hint="eastAsia"/>
                <w:color w:val="auto"/>
                <w:sz w:val="18"/>
                <w:szCs w:val="18"/>
                <w:highlight w:val="none"/>
              </w:rPr>
            </w:pPr>
            <w:r>
              <w:rPr>
                <w:color w:val="auto"/>
                <w:sz w:val="18"/>
                <w:szCs w:val="18"/>
                <w:highlight w:val="none"/>
              </w:rPr>
              <w:t>RS-422、RS-485：</w:t>
            </w:r>
            <w:r>
              <w:rPr>
                <w:rFonts w:ascii="宋体" w:hAnsi="宋体"/>
                <w:color w:val="auto"/>
                <w:sz w:val="18"/>
                <w:szCs w:val="18"/>
                <w:highlight w:val="none"/>
              </w:rPr>
              <w:t>≤</w:t>
            </w:r>
            <w:r>
              <w:rPr>
                <w:color w:val="auto"/>
                <w:sz w:val="18"/>
                <w:szCs w:val="18"/>
                <w:highlight w:val="none"/>
              </w:rPr>
              <w:t>1</w:t>
            </w:r>
            <w:r>
              <w:rPr>
                <w:rFonts w:hint="eastAsia"/>
                <w:color w:val="auto"/>
                <w:sz w:val="18"/>
                <w:szCs w:val="18"/>
                <w:highlight w:val="none"/>
              </w:rPr>
              <w:t>；</w:t>
            </w:r>
          </w:p>
          <w:p>
            <w:pPr>
              <w:overflowPunct w:val="0"/>
              <w:topLinePunct/>
              <w:snapToGrid w:val="0"/>
              <w:ind w:left="42" w:leftChars="20" w:right="42" w:rightChars="20" w:firstLine="180" w:firstLineChars="100"/>
              <w:rPr>
                <w:rFonts w:hint="eastAsia"/>
                <w:color w:val="auto"/>
                <w:sz w:val="18"/>
                <w:szCs w:val="18"/>
                <w:highlight w:val="none"/>
              </w:rPr>
            </w:pPr>
            <w:r>
              <w:rPr>
                <w:color w:val="auto"/>
                <w:sz w:val="18"/>
                <w:szCs w:val="18"/>
                <w:highlight w:val="none"/>
              </w:rPr>
              <w:t>光纤：</w:t>
            </w:r>
            <w:r>
              <w:rPr>
                <w:rFonts w:ascii="宋体" w:hAnsi="宋体"/>
                <w:color w:val="auto"/>
                <w:sz w:val="18"/>
                <w:szCs w:val="18"/>
                <w:highlight w:val="none"/>
              </w:rPr>
              <w:t>≤</w:t>
            </w:r>
            <w:r>
              <w:rPr>
                <w:color w:val="auto"/>
                <w:sz w:val="18"/>
                <w:szCs w:val="18"/>
                <w:highlight w:val="none"/>
              </w:rPr>
              <w:t>1</w:t>
            </w:r>
            <w:r>
              <w:rPr>
                <w:rFonts w:hint="eastAsia"/>
                <w:color w:val="auto"/>
                <w:sz w:val="18"/>
                <w:szCs w:val="18"/>
                <w:highlight w:val="none"/>
              </w:rPr>
              <w:t>；</w:t>
            </w:r>
          </w:p>
          <w:p>
            <w:pPr>
              <w:overflowPunct w:val="0"/>
              <w:topLinePunct/>
              <w:snapToGrid w:val="0"/>
              <w:spacing w:after="62" w:afterLines="20"/>
              <w:ind w:left="42" w:leftChars="20" w:right="42" w:rightChars="20" w:firstLine="180" w:firstLineChars="100"/>
              <w:rPr>
                <w:color w:val="auto"/>
                <w:sz w:val="18"/>
                <w:szCs w:val="18"/>
                <w:highlight w:val="none"/>
              </w:rPr>
            </w:pPr>
            <w:r>
              <w:rPr>
                <w:color w:val="auto"/>
                <w:sz w:val="18"/>
                <w:szCs w:val="18"/>
                <w:highlight w:val="none"/>
              </w:rPr>
              <w:t>静态空接点：</w:t>
            </w:r>
            <w:r>
              <w:rPr>
                <w:rFonts w:ascii="宋体" w:hAnsi="宋体"/>
                <w:color w:val="auto"/>
                <w:sz w:val="18"/>
                <w:szCs w:val="18"/>
                <w:highlight w:val="none"/>
              </w:rPr>
              <w:t>≤</w:t>
            </w:r>
            <w:r>
              <w:rPr>
                <w:color w:val="auto"/>
                <w:sz w:val="18"/>
                <w:szCs w:val="18"/>
                <w:highlight w:val="none"/>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13</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IRIG-B（DC）码准确度</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μs</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rFonts w:ascii="宋体" w:hAnsi="宋体"/>
                <w:color w:val="auto"/>
                <w:sz w:val="18"/>
                <w:szCs w:val="18"/>
                <w:highlight w:val="none"/>
              </w:rPr>
              <w:t>≤</w:t>
            </w:r>
            <w:r>
              <w:rPr>
                <w:color w:val="auto"/>
                <w:sz w:val="18"/>
                <w:szCs w:val="18"/>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14</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IRIG-B（AC）码时间准确度</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μs</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rFonts w:ascii="宋体" w:hAnsi="宋体"/>
                <w:color w:val="auto"/>
                <w:sz w:val="18"/>
                <w:szCs w:val="18"/>
                <w:highlight w:val="none"/>
              </w:rPr>
              <w:t>≤</w:t>
            </w:r>
            <w:r>
              <w:rPr>
                <w:color w:val="auto"/>
                <w:sz w:val="18"/>
                <w:szCs w:val="18"/>
                <w:highlight w:val="none"/>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15</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串行报文时间准确度</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ms</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rFonts w:ascii="宋体" w:hAnsi="宋体"/>
                <w:color w:val="auto"/>
                <w:sz w:val="18"/>
                <w:szCs w:val="18"/>
                <w:highlight w:val="none"/>
              </w:rPr>
              <w:t>≤</w:t>
            </w:r>
            <w:r>
              <w:rPr>
                <w:color w:val="auto"/>
                <w:sz w:val="18"/>
                <w:szCs w:val="18"/>
                <w:highlight w:val="none"/>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16</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001" w:type="dxa"/>
            <w:vMerge w:val="restart"/>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网络授时</w:t>
            </w:r>
            <w:r>
              <w:rPr>
                <w:rFonts w:hint="eastAsia"/>
                <w:color w:val="auto"/>
                <w:sz w:val="18"/>
                <w:szCs w:val="18"/>
                <w:highlight w:val="none"/>
              </w:rPr>
              <w:br w:type="textWrapping"/>
            </w:r>
            <w:r>
              <w:rPr>
                <w:color w:val="auto"/>
                <w:sz w:val="18"/>
                <w:szCs w:val="18"/>
                <w:highlight w:val="none"/>
              </w:rPr>
              <w:t>时间准确度</w:t>
            </w:r>
          </w:p>
        </w:tc>
        <w:tc>
          <w:tcPr>
            <w:tcW w:w="1001"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NTP、SNTP</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ms</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rFonts w:ascii="宋体" w:hAnsi="宋体"/>
                <w:color w:val="auto"/>
                <w:sz w:val="18"/>
                <w:szCs w:val="18"/>
                <w:highlight w:val="none"/>
              </w:rPr>
              <w:t>≤</w:t>
            </w:r>
            <w:r>
              <w:rPr>
                <w:color w:val="auto"/>
                <w:sz w:val="18"/>
                <w:szCs w:val="18"/>
                <w:highlight w:val="none"/>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17</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001"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1001"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pTP</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μs</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rFonts w:ascii="宋体" w:hAnsi="宋体"/>
                <w:color w:val="auto"/>
                <w:sz w:val="18"/>
                <w:szCs w:val="18"/>
                <w:highlight w:val="none"/>
              </w:rPr>
              <w:t>≤</w:t>
            </w:r>
            <w:r>
              <w:rPr>
                <w:color w:val="auto"/>
                <w:sz w:val="18"/>
                <w:szCs w:val="18"/>
                <w:highlight w:val="none"/>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18</w:t>
            </w:r>
          </w:p>
        </w:tc>
        <w:tc>
          <w:tcPr>
            <w:tcW w:w="983" w:type="dxa"/>
            <w:vMerge w:val="restart"/>
            <w:tcMar>
              <w:left w:w="0" w:type="dxa"/>
              <w:right w:w="0" w:type="dxa"/>
            </w:tcMar>
            <w:vAlign w:val="center"/>
          </w:tcPr>
          <w:p>
            <w:pPr>
              <w:pStyle w:val="7"/>
              <w:overflowPunct w:val="0"/>
              <w:topLinePunct/>
              <w:snapToGrid w:val="0"/>
              <w:jc w:val="center"/>
              <w:rPr>
                <w:color w:val="auto"/>
                <w:highlight w:val="none"/>
              </w:rPr>
            </w:pPr>
            <w:r>
              <w:rPr>
                <w:color w:val="auto"/>
                <w:highlight w:val="none"/>
              </w:rPr>
              <w:t>守时单元</w:t>
            </w: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频率准确度</w:t>
            </w:r>
          </w:p>
        </w:tc>
        <w:tc>
          <w:tcPr>
            <w:tcW w:w="628" w:type="dxa"/>
            <w:tcMar>
              <w:left w:w="0" w:type="dxa"/>
              <w:right w:w="0" w:type="dxa"/>
            </w:tcMar>
            <w:vAlign w:val="center"/>
          </w:tcPr>
          <w:p>
            <w:pPr>
              <w:overflowPunct w:val="0"/>
              <w:topLinePunct/>
              <w:snapToGrid w:val="0"/>
              <w:jc w:val="center"/>
              <w:rPr>
                <w:color w:val="auto"/>
                <w:sz w:val="18"/>
                <w:szCs w:val="18"/>
                <w:highlight w:val="none"/>
              </w:rPr>
            </w:pP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恒温晶体钟：</w:t>
            </w:r>
            <w:r>
              <w:rPr>
                <w:rFonts w:ascii="宋体" w:hAnsi="宋体"/>
                <w:color w:val="auto"/>
                <w:sz w:val="18"/>
                <w:szCs w:val="18"/>
                <w:highlight w:val="none"/>
              </w:rPr>
              <w:t>≤</w:t>
            </w:r>
            <w:r>
              <w:rPr>
                <w:color w:val="auto"/>
                <w:sz w:val="18"/>
                <w:szCs w:val="18"/>
                <w:highlight w:val="none"/>
              </w:rPr>
              <w:t>3</w:t>
            </w:r>
            <w:r>
              <w:rPr>
                <w:rFonts w:hint="eastAsia" w:ascii="宋体" w:hAnsi="宋体"/>
                <w:color w:val="auto"/>
                <w:sz w:val="18"/>
                <w:szCs w:val="18"/>
                <w:highlight w:val="none"/>
              </w:rPr>
              <w:t>×</w:t>
            </w:r>
            <w:r>
              <w:rPr>
                <w:color w:val="auto"/>
                <w:sz w:val="18"/>
                <w:szCs w:val="18"/>
                <w:highlight w:val="none"/>
              </w:rPr>
              <w:t>10</w:t>
            </w:r>
            <w:r>
              <w:rPr>
                <w:color w:val="auto"/>
                <w:sz w:val="18"/>
                <w:szCs w:val="18"/>
                <w:highlight w:val="none"/>
                <w:vertAlign w:val="superscript"/>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19</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保持时间</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min</w:t>
            </w:r>
          </w:p>
        </w:tc>
        <w:tc>
          <w:tcPr>
            <w:tcW w:w="4169" w:type="dxa"/>
            <w:tcMar>
              <w:left w:w="0" w:type="dxa"/>
              <w:right w:w="0" w:type="dxa"/>
            </w:tcMar>
            <w:vAlign w:val="center"/>
          </w:tcPr>
          <w:p>
            <w:pPr>
              <w:overflowPunct w:val="0"/>
              <w:topLinePunct/>
              <w:snapToGrid w:val="0"/>
              <w:ind w:left="42" w:leftChars="20" w:right="42" w:rightChars="20" w:firstLine="180" w:firstLineChars="100"/>
              <w:rPr>
                <w:rFonts w:hint="eastAsia"/>
                <w:color w:val="auto"/>
                <w:sz w:val="18"/>
                <w:szCs w:val="18"/>
                <w:highlight w:val="none"/>
              </w:rPr>
            </w:pPr>
            <w:r>
              <w:rPr>
                <w:color w:val="auto"/>
                <w:sz w:val="18"/>
                <w:szCs w:val="18"/>
                <w:highlight w:val="none"/>
              </w:rPr>
              <w:t>恒温晶体钟：</w:t>
            </w:r>
            <w:r>
              <w:rPr>
                <w:rFonts w:ascii="宋体" w:hAnsi="宋体"/>
                <w:color w:val="auto"/>
                <w:sz w:val="18"/>
                <w:szCs w:val="18"/>
                <w:highlight w:val="none"/>
              </w:rPr>
              <w:t>≥</w:t>
            </w:r>
            <w:r>
              <w:rPr>
                <w:rFonts w:hint="eastAsia"/>
                <w:color w:val="auto"/>
                <w:sz w:val="18"/>
                <w:szCs w:val="18"/>
                <w:highlight w:val="none"/>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20</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内部电池</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h</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rFonts w:ascii="宋体" w:hAnsi="宋体"/>
                <w:color w:val="auto"/>
                <w:sz w:val="18"/>
                <w:szCs w:val="18"/>
                <w:highlight w:val="none"/>
              </w:rPr>
              <w:t>≥</w:t>
            </w:r>
            <w:r>
              <w:rPr>
                <w:color w:val="auto"/>
                <w:sz w:val="18"/>
                <w:szCs w:val="18"/>
                <w:highlight w:val="none"/>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21</w:t>
            </w:r>
          </w:p>
        </w:tc>
        <w:tc>
          <w:tcPr>
            <w:tcW w:w="983" w:type="dxa"/>
            <w:vMerge w:val="restart"/>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电源</w:t>
            </w: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交流电源</w:t>
            </w:r>
          </w:p>
        </w:tc>
        <w:tc>
          <w:tcPr>
            <w:tcW w:w="628" w:type="dxa"/>
            <w:tcMar>
              <w:left w:w="0" w:type="dxa"/>
              <w:right w:w="0" w:type="dxa"/>
            </w:tcMar>
            <w:vAlign w:val="center"/>
          </w:tcPr>
          <w:p>
            <w:pPr>
              <w:overflowPunct w:val="0"/>
              <w:topLinePunct/>
              <w:snapToGrid w:val="0"/>
              <w:jc w:val="center"/>
              <w:rPr>
                <w:color w:val="auto"/>
                <w:sz w:val="18"/>
                <w:szCs w:val="18"/>
                <w:highlight w:val="none"/>
              </w:rPr>
            </w:pPr>
          </w:p>
        </w:tc>
        <w:tc>
          <w:tcPr>
            <w:tcW w:w="4169" w:type="dxa"/>
            <w:tcMar>
              <w:left w:w="0" w:type="dxa"/>
              <w:right w:w="0" w:type="dxa"/>
            </w:tcMar>
            <w:vAlign w:val="center"/>
          </w:tcPr>
          <w:p>
            <w:pPr>
              <w:overflowPunct w:val="0"/>
              <w:topLinePunct/>
              <w:snapToGrid w:val="0"/>
              <w:spacing w:before="62" w:beforeLines="20"/>
              <w:ind w:left="42" w:leftChars="20" w:right="42" w:rightChars="20" w:firstLine="180" w:firstLineChars="100"/>
              <w:rPr>
                <w:rFonts w:hint="eastAsia"/>
                <w:color w:val="auto"/>
                <w:sz w:val="18"/>
                <w:szCs w:val="18"/>
                <w:highlight w:val="none"/>
              </w:rPr>
            </w:pPr>
            <w:r>
              <w:rPr>
                <w:color w:val="auto"/>
                <w:sz w:val="18"/>
                <w:szCs w:val="18"/>
                <w:highlight w:val="none"/>
              </w:rPr>
              <w:t>电压：220 V，</w:t>
            </w:r>
            <w:r>
              <w:rPr>
                <w:rFonts w:hint="eastAsia"/>
                <w:color w:val="auto"/>
                <w:sz w:val="18"/>
                <w:szCs w:val="18"/>
                <w:highlight w:val="none"/>
              </w:rPr>
              <w:t>－</w:t>
            </w:r>
            <w:r>
              <w:rPr>
                <w:color w:val="auto"/>
                <w:sz w:val="18"/>
                <w:szCs w:val="18"/>
                <w:highlight w:val="none"/>
              </w:rPr>
              <w:t>20％～</w:t>
            </w:r>
            <w:r>
              <w:rPr>
                <w:rFonts w:hint="eastAsia"/>
                <w:color w:val="auto"/>
                <w:sz w:val="18"/>
                <w:szCs w:val="18"/>
                <w:highlight w:val="none"/>
              </w:rPr>
              <w:t>＋</w:t>
            </w:r>
            <w:r>
              <w:rPr>
                <w:color w:val="auto"/>
                <w:sz w:val="18"/>
                <w:szCs w:val="18"/>
                <w:highlight w:val="none"/>
              </w:rPr>
              <w:t>15％</w:t>
            </w:r>
            <w:r>
              <w:rPr>
                <w:rFonts w:hint="eastAsia"/>
                <w:color w:val="auto"/>
                <w:sz w:val="18"/>
                <w:szCs w:val="18"/>
                <w:highlight w:val="none"/>
              </w:rPr>
              <w:t>；</w:t>
            </w:r>
          </w:p>
          <w:p>
            <w:pPr>
              <w:overflowPunct w:val="0"/>
              <w:topLinePunct/>
              <w:snapToGrid w:val="0"/>
              <w:ind w:left="42" w:leftChars="20" w:right="42" w:rightChars="20" w:firstLine="180" w:firstLineChars="100"/>
              <w:rPr>
                <w:rFonts w:hint="eastAsia"/>
                <w:color w:val="auto"/>
                <w:sz w:val="18"/>
                <w:szCs w:val="18"/>
                <w:highlight w:val="none"/>
              </w:rPr>
            </w:pPr>
            <w:r>
              <w:rPr>
                <w:color w:val="auto"/>
                <w:sz w:val="18"/>
                <w:szCs w:val="18"/>
                <w:highlight w:val="none"/>
              </w:rPr>
              <w:t>频率：50 Hz</w:t>
            </w:r>
            <w:r>
              <w:rPr>
                <w:rFonts w:ascii="宋体" w:hAnsi="宋体"/>
                <w:color w:val="auto"/>
                <w:sz w:val="18"/>
                <w:szCs w:val="18"/>
                <w:highlight w:val="none"/>
              </w:rPr>
              <w:t>，</w:t>
            </w:r>
            <w:r>
              <w:rPr>
                <w:rFonts w:hint="eastAsia" w:ascii="宋体" w:hAnsi="宋体"/>
                <w:color w:val="auto"/>
                <w:sz w:val="18"/>
                <w:szCs w:val="18"/>
                <w:highlight w:val="none"/>
              </w:rPr>
              <w:t>±</w:t>
            </w:r>
            <w:r>
              <w:rPr>
                <w:color w:val="auto"/>
                <w:sz w:val="18"/>
                <w:szCs w:val="18"/>
                <w:highlight w:val="none"/>
              </w:rPr>
              <w:t>5％</w:t>
            </w:r>
            <w:r>
              <w:rPr>
                <w:rFonts w:hint="eastAsia"/>
                <w:color w:val="auto"/>
                <w:sz w:val="18"/>
                <w:szCs w:val="18"/>
                <w:highlight w:val="none"/>
              </w:rPr>
              <w:t>；</w:t>
            </w:r>
          </w:p>
          <w:p>
            <w:pPr>
              <w:overflowPunct w:val="0"/>
              <w:topLinePunct/>
              <w:snapToGrid w:val="0"/>
              <w:spacing w:after="62" w:afterLines="20"/>
              <w:ind w:left="42" w:leftChars="20" w:right="42" w:rightChars="20" w:firstLine="180" w:firstLineChars="100"/>
              <w:rPr>
                <w:color w:val="auto"/>
                <w:sz w:val="18"/>
                <w:szCs w:val="18"/>
                <w:highlight w:val="none"/>
              </w:rPr>
            </w:pPr>
            <w:r>
              <w:rPr>
                <w:color w:val="auto"/>
                <w:sz w:val="18"/>
                <w:szCs w:val="18"/>
                <w:highlight w:val="none"/>
              </w:rPr>
              <w:t>谐波含量小于5％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22</w:t>
            </w:r>
          </w:p>
        </w:tc>
        <w:tc>
          <w:tcPr>
            <w:tcW w:w="983" w:type="dxa"/>
            <w:vMerge w:val="continue"/>
            <w:tcMar>
              <w:left w:w="0" w:type="dxa"/>
              <w:right w:w="0" w:type="dxa"/>
            </w:tcMar>
            <w:vAlign w:val="center"/>
          </w:tcPr>
          <w:p>
            <w:pPr>
              <w:overflowPunct w:val="0"/>
              <w:topLinePunct/>
              <w:snapToGrid w:val="0"/>
              <w:jc w:val="center"/>
              <w:rPr>
                <w:color w:val="auto"/>
                <w:sz w:val="18"/>
                <w:szCs w:val="18"/>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直流电源</w:t>
            </w:r>
          </w:p>
        </w:tc>
        <w:tc>
          <w:tcPr>
            <w:tcW w:w="628" w:type="dxa"/>
            <w:tcMar>
              <w:left w:w="0" w:type="dxa"/>
              <w:right w:w="0" w:type="dxa"/>
            </w:tcMar>
            <w:vAlign w:val="center"/>
          </w:tcPr>
          <w:p>
            <w:pPr>
              <w:overflowPunct w:val="0"/>
              <w:topLinePunct/>
              <w:snapToGrid w:val="0"/>
              <w:jc w:val="center"/>
              <w:rPr>
                <w:color w:val="auto"/>
                <w:sz w:val="18"/>
                <w:szCs w:val="18"/>
                <w:highlight w:val="none"/>
              </w:rPr>
            </w:pPr>
          </w:p>
        </w:tc>
        <w:tc>
          <w:tcPr>
            <w:tcW w:w="4169" w:type="dxa"/>
            <w:tcMar>
              <w:left w:w="0" w:type="dxa"/>
              <w:right w:w="0" w:type="dxa"/>
            </w:tcMar>
            <w:vAlign w:val="center"/>
          </w:tcPr>
          <w:p>
            <w:pPr>
              <w:overflowPunct w:val="0"/>
              <w:topLinePunct/>
              <w:snapToGrid w:val="0"/>
              <w:spacing w:before="62" w:beforeLines="20"/>
              <w:ind w:left="42" w:leftChars="20" w:right="42" w:rightChars="20" w:firstLine="180" w:firstLineChars="100"/>
              <w:rPr>
                <w:rFonts w:hint="eastAsia"/>
                <w:color w:val="auto"/>
                <w:sz w:val="18"/>
                <w:szCs w:val="18"/>
                <w:highlight w:val="none"/>
              </w:rPr>
            </w:pPr>
            <w:r>
              <w:rPr>
                <w:color w:val="auto"/>
                <w:sz w:val="18"/>
                <w:szCs w:val="18"/>
                <w:highlight w:val="none"/>
              </w:rPr>
              <w:t>电压：220/110/48</w:t>
            </w:r>
            <w:r>
              <w:rPr>
                <w:rFonts w:hint="eastAsia"/>
                <w:color w:val="auto"/>
                <w:sz w:val="18"/>
                <w:szCs w:val="18"/>
                <w:highlight w:val="none"/>
              </w:rPr>
              <w:t>V</w:t>
            </w:r>
            <w:r>
              <w:rPr>
                <w:color w:val="auto"/>
                <w:sz w:val="18"/>
                <w:szCs w:val="18"/>
                <w:highlight w:val="none"/>
              </w:rPr>
              <w:t>，</w:t>
            </w:r>
            <w:r>
              <w:rPr>
                <w:rFonts w:hint="eastAsia"/>
                <w:color w:val="auto"/>
                <w:sz w:val="18"/>
                <w:szCs w:val="18"/>
                <w:highlight w:val="none"/>
              </w:rPr>
              <w:t>－</w:t>
            </w:r>
            <w:r>
              <w:rPr>
                <w:color w:val="auto"/>
                <w:sz w:val="18"/>
                <w:szCs w:val="18"/>
                <w:highlight w:val="none"/>
              </w:rPr>
              <w:t>20％～</w:t>
            </w:r>
            <w:r>
              <w:rPr>
                <w:rFonts w:hint="eastAsia"/>
                <w:color w:val="auto"/>
                <w:sz w:val="18"/>
                <w:szCs w:val="18"/>
                <w:highlight w:val="none"/>
              </w:rPr>
              <w:t>＋</w:t>
            </w:r>
            <w:r>
              <w:rPr>
                <w:color w:val="auto"/>
                <w:sz w:val="18"/>
                <w:szCs w:val="18"/>
                <w:highlight w:val="none"/>
              </w:rPr>
              <w:t>15％</w:t>
            </w:r>
            <w:r>
              <w:rPr>
                <w:rFonts w:hint="eastAsia"/>
                <w:color w:val="auto"/>
                <w:sz w:val="18"/>
                <w:szCs w:val="18"/>
                <w:highlight w:val="none"/>
              </w:rPr>
              <w:t>；</w:t>
            </w:r>
          </w:p>
          <w:p>
            <w:pPr>
              <w:overflowPunct w:val="0"/>
              <w:topLinePunct/>
              <w:snapToGrid w:val="0"/>
              <w:spacing w:after="62" w:afterLines="20"/>
              <w:ind w:left="42" w:leftChars="20" w:right="42" w:rightChars="20" w:firstLine="180" w:firstLineChars="100"/>
              <w:rPr>
                <w:color w:val="auto"/>
                <w:sz w:val="18"/>
                <w:szCs w:val="18"/>
                <w:highlight w:val="none"/>
              </w:rPr>
            </w:pPr>
            <w:r>
              <w:rPr>
                <w:color w:val="auto"/>
                <w:sz w:val="18"/>
                <w:szCs w:val="18"/>
                <w:highlight w:val="none"/>
              </w:rPr>
              <w:t>纹波系数：小于5％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23</w:t>
            </w:r>
          </w:p>
        </w:tc>
        <w:tc>
          <w:tcPr>
            <w:tcW w:w="983" w:type="dxa"/>
            <w:vMerge w:val="continue"/>
            <w:tcMar>
              <w:left w:w="0" w:type="dxa"/>
              <w:right w:w="0" w:type="dxa"/>
            </w:tcMar>
            <w:vAlign w:val="center"/>
          </w:tcPr>
          <w:p>
            <w:pPr>
              <w:pStyle w:val="7"/>
              <w:overflowPunct w:val="0"/>
              <w:topLinePunct/>
              <w:snapToGrid w:val="0"/>
              <w:jc w:val="center"/>
              <w:rPr>
                <w:color w:val="auto"/>
                <w:highlight w:val="none"/>
              </w:rPr>
            </w:pPr>
          </w:p>
        </w:tc>
        <w:tc>
          <w:tcPr>
            <w:tcW w:w="2002" w:type="dxa"/>
            <w:gridSpan w:val="2"/>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供电方式</w:t>
            </w:r>
          </w:p>
        </w:tc>
        <w:tc>
          <w:tcPr>
            <w:tcW w:w="628" w:type="dxa"/>
            <w:tcMar>
              <w:left w:w="0" w:type="dxa"/>
              <w:right w:w="0" w:type="dxa"/>
            </w:tcMar>
            <w:vAlign w:val="center"/>
          </w:tcPr>
          <w:p>
            <w:pPr>
              <w:overflowPunct w:val="0"/>
              <w:topLinePunct/>
              <w:snapToGrid w:val="0"/>
              <w:jc w:val="center"/>
              <w:rPr>
                <w:color w:val="auto"/>
                <w:sz w:val="18"/>
                <w:szCs w:val="18"/>
                <w:highlight w:val="none"/>
              </w:rPr>
            </w:pP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color w:val="auto"/>
                <w:sz w:val="18"/>
                <w:szCs w:val="18"/>
                <w:highlight w:val="none"/>
              </w:rPr>
              <w:t>双电源供电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46"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24</w:t>
            </w:r>
          </w:p>
        </w:tc>
        <w:tc>
          <w:tcPr>
            <w:tcW w:w="2985" w:type="dxa"/>
            <w:gridSpan w:val="3"/>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可靠性（MTBF）</w:t>
            </w:r>
          </w:p>
        </w:tc>
        <w:tc>
          <w:tcPr>
            <w:tcW w:w="628" w:type="dxa"/>
            <w:tcMar>
              <w:left w:w="0" w:type="dxa"/>
              <w:right w:w="0" w:type="dxa"/>
            </w:tcMar>
            <w:vAlign w:val="center"/>
          </w:tcPr>
          <w:p>
            <w:pPr>
              <w:overflowPunct w:val="0"/>
              <w:topLinePunct/>
              <w:snapToGrid w:val="0"/>
              <w:jc w:val="center"/>
              <w:rPr>
                <w:color w:val="auto"/>
                <w:sz w:val="18"/>
                <w:szCs w:val="18"/>
                <w:highlight w:val="none"/>
              </w:rPr>
            </w:pPr>
            <w:r>
              <w:rPr>
                <w:color w:val="auto"/>
                <w:sz w:val="18"/>
                <w:szCs w:val="18"/>
                <w:highlight w:val="none"/>
              </w:rPr>
              <w:t>h</w:t>
            </w:r>
          </w:p>
        </w:tc>
        <w:tc>
          <w:tcPr>
            <w:tcW w:w="4169" w:type="dxa"/>
            <w:tcMar>
              <w:left w:w="0" w:type="dxa"/>
              <w:right w:w="0" w:type="dxa"/>
            </w:tcMar>
            <w:vAlign w:val="center"/>
          </w:tcPr>
          <w:p>
            <w:pPr>
              <w:overflowPunct w:val="0"/>
              <w:topLinePunct/>
              <w:snapToGrid w:val="0"/>
              <w:ind w:left="42" w:leftChars="20" w:right="42" w:rightChars="20" w:firstLine="180" w:firstLineChars="100"/>
              <w:rPr>
                <w:color w:val="auto"/>
                <w:sz w:val="18"/>
                <w:szCs w:val="18"/>
                <w:highlight w:val="none"/>
              </w:rPr>
            </w:pPr>
            <w:r>
              <w:rPr>
                <w:rFonts w:ascii="宋体" w:hAnsi="宋体"/>
                <w:color w:val="auto"/>
                <w:sz w:val="18"/>
                <w:szCs w:val="18"/>
                <w:highlight w:val="none"/>
              </w:rPr>
              <w:t>≥</w:t>
            </w:r>
            <w:r>
              <w:rPr>
                <w:color w:val="auto"/>
                <w:sz w:val="18"/>
                <w:szCs w:val="18"/>
                <w:highlight w:val="none"/>
              </w:rPr>
              <w:t>25000</w:t>
            </w:r>
          </w:p>
        </w:tc>
      </w:tr>
    </w:tbl>
    <w:p>
      <w:pPr>
        <w:adjustRightInd w:val="0"/>
        <w:snapToGrid w:val="0"/>
        <w:spacing w:line="360" w:lineRule="auto"/>
        <w:rPr>
          <w:rFonts w:ascii="宋体" w:cs="新宋体"/>
          <w:bCs/>
          <w:color w:val="auto"/>
          <w:szCs w:val="21"/>
          <w:highlight w:val="none"/>
        </w:rPr>
      </w:pPr>
      <w:r>
        <w:rPr>
          <w:rFonts w:hint="eastAsia" w:ascii="宋体" w:cs="新宋体"/>
          <w:bCs/>
          <w:color w:val="auto"/>
          <w:szCs w:val="21"/>
          <w:highlight w:val="none"/>
        </w:rPr>
        <w:t>3.1.6.2 时间同步装置技术要求</w:t>
      </w:r>
    </w:p>
    <w:p>
      <w:pPr>
        <w:adjustRightInd w:val="0"/>
        <w:snapToGrid w:val="0"/>
        <w:spacing w:line="360" w:lineRule="auto"/>
        <w:rPr>
          <w:rFonts w:hint="eastAsia" w:ascii="宋体" w:cs="新宋体"/>
          <w:bCs/>
          <w:color w:val="auto"/>
          <w:szCs w:val="21"/>
          <w:highlight w:val="none"/>
        </w:rPr>
      </w:pPr>
      <w:r>
        <w:rPr>
          <w:rFonts w:ascii="宋体" w:cs="新宋体"/>
          <w:bCs/>
          <w:color w:val="auto"/>
          <w:szCs w:val="21"/>
          <w:highlight w:val="none"/>
        </w:rPr>
        <w:t>3.1.6.2.1</w:t>
      </w:r>
      <w:r>
        <w:rPr>
          <w:rFonts w:hint="eastAsia" w:ascii="宋体" w:cs="新宋体"/>
          <w:bCs/>
          <w:color w:val="auto"/>
          <w:szCs w:val="21"/>
          <w:highlight w:val="none"/>
        </w:rPr>
        <w:t xml:space="preserve"> 全站设一套卫星时钟对时系统。</w:t>
      </w:r>
    </w:p>
    <w:p>
      <w:pPr>
        <w:adjustRightInd w:val="0"/>
        <w:snapToGrid w:val="0"/>
        <w:spacing w:line="360" w:lineRule="auto"/>
        <w:rPr>
          <w:rFonts w:hint="eastAsia" w:ascii="宋体" w:cs="新宋体"/>
          <w:bCs/>
          <w:color w:val="auto"/>
          <w:szCs w:val="21"/>
          <w:highlight w:val="none"/>
        </w:rPr>
      </w:pPr>
      <w:r>
        <w:rPr>
          <w:rFonts w:ascii="宋体" w:cs="新宋体"/>
          <w:bCs/>
          <w:color w:val="auto"/>
          <w:szCs w:val="21"/>
          <w:highlight w:val="none"/>
        </w:rPr>
        <w:t>3.1.6.2.2</w:t>
      </w:r>
      <w:r>
        <w:rPr>
          <w:rFonts w:hint="eastAsia" w:ascii="宋体" w:cs="新宋体"/>
          <w:bCs/>
          <w:color w:val="auto"/>
          <w:szCs w:val="21"/>
          <w:highlight w:val="none"/>
        </w:rPr>
        <w:t xml:space="preserve"> 主时钟采用双重化配置。正常情况下，主时钟屏内两台主时钟的时间信号接收单元分别独立接收GPS卫星和北斗卫星发送的时间基准信号；当某一主时钟的时间信号接收单元发生故障时，该主时钟应能自动切换到另一台主时钟的时间信号接收单元接收到的时间基准信号，实现时间基准信号互为备用。时间信号同步系统应具有时间保持功能。当接收不到外部时间基准信号时，系统仍能保持一定的走时准确度，使主时钟输出的时间同步信号仍能保持一定的准确度。</w:t>
      </w:r>
    </w:p>
    <w:p>
      <w:pPr>
        <w:adjustRightInd w:val="0"/>
        <w:snapToGrid w:val="0"/>
        <w:spacing w:line="360" w:lineRule="auto"/>
        <w:rPr>
          <w:rFonts w:hint="eastAsia" w:ascii="宋体" w:cs="新宋体"/>
          <w:bCs/>
          <w:color w:val="auto"/>
          <w:szCs w:val="21"/>
          <w:highlight w:val="none"/>
        </w:rPr>
      </w:pPr>
      <w:r>
        <w:rPr>
          <w:rFonts w:ascii="宋体" w:cs="新宋体"/>
          <w:bCs/>
          <w:color w:val="auto"/>
          <w:szCs w:val="21"/>
          <w:highlight w:val="none"/>
        </w:rPr>
        <w:t xml:space="preserve">3.1.6.2.3 </w:t>
      </w:r>
      <w:r>
        <w:rPr>
          <w:rFonts w:hint="eastAsia" w:ascii="宋体" w:cs="新宋体"/>
          <w:bCs/>
          <w:color w:val="auto"/>
          <w:szCs w:val="21"/>
          <w:highlight w:val="none"/>
        </w:rPr>
        <w:t>时间同步系统配置的GPS主时钟及时间同步信号扩展装置设备用于实现变电站内计算机监控系统、保护装置、故障录波器和DCS等设备的时间同步，应能提供满足这些设备需要的各种时间同步信号。</w:t>
      </w:r>
    </w:p>
    <w:p>
      <w:pPr>
        <w:adjustRightInd w:val="0"/>
        <w:snapToGrid w:val="0"/>
        <w:spacing w:line="360" w:lineRule="auto"/>
        <w:rPr>
          <w:rFonts w:hint="eastAsia" w:ascii="宋体" w:cs="新宋体"/>
          <w:bCs/>
          <w:color w:val="auto"/>
          <w:szCs w:val="21"/>
          <w:highlight w:val="none"/>
        </w:rPr>
      </w:pPr>
      <w:r>
        <w:rPr>
          <w:rFonts w:ascii="宋体" w:cs="新宋体"/>
          <w:bCs/>
          <w:color w:val="auto"/>
          <w:szCs w:val="21"/>
          <w:highlight w:val="none"/>
        </w:rPr>
        <w:t>3.1.6.2.4</w:t>
      </w:r>
      <w:r>
        <w:rPr>
          <w:rFonts w:hint="eastAsia" w:ascii="宋体" w:cs="新宋体"/>
          <w:bCs/>
          <w:color w:val="auto"/>
          <w:szCs w:val="21"/>
          <w:highlight w:val="none"/>
        </w:rPr>
        <w:t xml:space="preserve"> GPS主时钟的时间信号接收单元应能接收GPS卫星发送的协调世界时（UTC）信号作为外部时间基准信号。正常情况下，主时钟屏内两台主时钟的时间信号接收单元独立接收GPS卫星发送的时间基准信号；当某一主时钟的时间信号接收单元发生故障时，该主时钟应能自动切换到另一台主时钟的时间信号接收单元接收到的时间基准信号，实现时间基准信号互为备用。</w:t>
      </w:r>
    </w:p>
    <w:p>
      <w:pPr>
        <w:adjustRightInd w:val="0"/>
        <w:snapToGrid w:val="0"/>
        <w:spacing w:line="360" w:lineRule="auto"/>
        <w:rPr>
          <w:rFonts w:hint="eastAsia" w:ascii="宋体" w:cs="新宋体"/>
          <w:bCs/>
          <w:color w:val="auto"/>
          <w:szCs w:val="21"/>
          <w:highlight w:val="none"/>
        </w:rPr>
      </w:pPr>
      <w:r>
        <w:rPr>
          <w:rFonts w:ascii="宋体" w:cs="新宋体"/>
          <w:bCs/>
          <w:color w:val="auto"/>
          <w:szCs w:val="21"/>
          <w:highlight w:val="none"/>
        </w:rPr>
        <w:t xml:space="preserve">3.1.6.2.5 </w:t>
      </w:r>
      <w:r>
        <w:rPr>
          <w:rFonts w:hint="eastAsia" w:ascii="宋体" w:cs="新宋体"/>
          <w:bCs/>
          <w:color w:val="auto"/>
          <w:szCs w:val="21"/>
          <w:highlight w:val="none"/>
        </w:rPr>
        <w:t xml:space="preserve"> GPS主时钟应具有内部守时钟，当主时钟接收到外部时间基准信号时，被外部时间基准信号同步；当接收不到外部时间基准信号时，保持一定的走时准确度，使主时钟输出的时间同步信号仍能保持一定的准确度。当外部时间基准信号接收恢复时，自动切换到正常状态工作，切换时间应小于0.5S，切换时主时钟输出的时间同步信号不得出错。</w:t>
      </w:r>
    </w:p>
    <w:p>
      <w:pPr>
        <w:adjustRightInd w:val="0"/>
        <w:snapToGrid w:val="0"/>
        <w:spacing w:line="360" w:lineRule="auto"/>
        <w:rPr>
          <w:rFonts w:hint="eastAsia" w:ascii="宋体" w:cs="新宋体"/>
          <w:bCs/>
          <w:color w:val="auto"/>
          <w:szCs w:val="21"/>
          <w:highlight w:val="none"/>
        </w:rPr>
      </w:pPr>
      <w:r>
        <w:rPr>
          <w:rFonts w:ascii="宋体" w:cs="新宋体"/>
          <w:bCs/>
          <w:color w:val="auto"/>
          <w:szCs w:val="21"/>
          <w:highlight w:val="none"/>
        </w:rPr>
        <w:t xml:space="preserve">3.1.6.2.6 </w:t>
      </w:r>
      <w:r>
        <w:rPr>
          <w:rFonts w:hint="eastAsia" w:ascii="宋体" w:cs="新宋体"/>
          <w:bCs/>
          <w:color w:val="auto"/>
          <w:szCs w:val="21"/>
          <w:highlight w:val="none"/>
        </w:rPr>
        <w:t>输出的时间信号应满足秒(1PPS)、分(1PPM)、时(1PPH)、IRIG-B（CD）时码、IRIG-B（AC）时码以及串口等方式。</w:t>
      </w:r>
    </w:p>
    <w:p>
      <w:pPr>
        <w:adjustRightInd w:val="0"/>
        <w:snapToGrid w:val="0"/>
        <w:spacing w:line="360" w:lineRule="auto"/>
        <w:rPr>
          <w:rFonts w:hint="eastAsia" w:ascii="宋体" w:cs="新宋体"/>
          <w:bCs/>
          <w:color w:val="auto"/>
          <w:szCs w:val="21"/>
          <w:highlight w:val="none"/>
        </w:rPr>
      </w:pPr>
      <w:r>
        <w:rPr>
          <w:rFonts w:ascii="宋体" w:cs="新宋体"/>
          <w:bCs/>
          <w:color w:val="auto"/>
          <w:szCs w:val="21"/>
          <w:highlight w:val="none"/>
        </w:rPr>
        <w:t>3.1.6.2.7</w:t>
      </w:r>
      <w:r>
        <w:rPr>
          <w:rFonts w:hint="eastAsia" w:ascii="宋体" w:cs="新宋体"/>
          <w:bCs/>
          <w:color w:val="auto"/>
          <w:szCs w:val="21"/>
          <w:highlight w:val="none"/>
        </w:rPr>
        <w:t>应具有时间信号扩展功能，以满足用户不同要求方便地扩展时间同步信号的输出数量。</w:t>
      </w:r>
    </w:p>
    <w:p>
      <w:pPr>
        <w:adjustRightInd w:val="0"/>
        <w:snapToGrid w:val="0"/>
        <w:spacing w:line="360" w:lineRule="auto"/>
        <w:rPr>
          <w:rFonts w:hint="eastAsia" w:ascii="宋体" w:cs="新宋体"/>
          <w:bCs/>
          <w:color w:val="auto"/>
          <w:szCs w:val="21"/>
          <w:highlight w:val="none"/>
        </w:rPr>
      </w:pPr>
      <w:r>
        <w:rPr>
          <w:rFonts w:ascii="宋体" w:cs="新宋体"/>
          <w:bCs/>
          <w:color w:val="auto"/>
          <w:szCs w:val="21"/>
          <w:highlight w:val="none"/>
        </w:rPr>
        <w:t>3.1.6.2.8</w:t>
      </w:r>
      <w:r>
        <w:rPr>
          <w:rFonts w:hint="eastAsia" w:ascii="宋体" w:cs="新宋体"/>
          <w:bCs/>
          <w:color w:val="auto"/>
          <w:szCs w:val="21"/>
          <w:highlight w:val="none"/>
        </w:rPr>
        <w:t>应具有工作状态指示、告警显示功能。</w:t>
      </w:r>
    </w:p>
    <w:p>
      <w:pPr>
        <w:adjustRightInd w:val="0"/>
        <w:snapToGrid w:val="0"/>
        <w:spacing w:line="360" w:lineRule="auto"/>
        <w:rPr>
          <w:rFonts w:hint="eastAsia" w:ascii="宋体" w:cs="新宋体"/>
          <w:bCs/>
          <w:color w:val="auto"/>
          <w:szCs w:val="21"/>
          <w:highlight w:val="none"/>
        </w:rPr>
      </w:pPr>
      <w:r>
        <w:rPr>
          <w:rFonts w:hint="eastAsia" w:ascii="宋体" w:cs="新宋体"/>
          <w:bCs/>
          <w:color w:val="auto"/>
          <w:szCs w:val="21"/>
          <w:highlight w:val="none"/>
        </w:rPr>
        <w:t>主时钟面板上应有下列工作状态指示：主时钟电源正常；外部时间基准信号锁定（接收外部时间基准信号正常），当外部时间基准信号输入冗余配置时应指示当前起作用的一个；1PPS时间信号输出。</w:t>
      </w:r>
    </w:p>
    <w:p>
      <w:pPr>
        <w:adjustRightInd w:val="0"/>
        <w:snapToGrid w:val="0"/>
        <w:spacing w:line="360" w:lineRule="auto"/>
        <w:rPr>
          <w:rFonts w:hint="eastAsia" w:ascii="宋体" w:cs="新宋体"/>
          <w:bCs/>
          <w:color w:val="auto"/>
          <w:szCs w:val="21"/>
          <w:highlight w:val="none"/>
        </w:rPr>
      </w:pPr>
      <w:r>
        <w:rPr>
          <w:rFonts w:ascii="宋体" w:cs="新宋体"/>
          <w:bCs/>
          <w:color w:val="auto"/>
          <w:szCs w:val="21"/>
          <w:highlight w:val="none"/>
        </w:rPr>
        <w:t>3.1.6.2.9</w:t>
      </w:r>
      <w:r>
        <w:rPr>
          <w:rFonts w:hint="eastAsia" w:ascii="宋体" w:cs="新宋体"/>
          <w:bCs/>
          <w:color w:val="auto"/>
          <w:szCs w:val="21"/>
          <w:highlight w:val="none"/>
        </w:rPr>
        <w:t>时间同步信号扩展装置的面板上应有下列工作状态指示：电源正常指示；所接收的外部时间基准信号是否正常，指示所锁定的外部时间基准信号通道；1PPS时间信号输出。</w:t>
      </w:r>
    </w:p>
    <w:p>
      <w:pPr>
        <w:adjustRightInd w:val="0"/>
        <w:snapToGrid w:val="0"/>
        <w:spacing w:line="360" w:lineRule="auto"/>
        <w:rPr>
          <w:rFonts w:ascii="宋体" w:cs="新宋体"/>
          <w:bCs/>
          <w:color w:val="auto"/>
          <w:szCs w:val="21"/>
          <w:highlight w:val="none"/>
        </w:rPr>
      </w:pPr>
      <w:r>
        <w:rPr>
          <w:rFonts w:ascii="宋体" w:cs="新宋体"/>
          <w:bCs/>
          <w:color w:val="auto"/>
          <w:szCs w:val="21"/>
          <w:highlight w:val="none"/>
        </w:rPr>
        <w:t>3.1.6.2.10</w:t>
      </w:r>
      <w:r>
        <w:rPr>
          <w:rFonts w:hint="eastAsia" w:ascii="宋体" w:cs="新宋体"/>
          <w:bCs/>
          <w:color w:val="auto"/>
          <w:szCs w:val="21"/>
          <w:highlight w:val="none"/>
        </w:rPr>
        <w:t>主时钟装置应有下列告警信号输出：电源消失（两个电源分别告警）；主时间基准信号消失；冗余时间基准信号消失；</w:t>
      </w:r>
    </w:p>
    <w:p>
      <w:pPr>
        <w:adjustRightInd w:val="0"/>
        <w:snapToGrid w:val="0"/>
        <w:spacing w:line="360" w:lineRule="auto"/>
        <w:rPr>
          <w:rFonts w:hint="eastAsia" w:ascii="宋体" w:cs="新宋体"/>
          <w:bCs/>
          <w:color w:val="auto"/>
          <w:szCs w:val="21"/>
          <w:highlight w:val="none"/>
        </w:rPr>
      </w:pPr>
      <w:r>
        <w:rPr>
          <w:rFonts w:hint="eastAsia" w:ascii="宋体" w:cs="新宋体"/>
          <w:bCs/>
          <w:color w:val="auto"/>
          <w:szCs w:val="21"/>
          <w:highlight w:val="none"/>
        </w:rPr>
        <w:t>告警信号的电接口类型为继电器空接点，接点耐压&gt;250V DC。</w:t>
      </w:r>
    </w:p>
    <w:p>
      <w:pPr>
        <w:adjustRightInd w:val="0"/>
        <w:snapToGrid w:val="0"/>
        <w:spacing w:line="360" w:lineRule="auto"/>
        <w:rPr>
          <w:rFonts w:hint="eastAsia" w:ascii="宋体" w:cs="新宋体"/>
          <w:bCs/>
          <w:color w:val="auto"/>
          <w:szCs w:val="21"/>
          <w:highlight w:val="none"/>
        </w:rPr>
      </w:pPr>
      <w:r>
        <w:rPr>
          <w:rFonts w:ascii="宋体" w:cs="新宋体"/>
          <w:bCs/>
          <w:color w:val="auto"/>
          <w:szCs w:val="21"/>
          <w:highlight w:val="none"/>
        </w:rPr>
        <w:t xml:space="preserve">3.1.6.2.11 </w:t>
      </w:r>
      <w:r>
        <w:rPr>
          <w:rFonts w:hint="eastAsia" w:ascii="宋体" w:cs="新宋体"/>
          <w:bCs/>
          <w:color w:val="auto"/>
          <w:szCs w:val="21"/>
          <w:highlight w:val="none"/>
        </w:rPr>
        <w:t>主时钟屏和时钟间同步信号扩展屏应有时间显示功能，显示年、月、日、时、分、秒。</w:t>
      </w:r>
    </w:p>
    <w:p>
      <w:pPr>
        <w:adjustRightInd w:val="0"/>
        <w:snapToGrid w:val="0"/>
        <w:spacing w:line="360" w:lineRule="auto"/>
        <w:rPr>
          <w:rFonts w:hint="eastAsia" w:ascii="宋体" w:cs="新宋体"/>
          <w:bCs/>
          <w:color w:val="auto"/>
          <w:szCs w:val="21"/>
          <w:highlight w:val="none"/>
        </w:rPr>
      </w:pPr>
      <w:r>
        <w:rPr>
          <w:rFonts w:ascii="宋体" w:cs="新宋体"/>
          <w:bCs/>
          <w:color w:val="auto"/>
          <w:szCs w:val="21"/>
          <w:highlight w:val="none"/>
        </w:rPr>
        <w:t>3.1.6.2.12</w:t>
      </w:r>
      <w:r>
        <w:rPr>
          <w:rFonts w:hint="eastAsia" w:ascii="宋体" w:cs="新宋体"/>
          <w:bCs/>
          <w:color w:val="auto"/>
          <w:szCs w:val="21"/>
          <w:highlight w:val="none"/>
        </w:rPr>
        <w:t>应采用交、直流两路电源供电，任何一路电源消失，主时钟屏和时钟间同 步信号扩展屏仍保持正常工作。</w:t>
      </w:r>
    </w:p>
    <w:p>
      <w:pPr>
        <w:adjustRightInd w:val="0"/>
        <w:snapToGrid w:val="0"/>
        <w:spacing w:line="360" w:lineRule="auto"/>
        <w:rPr>
          <w:rFonts w:hint="eastAsia" w:ascii="宋体" w:cs="新宋体"/>
          <w:bCs/>
          <w:color w:val="auto"/>
          <w:szCs w:val="21"/>
          <w:highlight w:val="none"/>
          <w:lang w:val="en-US" w:eastAsia="zh-CN"/>
        </w:rPr>
      </w:pPr>
      <w:r>
        <w:rPr>
          <w:rFonts w:hint="eastAsia" w:ascii="宋体" w:cs="新宋体"/>
          <w:bCs/>
          <w:color w:val="auto"/>
          <w:szCs w:val="21"/>
          <w:highlight w:val="none"/>
          <w:lang w:val="en-US" w:eastAsia="zh-CN"/>
        </w:rPr>
        <w:t>3.2特殊要求</w:t>
      </w:r>
    </w:p>
    <w:p>
      <w:pPr>
        <w:adjustRightInd w:val="0"/>
        <w:snapToGrid w:val="0"/>
        <w:spacing w:line="360" w:lineRule="auto"/>
        <w:rPr>
          <w:rFonts w:hint="eastAsia" w:ascii="宋体" w:cs="新宋体"/>
          <w:bCs/>
          <w:color w:val="auto"/>
          <w:szCs w:val="21"/>
          <w:highlight w:val="none"/>
          <w:lang w:val="en-US" w:eastAsia="zh-CN"/>
        </w:rPr>
      </w:pPr>
      <w:r>
        <w:rPr>
          <w:rFonts w:hint="eastAsia" w:ascii="宋体" w:cs="新宋体"/>
          <w:bCs/>
          <w:color w:val="auto"/>
          <w:szCs w:val="21"/>
          <w:highlight w:val="none"/>
          <w:lang w:val="en-US" w:eastAsia="zh-CN"/>
        </w:rPr>
        <w:t>*3.2.1中标方负责综合自动化系统的设计、安装、调试、投运，</w:t>
      </w:r>
      <w:r>
        <w:rPr>
          <w:rFonts w:hint="eastAsia" w:ascii="宋体"/>
          <w:color w:val="auto"/>
          <w:kern w:val="0"/>
          <w:szCs w:val="21"/>
          <w:highlight w:val="none"/>
        </w:rPr>
        <w:t>直至设备正常运行</w:t>
      </w:r>
      <w:r>
        <w:rPr>
          <w:rFonts w:hint="eastAsia" w:ascii="宋体"/>
          <w:color w:val="auto"/>
          <w:kern w:val="0"/>
          <w:szCs w:val="21"/>
          <w:highlight w:val="none"/>
          <w:lang w:eastAsia="zh-CN"/>
        </w:rPr>
        <w:t>，</w:t>
      </w:r>
      <w:r>
        <w:rPr>
          <w:rFonts w:hint="eastAsia" w:ascii="宋体" w:cs="新宋体"/>
          <w:bCs/>
          <w:color w:val="auto"/>
          <w:szCs w:val="21"/>
          <w:highlight w:val="none"/>
          <w:lang w:val="en-US" w:eastAsia="zh-CN"/>
        </w:rPr>
        <w:t>并提供施工图纸、竣工图纸等相关资料。</w:t>
      </w:r>
    </w:p>
    <w:p>
      <w:pPr>
        <w:adjustRightInd w:val="0"/>
        <w:snapToGrid w:val="0"/>
        <w:spacing w:line="360" w:lineRule="auto"/>
        <w:rPr>
          <w:rFonts w:hint="eastAsia" w:ascii="宋体"/>
          <w:color w:val="auto"/>
          <w:kern w:val="0"/>
          <w:szCs w:val="21"/>
          <w:highlight w:val="none"/>
        </w:rPr>
      </w:pPr>
      <w:r>
        <w:rPr>
          <w:rFonts w:hint="eastAsia" w:ascii="宋体"/>
          <w:color w:val="auto"/>
          <w:szCs w:val="21"/>
          <w:highlight w:val="none"/>
          <w:lang w:val="en-US" w:eastAsia="zh-CN"/>
        </w:rPr>
        <w:t xml:space="preserve">*3.2.2  </w:t>
      </w:r>
      <w:r>
        <w:rPr>
          <w:rFonts w:hint="eastAsia" w:ascii="宋体"/>
          <w:color w:val="auto"/>
          <w:kern w:val="0"/>
          <w:szCs w:val="21"/>
          <w:highlight w:val="none"/>
        </w:rPr>
        <w:t>中标方负责原设备拆除</w:t>
      </w:r>
      <w:r>
        <w:rPr>
          <w:rFonts w:hint="eastAsia" w:ascii="宋体"/>
          <w:color w:val="auto"/>
          <w:kern w:val="0"/>
          <w:szCs w:val="21"/>
          <w:highlight w:val="none"/>
          <w:lang w:eastAsia="zh-CN"/>
        </w:rPr>
        <w:t>并搬运至指定位置</w:t>
      </w:r>
      <w:r>
        <w:rPr>
          <w:rFonts w:hint="eastAsia" w:ascii="宋体"/>
          <w:color w:val="auto"/>
          <w:kern w:val="0"/>
          <w:szCs w:val="21"/>
          <w:highlight w:val="none"/>
        </w:rPr>
        <w:t>。</w:t>
      </w:r>
    </w:p>
    <w:p>
      <w:pPr>
        <w:adjustRightInd w:val="0"/>
        <w:snapToGrid w:val="0"/>
        <w:spacing w:line="360" w:lineRule="auto"/>
        <w:rPr>
          <w:rFonts w:hint="eastAsia" w:ascii="宋体"/>
          <w:color w:val="auto"/>
          <w:kern w:val="0"/>
          <w:szCs w:val="21"/>
          <w:highlight w:val="none"/>
        </w:rPr>
      </w:pPr>
      <w:r>
        <w:rPr>
          <w:rFonts w:hint="eastAsia" w:ascii="宋体"/>
          <w:color w:val="auto"/>
          <w:kern w:val="0"/>
          <w:szCs w:val="21"/>
          <w:highlight w:val="none"/>
        </w:rPr>
        <w:t>*3.</w:t>
      </w:r>
      <w:r>
        <w:rPr>
          <w:rFonts w:hint="eastAsia" w:ascii="宋体"/>
          <w:color w:val="auto"/>
          <w:kern w:val="0"/>
          <w:szCs w:val="21"/>
          <w:highlight w:val="none"/>
          <w:lang w:val="en-US" w:eastAsia="zh-CN"/>
        </w:rPr>
        <w:t>2.3中</w:t>
      </w:r>
      <w:r>
        <w:rPr>
          <w:rFonts w:hint="eastAsia" w:ascii="宋体"/>
          <w:color w:val="auto"/>
          <w:kern w:val="0"/>
          <w:szCs w:val="21"/>
          <w:highlight w:val="none"/>
        </w:rPr>
        <w:t>标方要进行现场踏勘，对招标方现场设备进行了解，确定</w:t>
      </w:r>
      <w:r>
        <w:rPr>
          <w:rFonts w:hint="eastAsia" w:ascii="宋体"/>
          <w:color w:val="auto"/>
          <w:kern w:val="0"/>
          <w:szCs w:val="21"/>
          <w:highlight w:val="none"/>
          <w:lang w:eastAsia="zh-CN"/>
        </w:rPr>
        <w:t>并免费提供</w:t>
      </w:r>
      <w:r>
        <w:rPr>
          <w:rFonts w:hint="eastAsia" w:ascii="宋体"/>
          <w:color w:val="auto"/>
          <w:kern w:val="0"/>
          <w:szCs w:val="21"/>
          <w:highlight w:val="none"/>
        </w:rPr>
        <w:t>新设备安装调试所需一切原件、配件及材料</w:t>
      </w:r>
      <w:r>
        <w:rPr>
          <w:rFonts w:hint="eastAsia" w:ascii="宋体"/>
          <w:color w:val="auto"/>
          <w:kern w:val="0"/>
          <w:szCs w:val="21"/>
          <w:highlight w:val="none"/>
          <w:lang w:eastAsia="zh-CN"/>
        </w:rPr>
        <w:t>。所需电缆、光缆的种类、数量由中标方按设计提供，并</w:t>
      </w:r>
      <w:r>
        <w:rPr>
          <w:rFonts w:hint="eastAsia" w:ascii="宋体"/>
          <w:color w:val="auto"/>
          <w:kern w:val="0"/>
          <w:szCs w:val="21"/>
          <w:highlight w:val="none"/>
        </w:rPr>
        <w:t>随设备运至设备安装地点。</w:t>
      </w:r>
    </w:p>
    <w:p>
      <w:pPr>
        <w:adjustRightInd w:val="0"/>
        <w:snapToGrid w:val="0"/>
        <w:spacing w:line="360" w:lineRule="auto"/>
        <w:rPr>
          <w:rFonts w:hint="eastAsia" w:ascii="宋体"/>
          <w:color w:val="auto"/>
          <w:kern w:val="0"/>
          <w:szCs w:val="21"/>
          <w:highlight w:val="none"/>
          <w:lang w:val="en-US" w:eastAsia="zh-CN"/>
        </w:rPr>
      </w:pPr>
      <w:r>
        <w:rPr>
          <w:rFonts w:hint="eastAsia" w:ascii="宋体"/>
          <w:color w:val="auto"/>
          <w:kern w:val="0"/>
          <w:szCs w:val="21"/>
          <w:highlight w:val="none"/>
          <w:lang w:val="en-US" w:eastAsia="zh-CN"/>
        </w:rPr>
        <w:t>*3.2.4中标方负责完成新系统安装后与现有微机五防装置正常通信，并实现全部五防功能。</w:t>
      </w:r>
    </w:p>
    <w:p>
      <w:pPr>
        <w:adjustRightInd w:val="0"/>
        <w:snapToGrid w:val="0"/>
        <w:spacing w:line="360" w:lineRule="auto"/>
        <w:rPr>
          <w:rFonts w:hint="eastAsia" w:ascii="宋体"/>
          <w:color w:val="auto"/>
          <w:kern w:val="0"/>
          <w:szCs w:val="21"/>
          <w:highlight w:val="none"/>
          <w:lang w:val="en-US" w:eastAsia="zh-CN"/>
        </w:rPr>
      </w:pPr>
      <w:r>
        <w:rPr>
          <w:rFonts w:hint="eastAsia" w:ascii="宋体"/>
          <w:color w:val="auto"/>
          <w:kern w:val="0"/>
          <w:szCs w:val="21"/>
          <w:highlight w:val="none"/>
          <w:lang w:val="en-US" w:eastAsia="zh-CN"/>
        </w:rPr>
        <w:t>*3.2.5中标方负责完成新系统安装后与现有10kV保护测控系统正常通信，并实现保护测控功能。</w:t>
      </w:r>
    </w:p>
    <w:p>
      <w:pPr>
        <w:adjustRightInd w:val="0"/>
        <w:snapToGrid w:val="0"/>
        <w:spacing w:line="360" w:lineRule="auto"/>
        <w:rPr>
          <w:rFonts w:hint="eastAsia" w:ascii="宋体"/>
          <w:color w:val="auto"/>
          <w:kern w:val="0"/>
          <w:szCs w:val="21"/>
          <w:highlight w:val="none"/>
          <w:lang w:val="en-US" w:eastAsia="zh-CN"/>
        </w:rPr>
      </w:pPr>
      <w:r>
        <w:rPr>
          <w:rFonts w:hint="eastAsia" w:ascii="宋体"/>
          <w:color w:val="auto"/>
          <w:kern w:val="0"/>
          <w:szCs w:val="21"/>
          <w:highlight w:val="none"/>
          <w:lang w:val="en-US" w:eastAsia="zh-CN"/>
        </w:rPr>
        <w:t>*3.2.6中标方负责完成新系统安装后与现有调度系统正常通信，并实现调度信息的传输功能。</w:t>
      </w:r>
    </w:p>
    <w:p>
      <w:pPr>
        <w:spacing w:line="360" w:lineRule="auto"/>
        <w:rPr>
          <w:rFonts w:hint="eastAsia" w:ascii="宋体" w:cs="新宋体"/>
          <w:bCs/>
          <w:snapToGrid w:val="0"/>
          <w:color w:val="auto"/>
          <w:kern w:val="0"/>
          <w:szCs w:val="21"/>
          <w:highlight w:val="none"/>
        </w:rPr>
      </w:pPr>
      <w:r>
        <w:rPr>
          <w:rFonts w:hint="eastAsia" w:ascii="宋体" w:cs="新宋体"/>
          <w:bCs/>
          <w:snapToGrid w:val="0"/>
          <w:color w:val="auto"/>
          <w:kern w:val="0"/>
          <w:szCs w:val="21"/>
          <w:highlight w:val="none"/>
        </w:rPr>
        <w:t>4.供货范围</w:t>
      </w:r>
    </w:p>
    <w:p>
      <w:pPr>
        <w:tabs>
          <w:tab w:val="left" w:pos="360"/>
        </w:tabs>
        <w:snapToGrid w:val="0"/>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完整的、全新的、符合制造标准的、满足本招标技术附件各项条件及技术要求的共计</w:t>
      </w:r>
      <w:r>
        <w:rPr>
          <w:rFonts w:hint="eastAsia" w:ascii="宋体" w:cs="新宋体"/>
          <w:bCs/>
          <w:color w:val="auto"/>
          <w:szCs w:val="21"/>
          <w:highlight w:val="none"/>
          <w:u w:val="single"/>
        </w:rPr>
        <w:t xml:space="preserve">    1</w:t>
      </w:r>
      <w:r>
        <w:rPr>
          <w:rFonts w:hint="eastAsia" w:ascii="宋体" w:cs="新宋体"/>
          <w:bCs/>
          <w:color w:val="auto"/>
          <w:szCs w:val="21"/>
          <w:highlight w:val="none"/>
        </w:rPr>
        <w:t>套中心区变电站</w:t>
      </w:r>
      <w:r>
        <w:rPr>
          <w:rFonts w:hint="eastAsia" w:ascii="宋体"/>
          <w:color w:val="auto"/>
          <w:szCs w:val="21"/>
          <w:highlight w:val="none"/>
        </w:rPr>
        <w:t>综合自动化系统，包括</w:t>
      </w:r>
      <w:r>
        <w:rPr>
          <w:rFonts w:hint="eastAsia" w:ascii="宋体" w:cs="新宋体"/>
          <w:bCs/>
          <w:color w:val="auto"/>
          <w:szCs w:val="21"/>
          <w:highlight w:val="none"/>
        </w:rPr>
        <w:t>主变保护测控装置2套；110KV线路保护测控装置2套；后台系统1套；公用测控装置1套；远动通讯装置1套；时间同步装置1套等均由投标方提供。</w:t>
      </w:r>
    </w:p>
    <w:p>
      <w:pPr>
        <w:spacing w:line="360" w:lineRule="auto"/>
        <w:rPr>
          <w:rFonts w:hint="eastAsia" w:ascii="宋体" w:cs="新宋体"/>
          <w:bCs/>
          <w:snapToGrid w:val="0"/>
          <w:color w:val="auto"/>
          <w:kern w:val="0"/>
          <w:szCs w:val="21"/>
          <w:highlight w:val="none"/>
        </w:rPr>
      </w:pPr>
      <w:r>
        <w:rPr>
          <w:rFonts w:hint="eastAsia" w:ascii="宋体" w:cs="新宋体"/>
          <w:bCs/>
          <w:snapToGrid w:val="0"/>
          <w:color w:val="auto"/>
          <w:kern w:val="0"/>
          <w:szCs w:val="21"/>
          <w:highlight w:val="none"/>
        </w:rPr>
        <w:t>5.技术资料</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5.1投标方必须提供下表所列中文技术资料（但不限于此），并按下表要求时间交货。</w:t>
      </w:r>
    </w:p>
    <w:tbl>
      <w:tblPr>
        <w:tblStyle w:val="16"/>
        <w:tblpPr w:leftFromText="180" w:rightFromText="180" w:vertAnchor="text" w:horzAnchor="page" w:tblpX="1637" w:tblpY="209"/>
        <w:tblOverlap w:val="never"/>
        <w:tblW w:w="8921" w:type="dxa"/>
        <w:tblInd w:w="-5" w:type="dxa"/>
        <w:tblLayout w:type="fixed"/>
        <w:tblCellMar>
          <w:top w:w="0" w:type="dxa"/>
          <w:left w:w="0" w:type="dxa"/>
          <w:bottom w:w="0" w:type="dxa"/>
          <w:right w:w="0" w:type="dxa"/>
        </w:tblCellMar>
      </w:tblPr>
      <w:tblGrid>
        <w:gridCol w:w="818"/>
        <w:gridCol w:w="3298"/>
        <w:gridCol w:w="1985"/>
        <w:gridCol w:w="2820"/>
      </w:tblGrid>
      <w:tr>
        <w:tblPrEx>
          <w:tblLayout w:type="fixed"/>
          <w:tblCellMar>
            <w:top w:w="0" w:type="dxa"/>
            <w:left w:w="0" w:type="dxa"/>
            <w:bottom w:w="0" w:type="dxa"/>
            <w:right w:w="0" w:type="dxa"/>
          </w:tblCellMar>
        </w:tblPrEx>
        <w:trPr>
          <w:trHeight w:val="375" w:hRule="atLeast"/>
        </w:trPr>
        <w:tc>
          <w:tcPr>
            <w:tcW w:w="8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序号</w:t>
            </w:r>
          </w:p>
        </w:tc>
        <w:tc>
          <w:tcPr>
            <w:tcW w:w="3298" w:type="dxa"/>
            <w:tcBorders>
              <w:top w:val="single" w:color="auto" w:sz="4" w:space="0"/>
              <w:left w:val="nil"/>
              <w:bottom w:val="single" w:color="auto" w:sz="4" w:space="0"/>
              <w:right w:val="single" w:color="auto" w:sz="4" w:space="0"/>
            </w:tcBorders>
            <w:vAlign w:val="center"/>
          </w:tcPr>
          <w:p>
            <w:pPr>
              <w:jc w:val="center"/>
              <w:rPr>
                <w:rFonts w:hint="eastAsia" w:ascii="宋体"/>
                <w:color w:val="auto"/>
                <w:szCs w:val="21"/>
                <w:highlight w:val="none"/>
              </w:rPr>
            </w:pPr>
            <w:r>
              <w:rPr>
                <w:rFonts w:hint="eastAsia" w:ascii="宋体"/>
                <w:color w:val="auto"/>
                <w:szCs w:val="21"/>
                <w:highlight w:val="none"/>
              </w:rPr>
              <w:t>名    称</w:t>
            </w:r>
          </w:p>
        </w:tc>
        <w:tc>
          <w:tcPr>
            <w:tcW w:w="1985"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数量（每台）</w:t>
            </w:r>
          </w:p>
        </w:tc>
        <w:tc>
          <w:tcPr>
            <w:tcW w:w="2820"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要求交货时间</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1</w:t>
            </w:r>
          </w:p>
        </w:tc>
        <w:tc>
          <w:tcPr>
            <w:tcW w:w="3298"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rPr>
              <w:t>技术资料</w:t>
            </w:r>
          </w:p>
          <w:p>
            <w:pPr>
              <w:jc w:val="center"/>
              <w:rPr>
                <w:rFonts w:hint="eastAsia" w:ascii="宋体"/>
                <w:color w:val="auto"/>
                <w:szCs w:val="21"/>
                <w:highlight w:val="none"/>
              </w:rPr>
            </w:pPr>
            <w:r>
              <w:rPr>
                <w:rFonts w:hint="eastAsia" w:ascii="宋体" w:hAnsi="宋体" w:cs="宋体"/>
                <w:color w:val="auto"/>
                <w:szCs w:val="21"/>
                <w:highlight w:val="none"/>
              </w:rPr>
              <w:t>（使用说明书）</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2</w:t>
            </w:r>
          </w:p>
        </w:tc>
        <w:tc>
          <w:tcPr>
            <w:tcW w:w="3298" w:type="dxa"/>
            <w:tcBorders>
              <w:top w:val="nil"/>
              <w:left w:val="nil"/>
              <w:bottom w:val="single" w:color="auto" w:sz="4" w:space="0"/>
              <w:right w:val="single" w:color="auto" w:sz="4" w:space="0"/>
            </w:tcBorders>
            <w:vAlign w:val="center"/>
          </w:tcPr>
          <w:p>
            <w:pPr>
              <w:jc w:val="center"/>
              <w:rPr>
                <w:rFonts w:hint="eastAsia" w:ascii="宋体" w:cs="新宋体"/>
                <w:bCs/>
                <w:color w:val="auto"/>
                <w:szCs w:val="21"/>
                <w:highlight w:val="none"/>
              </w:rPr>
            </w:pPr>
            <w:r>
              <w:rPr>
                <w:rFonts w:hint="eastAsia" w:ascii="宋体"/>
                <w:color w:val="auto"/>
                <w:szCs w:val="21"/>
                <w:highlight w:val="none"/>
              </w:rPr>
              <w:t>检验合格证书</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nil"/>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3</w:t>
            </w:r>
          </w:p>
        </w:tc>
        <w:tc>
          <w:tcPr>
            <w:tcW w:w="3298" w:type="dxa"/>
            <w:tcBorders>
              <w:top w:val="nil"/>
              <w:left w:val="nil"/>
              <w:bottom w:val="nil"/>
              <w:right w:val="single" w:color="auto" w:sz="4" w:space="0"/>
            </w:tcBorders>
            <w:vAlign w:val="center"/>
          </w:tcPr>
          <w:p>
            <w:pPr>
              <w:jc w:val="center"/>
              <w:rPr>
                <w:rFonts w:hint="eastAsia" w:ascii="宋体" w:cs="新宋体"/>
                <w:bCs/>
                <w:color w:val="auto"/>
                <w:szCs w:val="21"/>
                <w:highlight w:val="none"/>
              </w:rPr>
            </w:pPr>
            <w:r>
              <w:rPr>
                <w:rFonts w:hint="eastAsia" w:ascii="宋体"/>
                <w:color w:val="auto"/>
                <w:szCs w:val="21"/>
                <w:highlight w:val="none"/>
              </w:rPr>
              <w:t>产品说明书</w:t>
            </w:r>
          </w:p>
        </w:tc>
        <w:tc>
          <w:tcPr>
            <w:tcW w:w="1985" w:type="dxa"/>
            <w:tcBorders>
              <w:top w:val="nil"/>
              <w:left w:val="nil"/>
              <w:bottom w:val="nil"/>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nil"/>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r>
        <w:tblPrEx>
          <w:tblLayout w:type="fixed"/>
          <w:tblCellMar>
            <w:top w:w="0" w:type="dxa"/>
            <w:left w:w="0" w:type="dxa"/>
            <w:bottom w:w="0" w:type="dxa"/>
            <w:right w:w="0" w:type="dxa"/>
          </w:tblCellMar>
        </w:tblPrEx>
        <w:trPr>
          <w:trHeight w:val="375" w:hRule="atLeast"/>
        </w:trPr>
        <w:tc>
          <w:tcPr>
            <w:tcW w:w="818"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4</w:t>
            </w:r>
          </w:p>
        </w:tc>
        <w:tc>
          <w:tcPr>
            <w:tcW w:w="3298" w:type="dxa"/>
            <w:tcBorders>
              <w:top w:val="nil"/>
              <w:left w:val="nil"/>
              <w:bottom w:val="single" w:color="auto" w:sz="4" w:space="0"/>
              <w:right w:val="single" w:color="auto" w:sz="4" w:space="0"/>
            </w:tcBorders>
            <w:vAlign w:val="center"/>
          </w:tcPr>
          <w:p>
            <w:pPr>
              <w:jc w:val="center"/>
              <w:rPr>
                <w:rFonts w:hint="eastAsia" w:ascii="宋体"/>
                <w:color w:val="auto"/>
                <w:szCs w:val="21"/>
                <w:highlight w:val="none"/>
              </w:rPr>
            </w:pPr>
            <w:r>
              <w:rPr>
                <w:rFonts w:hint="eastAsia" w:ascii="宋体"/>
                <w:color w:val="auto"/>
                <w:szCs w:val="21"/>
                <w:highlight w:val="none"/>
              </w:rPr>
              <w:t>图纸</w:t>
            </w:r>
          </w:p>
        </w:tc>
        <w:tc>
          <w:tcPr>
            <w:tcW w:w="1985"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6套</w:t>
            </w:r>
          </w:p>
        </w:tc>
        <w:tc>
          <w:tcPr>
            <w:tcW w:w="2820" w:type="dxa"/>
            <w:tcBorders>
              <w:top w:val="nil"/>
              <w:left w:val="nil"/>
              <w:bottom w:val="single" w:color="auto" w:sz="4" w:space="0"/>
              <w:right w:val="single" w:color="auto" w:sz="4" w:space="0"/>
            </w:tcBorders>
            <w:vAlign w:val="center"/>
          </w:tcPr>
          <w:p>
            <w:pPr>
              <w:spacing w:line="360" w:lineRule="auto"/>
              <w:jc w:val="center"/>
              <w:rPr>
                <w:rFonts w:hint="eastAsia" w:ascii="宋体" w:cs="新宋体"/>
                <w:bCs/>
                <w:color w:val="auto"/>
                <w:szCs w:val="21"/>
                <w:highlight w:val="none"/>
              </w:rPr>
            </w:pPr>
            <w:r>
              <w:rPr>
                <w:rFonts w:hint="eastAsia" w:ascii="宋体" w:cs="新宋体"/>
                <w:bCs/>
                <w:color w:val="auto"/>
                <w:szCs w:val="21"/>
                <w:highlight w:val="none"/>
              </w:rPr>
              <w:t>合同签订1个月内</w:t>
            </w:r>
          </w:p>
        </w:tc>
      </w:tr>
    </w:tbl>
    <w:p>
      <w:pPr>
        <w:spacing w:line="360" w:lineRule="auto"/>
        <w:rPr>
          <w:rFonts w:hint="eastAsia" w:ascii="宋体" w:cs="新宋体"/>
          <w:bCs/>
          <w:color w:val="auto"/>
          <w:szCs w:val="21"/>
          <w:highlight w:val="none"/>
        </w:rPr>
      </w:pPr>
      <w:r>
        <w:rPr>
          <w:rFonts w:hint="eastAsia" w:ascii="宋体"/>
          <w:color w:val="auto"/>
          <w:szCs w:val="21"/>
          <w:highlight w:val="none"/>
        </w:rPr>
        <w:t>5.2</w:t>
      </w:r>
      <w:r>
        <w:rPr>
          <w:rFonts w:hint="eastAsia" w:ascii="宋体" w:cs="新宋体"/>
          <w:bCs/>
          <w:color w:val="auto"/>
          <w:szCs w:val="21"/>
          <w:highlight w:val="none"/>
        </w:rPr>
        <w:t>投标人必须交付全新的、完整的、与提供设备相符的、招标方认可的技术资料和图纸（包括纸质版本与电子版本）。对于缺失损坏、不符合要求的技术资料和图纸，投标方在</w:t>
      </w:r>
      <w:r>
        <w:rPr>
          <w:rFonts w:hint="eastAsia" w:ascii="宋体" w:cs="新宋体"/>
          <w:bCs/>
          <w:color w:val="auto"/>
          <w:szCs w:val="21"/>
          <w:highlight w:val="none"/>
          <w:u w:val="single"/>
        </w:rPr>
        <w:t xml:space="preserve">        </w:t>
      </w:r>
      <w:r>
        <w:rPr>
          <w:rFonts w:hint="eastAsia" w:ascii="宋体" w:cs="新宋体"/>
          <w:bCs/>
          <w:color w:val="auto"/>
          <w:szCs w:val="21"/>
          <w:highlight w:val="none"/>
        </w:rPr>
        <w:t>日内，补齐、更换。招标方将</w:t>
      </w:r>
      <w:r>
        <w:rPr>
          <w:rFonts w:hint="eastAsia" w:ascii="宋体" w:cs="新宋体"/>
          <w:bCs/>
          <w:color w:val="auto"/>
          <w:szCs w:val="21"/>
          <w:highlight w:val="none"/>
          <w:u w:val="single"/>
        </w:rPr>
        <w:t xml:space="preserve"> 2 </w:t>
      </w:r>
      <w:r>
        <w:rPr>
          <w:rFonts w:hint="eastAsia" w:ascii="宋体" w:cs="新宋体"/>
          <w:bCs/>
          <w:color w:val="auto"/>
          <w:szCs w:val="21"/>
          <w:highlight w:val="none"/>
        </w:rPr>
        <w:t>套电子版文件，分别存储于U盘中与纸质版本一并交付。招标方出于培训目的，有权复制交付的技术资料和图纸。</w:t>
      </w:r>
    </w:p>
    <w:p>
      <w:pPr>
        <w:adjustRightInd w:val="0"/>
        <w:spacing w:line="360" w:lineRule="auto"/>
        <w:jc w:val="left"/>
        <w:rPr>
          <w:rFonts w:hint="eastAsia" w:ascii="宋体" w:cs="新宋体"/>
          <w:bCs/>
          <w:color w:val="auto"/>
          <w:szCs w:val="21"/>
          <w:highlight w:val="none"/>
        </w:rPr>
      </w:pPr>
      <w:r>
        <w:rPr>
          <w:rFonts w:hint="eastAsia" w:ascii="宋体" w:cs="新宋体"/>
          <w:bCs/>
          <w:color w:val="auto"/>
          <w:szCs w:val="21"/>
          <w:highlight w:val="none"/>
        </w:rPr>
        <w:t>6.技术服务及培训</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6.1技术服务</w:t>
      </w:r>
    </w:p>
    <w:p>
      <w:pPr>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在中心区变电站</w:t>
      </w:r>
      <w:r>
        <w:rPr>
          <w:rFonts w:hint="eastAsia" w:ascii="宋体"/>
          <w:color w:val="auto"/>
          <w:szCs w:val="21"/>
          <w:highlight w:val="none"/>
        </w:rPr>
        <w:t>综合自动化系统</w:t>
      </w:r>
      <w:r>
        <w:rPr>
          <w:rFonts w:hint="eastAsia" w:ascii="宋体" w:cs="新宋体"/>
          <w:bCs/>
          <w:color w:val="auto"/>
          <w:szCs w:val="21"/>
          <w:highlight w:val="none"/>
        </w:rPr>
        <w:t>组装、调试、试运转以及整机质量保证期内，投标人应派遣必要数量的有资格、有经验、有技术、健康、能胜任工作的技术人员到招标人现场从事技术服务工作，在正确安装维修、故障排除及操作使用等方面为招标人提供技术上的帮助和支持，以保证</w:t>
      </w:r>
      <w:r>
        <w:rPr>
          <w:rFonts w:hint="eastAsia" w:ascii="宋体" w:cs="新宋体"/>
          <w:bCs/>
          <w:color w:val="auto"/>
          <w:szCs w:val="21"/>
          <w:highlight w:val="none"/>
          <w:lang w:eastAsia="zh-CN"/>
        </w:rPr>
        <w:t>设备</w:t>
      </w:r>
      <w:r>
        <w:rPr>
          <w:rFonts w:hint="eastAsia" w:ascii="宋体" w:cs="新宋体"/>
          <w:bCs/>
          <w:color w:val="auto"/>
          <w:szCs w:val="21"/>
          <w:highlight w:val="none"/>
        </w:rPr>
        <w:t>能顺利投入使用。</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6.2 技术培训</w:t>
      </w:r>
    </w:p>
    <w:p>
      <w:pPr>
        <w:snapToGrid w:val="0"/>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设备安装后，投标方要为招标方人员提供必要的技术培训，其中投标方在设备安装现场进行培训，培训时间：</w:t>
      </w:r>
      <w:r>
        <w:rPr>
          <w:rFonts w:hint="eastAsia" w:ascii="宋体" w:cs="新宋体"/>
          <w:bCs/>
          <w:color w:val="auto"/>
          <w:szCs w:val="21"/>
          <w:highlight w:val="none"/>
          <w:u w:val="single"/>
        </w:rPr>
        <w:t xml:space="preserve">  1   </w:t>
      </w:r>
      <w:r>
        <w:rPr>
          <w:rFonts w:hint="eastAsia" w:ascii="宋体" w:cs="新宋体"/>
          <w:bCs/>
          <w:color w:val="auto"/>
          <w:szCs w:val="21"/>
          <w:highlight w:val="none"/>
        </w:rPr>
        <w:t>周。</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7.安装调试、性能测试及考核验收</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7.1 安装调试</w:t>
      </w:r>
    </w:p>
    <w:p>
      <w:pPr>
        <w:tabs>
          <w:tab w:val="left" w:pos="1274"/>
          <w:tab w:val="left" w:pos="1785"/>
        </w:tabs>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设备到货后，设备安装、调试由投标方技术服务人员负责完成。整个系统的安装质量、设备调试及现场技术培训均由投标方负责。在安装调试过程中，如发现缺件、损件等问题由投标方负责。</w:t>
      </w:r>
    </w:p>
    <w:p>
      <w:pPr>
        <w:tabs>
          <w:tab w:val="left" w:pos="900"/>
        </w:tabs>
        <w:spacing w:line="360" w:lineRule="auto"/>
        <w:outlineLvl w:val="9"/>
        <w:rPr>
          <w:rFonts w:hint="eastAsia" w:ascii="宋体" w:cs="新宋体"/>
          <w:bCs/>
          <w:color w:val="auto"/>
          <w:szCs w:val="21"/>
          <w:highlight w:val="none"/>
        </w:rPr>
      </w:pPr>
      <w:r>
        <w:rPr>
          <w:rFonts w:hint="eastAsia" w:ascii="宋体" w:cs="新宋体"/>
          <w:bCs/>
          <w:color w:val="auto"/>
          <w:szCs w:val="21"/>
          <w:highlight w:val="none"/>
        </w:rPr>
        <w:t>7.2验收</w:t>
      </w:r>
    </w:p>
    <w:p>
      <w:pPr>
        <w:tabs>
          <w:tab w:val="left" w:pos="1580"/>
        </w:tabs>
        <w:spacing w:line="360" w:lineRule="auto"/>
        <w:ind w:firstLine="420" w:firstLineChars="200"/>
        <w:rPr>
          <w:rFonts w:hint="eastAsia" w:ascii="宋体" w:cs="新宋体"/>
          <w:bCs/>
          <w:color w:val="auto"/>
          <w:szCs w:val="21"/>
          <w:highlight w:val="none"/>
          <w:lang w:val="zh-CN"/>
        </w:rPr>
      </w:pPr>
      <w:r>
        <w:rPr>
          <w:rFonts w:hint="eastAsia" w:ascii="宋体" w:cs="新宋体"/>
          <w:bCs/>
          <w:color w:val="auto"/>
          <w:szCs w:val="21"/>
          <w:highlight w:val="none"/>
          <w:lang w:val="zh-CN"/>
        </w:rPr>
        <w:t>设备在上述考核合格后，按照</w:t>
      </w:r>
      <w:r>
        <w:rPr>
          <w:rFonts w:hint="eastAsia" w:ascii="宋体" w:cs="新宋体"/>
          <w:bCs/>
          <w:color w:val="auto"/>
          <w:szCs w:val="21"/>
          <w:highlight w:val="none"/>
        </w:rPr>
        <w:t>中国国家相关标准和合同规定的要求验收，设备予以验收。</w:t>
      </w:r>
    </w:p>
    <w:p>
      <w:pPr>
        <w:tabs>
          <w:tab w:val="left" w:pos="900"/>
        </w:tabs>
        <w:spacing w:line="360" w:lineRule="auto"/>
        <w:outlineLvl w:val="9"/>
        <w:rPr>
          <w:rFonts w:hint="eastAsia" w:ascii="宋体" w:cs="新宋体"/>
          <w:bCs/>
          <w:color w:val="auto"/>
          <w:szCs w:val="21"/>
          <w:highlight w:val="none"/>
        </w:rPr>
      </w:pPr>
      <w:r>
        <w:rPr>
          <w:rFonts w:hint="eastAsia" w:ascii="宋体" w:cs="新宋体"/>
          <w:bCs/>
          <w:color w:val="auto"/>
          <w:szCs w:val="21"/>
          <w:highlight w:val="none"/>
        </w:rPr>
        <w:t>8.质量保证</w:t>
      </w:r>
    </w:p>
    <w:p>
      <w:pPr>
        <w:tabs>
          <w:tab w:val="left" w:pos="1274"/>
          <w:tab w:val="left" w:pos="1785"/>
        </w:tabs>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整机的质量保证期限为12个月，质保期从设备安装、调试、考核、验收合格双方签字后开始算起。</w:t>
      </w:r>
    </w:p>
    <w:p>
      <w:pPr>
        <w:tabs>
          <w:tab w:val="left" w:pos="900"/>
        </w:tabs>
        <w:spacing w:line="360" w:lineRule="auto"/>
        <w:outlineLvl w:val="9"/>
        <w:rPr>
          <w:rFonts w:hint="eastAsia" w:ascii="宋体" w:cs="新宋体"/>
          <w:bCs/>
          <w:color w:val="auto"/>
          <w:szCs w:val="21"/>
          <w:highlight w:val="none"/>
        </w:rPr>
      </w:pPr>
      <w:r>
        <w:rPr>
          <w:rFonts w:hint="eastAsia" w:ascii="宋体" w:cs="新宋体"/>
          <w:bCs/>
          <w:color w:val="auto"/>
          <w:szCs w:val="21"/>
          <w:highlight w:val="none"/>
        </w:rPr>
        <w:t>9.售后支持</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9.1 技术支持</w:t>
      </w:r>
    </w:p>
    <w:p>
      <w:pPr>
        <w:tabs>
          <w:tab w:val="left" w:pos="1460"/>
        </w:tabs>
        <w:snapToGrid w:val="0"/>
        <w:spacing w:line="360" w:lineRule="auto"/>
        <w:ind w:firstLine="420" w:firstLineChars="200"/>
        <w:rPr>
          <w:rFonts w:hint="eastAsia" w:ascii="宋体" w:cs="新宋体"/>
          <w:bCs/>
          <w:color w:val="auto"/>
          <w:szCs w:val="21"/>
          <w:highlight w:val="none"/>
        </w:rPr>
      </w:pPr>
      <w:r>
        <w:rPr>
          <w:rFonts w:hint="eastAsia" w:ascii="宋体" w:cs="新宋体"/>
          <w:bCs/>
          <w:color w:val="auto"/>
          <w:szCs w:val="21"/>
          <w:highlight w:val="none"/>
        </w:rPr>
        <w:t>投标方应在报价中说明质保期满后如何在技术上继续给招标方以支持。</w:t>
      </w:r>
    </w:p>
    <w:p>
      <w:pPr>
        <w:tabs>
          <w:tab w:val="left" w:pos="900"/>
        </w:tabs>
        <w:spacing w:line="360" w:lineRule="auto"/>
        <w:rPr>
          <w:rFonts w:hint="eastAsia" w:ascii="宋体" w:cs="新宋体"/>
          <w:bCs/>
          <w:color w:val="auto"/>
          <w:szCs w:val="21"/>
          <w:highlight w:val="none"/>
        </w:rPr>
      </w:pPr>
      <w:r>
        <w:rPr>
          <w:rFonts w:hint="eastAsia" w:ascii="宋体" w:cs="新宋体"/>
          <w:bCs/>
          <w:color w:val="auto"/>
          <w:szCs w:val="21"/>
          <w:highlight w:val="none"/>
        </w:rPr>
        <w:t>9.2 维修支持</w:t>
      </w:r>
    </w:p>
    <w:p>
      <w:pPr>
        <w:tabs>
          <w:tab w:val="left" w:pos="1580"/>
        </w:tabs>
        <w:spacing w:line="360" w:lineRule="auto"/>
        <w:ind w:firstLine="420" w:firstLineChars="200"/>
        <w:rPr>
          <w:rFonts w:hint="eastAsia" w:ascii="宋体" w:cs="新宋体"/>
          <w:bCs/>
          <w:color w:val="auto"/>
          <w:szCs w:val="21"/>
          <w:highlight w:val="none"/>
          <w:lang w:val="zh-CN"/>
        </w:rPr>
      </w:pPr>
      <w:r>
        <w:rPr>
          <w:rFonts w:hint="eastAsia" w:ascii="宋体" w:cs="新宋体"/>
          <w:bCs/>
          <w:color w:val="auto"/>
          <w:szCs w:val="21"/>
          <w:highlight w:val="none"/>
          <w:lang w:val="zh-CN"/>
        </w:rPr>
        <w:t>投标方应在报价中说明质保期满后，投标方在设备维修方面能给招标方什么样的支持。如招标方是否可得到投标方在专业维修点的帮助；对于招标方遇到的紧急故障需要投标方帮助处理时，投标方如何以最快的速度给予支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 w:val="clear" w:pos="4140"/>
        <w:tab w:val="clear" w:pos="8300"/>
      </w:tabs>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 w:val="clear" w:pos="4140"/>
        <w:tab w:val="clear" w:pos="8300"/>
      </w:tabs>
      <w:ind w:right="360"/>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28575" cy="131445"/>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28575" cy="131445"/>
                      </a:xfrm>
                      <a:prstGeom prst="rect">
                        <a:avLst/>
                      </a:prstGeom>
                      <a:noFill/>
                      <a:ln w="9525">
                        <a:noFill/>
                      </a:ln>
                    </wps:spPr>
                    <wps:txbx>
                      <w:txbxContent>
                        <w:p>
                          <w:pPr>
                            <w:pStyle w:val="8"/>
                            <w:tabs>
                              <w:tab w:val="center" w:pos="4153"/>
                              <w:tab w:val="right" w:pos="8306"/>
                              <w:tab w:val="clear" w:pos="4140"/>
                              <w:tab w:val="clear" w:pos="8300"/>
                            </w:tabs>
                            <w:rPr>
                              <w:rStyle w:val="15"/>
                            </w:rPr>
                          </w:pPr>
                          <w:r>
                            <w:fldChar w:fldCharType="begin"/>
                          </w:r>
                          <w:r>
                            <w:rPr>
                              <w:rStyle w:val="15"/>
                            </w:rPr>
                            <w:instrText xml:space="preserve">PAGE  </w:instrText>
                          </w:r>
                          <w:r>
                            <w:fldChar w:fldCharType="separate"/>
                          </w:r>
                          <w:r>
                            <w:rPr>
                              <w:rStyle w:val="15"/>
                            </w:rPr>
                            <w:t xml:space="preserve">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2.25pt;mso-position-horizontal:center;mso-position-horizontal-relative:margin;mso-wrap-distance-bottom:0pt;mso-wrap-distance-left:0pt;mso-wrap-distance-right:0pt;mso-wrap-distance-top:0pt;mso-wrap-style:none;z-index:251660288;mso-width-relative:page;mso-height-relative:page;" filled="f" stroked="f" coordsize="21600,21600" o:gfxdata="UEsDBAoAAAAAAIdO4kAAAAAAAAAAAAAAAAAEAAAAZHJzL1BLAwQUAAAACACHTuJACwFRL9AAAAAC&#10;AQAADwAAAGRycy9kb3ducmV2LnhtbE2PwU7DMBBE70j8g7WVuFG7FdAqZNNDJS7cKAiJmxtv46j2&#10;OrLdNPl7DBe4rDSa0czbejd5J0aKqQ+MsFoqEMRtMD13CB/vL/dbEClrNtoFJoSZEuya25taVyZc&#10;+Y3GQ+5EKeFUaQSb81BJmVpLXqdlGIiLdwrR61xk7KSJ+lrKvZNrpZ6k1z2XBasH2ltqz4eLR9hM&#10;n4GGRHv6Oo1ttP28da8z4t1ipZ5BZJryXxh+8As6NIXpGC5sknAI5ZH8e4v38AjiiLBWG5BNLf+j&#10;N99QSwMEFAAAAAgAh07iQAcdHB68AQAAUQMAAA4AAABkcnMvZTJvRG9jLnhtbK1TS27bMBDdF8gd&#10;CO5rWW6UJoLloEGQokDQFkhzAJoiLQL8gUNb8gXaG2SVTfc9l8+RIS07QbILuqGGM8M3782M5peD&#10;0WQjAihnG1pOppQIy12r7Kqh979uPp5TApHZlmlnRUO3Aujl4uTDvPe1mLnO6VYEgiAW6t43tIvR&#10;10UBvBOGwcR5YTEoXTAs4jWsijawHtGNLmbT6VnRu9D64LgAQO/1PkgXGV9KweMPKUFEohuK3GI+&#10;Qz6X6SwWc1avAvOd4iMN9g4WhimLRY9Q1ywysg7qDZRRPDhwMk64M4WTUnGRNaCacvpKzV3HvMha&#10;sDngj22C/wfLv29+BqJanB0llhkc0e7hz+7x3+7vb1Km9vQeasy685gXhys3pNTRD+hMqgcZTPqi&#10;HoJxbPT22FwxRMLROTuvPleUcIyUn8rT0yqBFM9vfYD4VThDktHQgKPLHWWbW4j71ENKKmXdjdIa&#10;/azWlvQNvahmVX5wjCC4tlgjKdgzTVYclsNIf+naLarqcfwNtbiflOhvFrubNuVghIOxPBhrH9Sq&#10;Q45lrgf+yzoim0wyVdjDjoVxblnmuGNpMV7ec9bzn7B4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AsBUS/QAAAAAgEAAA8AAAAAAAAAAQAgAAAAIgAAAGRycy9kb3ducmV2LnhtbFBLAQIUABQAAAAI&#10;AIdO4kAHHRwevAEAAFEDAAAOAAAAAAAAAAEAIAAAAB8BAABkcnMvZTJvRG9jLnhtbFBLBQYAAAAA&#10;BgAGAFkBAABNBQAAAAA=&#10;">
              <v:path/>
              <v:fill on="f" focussize="0,0"/>
              <v:stroke on="f"/>
              <v:imagedata o:title=""/>
              <o:lock v:ext="edit"/>
              <v:textbox inset="0mm,0mm,0mm,0mm" style="mso-fit-shape-to-text:t;">
                <w:txbxContent>
                  <w:p>
                    <w:pPr>
                      <w:pStyle w:val="8"/>
                      <w:tabs>
                        <w:tab w:val="center" w:pos="4153"/>
                        <w:tab w:val="right" w:pos="8306"/>
                        <w:tab w:val="clear" w:pos="4140"/>
                        <w:tab w:val="clear" w:pos="8300"/>
                      </w:tabs>
                      <w:rPr>
                        <w:rStyle w:val="15"/>
                      </w:rPr>
                    </w:pPr>
                    <w:r>
                      <w:fldChar w:fldCharType="begin"/>
                    </w:r>
                    <w:r>
                      <w:rPr>
                        <w:rStyle w:val="15"/>
                      </w:rPr>
                      <w:instrText xml:space="preserve">PAGE  </w:instrText>
                    </w:r>
                    <w:r>
                      <w:fldChar w:fldCharType="separate"/>
                    </w:r>
                    <w:r>
                      <w:rPr>
                        <w:rStyle w:val="15"/>
                      </w:rPr>
                      <w:t xml:space="preserve"> </w:t>
                    </w:r>
                    <w:r>
                      <w:fldChar w:fldCharType="end"/>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7"/>
        <w:tab w:val="clear" w:pos="4140"/>
        <w:tab w:val="clear" w:pos="8300"/>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E8Vk70BAABiAwAADgAAAGRycy9lMm9Eb2MueG1srVNLbtswEN0H6B0I&#10;7mPJAlI4gumgQZCiQNEGSHIAmiItAvxhSFvyBdobdNVN9z2Xz9EhbTlFswu6oWY4wzfz3oyWN6M1&#10;ZCchau8Ync9qSqQTvtNuw+jz0/3lgpKYuOu48U4yupeR3qzeXSyH0MrG9950EgiCuNgOgdE+pdBW&#10;VRS9tDzOfJAOg8qD5Qld2FQd8AHRramaun5fDR66AF7IGPH27hikq4KvlBTpq1JRJmIYxd5SOaGc&#10;63xWqyVvN8BDr8WpDf6GLizXDoueoe544mQL+hWU1QJ89CrNhLeVV0oLWTggm3n9D5vHngdZuKA4&#10;MZxliv8PVnzZPQDRHaMNJY5bHNHhx/fDz9+HX99Ik+UZQmwx6zFgXhpv/Yhjnu4jXmbWowKbv8iH&#10;YByF3p/FlWMiIj9aNItFjSGBsclB/OrleYCYPkpvSTYYBZxeEZXvPsd0TJ1ScjXn77UxZYLGkYHR&#10;66vmqjw4RxDcuJwryy6cYDKlY+vZSuN6PPFc+26PNAfcB0YdLiwl5pNDufPqTAZMxnoytgH0pseO&#10;56V6DB+2CXsrLecKR1ikmh0cZCF9Wrq8KX/7Jevl11j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0TxWTvQEAAGIDAAAOAAAAAAAAAAEAIAAAAB4BAABkcnMvZTJvRG9jLnhtbFBLBQYAAAAA&#10;BgAGAFkBAABNBQAAAAA=&#10;">
              <v:path/>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153"/>
        <w:tab w:val="right" w:pos="8307"/>
        <w:tab w:val="clear" w:pos="4140"/>
        <w:tab w:val="clear" w:pos="8300"/>
      </w:tabs>
    </w:pPr>
  </w:p>
  <w:p>
    <w:pPr>
      <w:pStyle w:val="10"/>
      <w:tabs>
        <w:tab w:val="center" w:pos="4153"/>
        <w:tab w:val="right" w:pos="8307"/>
        <w:tab w:val="clear" w:pos="4140"/>
        <w:tab w:val="clear" w:pos="8300"/>
      </w:tabs>
    </w:pPr>
  </w:p>
  <w:p>
    <w:pPr>
      <w:pStyle w:val="10"/>
      <w:tabs>
        <w:tab w:val="center" w:pos="4153"/>
        <w:tab w:val="right" w:pos="8307"/>
        <w:tab w:val="clear" w:pos="4140"/>
        <w:tab w:val="clear" w:pos="8300"/>
      </w:tabs>
    </w:pPr>
    <w:r>
      <w:t xml:space="preserve">                                               </w:t>
    </w:r>
    <w:r>
      <w:rPr>
        <w:rFonts w:hint="eastAsia"/>
      </w:rPr>
      <w:t xml:space="preserve">          </w:t>
    </w:r>
    <w:r>
      <w:rPr>
        <w:rFonts w:hint="eastAsia"/>
        <w:lang w:val="en-US" w:eastAsia="zh-CN"/>
      </w:rPr>
      <w:t xml:space="preserve">         </w:t>
    </w:r>
    <w:r>
      <w:rPr>
        <w:rFonts w:hint="eastAsia"/>
      </w:rPr>
      <w:t xml:space="preserve"> </w:t>
    </w:r>
    <w:r>
      <w:rPr>
        <w:rFonts w:hint="eastAsia"/>
        <w:lang w:eastAsia="zh-CN"/>
      </w:rPr>
      <w:t>CEZB190303315</w:t>
    </w:r>
    <w:r>
      <w:rPr>
        <w:rFonts w:hint="eastAsia"/>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B4EC2"/>
    <w:multiLevelType w:val="multilevel"/>
    <w:tmpl w:val="2ABB4EC2"/>
    <w:lvl w:ilvl="0" w:tentative="0">
      <w:start w:val="2"/>
      <w:numFmt w:val="decimal"/>
      <w:lvlText w:val="%1."/>
      <w:lvlJc w:val="left"/>
      <w:pPr>
        <w:tabs>
          <w:tab w:val="left" w:pos="312"/>
        </w:tabs>
      </w:pPr>
    </w:lvl>
    <w:lvl w:ilvl="1" w:tentative="0">
      <w:start w:val="1"/>
      <w:numFmt w:val="decimal"/>
      <w:isLgl/>
      <w:lvlText w:val="%1.%2"/>
      <w:lvlJc w:val="left"/>
      <w:pPr>
        <w:ind w:left="840" w:hanging="840"/>
      </w:pPr>
      <w:rPr>
        <w:rFonts w:hint="default"/>
      </w:rPr>
    </w:lvl>
    <w:lvl w:ilvl="2" w:tentative="0">
      <w:start w:val="6"/>
      <w:numFmt w:val="decimal"/>
      <w:isLgl/>
      <w:lvlText w:val="%1.%2.%3"/>
      <w:lvlJc w:val="left"/>
      <w:pPr>
        <w:ind w:left="840" w:hanging="840"/>
      </w:pPr>
      <w:rPr>
        <w:rFonts w:hint="default"/>
      </w:rPr>
    </w:lvl>
    <w:lvl w:ilvl="3" w:tentative="0">
      <w:start w:val="2"/>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D6D24"/>
    <w:rsid w:val="6BAD6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7"/>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szCs w:val="32"/>
      <w:lang w:val="en-US" w:eastAsia="zh-CN" w:bidi="ar-SA"/>
    </w:rPr>
  </w:style>
  <w:style w:type="character" w:default="1" w:styleId="12">
    <w:name w:val="Default Paragraph Font"/>
    <w:link w:val="13"/>
    <w:semiHidden/>
    <w:uiPriority w:val="0"/>
    <w:rPr>
      <w:rFonts w:ascii="Tahoma" w:hAnsi="Tahoma"/>
      <w:sz w:val="24"/>
      <w:szCs w:val="24"/>
    </w:rPr>
  </w:style>
  <w:style w:type="table" w:default="1" w:styleId="16">
    <w:name w:val="Normal Table"/>
    <w:semiHidden/>
    <w:uiPriority w:val="0"/>
    <w:tblPr>
      <w:tblLayout w:type="fixed"/>
      <w:tblCellMar>
        <w:top w:w="0" w:type="dxa"/>
        <w:left w:w="108" w:type="dxa"/>
        <w:bottom w:w="0" w:type="dxa"/>
        <w:right w:w="108" w:type="dxa"/>
      </w:tblCellMar>
    </w:tblPr>
  </w:style>
  <w:style w:type="paragraph" w:styleId="3">
    <w:name w:val="Document Map"/>
    <w:basedOn w:val="1"/>
    <w:uiPriority w:val="0"/>
    <w:pPr>
      <w:shd w:val="clear" w:color="auto" w:fill="000080"/>
    </w:pPr>
    <w:rPr>
      <w:rFonts w:ascii="Times New Roman" w:hAnsi="Times New Roman" w:eastAsia="宋体" w:cs="Times New Roman"/>
    </w:rPr>
  </w:style>
  <w:style w:type="paragraph" w:styleId="4">
    <w:name w:val="Body Text Indent"/>
    <w:basedOn w:val="1"/>
    <w:next w:val="5"/>
    <w:uiPriority w:val="0"/>
    <w:pPr>
      <w:ind w:firstLine="444"/>
    </w:pPr>
    <w:rPr>
      <w:rFonts w:ascii="Times New Roman" w:hAnsi="Times New Roman" w:eastAsia="宋体" w:cs="Times New Roman"/>
      <w:b/>
      <w:sz w:val="24"/>
    </w:rPr>
  </w:style>
  <w:style w:type="paragraph" w:styleId="5">
    <w:name w:val="Date"/>
    <w:basedOn w:val="1"/>
    <w:next w:val="1"/>
    <w:uiPriority w:val="0"/>
    <w:pPr>
      <w:widowControl w:val="0"/>
      <w:spacing w:after="0"/>
      <w:jc w:val="both"/>
    </w:pPr>
    <w:rPr>
      <w:rFonts w:ascii="Times New Roman" w:hAnsi="Times New Roman" w:eastAsia="宋体" w:cs="Times New Roman"/>
      <w:kern w:val="2"/>
      <w:sz w:val="21"/>
      <w:lang w:val="en-US" w:eastAsia="zh-CN" w:bidi="ar-SA"/>
    </w:rPr>
  </w:style>
  <w:style w:type="paragraph" w:styleId="6">
    <w:name w:val="Plain Text"/>
    <w:basedOn w:val="1"/>
    <w:next w:val="4"/>
    <w:uiPriority w:val="0"/>
    <w:rPr>
      <w:rFonts w:ascii="宋体" w:hAnsi="Times New Roman" w:eastAsia="宋体" w:cs="Times New Roman"/>
    </w:rPr>
  </w:style>
  <w:style w:type="paragraph" w:styleId="7">
    <w:name w:val="Balloon Text"/>
    <w:basedOn w:val="1"/>
    <w:uiPriority w:val="0"/>
    <w:rPr>
      <w:rFonts w:ascii="宋体" w:hAnsi="Times New Roman" w:eastAsia="宋体" w:cs="Times New Roman"/>
      <w:sz w:val="18"/>
      <w:szCs w:val="18"/>
    </w:rPr>
  </w:style>
  <w:style w:type="paragraph" w:styleId="8">
    <w:name w:val="footer"/>
    <w:basedOn w:val="1"/>
    <w:next w:val="9"/>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9">
    <w:name w:val="toc 2"/>
    <w:basedOn w:val="1"/>
    <w:next w:val="1"/>
    <w:uiPriority w:val="0"/>
    <w:pPr>
      <w:widowControl w:val="0"/>
      <w:spacing w:before="0" w:after="0"/>
      <w:ind w:left="200" w:leftChars="200" w:right="0"/>
      <w:jc w:val="both"/>
    </w:pPr>
    <w:rPr>
      <w:rFonts w:ascii="Times New Roman" w:hAnsi="Times New Roman" w:eastAsia="宋体" w:cs="Times New Roman"/>
      <w:kern w:val="2"/>
      <w:sz w:val="21"/>
      <w:lang w:val="en-US" w:eastAsia="zh-CN" w:bidi="ar-SA"/>
    </w:rPr>
  </w:style>
  <w:style w:type="paragraph" w:styleId="10">
    <w:name w:val="header"/>
    <w:basedOn w:val="1"/>
    <w:next w:val="1"/>
    <w:uiPriority w:val="0"/>
    <w:pPr>
      <w:widowControl w:val="0"/>
      <w:pBdr>
        <w:bottom w:val="single" w:color="000000" w:sz="6" w:space="1"/>
      </w:pBdr>
      <w:tabs>
        <w:tab w:val="center" w:pos="4140"/>
        <w:tab w:val="right" w:pos="8300"/>
      </w:tabs>
      <w:snapToGrid w:val="0"/>
      <w:spacing w:after="0"/>
      <w:jc w:val="center"/>
    </w:pPr>
    <w:rPr>
      <w:rFonts w:ascii="Times New Roman" w:hAnsi="Times New Roman" w:eastAsia="宋体" w:cs="Times New Roman"/>
      <w:kern w:val="2"/>
      <w:sz w:val="18"/>
      <w:lang w:val="en-US" w:eastAsia="zh-CN" w:bidi="ar-SA"/>
    </w:rPr>
  </w:style>
  <w:style w:type="paragraph" w:styleId="11">
    <w:name w:val="Title"/>
    <w:basedOn w:val="1"/>
    <w:next w:val="1"/>
    <w:uiPriority w:val="0"/>
    <w:pPr>
      <w:widowControl w:val="0"/>
      <w:adjustRightInd w:val="0"/>
      <w:spacing w:after="0" w:line="312" w:lineRule="atLeast"/>
      <w:jc w:val="center"/>
    </w:pPr>
    <w:rPr>
      <w:rFonts w:ascii="Arial" w:hAnsi="Arial" w:eastAsia="宋体" w:cs="Times New Roman"/>
      <w:b/>
      <w:bCs/>
      <w:kern w:val="0"/>
      <w:sz w:val="48"/>
      <w:lang w:val="en-US" w:eastAsia="zh-CN" w:bidi="ar-SA"/>
    </w:rPr>
  </w:style>
  <w:style w:type="paragraph" w:customStyle="1" w:styleId="13">
    <w:name w:val="默认段落字体 Para Char Char Char Char Char Char Char Char Char Char Char Char Char Char"/>
    <w:basedOn w:val="3"/>
    <w:link w:val="12"/>
    <w:qFormat/>
    <w:uiPriority w:val="0"/>
    <w:pPr>
      <w:shd w:val="clear" w:color="auto" w:fill="000080"/>
    </w:pPr>
    <w:rPr>
      <w:rFonts w:ascii="Tahoma" w:hAnsi="Tahoma"/>
      <w:sz w:val="24"/>
      <w:szCs w:val="24"/>
    </w:rPr>
  </w:style>
  <w:style w:type="character" w:styleId="14">
    <w:name w:val="Strong"/>
    <w:basedOn w:val="12"/>
    <w:uiPriority w:val="0"/>
    <w:rPr>
      <w:rFonts w:ascii="Times New Roman" w:hAnsi="Times New Roman" w:eastAsia="宋体" w:cs="Times New Roman"/>
      <w:b/>
    </w:rPr>
  </w:style>
  <w:style w:type="character" w:styleId="15">
    <w:name w:val="page number"/>
    <w:basedOn w:val="12"/>
    <w:uiPriority w:val="0"/>
    <w:rPr>
      <w:rFonts w:ascii="Times New Roman" w:hAnsi="Times New Roman" w:eastAsia="宋体" w:cs="Times New Roman"/>
      <w:szCs w:val="24"/>
    </w:rPr>
  </w:style>
  <w:style w:type="character" w:customStyle="1" w:styleId="17">
    <w:name w:val="标题 2 Char"/>
    <w:link w:val="2"/>
    <w:uiPriority w:val="0"/>
    <w:rPr>
      <w:rFonts w:ascii="Arial" w:hAnsi="Arial" w:eastAsia="黑体" w:cs="Times New Roman"/>
      <w:b/>
      <w:bCs/>
      <w:kern w:val="2"/>
      <w:sz w:val="32"/>
      <w:szCs w:val="32"/>
      <w:lang w:val="en-US" w:eastAsia="zh-CN" w:bidi="ar-SA"/>
    </w:rPr>
  </w:style>
  <w:style w:type="paragraph" w:customStyle="1" w:styleId="18">
    <w:name w:val="Bgg"/>
    <w:basedOn w:val="1"/>
    <w:uiPriority w:val="0"/>
    <w:pPr>
      <w:topLinePunct/>
      <w:snapToGrid w:val="0"/>
      <w:ind w:firstLine="200" w:firstLineChars="200"/>
      <w:jc w:val="center"/>
    </w:pPr>
    <w:rPr>
      <w:rFonts w:hAnsi="宋体"/>
      <w:color w:val="000000"/>
      <w:kern w:val="21"/>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2019-05-31T07:44:00Z</dcterms:created>
  <dc:creator>Administrator</dc:creator>
  <cp:lastModifiedBy>Administrator</cp:lastModifiedBy>
  <dcterms:modified xsi:type="dcterms:W3CDTF">2019-05-31T07:44:50Z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