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48"/>
          <w:szCs w:val="48"/>
        </w:rPr>
      </w:pPr>
      <w:bookmarkStart w:id="0" w:name="_Toc15622919"/>
      <w:r>
        <w:rPr>
          <w:rFonts w:hint="eastAsia"/>
          <w:b/>
          <w:color w:val="000000"/>
          <w:sz w:val="48"/>
          <w:szCs w:val="48"/>
        </w:rPr>
        <w:t>设备购置技术标书审批表</w:t>
      </w:r>
    </w:p>
    <w:p>
      <w:pPr>
        <w:ind w:right="150"/>
        <w:jc w:val="right"/>
        <w:rPr>
          <w:color w:val="000000"/>
          <w:sz w:val="30"/>
          <w:szCs w:val="30"/>
        </w:rPr>
      </w:pPr>
      <w:r>
        <w:rPr>
          <w:rFonts w:hint="eastAsia"/>
          <w:color w:val="000000"/>
          <w:sz w:val="30"/>
          <w:szCs w:val="30"/>
          <w:lang w:val="en-US" w:eastAsia="zh-CN"/>
        </w:rPr>
        <w:t>2018</w:t>
      </w:r>
      <w:r>
        <w:rPr>
          <w:rFonts w:hint="eastAsia"/>
          <w:color w:val="000000"/>
          <w:sz w:val="30"/>
          <w:szCs w:val="30"/>
        </w:rPr>
        <w:t>年</w:t>
      </w:r>
      <w:r>
        <w:rPr>
          <w:rFonts w:hint="eastAsia"/>
          <w:color w:val="000000"/>
          <w:sz w:val="30"/>
          <w:szCs w:val="30"/>
          <w:lang w:val="en-US" w:eastAsia="zh-CN"/>
        </w:rPr>
        <w:t>7</w:t>
      </w:r>
      <w:r>
        <w:rPr>
          <w:rFonts w:hint="eastAsia"/>
          <w:color w:val="000000"/>
          <w:sz w:val="30"/>
          <w:szCs w:val="30"/>
        </w:rPr>
        <w:t>月</w:t>
      </w:r>
      <w:r>
        <w:rPr>
          <w:rFonts w:hint="eastAsia"/>
          <w:color w:val="000000"/>
          <w:sz w:val="30"/>
          <w:szCs w:val="30"/>
          <w:lang w:val="en-US" w:eastAsia="zh-CN"/>
        </w:rPr>
        <w:t>10</w:t>
      </w:r>
      <w:r>
        <w:rPr>
          <w:rFonts w:hint="eastAsia"/>
          <w:color w:val="000000"/>
          <w:sz w:val="30"/>
          <w:szCs w:val="30"/>
        </w:rPr>
        <w:t>日</w:t>
      </w:r>
    </w:p>
    <w:tbl>
      <w:tblPr>
        <w:tblStyle w:val="21"/>
        <w:tblW w:w="9154" w:type="dxa"/>
        <w:jc w:val="center"/>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90"/>
        <w:gridCol w:w="3904"/>
        <w:gridCol w:w="141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822"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30"/>
                <w:szCs w:val="30"/>
              </w:rPr>
            </w:pPr>
            <w:r>
              <w:rPr>
                <w:rFonts w:hint="eastAsia" w:ascii="宋体" w:hAnsi="宋体"/>
                <w:sz w:val="30"/>
                <w:szCs w:val="30"/>
              </w:rPr>
              <w:t>设备名称</w:t>
            </w:r>
          </w:p>
        </w:tc>
        <w:tc>
          <w:tcPr>
            <w:tcW w:w="39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bCs/>
                <w:color w:val="000000"/>
                <w:kern w:val="0"/>
                <w:sz w:val="28"/>
                <w:szCs w:val="28"/>
              </w:rPr>
            </w:pPr>
            <w:r>
              <w:rPr>
                <w:rFonts w:hint="eastAsia" w:ascii="仿宋_GB2312" w:eastAsia="仿宋_GB2312"/>
                <w:b/>
                <w:bCs/>
                <w:color w:val="auto"/>
                <w:sz w:val="28"/>
                <w:szCs w:val="28"/>
                <w:lang w:val="en-US" w:eastAsia="zh-CN"/>
              </w:rPr>
              <w:t>后备电源监视控制管理系统</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30"/>
                <w:szCs w:val="30"/>
              </w:rPr>
            </w:pPr>
            <w:r>
              <w:rPr>
                <w:rFonts w:hint="eastAsia" w:ascii="宋体" w:hAnsi="宋体"/>
                <w:sz w:val="30"/>
                <w:szCs w:val="30"/>
              </w:rPr>
              <w:t>购置数量</w:t>
            </w:r>
          </w:p>
        </w:tc>
        <w:tc>
          <w:tcPr>
            <w:tcW w:w="1843" w:type="dxa"/>
            <w:tcBorders>
              <w:top w:val="single" w:color="auto" w:sz="4" w:space="0"/>
              <w:left w:val="single" w:color="auto" w:sz="4" w:space="0"/>
              <w:bottom w:val="single" w:color="auto" w:sz="4" w:space="0"/>
              <w:right w:val="single" w:color="auto" w:sz="4" w:space="0"/>
            </w:tcBorders>
            <w:vAlign w:val="center"/>
          </w:tcPr>
          <w:p>
            <w:pPr>
              <w:ind w:firstLine="465" w:firstLineChars="155"/>
              <w:rPr>
                <w:rFonts w:ascii="宋体" w:hAnsi="宋体"/>
                <w:sz w:val="30"/>
                <w:szCs w:val="30"/>
              </w:rPr>
            </w:pPr>
            <w:r>
              <w:rPr>
                <w:rFonts w:hint="eastAsia" w:ascii="宋体" w:hAnsi="宋体"/>
                <w:sz w:val="30"/>
                <w:szCs w:val="30"/>
              </w:rPr>
              <w:t>1</w:t>
            </w:r>
            <w:r>
              <w:rPr>
                <w:rFonts w:hint="eastAsia" w:ascii="宋体" w:hAnsi="宋体"/>
                <w:sz w:val="30"/>
                <w:szCs w:val="30"/>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43"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30"/>
                <w:szCs w:val="30"/>
              </w:rPr>
            </w:pPr>
            <w:r>
              <w:rPr>
                <w:rFonts w:hint="eastAsia" w:ascii="宋体" w:hAnsi="宋体"/>
                <w:sz w:val="30"/>
                <w:szCs w:val="30"/>
              </w:rPr>
              <w:t>计划来源</w:t>
            </w:r>
          </w:p>
        </w:tc>
        <w:tc>
          <w:tcPr>
            <w:tcW w:w="716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30"/>
                <w:szCs w:val="30"/>
              </w:rPr>
            </w:pPr>
            <w:r>
              <w:rPr>
                <w:rFonts w:hint="eastAsia" w:ascii="仿宋_GB2312" w:eastAsia="仿宋_GB2312"/>
                <w:color w:val="auto"/>
                <w:sz w:val="28"/>
                <w:szCs w:val="28"/>
                <w:lang w:val="en-US" w:eastAsia="zh-CN"/>
              </w:rPr>
              <w:t>2018年</w:t>
            </w:r>
            <w:r>
              <w:rPr>
                <w:rFonts w:hint="eastAsia" w:ascii="仿宋_GB2312" w:eastAsia="仿宋_GB2312"/>
                <w:color w:val="auto"/>
                <w:sz w:val="28"/>
                <w:szCs w:val="28"/>
                <w:lang w:eastAsia="zh-CN"/>
              </w:rPr>
              <w:t>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038"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30"/>
                <w:szCs w:val="30"/>
              </w:rPr>
            </w:pPr>
            <w:r>
              <w:rPr>
                <w:rFonts w:hint="eastAsia" w:ascii="宋体" w:hAnsi="宋体"/>
                <w:sz w:val="30"/>
                <w:szCs w:val="30"/>
              </w:rPr>
              <w:t>主要技术参数</w:t>
            </w:r>
          </w:p>
        </w:tc>
        <w:tc>
          <w:tcPr>
            <w:tcW w:w="7164"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1）建立后备电源监视控制管理平台，实现矿井后备电源设备的在线监控。</w:t>
            </w:r>
          </w:p>
          <w:p>
            <w:pPr>
              <w:jc w:val="left"/>
              <w:rPr>
                <w:rFonts w:hint="eastAsia" w:ascii="仿宋_GB2312" w:eastAsia="仿宋_GB2312"/>
                <w:color w:val="00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电源额定输入电压：AC127V和660V；电源输出电压:AC127V</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220V、660V;</w:t>
            </w:r>
          </w:p>
          <w:p>
            <w:pPr>
              <w:pStyle w:val="17"/>
              <w:spacing w:before="0" w:beforeAutospacing="0" w:after="0" w:afterAutospacing="0"/>
              <w:contextualSpacing/>
              <w:outlineLvl w:val="1"/>
              <w:rPr>
                <w:bCs/>
                <w:color w:val="000000" w:themeColor="text1"/>
                <w:sz w:val="28"/>
                <w:szCs w:val="28"/>
                <w14:textFill>
                  <w14:solidFill>
                    <w14:schemeClr w14:val="tx1"/>
                  </w14:solidFill>
                </w14:textFill>
              </w:rPr>
            </w:pPr>
            <w:r>
              <w:rPr>
                <w:rFonts w:hint="eastAsia" w:ascii="仿宋_GB2312" w:eastAsia="仿宋_GB2312"/>
                <w:color w:val="000000"/>
                <w:sz w:val="32"/>
                <w:szCs w:val="32"/>
                <w:lang w:val="en-US" w:eastAsia="zh-CN"/>
              </w:rPr>
              <w:t>3）</w:t>
            </w:r>
            <w:r>
              <w:rPr>
                <w:rFonts w:hint="eastAsia" w:ascii="仿宋_GB2312" w:eastAsia="仿宋_GB2312"/>
                <w:color w:val="000000"/>
                <w:sz w:val="32"/>
                <w:szCs w:val="32"/>
                <w:highlight w:val="magenta"/>
                <w:lang w:val="en-US" w:eastAsia="zh-CN"/>
              </w:rPr>
              <w:t>每套防爆后备电源可由单台或多台蓄电设备组成，</w:t>
            </w:r>
            <w:r>
              <w:rPr>
                <w:rFonts w:hint="eastAsia" w:ascii="仿宋_GB2312" w:eastAsia="仿宋_GB2312"/>
                <w:color w:val="000000"/>
                <w:sz w:val="32"/>
                <w:szCs w:val="32"/>
                <w:highlight w:val="magenta"/>
              </w:rPr>
              <w:t>单台设备额定输出功率不低于</w:t>
            </w:r>
            <w:r>
              <w:rPr>
                <w:rFonts w:hint="eastAsia" w:ascii="仿宋_GB2312" w:eastAsia="仿宋_GB2312"/>
                <w:color w:val="000000"/>
                <w:sz w:val="32"/>
                <w:szCs w:val="32"/>
                <w:highlight w:val="magenta"/>
                <w:lang w:val="en-US" w:eastAsia="zh-CN"/>
              </w:rPr>
              <w:t>1</w:t>
            </w:r>
            <w:r>
              <w:rPr>
                <w:rFonts w:hint="eastAsia" w:ascii="仿宋_GB2312" w:eastAsia="仿宋_GB2312"/>
                <w:color w:val="000000"/>
                <w:sz w:val="32"/>
                <w:szCs w:val="32"/>
                <w:highlight w:val="magenta"/>
              </w:rPr>
              <w:t>000</w:t>
            </w:r>
            <w:r>
              <w:rPr>
                <w:rFonts w:hint="eastAsia" w:ascii="仿宋_GB2312" w:eastAsia="仿宋_GB2312"/>
                <w:color w:val="000000"/>
                <w:sz w:val="32"/>
                <w:szCs w:val="32"/>
                <w:highlight w:val="magenta"/>
                <w:lang w:val="en-US" w:eastAsia="zh-CN"/>
              </w:rPr>
              <w:t>VA</w:t>
            </w:r>
            <w:r>
              <w:rPr>
                <w:rFonts w:hint="eastAsia" w:ascii="仿宋_GB2312" w:eastAsia="仿宋_GB2312"/>
                <w:color w:val="000000"/>
                <w:sz w:val="32"/>
                <w:szCs w:val="32"/>
                <w:highlight w:val="magenta"/>
              </w:rPr>
              <w:t>；在用电设备额定功率下持续输出，供电时间不小于</w:t>
            </w:r>
            <w:r>
              <w:rPr>
                <w:rFonts w:hint="eastAsia" w:ascii="仿宋_GB2312" w:eastAsia="仿宋_GB2312"/>
                <w:color w:val="000000"/>
                <w:sz w:val="32"/>
                <w:szCs w:val="32"/>
                <w:highlight w:val="magenta"/>
                <w:lang w:val="en-US" w:eastAsia="zh-CN"/>
              </w:rPr>
              <w:t>4</w:t>
            </w:r>
            <w:r>
              <w:rPr>
                <w:rFonts w:hint="eastAsia" w:ascii="仿宋_GB2312" w:eastAsia="仿宋_GB2312"/>
                <w:color w:val="000000"/>
                <w:sz w:val="32"/>
                <w:szCs w:val="32"/>
                <w:highlight w:val="magenta"/>
              </w:rPr>
              <w:t>小时</w:t>
            </w:r>
            <w:r>
              <w:rPr>
                <w:rFonts w:hint="eastAsia" w:ascii="仿宋_GB2312" w:eastAsia="仿宋_GB2312"/>
                <w:color w:val="000000"/>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324" w:hRule="atLeast"/>
          <w:jc w:val="center"/>
        </w:trPr>
        <w:tc>
          <w:tcPr>
            <w:tcW w:w="19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30"/>
                <w:szCs w:val="30"/>
              </w:rPr>
            </w:pPr>
            <w:r>
              <w:rPr>
                <w:rFonts w:hint="eastAsia" w:ascii="宋体" w:hAnsi="宋体"/>
                <w:sz w:val="30"/>
                <w:szCs w:val="30"/>
              </w:rPr>
              <w:t>项目提报单位</w:t>
            </w:r>
          </w:p>
        </w:tc>
        <w:tc>
          <w:tcPr>
            <w:tcW w:w="7164"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Theme="minorEastAsia"/>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760" w:hRule="atLeast"/>
          <w:jc w:val="center"/>
        </w:trPr>
        <w:tc>
          <w:tcPr>
            <w:tcW w:w="1990" w:type="dxa"/>
            <w:tcBorders>
              <w:left w:val="single" w:color="auto" w:sz="4" w:space="0"/>
              <w:bottom w:val="single" w:color="auto" w:sz="4" w:space="0"/>
              <w:right w:val="single" w:color="auto" w:sz="4" w:space="0"/>
            </w:tcBorders>
            <w:vAlign w:val="center"/>
          </w:tcPr>
          <w:p>
            <w:pPr>
              <w:jc w:val="center"/>
              <w:rPr>
                <w:rFonts w:ascii="宋体" w:hAnsi="宋体"/>
                <w:sz w:val="30"/>
                <w:szCs w:val="30"/>
              </w:rPr>
            </w:pPr>
            <w:r>
              <w:rPr>
                <w:rFonts w:hint="eastAsia" w:ascii="宋体" w:hAnsi="宋体"/>
                <w:sz w:val="30"/>
                <w:szCs w:val="30"/>
              </w:rPr>
              <w:t>机电管理部</w:t>
            </w:r>
          </w:p>
        </w:tc>
        <w:tc>
          <w:tcPr>
            <w:tcW w:w="7164" w:type="dxa"/>
            <w:gridSpan w:val="3"/>
            <w:tcBorders>
              <w:left w:val="single" w:color="auto" w:sz="4" w:space="0"/>
              <w:bottom w:val="single" w:color="auto" w:sz="4" w:space="0"/>
              <w:right w:val="single" w:color="auto" w:sz="4" w:space="0"/>
            </w:tcBorders>
            <w:vAlign w:val="center"/>
          </w:tcPr>
          <w:p>
            <w:pPr>
              <w:rPr>
                <w:rFonts w:ascii="宋体" w:hAnsi="宋体"/>
                <w:sz w:val="30"/>
                <w:szCs w:val="30"/>
              </w:rPr>
            </w:pPr>
            <w:bookmarkStart w:id="17" w:name="_GoBack"/>
            <w:bookmarkEnd w:id="17"/>
          </w:p>
          <w:p>
            <w:pPr>
              <w:rPr>
                <w:rFonts w:ascii="宋体" w:hAnsi="宋体"/>
                <w:sz w:val="30"/>
                <w:szCs w:val="30"/>
              </w:rPr>
            </w:pPr>
          </w:p>
        </w:tc>
      </w:tr>
    </w:tbl>
    <w:p>
      <w:pPr>
        <w:tabs>
          <w:tab w:val="left" w:pos="2340"/>
        </w:tabs>
        <w:spacing w:line="480" w:lineRule="auto"/>
        <w:ind w:left="630" w:leftChars="300" w:firstLine="321" w:firstLineChars="100"/>
        <w:jc w:val="center"/>
        <w:rPr>
          <w:rFonts w:hint="eastAsia" w:ascii="黑体" w:hAnsi="黑体" w:eastAsia="黑体"/>
          <w:b/>
          <w:bCs/>
          <w:sz w:val="32"/>
        </w:rPr>
      </w:pPr>
      <w:r>
        <w:rPr>
          <w:rFonts w:hint="eastAsia" w:ascii="黑体" w:hAnsi="黑体" w:eastAsia="黑体"/>
          <w:b/>
          <w:bCs/>
          <w:sz w:val="32"/>
        </w:rPr>
        <w:br w:type="page"/>
      </w:r>
    </w:p>
    <w:p>
      <w:pPr>
        <w:tabs>
          <w:tab w:val="left" w:pos="2340"/>
        </w:tabs>
        <w:spacing w:line="480" w:lineRule="auto"/>
        <w:ind w:left="630" w:leftChars="300" w:firstLine="321" w:firstLineChars="100"/>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ind w:left="630" w:leftChars="300" w:firstLine="321" w:firstLineChars="100"/>
        <w:jc w:val="center"/>
        <w:rPr>
          <w:rFonts w:ascii="黑体" w:hAnsi="黑体" w:eastAsia="黑体"/>
          <w:b/>
          <w:bCs/>
          <w:sz w:val="32"/>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w:t>
      </w:r>
      <w:r>
        <w:rPr>
          <w:rFonts w:hint="eastAsia" w:ascii="宋体"/>
          <w:sz w:val="24"/>
          <w:lang w:eastAsia="zh-CN"/>
        </w:rPr>
        <w:t>技术</w:t>
      </w:r>
      <w:r>
        <w:rPr>
          <w:rFonts w:hint="eastAsia" w:ascii="宋体"/>
          <w:sz w:val="24"/>
        </w:rPr>
        <w:t>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spacing w:line="440" w:lineRule="exact"/>
        <w:jc w:val="center"/>
      </w:pPr>
    </w:p>
    <w:p>
      <w:pPr>
        <w:topLinePunct/>
        <w:spacing w:line="440" w:lineRule="exact"/>
        <w:jc w:val="center"/>
      </w:pPr>
    </w:p>
    <w:p>
      <w:pPr>
        <w:topLinePunct/>
        <w:spacing w:line="440" w:lineRule="exact"/>
        <w:jc w:val="center"/>
      </w:pPr>
    </w:p>
    <w:p>
      <w:pPr>
        <w:spacing w:line="400" w:lineRule="exact"/>
      </w:pPr>
    </w:p>
    <w:p>
      <w:pPr>
        <w:spacing w:line="400" w:lineRule="exact"/>
        <w:jc w:val="center"/>
      </w:pPr>
    </w:p>
    <w:p>
      <w:pPr>
        <w:pStyle w:val="40"/>
        <w:jc w:val="center"/>
        <w:rPr>
          <w:rFonts w:ascii="宋体"/>
          <w:szCs w:val="21"/>
        </w:rPr>
      </w:pPr>
      <w:r>
        <w:br w:type="page"/>
      </w:r>
      <w:bookmarkStart w:id="1" w:name="_Toc357082526"/>
      <w:bookmarkStart w:id="2" w:name="_Toc356204538"/>
      <w:r>
        <w:rPr>
          <w:rFonts w:hint="eastAsia"/>
          <w:bCs w:val="0"/>
        </w:rPr>
        <w:t>第一节</w:t>
      </w:r>
      <w:r>
        <w:rPr>
          <w:rFonts w:hint="eastAsia"/>
          <w:bCs w:val="0"/>
          <w:lang w:val="en-US" w:eastAsia="zh-CN"/>
        </w:rPr>
        <w:t xml:space="preserve"> </w:t>
      </w:r>
      <w:bookmarkEnd w:id="1"/>
      <w:bookmarkEnd w:id="2"/>
      <w:r>
        <w:rPr>
          <w:rFonts w:hint="eastAsia"/>
          <w:bCs w:val="0"/>
        </w:rPr>
        <w:t>供货范围、</w:t>
      </w:r>
      <w:r>
        <w:rPr>
          <w:rFonts w:hint="eastAsia"/>
          <w:bCs w:val="0"/>
          <w:lang w:eastAsia="zh-CN"/>
        </w:rPr>
        <w:t>技术</w:t>
      </w:r>
      <w:r>
        <w:rPr>
          <w:rFonts w:hint="eastAsia"/>
          <w:bCs w:val="0"/>
        </w:rPr>
        <w:t>要求</w:t>
      </w:r>
    </w:p>
    <w:p>
      <w:pPr>
        <w:adjustRightInd w:val="0"/>
        <w:snapToGrid w:val="0"/>
        <w:spacing w:beforeLines="100" w:afterLines="100" w:line="360" w:lineRule="auto"/>
        <w:ind w:left="2246" w:leftChars="-5" w:hanging="2256" w:hangingChars="1070"/>
        <w:rPr>
          <w:b/>
        </w:rPr>
      </w:pPr>
      <w:r>
        <w:rPr>
          <w:rFonts w:hint="eastAsia"/>
          <w:b/>
        </w:rPr>
        <w:t>一、货物需求一览表</w:t>
      </w:r>
    </w:p>
    <w:tbl>
      <w:tblPr>
        <w:tblStyle w:val="21"/>
        <w:tblW w:w="97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305"/>
        <w:gridCol w:w="992"/>
        <w:gridCol w:w="709"/>
        <w:gridCol w:w="709"/>
        <w:gridCol w:w="1162"/>
        <w:gridCol w:w="1065"/>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序号</w:t>
            </w:r>
          </w:p>
        </w:tc>
        <w:tc>
          <w:tcPr>
            <w:tcW w:w="23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名称</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数量</w:t>
            </w:r>
          </w:p>
        </w:tc>
        <w:tc>
          <w:tcPr>
            <w:tcW w:w="11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交货时间</w:t>
            </w:r>
            <w:r>
              <w:rPr>
                <w:rFonts w:hint="eastAsia" w:ascii="Arial" w:hAnsi="Arial"/>
                <w:szCs w:val="21"/>
                <w:lang w:eastAsia="zh-CN"/>
              </w:rPr>
              <w:footnoteReference w:id="0"/>
            </w:r>
          </w:p>
        </w:tc>
        <w:tc>
          <w:tcPr>
            <w:tcW w:w="10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交货地点</w:t>
            </w:r>
          </w:p>
        </w:tc>
        <w:tc>
          <w:tcPr>
            <w:tcW w:w="21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Arial" w:hAnsi="Arial"/>
                <w:szCs w:val="21"/>
                <w:lang w:eastAsia="zh-CN"/>
              </w:rPr>
            </w:pPr>
            <w:r>
              <w:rPr>
                <w:rFonts w:hint="eastAsia" w:ascii="Arial" w:hAnsi="Arial"/>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widowControl/>
              <w:shd w:val="clear"/>
              <w:jc w:val="center"/>
              <w:textAlignment w:val="center"/>
              <w:rPr>
                <w:rFonts w:hint="eastAsia" w:ascii="Arial" w:hAnsi="Arial"/>
                <w:szCs w:val="21"/>
                <w:lang w:eastAsia="zh-CN"/>
              </w:rPr>
            </w:pPr>
            <w:r>
              <w:rPr>
                <w:rFonts w:hint="eastAsia" w:ascii="宋体" w:hAnsi="宋体" w:cs="宋体"/>
                <w:b/>
                <w:bCs/>
                <w:color w:val="000000"/>
                <w:kern w:val="0"/>
                <w:sz w:val="21"/>
                <w:szCs w:val="21"/>
                <w:highlight w:val="none"/>
              </w:rPr>
              <w:t>1</w:t>
            </w:r>
          </w:p>
        </w:tc>
        <w:tc>
          <w:tcPr>
            <w:tcW w:w="2305" w:type="dxa"/>
            <w:tcBorders>
              <w:top w:val="single" w:color="auto" w:sz="4" w:space="0"/>
              <w:left w:val="single" w:color="auto" w:sz="4" w:space="0"/>
              <w:bottom w:val="single" w:color="auto" w:sz="4" w:space="0"/>
              <w:right w:val="single" w:color="auto" w:sz="4" w:space="0"/>
            </w:tcBorders>
            <w:vAlign w:val="center"/>
          </w:tcPr>
          <w:p>
            <w:pPr>
              <w:widowControl/>
              <w:shd w:val="clear"/>
              <w:jc w:val="center"/>
              <w:rPr>
                <w:rFonts w:hint="eastAsia" w:ascii="Arial" w:hAnsi="Arial"/>
                <w:szCs w:val="21"/>
                <w:lang w:eastAsia="zh-CN"/>
              </w:rPr>
            </w:pPr>
            <w:r>
              <w:rPr>
                <w:rFonts w:hint="eastAsia" w:ascii="宋体" w:hAnsi="宋体" w:eastAsia="宋体" w:cs="宋体"/>
                <w:b w:val="0"/>
                <w:bCs w:val="0"/>
                <w:color w:val="auto"/>
                <w:sz w:val="28"/>
                <w:szCs w:val="28"/>
                <w:lang w:val="en-US" w:eastAsia="zh-CN"/>
              </w:rPr>
              <w:t>后备电源监视控制管理系统</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hd w:val="clear"/>
              <w:jc w:val="center"/>
              <w:rPr>
                <w:rFonts w:hint="eastAsia" w:ascii="Arial" w:hAnsi="Arial"/>
                <w:szCs w:val="21"/>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shd w:val="clear"/>
              <w:jc w:val="center"/>
              <w:rPr>
                <w:rFonts w:hint="eastAsia" w:ascii="Arial" w:hAnsi="Arial" w:eastAsia="宋体"/>
                <w:szCs w:val="21"/>
                <w:lang w:eastAsia="zh-CN"/>
              </w:rPr>
            </w:pPr>
            <w:r>
              <w:rPr>
                <w:rFonts w:hint="eastAsia" w:ascii="宋体" w:hAnsi="宋体" w:cs="宋体"/>
                <w:color w:val="000000"/>
                <w:kern w:val="0"/>
                <w:sz w:val="18"/>
                <w:szCs w:val="18"/>
                <w:highlight w:val="none"/>
                <w:lang w:val="en-US" w:eastAsia="zh-CN"/>
              </w:rPr>
              <w:t>套</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hd w:val="clear"/>
              <w:jc w:val="center"/>
              <w:rPr>
                <w:rFonts w:hint="eastAsia" w:ascii="Arial" w:hAnsi="Arial"/>
                <w:szCs w:val="21"/>
                <w:lang w:eastAsia="zh-CN"/>
              </w:rPr>
            </w:pPr>
            <w:r>
              <w:rPr>
                <w:rFonts w:hint="eastAsia" w:ascii="宋体" w:hAnsi="宋体" w:cs="宋体"/>
                <w:color w:val="000000"/>
                <w:kern w:val="0"/>
                <w:sz w:val="21"/>
                <w:szCs w:val="21"/>
                <w:highlight w:val="none"/>
              </w:rPr>
              <w:t>1</w:t>
            </w:r>
          </w:p>
        </w:tc>
        <w:tc>
          <w:tcPr>
            <w:tcW w:w="1162" w:type="dxa"/>
            <w:tcBorders>
              <w:top w:val="single" w:color="auto" w:sz="4" w:space="0"/>
              <w:left w:val="single" w:color="auto" w:sz="4" w:space="0"/>
              <w:bottom w:val="single" w:color="auto" w:sz="4" w:space="0"/>
              <w:right w:val="single" w:color="auto" w:sz="4" w:space="0"/>
            </w:tcBorders>
            <w:vAlign w:val="center"/>
          </w:tcPr>
          <w:p>
            <w:pPr>
              <w:widowControl/>
              <w:shd w:val="clear"/>
              <w:jc w:val="center"/>
              <w:rPr>
                <w:rFonts w:hint="eastAsia" w:ascii="Arial" w:hAnsi="Arial"/>
                <w:szCs w:val="21"/>
                <w:lang w:eastAsia="zh-CN"/>
              </w:rPr>
            </w:pPr>
            <w:r>
              <w:rPr>
                <w:rFonts w:hint="eastAsia" w:ascii="宋体" w:hAnsi="宋体" w:cs="宋体"/>
                <w:bCs/>
                <w:kern w:val="0"/>
                <w:sz w:val="18"/>
                <w:szCs w:val="18"/>
                <w:highlight w:val="none"/>
              </w:rPr>
              <w:t>自合同签订之日起一个月内交货</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shd w:val="clear"/>
              <w:jc w:val="center"/>
              <w:rPr>
                <w:rFonts w:hint="eastAsia" w:ascii="Arial" w:hAnsi="Arial"/>
                <w:szCs w:val="21"/>
                <w:lang w:eastAsia="zh-CN"/>
              </w:rPr>
            </w:pPr>
            <w:r>
              <w:rPr>
                <w:rFonts w:hint="eastAsia" w:ascii="宋体" w:hAnsi="宋体" w:cs="宋体"/>
                <w:color w:val="auto"/>
                <w:kern w:val="0"/>
                <w:sz w:val="18"/>
                <w:szCs w:val="18"/>
                <w:highlight w:val="none"/>
                <w:lang w:val="en-US" w:eastAsia="zh-CN"/>
              </w:rPr>
              <w:t>补连塔煤</w:t>
            </w:r>
            <w:r>
              <w:rPr>
                <w:rFonts w:hint="eastAsia" w:ascii="宋体" w:hAnsi="宋体" w:cs="宋体"/>
                <w:color w:val="auto"/>
                <w:kern w:val="0"/>
                <w:sz w:val="18"/>
                <w:szCs w:val="18"/>
                <w:highlight w:val="none"/>
              </w:rPr>
              <w:t>矿</w:t>
            </w:r>
          </w:p>
        </w:tc>
        <w:tc>
          <w:tcPr>
            <w:tcW w:w="2108" w:type="dxa"/>
            <w:tcBorders>
              <w:top w:val="single" w:color="auto" w:sz="4" w:space="0"/>
              <w:left w:val="single" w:color="auto" w:sz="4" w:space="0"/>
              <w:bottom w:val="single" w:color="auto" w:sz="4" w:space="0"/>
              <w:right w:val="single" w:color="auto" w:sz="4" w:space="0"/>
            </w:tcBorders>
            <w:vAlign w:val="center"/>
          </w:tcPr>
          <w:p>
            <w:pPr>
              <w:widowControl/>
              <w:shd w:val="clear"/>
              <w:jc w:val="center"/>
              <w:rPr>
                <w:rFonts w:hint="eastAsia" w:ascii="Arial" w:hAnsi="Arial"/>
                <w:szCs w:val="21"/>
                <w:lang w:eastAsia="zh-CN"/>
              </w:rPr>
            </w:pPr>
          </w:p>
        </w:tc>
      </w:tr>
    </w:tbl>
    <w:p>
      <w:pPr>
        <w:spacing w:before="240" w:line="360" w:lineRule="auto"/>
        <w:jc w:val="center"/>
        <w:rPr>
          <w:b/>
          <w:sz w:val="24"/>
          <w:highlight w:val="none"/>
        </w:rPr>
      </w:pPr>
      <w:r>
        <w:rPr>
          <w:rFonts w:hint="eastAsia"/>
          <w:b/>
          <w:sz w:val="24"/>
          <w:highlight w:val="none"/>
        </w:rPr>
        <w:t>分项报价表</w:t>
      </w:r>
    </w:p>
    <w:tbl>
      <w:tblPr>
        <w:tblStyle w:val="21"/>
        <w:tblW w:w="9675" w:type="dxa"/>
        <w:tblInd w:w="-696" w:type="dxa"/>
        <w:tblLayout w:type="fixed"/>
        <w:tblCellMar>
          <w:top w:w="0" w:type="dxa"/>
          <w:left w:w="108" w:type="dxa"/>
          <w:bottom w:w="0" w:type="dxa"/>
          <w:right w:w="108" w:type="dxa"/>
        </w:tblCellMar>
      </w:tblPr>
      <w:tblGrid>
        <w:gridCol w:w="918"/>
        <w:gridCol w:w="2906"/>
        <w:gridCol w:w="918"/>
        <w:gridCol w:w="918"/>
        <w:gridCol w:w="918"/>
        <w:gridCol w:w="918"/>
        <w:gridCol w:w="2179"/>
      </w:tblGrid>
      <w:tr>
        <w:tblPrEx>
          <w:tblLayout w:type="fixed"/>
          <w:tblCellMar>
            <w:top w:w="0" w:type="dxa"/>
            <w:left w:w="108" w:type="dxa"/>
            <w:bottom w:w="0" w:type="dxa"/>
            <w:right w:w="108" w:type="dxa"/>
          </w:tblCellMar>
        </w:tblPrEx>
        <w:trPr>
          <w:trHeight w:val="480" w:hRule="atLeast"/>
        </w:trPr>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序号</w:t>
            </w:r>
          </w:p>
        </w:tc>
        <w:tc>
          <w:tcPr>
            <w:tcW w:w="29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名称</w:t>
            </w:r>
          </w:p>
        </w:tc>
        <w:tc>
          <w:tcPr>
            <w:tcW w:w="9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数量</w:t>
            </w:r>
          </w:p>
        </w:tc>
        <w:tc>
          <w:tcPr>
            <w:tcW w:w="9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单位</w:t>
            </w:r>
          </w:p>
        </w:tc>
        <w:tc>
          <w:tcPr>
            <w:tcW w:w="9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单价（元）</w:t>
            </w:r>
          </w:p>
        </w:tc>
        <w:tc>
          <w:tcPr>
            <w:tcW w:w="9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总价（元）</w:t>
            </w:r>
          </w:p>
        </w:tc>
        <w:tc>
          <w:tcPr>
            <w:tcW w:w="217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备注</w:t>
            </w:r>
          </w:p>
        </w:tc>
      </w:tr>
      <w:tr>
        <w:tblPrEx>
          <w:tblLayout w:type="fixed"/>
          <w:tblCellMar>
            <w:top w:w="0" w:type="dxa"/>
            <w:left w:w="108" w:type="dxa"/>
            <w:bottom w:w="0" w:type="dxa"/>
            <w:right w:w="108" w:type="dxa"/>
          </w:tblCellMar>
        </w:tblPrEx>
        <w:trPr>
          <w:trHeight w:val="270" w:hRule="atLeast"/>
        </w:trPr>
        <w:tc>
          <w:tcPr>
            <w:tcW w:w="9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w:t>
            </w:r>
            <w:r>
              <w:rPr>
                <w:rFonts w:hint="eastAsia" w:ascii="宋体" w:hAnsi="宋体" w:cs="宋体"/>
                <w:color w:val="000000"/>
                <w:kern w:val="0"/>
                <w:szCs w:val="21"/>
                <w:highlight w:val="none"/>
                <w:lang w:val="en-US" w:eastAsia="zh-CN"/>
              </w:rPr>
              <w:t>1</w:t>
            </w:r>
          </w:p>
        </w:tc>
        <w:tc>
          <w:tcPr>
            <w:tcW w:w="2906" w:type="dxa"/>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0"/>
                <w:szCs w:val="20"/>
                <w:highlight w:val="none"/>
              </w:rPr>
            </w:pPr>
            <w:r>
              <w:rPr>
                <w:rFonts w:hint="eastAsia" w:ascii="宋体" w:hAnsi="宋体" w:eastAsia="宋体" w:cs="宋体"/>
                <w:color w:val="000000"/>
                <w:kern w:val="0"/>
                <w:sz w:val="20"/>
                <w:szCs w:val="20"/>
                <w:highlight w:val="none"/>
                <w:lang w:val="en-US" w:eastAsia="zh-CN"/>
              </w:rPr>
              <w:t>后备电源监视控制管理系统</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0"/>
                <w:szCs w:val="20"/>
                <w:highlight w:val="none"/>
              </w:rPr>
            </w:pPr>
            <w:r>
              <w:rPr>
                <w:rFonts w:hint="eastAsia" w:ascii="宋体" w:hAnsi="宋体" w:cs="宋体"/>
                <w:b w:val="0"/>
                <w:bCs w:val="0"/>
                <w:color w:val="000000"/>
                <w:kern w:val="0"/>
                <w:sz w:val="20"/>
                <w:szCs w:val="20"/>
                <w:highlight w:val="none"/>
              </w:rPr>
              <w:t>1</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val="0"/>
                <w:color w:val="000000"/>
                <w:kern w:val="0"/>
                <w:sz w:val="20"/>
                <w:szCs w:val="20"/>
                <w:highlight w:val="none"/>
                <w:lang w:eastAsia="zh-CN"/>
              </w:rPr>
            </w:pPr>
            <w:r>
              <w:rPr>
                <w:rFonts w:hint="eastAsia" w:ascii="宋体" w:hAnsi="宋体" w:cs="宋体"/>
                <w:b w:val="0"/>
                <w:bCs w:val="0"/>
                <w:color w:val="000000"/>
                <w:kern w:val="0"/>
                <w:sz w:val="20"/>
                <w:szCs w:val="20"/>
                <w:highlight w:val="none"/>
                <w:lang w:val="en-US" w:eastAsia="zh-CN"/>
              </w:rPr>
              <w:t>套</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21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highlight w:val="none"/>
              </w:rPr>
            </w:pPr>
          </w:p>
        </w:tc>
      </w:tr>
      <w:tr>
        <w:tblPrEx>
          <w:tblLayout w:type="fixed"/>
          <w:tblCellMar>
            <w:top w:w="0" w:type="dxa"/>
            <w:left w:w="108" w:type="dxa"/>
            <w:bottom w:w="0" w:type="dxa"/>
            <w:right w:w="108" w:type="dxa"/>
          </w:tblCellMar>
        </w:tblPrEx>
        <w:trPr>
          <w:trHeight w:val="270" w:hRule="atLeast"/>
        </w:trPr>
        <w:tc>
          <w:tcPr>
            <w:tcW w:w="9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　</w:t>
            </w:r>
          </w:p>
        </w:tc>
        <w:tc>
          <w:tcPr>
            <w:tcW w:w="29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每</w:t>
            </w:r>
            <w:r>
              <w:rPr>
                <w:rFonts w:hint="eastAsia" w:ascii="宋体" w:hAnsi="宋体" w:cs="宋体"/>
                <w:b/>
                <w:bCs/>
                <w:color w:val="000000"/>
                <w:kern w:val="0"/>
                <w:sz w:val="20"/>
                <w:szCs w:val="20"/>
                <w:highlight w:val="none"/>
                <w:lang w:val="en-US" w:eastAsia="zh-CN"/>
              </w:rPr>
              <w:t>台</w:t>
            </w:r>
            <w:r>
              <w:rPr>
                <w:rFonts w:hint="eastAsia" w:ascii="宋体" w:hAnsi="宋体" w:cs="宋体"/>
                <w:b/>
                <w:bCs/>
                <w:color w:val="000000"/>
                <w:kern w:val="0"/>
                <w:sz w:val="20"/>
                <w:szCs w:val="20"/>
                <w:highlight w:val="none"/>
              </w:rPr>
              <w:t>包括：</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highlight w:val="none"/>
              </w:rPr>
            </w:pPr>
            <w:r>
              <w:rPr>
                <w:rFonts w:hint="eastAsia" w:ascii="宋体" w:hAnsi="宋体" w:cs="宋体"/>
                <w:color w:val="000000"/>
                <w:kern w:val="0"/>
                <w:szCs w:val="21"/>
                <w:highlight w:val="none"/>
              </w:rPr>
              <w:t>　</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21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highlight w:val="none"/>
              </w:rPr>
            </w:pPr>
          </w:p>
        </w:tc>
      </w:tr>
      <w:tr>
        <w:tblPrEx>
          <w:tblLayout w:type="fixed"/>
          <w:tblCellMar>
            <w:top w:w="0" w:type="dxa"/>
            <w:left w:w="108" w:type="dxa"/>
            <w:bottom w:w="0" w:type="dxa"/>
            <w:right w:w="108" w:type="dxa"/>
          </w:tblCellMar>
        </w:tblPrEx>
        <w:trPr>
          <w:trHeight w:val="270" w:hRule="atLeast"/>
        </w:trPr>
        <w:tc>
          <w:tcPr>
            <w:tcW w:w="9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1.1</w:t>
            </w:r>
          </w:p>
        </w:tc>
        <w:tc>
          <w:tcPr>
            <w:tcW w:w="2906"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cs="宋体"/>
                <w:b/>
                <w:bCs/>
                <w:color w:val="000000"/>
                <w:kern w:val="0"/>
                <w:sz w:val="20"/>
                <w:szCs w:val="20"/>
                <w:highlight w:val="none"/>
                <w:lang w:val="en-US" w:eastAsia="zh-CN"/>
              </w:rPr>
            </w:pPr>
            <w:r>
              <w:rPr>
                <w:rFonts w:hint="eastAsia" w:ascii="Arial" w:hAnsi="Arial"/>
                <w:szCs w:val="21"/>
                <w:lang w:val="en-US" w:eastAsia="zh-CN"/>
              </w:rPr>
              <w:t>防爆后备电源</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cs="宋体"/>
                <w:b w:val="0"/>
                <w:bCs w:val="0"/>
                <w:color w:val="000000"/>
                <w:kern w:val="0"/>
                <w:sz w:val="20"/>
                <w:szCs w:val="20"/>
                <w:highlight w:val="none"/>
                <w:lang w:val="en-US" w:eastAsia="zh-CN"/>
              </w:rPr>
            </w:pPr>
            <w:r>
              <w:rPr>
                <w:rFonts w:hint="eastAsia" w:ascii="Arial" w:hAnsi="Arial"/>
                <w:szCs w:val="21"/>
                <w:lang w:val="en-US" w:eastAsia="zh-CN"/>
              </w:rPr>
              <w:t>14</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lang w:val="en-US" w:eastAsia="zh-CN"/>
              </w:rPr>
              <w:t>套</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p>
        </w:tc>
        <w:tc>
          <w:tcPr>
            <w:tcW w:w="2179"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
                <w:bCs/>
                <w:color w:val="000000"/>
                <w:kern w:val="0"/>
                <w:sz w:val="20"/>
                <w:szCs w:val="20"/>
                <w:highlight w:val="none"/>
              </w:rPr>
            </w:pPr>
            <w:r>
              <w:rPr>
                <w:rFonts w:hint="eastAsia" w:ascii="Arial" w:hAnsi="Arial"/>
                <w:szCs w:val="21"/>
                <w:lang w:val="en-US" w:eastAsia="zh-CN"/>
              </w:rPr>
              <w:t>每个集中区域一套。</w:t>
            </w:r>
          </w:p>
        </w:tc>
      </w:tr>
      <w:tr>
        <w:tblPrEx>
          <w:tblLayout w:type="fixed"/>
          <w:tblCellMar>
            <w:top w:w="0" w:type="dxa"/>
            <w:left w:w="108" w:type="dxa"/>
            <w:bottom w:w="0" w:type="dxa"/>
            <w:right w:w="108" w:type="dxa"/>
          </w:tblCellMar>
        </w:tblPrEx>
        <w:trPr>
          <w:trHeight w:val="270" w:hRule="atLeast"/>
        </w:trPr>
        <w:tc>
          <w:tcPr>
            <w:tcW w:w="9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1.2</w:t>
            </w:r>
          </w:p>
        </w:tc>
        <w:tc>
          <w:tcPr>
            <w:tcW w:w="2906"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cs="宋体"/>
                <w:highlight w:val="none"/>
                <w:lang w:val="en-US" w:eastAsia="zh-CN"/>
              </w:rPr>
            </w:pPr>
            <w:r>
              <w:rPr>
                <w:rFonts w:hint="eastAsia" w:ascii="Arial" w:hAnsi="Arial"/>
                <w:szCs w:val="21"/>
                <w:lang w:val="en-US" w:eastAsia="zh-CN"/>
              </w:rPr>
              <w:t>服务器</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b w:val="0"/>
                <w:bCs w:val="0"/>
                <w:color w:val="000000"/>
                <w:kern w:val="0"/>
                <w:sz w:val="20"/>
                <w:szCs w:val="20"/>
                <w:highlight w:val="none"/>
                <w:lang w:val="en-US" w:eastAsia="zh-CN"/>
              </w:rPr>
            </w:pPr>
            <w:r>
              <w:rPr>
                <w:rFonts w:hint="eastAsia" w:ascii="Arial" w:hAnsi="Arial"/>
                <w:szCs w:val="21"/>
                <w:lang w:val="en-US" w:eastAsia="zh-CN"/>
              </w:rPr>
              <w:t>1</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b w:val="0"/>
                <w:bCs w:val="0"/>
                <w:color w:val="000000"/>
                <w:kern w:val="0"/>
                <w:sz w:val="20"/>
                <w:szCs w:val="20"/>
                <w:highlight w:val="none"/>
                <w:lang w:val="en-US" w:eastAsia="zh-CN"/>
              </w:rPr>
            </w:pPr>
            <w:r>
              <w:rPr>
                <w:rFonts w:hint="eastAsia" w:ascii="Arial" w:hAnsi="Arial"/>
                <w:szCs w:val="21"/>
                <w:lang w:val="en-US" w:eastAsia="zh-CN"/>
              </w:rPr>
              <w:t>台</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p>
        </w:tc>
        <w:tc>
          <w:tcPr>
            <w:tcW w:w="2179"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
                <w:bCs/>
                <w:color w:val="000000"/>
                <w:kern w:val="0"/>
                <w:sz w:val="20"/>
                <w:szCs w:val="20"/>
                <w:highlight w:val="none"/>
              </w:rPr>
            </w:pPr>
          </w:p>
        </w:tc>
      </w:tr>
      <w:tr>
        <w:tblPrEx>
          <w:tblLayout w:type="fixed"/>
          <w:tblCellMar>
            <w:top w:w="0" w:type="dxa"/>
            <w:left w:w="108" w:type="dxa"/>
            <w:bottom w:w="0" w:type="dxa"/>
            <w:right w:w="108" w:type="dxa"/>
          </w:tblCellMar>
        </w:tblPrEx>
        <w:trPr>
          <w:trHeight w:val="270" w:hRule="atLeast"/>
        </w:trPr>
        <w:tc>
          <w:tcPr>
            <w:tcW w:w="9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1.3</w:t>
            </w:r>
          </w:p>
        </w:tc>
        <w:tc>
          <w:tcPr>
            <w:tcW w:w="2906"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highlight w:val="none"/>
              </w:rPr>
            </w:pPr>
            <w:r>
              <w:rPr>
                <w:rFonts w:hint="eastAsia" w:ascii="Arial" w:hAnsi="Arial"/>
                <w:szCs w:val="21"/>
                <w:lang w:val="en-US" w:eastAsia="zh-CN"/>
              </w:rPr>
              <w:t>后备电源管理平台软件</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b w:val="0"/>
                <w:bCs w:val="0"/>
                <w:color w:val="000000"/>
                <w:kern w:val="0"/>
                <w:sz w:val="22"/>
                <w:szCs w:val="22"/>
                <w:highlight w:val="none"/>
                <w:lang w:val="en-US" w:eastAsia="zh-CN"/>
              </w:rPr>
            </w:pPr>
            <w:r>
              <w:rPr>
                <w:rFonts w:hint="eastAsia" w:ascii="Arial" w:hAnsi="Arial"/>
                <w:szCs w:val="21"/>
                <w:lang w:val="en-US" w:eastAsia="zh-CN"/>
              </w:rPr>
              <w:t>1</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b w:val="0"/>
                <w:bCs w:val="0"/>
                <w:color w:val="000000"/>
                <w:kern w:val="0"/>
                <w:sz w:val="20"/>
                <w:szCs w:val="20"/>
                <w:highlight w:val="none"/>
                <w:lang w:val="en-US" w:eastAsia="zh-CN"/>
              </w:rPr>
            </w:pPr>
            <w:r>
              <w:rPr>
                <w:rFonts w:hint="eastAsia" w:ascii="Arial" w:hAnsi="Arial"/>
                <w:szCs w:val="21"/>
                <w:lang w:val="en-US" w:eastAsia="zh-CN"/>
              </w:rPr>
              <w:t>套</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p>
        </w:tc>
        <w:tc>
          <w:tcPr>
            <w:tcW w:w="2179"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color w:val="000000"/>
                <w:kern w:val="0"/>
                <w:sz w:val="22"/>
                <w:szCs w:val="22"/>
                <w:highlight w:val="none"/>
              </w:rPr>
            </w:pPr>
          </w:p>
        </w:tc>
      </w:tr>
      <w:tr>
        <w:tblPrEx>
          <w:tblLayout w:type="fixed"/>
          <w:tblCellMar>
            <w:top w:w="0" w:type="dxa"/>
            <w:left w:w="108" w:type="dxa"/>
            <w:bottom w:w="0" w:type="dxa"/>
            <w:right w:w="108" w:type="dxa"/>
          </w:tblCellMar>
        </w:tblPrEx>
        <w:trPr>
          <w:trHeight w:val="270" w:hRule="atLeast"/>
        </w:trPr>
        <w:tc>
          <w:tcPr>
            <w:tcW w:w="91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1.4</w:t>
            </w:r>
          </w:p>
        </w:tc>
        <w:tc>
          <w:tcPr>
            <w:tcW w:w="2906"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highlight w:val="none"/>
              </w:rPr>
            </w:pPr>
            <w:r>
              <w:rPr>
                <w:rFonts w:hint="eastAsia" w:ascii="Arial" w:hAnsi="Arial"/>
                <w:szCs w:val="21"/>
                <w:lang w:val="en-US" w:eastAsia="zh-CN"/>
              </w:rPr>
              <w:t>电源线</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cs="宋体"/>
                <w:b w:val="0"/>
                <w:bCs w:val="0"/>
                <w:color w:val="000000"/>
                <w:kern w:val="0"/>
                <w:sz w:val="22"/>
                <w:szCs w:val="22"/>
                <w:highlight w:val="none"/>
                <w:lang w:val="en-US" w:eastAsia="zh-CN"/>
              </w:rPr>
            </w:pPr>
            <w:r>
              <w:rPr>
                <w:rFonts w:hint="eastAsia" w:ascii="Arial" w:hAnsi="Arial"/>
                <w:szCs w:val="21"/>
                <w:lang w:val="en-US" w:eastAsia="zh-CN"/>
              </w:rPr>
              <w:t>2500</w:t>
            </w:r>
          </w:p>
        </w:tc>
        <w:tc>
          <w:tcPr>
            <w:tcW w:w="918"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cs="宋体"/>
                <w:b w:val="0"/>
                <w:bCs w:val="0"/>
                <w:color w:val="000000"/>
                <w:kern w:val="0"/>
                <w:sz w:val="20"/>
                <w:szCs w:val="20"/>
                <w:highlight w:val="none"/>
                <w:lang w:val="en-US" w:eastAsia="zh-CN"/>
              </w:rPr>
            </w:pPr>
            <w:r>
              <w:rPr>
                <w:rFonts w:hint="eastAsia" w:ascii="Arial" w:hAnsi="Arial"/>
                <w:szCs w:val="21"/>
                <w:lang w:val="en-US" w:eastAsia="zh-CN"/>
              </w:rPr>
              <w:t>米</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p>
        </w:tc>
        <w:tc>
          <w:tcPr>
            <w:tcW w:w="2179" w:type="dxa"/>
            <w:tcBorders>
              <w:top w:val="nil"/>
              <w:left w:val="nil"/>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color w:val="000000"/>
                <w:kern w:val="0"/>
                <w:sz w:val="22"/>
                <w:szCs w:val="22"/>
                <w:highlight w:val="none"/>
              </w:rPr>
            </w:pPr>
            <w:r>
              <w:rPr>
                <w:rFonts w:hint="eastAsia" w:ascii="Arial" w:hAnsi="Arial"/>
                <w:szCs w:val="21"/>
                <w:lang w:val="en-US" w:eastAsia="zh-CN"/>
              </w:rPr>
              <w:t>包含电源的输入和输出需要的电缆线</w:t>
            </w:r>
          </w:p>
        </w:tc>
      </w:tr>
      <w:tr>
        <w:tblPrEx>
          <w:tblLayout w:type="fixed"/>
          <w:tblCellMar>
            <w:top w:w="0" w:type="dxa"/>
            <w:left w:w="108" w:type="dxa"/>
            <w:bottom w:w="0" w:type="dxa"/>
            <w:right w:w="108" w:type="dxa"/>
          </w:tblCellMar>
        </w:tblPrEx>
        <w:trPr>
          <w:trHeight w:val="270" w:hRule="atLeast"/>
        </w:trPr>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1.5</w:t>
            </w:r>
          </w:p>
        </w:tc>
        <w:tc>
          <w:tcPr>
            <w:tcW w:w="2906"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cs="宋体"/>
                <w:highlight w:val="none"/>
                <w:lang w:val="en-US" w:eastAsia="zh-CN"/>
              </w:rPr>
            </w:pPr>
            <w:r>
              <w:rPr>
                <w:rFonts w:hint="eastAsia" w:ascii="Arial" w:hAnsi="Arial"/>
                <w:szCs w:val="21"/>
                <w:lang w:val="en-US" w:eastAsia="zh-CN"/>
              </w:rPr>
              <w:t>辅材</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val="0"/>
                <w:color w:val="000000"/>
                <w:kern w:val="0"/>
                <w:sz w:val="22"/>
                <w:szCs w:val="22"/>
                <w:highlight w:val="none"/>
                <w:lang w:val="en-US" w:eastAsia="zh-CN"/>
              </w:rPr>
            </w:pPr>
            <w:r>
              <w:rPr>
                <w:rFonts w:hint="eastAsia" w:ascii="宋体" w:hAnsi="宋体" w:cs="宋体"/>
                <w:b w:val="0"/>
                <w:bCs w:val="0"/>
                <w:color w:val="000000"/>
                <w:kern w:val="0"/>
                <w:sz w:val="22"/>
                <w:szCs w:val="22"/>
                <w:highlight w:val="none"/>
                <w:lang w:val="en-US" w:eastAsia="zh-CN"/>
              </w:rPr>
              <w:t>1</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lang w:val="en-US" w:eastAsia="zh-CN"/>
              </w:rPr>
              <w:t>批</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highlight w:val="none"/>
              </w:rPr>
            </w:pPr>
          </w:p>
        </w:tc>
        <w:tc>
          <w:tcPr>
            <w:tcW w:w="2179"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cs="宋体"/>
                <w:color w:val="000000"/>
                <w:kern w:val="0"/>
                <w:sz w:val="22"/>
                <w:szCs w:val="22"/>
                <w:highlight w:val="none"/>
              </w:rPr>
            </w:pPr>
            <w:r>
              <w:rPr>
                <w:rFonts w:hint="eastAsia" w:ascii="Arial" w:hAnsi="Arial"/>
                <w:szCs w:val="21"/>
                <w:lang w:val="en-US" w:eastAsia="zh-CN"/>
              </w:rPr>
              <w:t>含设备安装所需的网络设备、网线、尾纤、光缆、接地装置等。</w:t>
            </w:r>
          </w:p>
        </w:tc>
      </w:tr>
      <w:tr>
        <w:tblPrEx>
          <w:tblLayout w:type="fixed"/>
          <w:tblCellMar>
            <w:top w:w="0" w:type="dxa"/>
            <w:left w:w="108" w:type="dxa"/>
            <w:bottom w:w="0" w:type="dxa"/>
            <w:right w:w="108" w:type="dxa"/>
          </w:tblCellMar>
        </w:tblPrEx>
        <w:trPr>
          <w:trHeight w:val="270" w:hRule="atLeast"/>
        </w:trPr>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1.6</w:t>
            </w:r>
          </w:p>
        </w:tc>
        <w:tc>
          <w:tcPr>
            <w:tcW w:w="29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附属设备</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2"/>
                <w:szCs w:val="22"/>
                <w:highlight w:val="none"/>
                <w:lang w:val="en-US" w:eastAsia="zh-CN"/>
              </w:rPr>
            </w:pPr>
            <w:r>
              <w:rPr>
                <w:rFonts w:hint="eastAsia" w:ascii="宋体" w:hAnsi="宋体" w:cs="宋体"/>
                <w:b w:val="0"/>
                <w:bCs w:val="0"/>
                <w:color w:val="000000"/>
                <w:kern w:val="0"/>
                <w:sz w:val="20"/>
                <w:szCs w:val="20"/>
                <w:highlight w:val="none"/>
              </w:rPr>
              <w:t>1</w:t>
            </w:r>
            <w:r>
              <w:rPr>
                <w:rFonts w:hint="eastAsia" w:ascii="宋体" w:hAnsi="宋体" w:cs="宋体"/>
                <w:b w:val="0"/>
                <w:bCs w:val="0"/>
                <w:color w:val="000000"/>
                <w:kern w:val="0"/>
                <w:sz w:val="20"/>
                <w:szCs w:val="20"/>
                <w:highlight w:val="none"/>
                <w:lang w:val="en-US" w:eastAsia="zh-CN"/>
              </w:rPr>
              <w:t>4</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rPr>
              <w:t>套</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21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系统所用附属设备</w:t>
            </w:r>
          </w:p>
        </w:tc>
      </w:tr>
      <w:tr>
        <w:tblPrEx>
          <w:tblLayout w:type="fixed"/>
          <w:tblCellMar>
            <w:top w:w="0" w:type="dxa"/>
            <w:left w:w="108" w:type="dxa"/>
            <w:bottom w:w="0" w:type="dxa"/>
            <w:right w:w="108" w:type="dxa"/>
          </w:tblCellMar>
        </w:tblPrEx>
        <w:trPr>
          <w:trHeight w:val="270" w:hRule="atLeast"/>
        </w:trPr>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1.7</w:t>
            </w:r>
          </w:p>
        </w:tc>
        <w:tc>
          <w:tcPr>
            <w:tcW w:w="29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备品备件</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2"/>
                <w:szCs w:val="22"/>
                <w:highlight w:val="none"/>
                <w:lang w:val="en-US" w:eastAsia="zh-CN"/>
              </w:rPr>
            </w:pPr>
            <w:r>
              <w:rPr>
                <w:rFonts w:hint="eastAsia" w:ascii="宋体" w:hAnsi="宋体" w:cs="宋体"/>
                <w:b w:val="0"/>
                <w:bCs w:val="0"/>
                <w:color w:val="000000"/>
                <w:kern w:val="0"/>
                <w:sz w:val="20"/>
                <w:szCs w:val="20"/>
                <w:highlight w:val="none"/>
              </w:rPr>
              <w:t>1</w:t>
            </w:r>
            <w:r>
              <w:rPr>
                <w:rFonts w:hint="eastAsia" w:ascii="宋体" w:hAnsi="宋体" w:cs="宋体"/>
                <w:b w:val="0"/>
                <w:bCs w:val="0"/>
                <w:color w:val="000000"/>
                <w:kern w:val="0"/>
                <w:sz w:val="20"/>
                <w:szCs w:val="20"/>
                <w:highlight w:val="none"/>
                <w:lang w:val="en-US" w:eastAsia="zh-CN"/>
              </w:rPr>
              <w:t>4</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rPr>
              <w:t>套</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21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质保期内的备品备件</w:t>
            </w:r>
          </w:p>
        </w:tc>
      </w:tr>
      <w:tr>
        <w:tblPrEx>
          <w:tblLayout w:type="fixed"/>
          <w:tblCellMar>
            <w:top w:w="0" w:type="dxa"/>
            <w:left w:w="108" w:type="dxa"/>
            <w:bottom w:w="0" w:type="dxa"/>
            <w:right w:w="108" w:type="dxa"/>
          </w:tblCellMar>
        </w:tblPrEx>
        <w:trPr>
          <w:trHeight w:val="270" w:hRule="atLeast"/>
        </w:trPr>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1.8</w:t>
            </w:r>
          </w:p>
        </w:tc>
        <w:tc>
          <w:tcPr>
            <w:tcW w:w="29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专用工具</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2"/>
                <w:szCs w:val="22"/>
                <w:highlight w:val="none"/>
                <w:lang w:val="en-US" w:eastAsia="zh-CN"/>
              </w:rPr>
            </w:pPr>
            <w:r>
              <w:rPr>
                <w:rFonts w:hint="eastAsia" w:ascii="宋体" w:hAnsi="宋体" w:cs="宋体"/>
                <w:b w:val="0"/>
                <w:bCs w:val="0"/>
                <w:color w:val="000000"/>
                <w:kern w:val="0"/>
                <w:sz w:val="20"/>
                <w:szCs w:val="20"/>
                <w:highlight w:val="none"/>
              </w:rPr>
              <w:t>1</w:t>
            </w:r>
            <w:r>
              <w:rPr>
                <w:rFonts w:hint="eastAsia" w:ascii="宋体" w:hAnsi="宋体" w:cs="宋体"/>
                <w:b w:val="0"/>
                <w:bCs w:val="0"/>
                <w:color w:val="000000"/>
                <w:kern w:val="0"/>
                <w:sz w:val="20"/>
                <w:szCs w:val="20"/>
                <w:highlight w:val="none"/>
                <w:lang w:val="en-US" w:eastAsia="zh-CN"/>
              </w:rPr>
              <w:t>4</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rPr>
              <w:t>套</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21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系统实施所需要必须的工具</w:t>
            </w:r>
          </w:p>
        </w:tc>
      </w:tr>
      <w:tr>
        <w:tblPrEx>
          <w:tblLayout w:type="fixed"/>
          <w:tblCellMar>
            <w:top w:w="0" w:type="dxa"/>
            <w:left w:w="108" w:type="dxa"/>
            <w:bottom w:w="0" w:type="dxa"/>
            <w:right w:w="108" w:type="dxa"/>
          </w:tblCellMar>
        </w:tblPrEx>
        <w:trPr>
          <w:trHeight w:val="270" w:hRule="atLeast"/>
        </w:trPr>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highlight w:val="none"/>
                <w:lang w:val="en-US" w:eastAsia="zh-CN"/>
              </w:rPr>
            </w:pPr>
            <w:r>
              <w:rPr>
                <w:rFonts w:hint="eastAsia" w:ascii="宋体" w:hAnsi="宋体" w:cs="宋体"/>
                <w:b/>
                <w:bCs/>
                <w:color w:val="000000"/>
                <w:kern w:val="0"/>
                <w:sz w:val="20"/>
                <w:szCs w:val="20"/>
                <w:highlight w:val="none"/>
                <w:lang w:val="en-US" w:eastAsia="zh-CN"/>
              </w:rPr>
              <w:t>1.9</w:t>
            </w:r>
          </w:p>
        </w:tc>
        <w:tc>
          <w:tcPr>
            <w:tcW w:w="29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技术资料</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2"/>
                <w:szCs w:val="22"/>
                <w:highlight w:val="none"/>
                <w:lang w:val="en-US" w:eastAsia="zh-CN"/>
              </w:rPr>
            </w:pPr>
            <w:r>
              <w:rPr>
                <w:rFonts w:ascii="宋体" w:hAnsi="宋体" w:cs="宋体"/>
                <w:b w:val="0"/>
                <w:bCs w:val="0"/>
                <w:color w:val="000000"/>
                <w:kern w:val="0"/>
                <w:sz w:val="20"/>
                <w:szCs w:val="20"/>
                <w:highlight w:val="none"/>
              </w:rPr>
              <w:t>1</w:t>
            </w:r>
            <w:r>
              <w:rPr>
                <w:rFonts w:hint="eastAsia" w:ascii="宋体" w:hAnsi="宋体" w:cs="宋体"/>
                <w:b w:val="0"/>
                <w:bCs w:val="0"/>
                <w:color w:val="000000"/>
                <w:kern w:val="0"/>
                <w:sz w:val="20"/>
                <w:szCs w:val="20"/>
                <w:highlight w:val="none"/>
                <w:lang w:val="en-US" w:eastAsia="zh-CN"/>
              </w:rPr>
              <w:t>4</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rPr>
              <w:t>套</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22"/>
                <w:szCs w:val="22"/>
                <w:highlight w:val="none"/>
              </w:rPr>
            </w:pPr>
          </w:p>
        </w:tc>
        <w:tc>
          <w:tcPr>
            <w:tcW w:w="21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Arial" w:hAnsi="Arial"/>
                <w:b w:val="0"/>
                <w:bCs w:val="0"/>
                <w:szCs w:val="21"/>
                <w:lang w:val="en-US" w:eastAsia="zh-CN"/>
              </w:rPr>
            </w:pPr>
            <w:r>
              <w:rPr>
                <w:rFonts w:hint="eastAsia" w:ascii="宋体" w:hAnsi="宋体" w:cs="宋体"/>
                <w:b w:val="0"/>
                <w:bCs w:val="0"/>
                <w:color w:val="000000"/>
                <w:kern w:val="0"/>
                <w:sz w:val="20"/>
                <w:szCs w:val="20"/>
                <w:highlight w:val="none"/>
              </w:rPr>
              <w:t>图纸、技术文件、产品说明书、使用说明、培训文档等资料</w:t>
            </w:r>
          </w:p>
        </w:tc>
      </w:tr>
    </w:tbl>
    <w:p>
      <w:pPr>
        <w:shd w:val="clear"/>
        <w:spacing w:before="240" w:line="360" w:lineRule="auto"/>
        <w:jc w:val="center"/>
        <w:rPr>
          <w:rFonts w:hint="eastAsia" w:ascii="宋体" w:hAnsi="宋体"/>
          <w:b/>
          <w:bCs/>
          <w:sz w:val="24"/>
          <w:highlight w:val="none"/>
        </w:rPr>
      </w:pPr>
    </w:p>
    <w:p>
      <w:pPr>
        <w:widowControl/>
        <w:spacing w:line="360" w:lineRule="auto"/>
        <w:ind w:left="0" w:leftChars="0" w:firstLine="0" w:firstLineChars="0"/>
        <w:jc w:val="both"/>
        <w:rPr>
          <w:rFonts w:hint="eastAsia" w:ascii="宋体" w:cs="Arial"/>
          <w:b/>
          <w:bCs/>
          <w:szCs w:val="21"/>
          <w:lang w:eastAsia="zh-CN"/>
        </w:rPr>
      </w:pPr>
    </w:p>
    <w:p>
      <w:pPr>
        <w:widowControl/>
        <w:numPr>
          <w:ilvl w:val="0"/>
          <w:numId w:val="2"/>
        </w:numPr>
        <w:spacing w:line="360" w:lineRule="auto"/>
        <w:ind w:left="0" w:leftChars="0" w:firstLine="0" w:firstLineChars="0"/>
        <w:jc w:val="both"/>
        <w:rPr>
          <w:rFonts w:hint="eastAsia" w:ascii="宋体" w:cs="Arial"/>
          <w:b/>
          <w:bCs/>
          <w:sz w:val="21"/>
          <w:szCs w:val="21"/>
        </w:rPr>
      </w:pPr>
      <w:r>
        <w:rPr>
          <w:rFonts w:hint="eastAsia" w:ascii="宋体" w:cs="Arial"/>
          <w:b/>
          <w:bCs/>
          <w:sz w:val="21"/>
          <w:szCs w:val="21"/>
        </w:rPr>
        <w:t>工作环境</w:t>
      </w:r>
    </w:p>
    <w:p>
      <w:pPr>
        <w:widowControl/>
        <w:spacing w:line="360" w:lineRule="auto"/>
        <w:jc w:val="left"/>
        <w:rPr>
          <w:rFonts w:ascii="宋体" w:cs="Arial"/>
          <w:sz w:val="21"/>
          <w:szCs w:val="21"/>
        </w:rPr>
      </w:pPr>
      <w:r>
        <w:rPr>
          <w:rFonts w:hint="eastAsia" w:ascii="宋体" w:cs="Arial"/>
          <w:sz w:val="21"/>
          <w:szCs w:val="21"/>
          <w:lang w:val="en-US" w:eastAsia="zh-CN"/>
        </w:rPr>
        <w:t>2.</w:t>
      </w:r>
      <w:r>
        <w:rPr>
          <w:rFonts w:hint="eastAsia" w:ascii="宋体" w:cs="Arial"/>
          <w:sz w:val="21"/>
          <w:szCs w:val="21"/>
        </w:rPr>
        <w:t>1</w:t>
      </w:r>
      <w:r>
        <w:rPr>
          <w:rFonts w:ascii="宋体" w:cs="Arial"/>
          <w:sz w:val="21"/>
          <w:szCs w:val="21"/>
        </w:rPr>
        <w:t>环境温度： -30</w:t>
      </w:r>
      <w:r>
        <w:rPr>
          <w:rFonts w:hint="eastAsia" w:ascii="宋体" w:cs="Arial"/>
          <w:sz w:val="21"/>
          <w:szCs w:val="21"/>
        </w:rPr>
        <w:t>℃</w:t>
      </w:r>
      <w:r>
        <w:rPr>
          <w:rFonts w:ascii="宋体" w:cs="Arial"/>
          <w:sz w:val="21"/>
          <w:szCs w:val="21"/>
        </w:rPr>
        <w:t>～40</w:t>
      </w:r>
      <w:r>
        <w:rPr>
          <w:rFonts w:hint="eastAsia" w:ascii="宋体" w:cs="Arial"/>
          <w:sz w:val="21"/>
          <w:szCs w:val="21"/>
        </w:rPr>
        <w:t>℃。</w:t>
      </w:r>
      <w:r>
        <w:rPr>
          <w:rFonts w:ascii="宋体" w:cs="Arial"/>
          <w:sz w:val="21"/>
          <w:szCs w:val="21"/>
        </w:rPr>
        <w:br w:type="textWrapping"/>
      </w:r>
      <w:r>
        <w:rPr>
          <w:rFonts w:hint="eastAsia" w:ascii="宋体" w:cs="Arial"/>
          <w:sz w:val="21"/>
          <w:szCs w:val="21"/>
          <w:lang w:val="en-US" w:eastAsia="zh-CN"/>
        </w:rPr>
        <w:t>2.</w:t>
      </w:r>
      <w:r>
        <w:rPr>
          <w:rFonts w:hint="eastAsia" w:ascii="宋体" w:cs="Arial"/>
          <w:sz w:val="21"/>
          <w:szCs w:val="21"/>
        </w:rPr>
        <w:t>2</w:t>
      </w:r>
      <w:r>
        <w:rPr>
          <w:rFonts w:ascii="宋体" w:cs="Arial"/>
          <w:sz w:val="21"/>
          <w:szCs w:val="21"/>
        </w:rPr>
        <w:t>平均相对湿度：</w:t>
      </w:r>
      <w:r>
        <w:rPr>
          <w:rFonts w:hint="eastAsia" w:ascii="宋体" w:cs="Arial"/>
          <w:sz w:val="21"/>
          <w:szCs w:val="21"/>
        </w:rPr>
        <w:t>65</w:t>
      </w:r>
      <w:r>
        <w:rPr>
          <w:rFonts w:ascii="宋体" w:cs="Arial"/>
          <w:sz w:val="21"/>
          <w:szCs w:val="21"/>
        </w:rPr>
        <w:t>%（</w:t>
      </w:r>
      <w:r>
        <w:rPr>
          <w:rFonts w:hint="eastAsia" w:ascii="宋体" w:cs="Arial"/>
          <w:sz w:val="21"/>
          <w:szCs w:val="21"/>
        </w:rPr>
        <w:t>在</w:t>
      </w:r>
      <w:r>
        <w:rPr>
          <w:rFonts w:ascii="宋体" w:cs="Arial"/>
          <w:sz w:val="21"/>
          <w:szCs w:val="21"/>
        </w:rPr>
        <w:t>25</w:t>
      </w:r>
      <w:r>
        <w:rPr>
          <w:rFonts w:hint="eastAsia" w:ascii="宋体" w:cs="Arial"/>
          <w:sz w:val="21"/>
          <w:szCs w:val="21"/>
        </w:rPr>
        <w:t>℃时</w:t>
      </w:r>
      <w:r>
        <w:rPr>
          <w:rFonts w:ascii="宋体" w:cs="Arial"/>
          <w:sz w:val="21"/>
          <w:szCs w:val="21"/>
        </w:rPr>
        <w:t>）</w:t>
      </w:r>
      <w:r>
        <w:rPr>
          <w:rFonts w:hint="eastAsia" w:ascii="宋体" w:cs="Arial"/>
          <w:sz w:val="21"/>
          <w:szCs w:val="21"/>
        </w:rPr>
        <w:t>。</w:t>
      </w:r>
    </w:p>
    <w:p>
      <w:pPr>
        <w:widowControl/>
        <w:spacing w:line="360" w:lineRule="auto"/>
        <w:jc w:val="left"/>
        <w:rPr>
          <w:rFonts w:hint="eastAsia" w:ascii="宋体" w:cs="Arial"/>
          <w:sz w:val="21"/>
          <w:szCs w:val="21"/>
        </w:rPr>
      </w:pPr>
      <w:r>
        <w:rPr>
          <w:rFonts w:hint="eastAsia" w:ascii="宋体" w:cs="Arial"/>
          <w:sz w:val="21"/>
          <w:szCs w:val="21"/>
          <w:lang w:val="en-US" w:eastAsia="zh-CN"/>
        </w:rPr>
        <w:t>2.</w:t>
      </w:r>
      <w:r>
        <w:rPr>
          <w:rFonts w:hint="eastAsia" w:ascii="宋体" w:cs="Arial"/>
          <w:sz w:val="21"/>
          <w:szCs w:val="21"/>
        </w:rPr>
        <w:t>3设备安装场所海拔高度：不高于1500米。</w:t>
      </w:r>
    </w:p>
    <w:p>
      <w:pPr>
        <w:widowControl/>
        <w:spacing w:line="360" w:lineRule="auto"/>
        <w:jc w:val="left"/>
        <w:rPr>
          <w:rFonts w:hint="eastAsia" w:ascii="宋体" w:cs="Arial"/>
          <w:sz w:val="21"/>
          <w:szCs w:val="21"/>
          <w:lang w:val="en-US" w:eastAsia="zh-CN"/>
        </w:rPr>
      </w:pPr>
      <w:r>
        <w:rPr>
          <w:rFonts w:hint="eastAsia" w:ascii="宋体" w:cs="Arial"/>
          <w:sz w:val="21"/>
          <w:szCs w:val="21"/>
          <w:lang w:val="en-US" w:eastAsia="zh-CN"/>
        </w:rPr>
        <w:t>2.4井下环境：具有易燃易爆气体、粉尘环境。</w:t>
      </w:r>
    </w:p>
    <w:p>
      <w:pPr>
        <w:widowControl/>
        <w:spacing w:line="360" w:lineRule="auto"/>
        <w:jc w:val="left"/>
        <w:rPr>
          <w:rFonts w:hint="eastAsia" w:ascii="宋体" w:cs="Arial"/>
          <w:sz w:val="21"/>
          <w:szCs w:val="21"/>
          <w:lang w:val="en-US" w:eastAsia="zh-CN"/>
        </w:rPr>
      </w:pPr>
    </w:p>
    <w:p>
      <w:pPr>
        <w:widowControl/>
        <w:numPr>
          <w:ilvl w:val="0"/>
          <w:numId w:val="2"/>
        </w:numPr>
        <w:spacing w:line="360" w:lineRule="auto"/>
        <w:ind w:left="0" w:leftChars="0" w:firstLine="0" w:firstLineChars="0"/>
        <w:jc w:val="both"/>
        <w:rPr>
          <w:rFonts w:hint="eastAsia" w:ascii="宋体" w:cs="Arial"/>
          <w:b/>
          <w:bCs/>
          <w:sz w:val="21"/>
          <w:szCs w:val="21"/>
          <w:lang w:eastAsia="zh-CN"/>
        </w:rPr>
      </w:pPr>
      <w:r>
        <w:rPr>
          <w:rFonts w:hint="eastAsia" w:ascii="宋体" w:cs="Arial"/>
          <w:b/>
          <w:bCs/>
          <w:sz w:val="21"/>
          <w:szCs w:val="21"/>
          <w:lang w:eastAsia="zh-CN"/>
        </w:rPr>
        <w:t>技术要求</w:t>
      </w:r>
    </w:p>
    <w:p>
      <w:pPr>
        <w:widowControl/>
        <w:numPr>
          <w:ilvl w:val="0"/>
          <w:numId w:val="0"/>
        </w:numPr>
        <w:spacing w:line="360" w:lineRule="auto"/>
        <w:ind w:leftChars="0" w:firstLine="420" w:firstLineChars="200"/>
        <w:jc w:val="both"/>
        <w:rPr>
          <w:rFonts w:hint="eastAsia" w:ascii="宋体" w:cs="Arial"/>
          <w:b/>
          <w:bCs/>
          <w:sz w:val="21"/>
          <w:szCs w:val="21"/>
          <w:lang w:eastAsia="zh-CN"/>
        </w:rPr>
      </w:pPr>
      <w:r>
        <w:rPr>
          <w:rFonts w:hint="eastAsia" w:ascii="Calibri" w:hAnsi="宋体"/>
          <w:sz w:val="21"/>
          <w:szCs w:val="21"/>
          <w:lang w:eastAsia="zh-CN"/>
        </w:rPr>
        <w:t>以补连塔矿为试点建设</w:t>
      </w:r>
      <w:r>
        <w:rPr>
          <w:rFonts w:hint="eastAsia" w:ascii="Calibri" w:hAnsi="宋体"/>
          <w:sz w:val="21"/>
          <w:szCs w:val="21"/>
          <w:lang w:val="en-US" w:eastAsia="zh-CN"/>
        </w:rPr>
        <w:t>后备电源监视控制管理系统</w:t>
      </w:r>
      <w:r>
        <w:rPr>
          <w:rFonts w:hint="eastAsia" w:ascii="Calibri" w:hAnsi="宋体"/>
          <w:sz w:val="21"/>
          <w:szCs w:val="21"/>
          <w:lang w:eastAsia="zh-CN"/>
        </w:rPr>
        <w:t>，在矿地面机房安装服务器、部署系统软件，建立系统管理平台。将各</w:t>
      </w:r>
      <w:r>
        <w:rPr>
          <w:rFonts w:hint="eastAsia" w:ascii="Calibri" w:hAnsi="宋体"/>
          <w:sz w:val="21"/>
          <w:szCs w:val="21"/>
          <w:lang w:val="en-US" w:eastAsia="zh-CN"/>
        </w:rPr>
        <w:t>变电所、水泵房、机头、配电硐室等区域的后备电源设备通过井下环网接入系统平台统一管理。经现场勘察</w:t>
      </w:r>
      <w:r>
        <w:rPr>
          <w:rFonts w:hint="eastAsia" w:ascii="Calibri" w:hAnsi="宋体"/>
          <w:sz w:val="21"/>
          <w:szCs w:val="21"/>
          <w:highlight w:val="none"/>
          <w:lang w:val="en-US" w:eastAsia="zh-CN"/>
        </w:rPr>
        <w:t>，矿井后备电源集中区域</w:t>
      </w:r>
      <w:r>
        <w:rPr>
          <w:rFonts w:hint="eastAsia" w:ascii="Calibri" w:hAnsi="宋体"/>
          <w:color w:val="auto"/>
          <w:sz w:val="21"/>
          <w:szCs w:val="21"/>
          <w:highlight w:val="none"/>
          <w:lang w:val="en-US" w:eastAsia="zh-CN"/>
        </w:rPr>
        <w:t>共有14个，需接入设备及其</w:t>
      </w:r>
      <w:r>
        <w:rPr>
          <w:rFonts w:hint="eastAsia" w:ascii="Calibri" w:hAnsi="宋体"/>
          <w:sz w:val="21"/>
          <w:szCs w:val="21"/>
          <w:highlight w:val="none"/>
          <w:lang w:val="en-US" w:eastAsia="zh-CN"/>
        </w:rPr>
        <w:t>功率统计（详</w:t>
      </w:r>
      <w:r>
        <w:rPr>
          <w:rFonts w:hint="eastAsia" w:ascii="Calibri" w:hAnsi="宋体"/>
          <w:sz w:val="21"/>
          <w:szCs w:val="21"/>
          <w:lang w:val="en-US" w:eastAsia="zh-CN"/>
        </w:rPr>
        <w:t>见附件：补连塔矿需后备电源变电所统计）。技术要求中涉及的术语和定义参照《GBT 14715-2017 信息技术设备用不间断电源通用规范》3.1至3.38相关解释：</w:t>
      </w:r>
    </w:p>
    <w:p>
      <w:pPr>
        <w:pStyle w:val="39"/>
        <w:numPr>
          <w:ilvl w:val="0"/>
          <w:numId w:val="0"/>
        </w:numPr>
        <w:adjustRightInd w:val="0"/>
        <w:snapToGrid w:val="0"/>
        <w:spacing w:before="312" w:beforeLines="100" w:line="480" w:lineRule="auto"/>
        <w:rPr>
          <w:b/>
          <w:sz w:val="21"/>
          <w:szCs w:val="21"/>
        </w:rPr>
      </w:pPr>
      <w:r>
        <w:rPr>
          <w:rFonts w:hint="eastAsia"/>
          <w:b/>
          <w:sz w:val="21"/>
          <w:szCs w:val="21"/>
          <w:lang w:val="en-US" w:eastAsia="zh-CN"/>
        </w:rPr>
        <w:t>（一）</w:t>
      </w:r>
      <w:r>
        <w:rPr>
          <w:rFonts w:hint="eastAsia"/>
          <w:b/>
          <w:sz w:val="21"/>
          <w:szCs w:val="21"/>
          <w:lang w:eastAsia="zh-CN"/>
        </w:rPr>
        <w:t>后备</w:t>
      </w:r>
      <w:r>
        <w:rPr>
          <w:rFonts w:hint="eastAsia"/>
          <w:b/>
          <w:sz w:val="21"/>
          <w:szCs w:val="21"/>
        </w:rPr>
        <w:t>电源</w:t>
      </w:r>
      <w:r>
        <w:rPr>
          <w:rFonts w:hint="eastAsia"/>
          <w:b/>
          <w:sz w:val="21"/>
          <w:szCs w:val="21"/>
          <w:lang w:eastAsia="zh-CN"/>
        </w:rPr>
        <w:t>设备技术要求</w:t>
      </w:r>
    </w:p>
    <w:p>
      <w:pPr>
        <w:spacing w:line="360" w:lineRule="auto"/>
        <w:rPr>
          <w:rFonts w:hAnsi="宋体"/>
          <w:sz w:val="21"/>
          <w:szCs w:val="21"/>
        </w:rPr>
      </w:pPr>
      <w:r>
        <w:rPr>
          <w:rFonts w:hint="eastAsia" w:hAnsi="宋体"/>
          <w:sz w:val="21"/>
          <w:szCs w:val="21"/>
          <w:lang w:val="en-US" w:eastAsia="zh-CN"/>
        </w:rPr>
        <w:t>*3.1.1输入</w:t>
      </w:r>
      <w:r>
        <w:rPr>
          <w:rFonts w:hint="eastAsia" w:hAnsi="宋体"/>
          <w:sz w:val="21"/>
          <w:szCs w:val="21"/>
          <w:lang w:eastAsia="zh-CN"/>
        </w:rPr>
        <w:t>电压：</w:t>
      </w:r>
      <w:r>
        <w:rPr>
          <w:rFonts w:hint="eastAsia" w:hAnsi="宋体"/>
          <w:sz w:val="21"/>
          <w:szCs w:val="21"/>
        </w:rPr>
        <w:t>AC127V和660</w:t>
      </w:r>
      <w:r>
        <w:rPr>
          <w:rFonts w:hAnsi="宋体"/>
          <w:sz w:val="21"/>
          <w:szCs w:val="21"/>
        </w:rPr>
        <w:t>V</w:t>
      </w:r>
      <w:r>
        <w:rPr>
          <w:rFonts w:hint="eastAsia" w:hAnsi="宋体"/>
          <w:sz w:val="21"/>
          <w:szCs w:val="21"/>
          <w:lang w:eastAsia="zh-CN"/>
        </w:rPr>
        <w:t>，波动范围</w:t>
      </w:r>
      <w:r>
        <w:rPr>
          <w:rFonts w:hint="eastAsia" w:hAnsi="宋体"/>
          <w:sz w:val="21"/>
          <w:szCs w:val="21"/>
          <w:lang w:val="en-US" w:eastAsia="zh-CN"/>
        </w:rPr>
        <w:t>±15%</w:t>
      </w:r>
      <w:r>
        <w:rPr>
          <w:rFonts w:hAnsi="宋体"/>
          <w:sz w:val="21"/>
          <w:szCs w:val="21"/>
        </w:rPr>
        <w:t>；</w:t>
      </w:r>
    </w:p>
    <w:p>
      <w:pPr>
        <w:spacing w:line="360" w:lineRule="auto"/>
        <w:ind w:firstLine="630" w:firstLineChars="300"/>
        <w:rPr>
          <w:rFonts w:hint="eastAsia" w:hAnsi="宋体"/>
          <w:color w:val="auto"/>
          <w:sz w:val="21"/>
          <w:szCs w:val="21"/>
          <w:highlight w:val="none"/>
          <w:lang w:val="en-US" w:eastAsia="zh-CN"/>
        </w:rPr>
      </w:pPr>
      <w:r>
        <w:rPr>
          <w:rFonts w:hint="eastAsia" w:hAnsi="宋体"/>
          <w:color w:val="auto"/>
          <w:sz w:val="21"/>
          <w:szCs w:val="21"/>
          <w:highlight w:val="none"/>
          <w:lang w:val="en-US" w:eastAsia="zh-CN"/>
        </w:rPr>
        <w:t>输入频率：50Hz±4%；</w:t>
      </w:r>
    </w:p>
    <w:p>
      <w:pPr>
        <w:spacing w:line="360" w:lineRule="auto"/>
        <w:ind w:firstLine="630" w:firstLineChars="300"/>
        <w:rPr>
          <w:rFonts w:hint="eastAsia" w:hAnsi="宋体"/>
          <w:color w:val="auto"/>
          <w:sz w:val="21"/>
          <w:szCs w:val="21"/>
          <w:highlight w:val="none"/>
          <w:lang w:val="en-US" w:eastAsia="zh-CN"/>
        </w:rPr>
      </w:pPr>
      <w:r>
        <w:rPr>
          <w:rFonts w:hint="eastAsia" w:hAnsi="宋体"/>
          <w:color w:val="auto"/>
          <w:sz w:val="21"/>
          <w:szCs w:val="21"/>
          <w:highlight w:val="none"/>
          <w:lang w:val="en-US" w:eastAsia="zh-CN"/>
        </w:rPr>
        <w:t>输入功率因数：不低于0.9</w:t>
      </w:r>
    </w:p>
    <w:p>
      <w:pPr>
        <w:spacing w:line="360" w:lineRule="auto"/>
        <w:rPr>
          <w:rFonts w:hint="eastAsia" w:hAnsi="宋体"/>
          <w:sz w:val="21"/>
          <w:szCs w:val="21"/>
          <w:lang w:val="en-US" w:eastAsia="zh-CN"/>
        </w:rPr>
      </w:pPr>
      <w:r>
        <w:rPr>
          <w:rFonts w:hint="eastAsia" w:hAnsi="宋体"/>
          <w:sz w:val="21"/>
          <w:szCs w:val="21"/>
          <w:lang w:val="en-US" w:eastAsia="zh-CN"/>
        </w:rPr>
        <w:t>*3.1.</w:t>
      </w:r>
      <w:r>
        <w:rPr>
          <w:rFonts w:hint="eastAsia" w:hAnsi="宋体"/>
          <w:sz w:val="21"/>
          <w:szCs w:val="21"/>
        </w:rPr>
        <w:t>2</w:t>
      </w:r>
      <w:r>
        <w:rPr>
          <w:rFonts w:hAnsi="宋体"/>
          <w:sz w:val="21"/>
          <w:szCs w:val="21"/>
        </w:rPr>
        <w:t>输出电压</w:t>
      </w:r>
      <w:r>
        <w:rPr>
          <w:rFonts w:hint="eastAsia" w:hAnsi="宋体"/>
          <w:sz w:val="21"/>
          <w:szCs w:val="21"/>
        </w:rPr>
        <w:t>:</w:t>
      </w:r>
      <w:r>
        <w:rPr>
          <w:rFonts w:hint="eastAsia" w:hAnsi="宋体"/>
          <w:sz w:val="21"/>
          <w:szCs w:val="21"/>
          <w:lang w:eastAsia="zh-CN"/>
        </w:rPr>
        <w:t>具有</w:t>
      </w:r>
      <w:r>
        <w:rPr>
          <w:rFonts w:hint="eastAsia" w:hAnsi="宋体"/>
          <w:sz w:val="21"/>
          <w:szCs w:val="21"/>
        </w:rPr>
        <w:t>AC127</w:t>
      </w:r>
      <w:r>
        <w:rPr>
          <w:rFonts w:hAnsi="宋体"/>
          <w:sz w:val="21"/>
          <w:szCs w:val="21"/>
        </w:rPr>
        <w:t>V</w:t>
      </w:r>
      <w:r>
        <w:rPr>
          <w:rFonts w:hint="eastAsia" w:hAnsi="宋体"/>
          <w:sz w:val="21"/>
          <w:szCs w:val="21"/>
          <w:lang w:eastAsia="zh-CN"/>
        </w:rPr>
        <w:t>、</w:t>
      </w:r>
      <w:r>
        <w:rPr>
          <w:rFonts w:hint="eastAsia" w:hAnsi="宋体"/>
          <w:sz w:val="21"/>
          <w:szCs w:val="21"/>
        </w:rPr>
        <w:t>AC</w:t>
      </w:r>
      <w:r>
        <w:rPr>
          <w:rFonts w:hint="eastAsia" w:hAnsi="宋体"/>
          <w:sz w:val="21"/>
          <w:szCs w:val="21"/>
          <w:lang w:val="en-US" w:eastAsia="zh-CN"/>
        </w:rPr>
        <w:t>220V、</w:t>
      </w:r>
      <w:r>
        <w:rPr>
          <w:rFonts w:hint="eastAsia" w:hAnsi="宋体"/>
          <w:sz w:val="21"/>
          <w:szCs w:val="21"/>
        </w:rPr>
        <w:t>AC</w:t>
      </w:r>
      <w:r>
        <w:rPr>
          <w:rFonts w:hint="eastAsia" w:hAnsi="宋体"/>
          <w:sz w:val="21"/>
          <w:szCs w:val="21"/>
          <w:lang w:val="en-US" w:eastAsia="zh-CN"/>
        </w:rPr>
        <w:t>660V;</w:t>
      </w:r>
    </w:p>
    <w:p>
      <w:pPr>
        <w:spacing w:line="360" w:lineRule="auto"/>
        <w:rPr>
          <w:rFonts w:hint="eastAsia" w:hAnsi="宋体"/>
          <w:sz w:val="21"/>
          <w:szCs w:val="21"/>
          <w:lang w:val="en-US" w:eastAsia="zh-CN"/>
        </w:rPr>
      </w:pPr>
      <w:r>
        <w:rPr>
          <w:rFonts w:hint="eastAsia" w:hAnsi="宋体"/>
          <w:sz w:val="21"/>
          <w:szCs w:val="21"/>
          <w:lang w:val="en-US" w:eastAsia="zh-CN"/>
        </w:rPr>
        <w:t xml:space="preserve">     输出稳压精度：≤±3%；</w:t>
      </w:r>
    </w:p>
    <w:p>
      <w:pPr>
        <w:spacing w:line="360" w:lineRule="auto"/>
        <w:rPr>
          <w:rFonts w:hint="eastAsia" w:hAnsi="宋体"/>
          <w:sz w:val="21"/>
          <w:szCs w:val="21"/>
          <w:lang w:val="en-US" w:eastAsia="zh-CN"/>
        </w:rPr>
      </w:pPr>
      <w:r>
        <w:rPr>
          <w:rFonts w:hint="eastAsia" w:hAnsi="宋体"/>
          <w:sz w:val="21"/>
          <w:szCs w:val="21"/>
          <w:lang w:val="en-US" w:eastAsia="zh-CN"/>
        </w:rPr>
        <w:t xml:space="preserve">     动态电压瞬变范围：≤±5%；</w:t>
      </w:r>
    </w:p>
    <w:p>
      <w:pPr>
        <w:spacing w:line="360" w:lineRule="auto"/>
        <w:rPr>
          <w:rFonts w:hint="eastAsia" w:hAnsi="宋体"/>
          <w:sz w:val="21"/>
          <w:szCs w:val="21"/>
          <w:lang w:val="en-US" w:eastAsia="zh-CN"/>
        </w:rPr>
      </w:pPr>
      <w:r>
        <w:rPr>
          <w:rFonts w:hint="eastAsia" w:hAnsi="宋体"/>
          <w:sz w:val="21"/>
          <w:szCs w:val="21"/>
          <w:lang w:val="en-US" w:eastAsia="zh-CN"/>
        </w:rPr>
        <w:t xml:space="preserve">     电压瞬变恢复时间：≤60ms；</w:t>
      </w:r>
    </w:p>
    <w:p>
      <w:pPr>
        <w:spacing w:line="360" w:lineRule="auto"/>
        <w:rPr>
          <w:rFonts w:hint="eastAsia" w:hAnsi="宋体"/>
          <w:sz w:val="21"/>
          <w:szCs w:val="21"/>
          <w:lang w:val="en-US" w:eastAsia="zh-CN"/>
        </w:rPr>
      </w:pPr>
      <w:r>
        <w:rPr>
          <w:rFonts w:hint="eastAsia" w:hAnsi="宋体"/>
          <w:sz w:val="21"/>
          <w:szCs w:val="21"/>
          <w:lang w:val="en-US" w:eastAsia="zh-CN"/>
        </w:rPr>
        <w:t xml:space="preserve">     输出频率：（50±0.5）Hz；</w:t>
      </w:r>
    </w:p>
    <w:p>
      <w:pPr>
        <w:spacing w:line="360" w:lineRule="auto"/>
        <w:rPr>
          <w:rFonts w:hint="eastAsia" w:hAnsi="宋体"/>
          <w:sz w:val="21"/>
          <w:szCs w:val="21"/>
          <w:lang w:val="en-US" w:eastAsia="zh-CN"/>
        </w:rPr>
      </w:pPr>
      <w:r>
        <w:rPr>
          <w:rFonts w:hint="eastAsia" w:hAnsi="宋体"/>
          <w:sz w:val="21"/>
          <w:szCs w:val="21"/>
          <w:lang w:val="en-US" w:eastAsia="zh-CN"/>
        </w:rPr>
        <w:t xml:space="preserve">     输出波形失真：≤5%（阻性负载），≤8%（非线性负载）；</w:t>
      </w:r>
    </w:p>
    <w:p>
      <w:pPr>
        <w:spacing w:line="360" w:lineRule="auto"/>
        <w:rPr>
          <w:rFonts w:hint="eastAsia" w:hAnsi="宋体"/>
          <w:sz w:val="21"/>
          <w:szCs w:val="21"/>
          <w:lang w:val="en-US" w:eastAsia="zh-CN"/>
        </w:rPr>
      </w:pPr>
      <w:r>
        <w:rPr>
          <w:rFonts w:hint="eastAsia" w:hAnsi="宋体"/>
          <w:sz w:val="21"/>
          <w:szCs w:val="21"/>
          <w:lang w:val="en-US" w:eastAsia="zh-CN"/>
        </w:rPr>
        <w:t xml:space="preserve">     输出电流峰值系数：≥3：1；</w:t>
      </w:r>
    </w:p>
    <w:p>
      <w:pPr>
        <w:spacing w:line="360" w:lineRule="auto"/>
        <w:rPr>
          <w:rFonts w:hint="eastAsia" w:hAnsi="宋体"/>
          <w:sz w:val="21"/>
          <w:szCs w:val="21"/>
          <w:lang w:val="en-US" w:eastAsia="zh-CN"/>
        </w:rPr>
      </w:pPr>
      <w:r>
        <w:rPr>
          <w:rFonts w:hint="eastAsia" w:hAnsi="宋体"/>
          <w:sz w:val="21"/>
          <w:szCs w:val="21"/>
          <w:lang w:val="en-US" w:eastAsia="zh-CN"/>
        </w:rPr>
        <w:t xml:space="preserve">     输出效率：≥85%；</w:t>
      </w:r>
    </w:p>
    <w:p>
      <w:pPr>
        <w:spacing w:line="360" w:lineRule="auto"/>
        <w:rPr>
          <w:rFonts w:hint="eastAsia" w:hAnsi="宋体"/>
          <w:sz w:val="21"/>
          <w:szCs w:val="21"/>
          <w:highlight w:val="magenta"/>
          <w:lang w:val="en-US" w:eastAsia="zh-CN"/>
        </w:rPr>
      </w:pPr>
      <w:r>
        <w:rPr>
          <w:rFonts w:hint="eastAsia" w:hAnsi="宋体"/>
          <w:sz w:val="21"/>
          <w:szCs w:val="21"/>
          <w:highlight w:val="magenta"/>
          <w:lang w:val="en-US" w:eastAsia="zh-CN"/>
        </w:rPr>
        <w:t>*</w:t>
      </w:r>
      <w:r>
        <w:rPr>
          <w:rFonts w:hint="eastAsia" w:hAnsi="宋体"/>
          <w:sz w:val="21"/>
          <w:szCs w:val="21"/>
          <w:highlight w:val="magenta"/>
        </w:rPr>
        <w:t>3</w:t>
      </w:r>
      <w:r>
        <w:rPr>
          <w:rFonts w:hint="eastAsia" w:hAnsi="宋体"/>
          <w:sz w:val="21"/>
          <w:szCs w:val="21"/>
          <w:highlight w:val="magenta"/>
          <w:lang w:val="en-US" w:eastAsia="zh-CN"/>
        </w:rPr>
        <w:t>.1.3每套防爆后备电源可由单台或多台蓄电设备组成，但</w:t>
      </w:r>
      <w:r>
        <w:rPr>
          <w:rFonts w:hint="eastAsia" w:hAnsi="宋体"/>
          <w:sz w:val="21"/>
          <w:szCs w:val="21"/>
          <w:highlight w:val="magenta"/>
        </w:rPr>
        <w:t>单台设</w:t>
      </w:r>
      <w:r>
        <w:rPr>
          <w:rFonts w:hint="eastAsia" w:hAnsi="宋体"/>
          <w:sz w:val="21"/>
          <w:szCs w:val="21"/>
          <w:highlight w:val="magenta"/>
          <w:lang w:val="en-US" w:eastAsia="zh-CN"/>
        </w:rPr>
        <w:t>备额定输出功率大于等于1KW，且小于3KW；</w:t>
      </w:r>
    </w:p>
    <w:p>
      <w:pPr>
        <w:spacing w:line="360" w:lineRule="auto"/>
        <w:rPr>
          <w:rFonts w:hint="eastAsia" w:hAnsi="宋体"/>
          <w:sz w:val="21"/>
          <w:szCs w:val="21"/>
          <w:highlight w:val="magenta"/>
          <w:lang w:val="en-US" w:eastAsia="zh-CN"/>
        </w:rPr>
      </w:pPr>
      <w:r>
        <w:rPr>
          <w:rFonts w:hint="eastAsia" w:hAnsi="宋体"/>
          <w:sz w:val="21"/>
          <w:szCs w:val="21"/>
          <w:highlight w:val="magenta"/>
          <w:lang w:val="en-US" w:eastAsia="zh-CN"/>
        </w:rPr>
        <w:t>*3.1.4在用电设备额定功率下持续输出，单台电源后备时间不小于4小时，且容量不低于4300WH；</w:t>
      </w:r>
    </w:p>
    <w:p>
      <w:pPr>
        <w:spacing w:line="360" w:lineRule="auto"/>
        <w:rPr>
          <w:rFonts w:hAnsi="宋体"/>
          <w:sz w:val="21"/>
          <w:szCs w:val="21"/>
        </w:rPr>
      </w:pPr>
      <w:r>
        <w:rPr>
          <w:rFonts w:hint="eastAsia" w:hAnsi="宋体"/>
          <w:sz w:val="21"/>
          <w:szCs w:val="21"/>
          <w:lang w:val="en-US" w:eastAsia="zh-CN"/>
        </w:rPr>
        <w:t>*3.1.</w:t>
      </w:r>
      <w:r>
        <w:rPr>
          <w:rFonts w:hint="eastAsia" w:hAnsi="宋体"/>
          <w:sz w:val="21"/>
          <w:szCs w:val="21"/>
        </w:rPr>
        <w:t>5电池类型: 磷酸铁锂电池组；</w:t>
      </w:r>
    </w:p>
    <w:p>
      <w:pPr>
        <w:spacing w:line="360" w:lineRule="auto"/>
        <w:rPr>
          <w:rFonts w:hAnsi="宋体"/>
          <w:color w:val="auto"/>
          <w:sz w:val="21"/>
          <w:szCs w:val="21"/>
        </w:rPr>
      </w:pPr>
      <w:r>
        <w:rPr>
          <w:rFonts w:hint="eastAsia" w:hAnsi="宋体"/>
          <w:color w:val="auto"/>
          <w:sz w:val="21"/>
          <w:szCs w:val="21"/>
          <w:lang w:val="en-US" w:eastAsia="zh-CN"/>
        </w:rPr>
        <w:t>*3.1.</w:t>
      </w:r>
      <w:r>
        <w:rPr>
          <w:rFonts w:hint="eastAsia" w:hAnsi="宋体"/>
          <w:color w:val="auto"/>
          <w:sz w:val="21"/>
          <w:szCs w:val="21"/>
        </w:rPr>
        <w:t>6所用锂电池必须具有煤安认证，</w:t>
      </w:r>
      <w:r>
        <w:rPr>
          <w:rFonts w:hint="eastAsia" w:hAnsi="宋体"/>
          <w:color w:val="auto"/>
          <w:sz w:val="21"/>
          <w:szCs w:val="21"/>
          <w:lang w:eastAsia="zh-CN"/>
        </w:rPr>
        <w:t>后备电源为</w:t>
      </w:r>
      <w:r>
        <w:rPr>
          <w:rFonts w:hint="eastAsia" w:hAnsi="宋体"/>
          <w:color w:val="auto"/>
          <w:sz w:val="21"/>
          <w:szCs w:val="21"/>
        </w:rPr>
        <w:t>矿用隔爆兼本安型设备；</w:t>
      </w:r>
      <w:r>
        <w:rPr>
          <w:rFonts w:hAnsi="宋体"/>
          <w:color w:val="auto"/>
          <w:sz w:val="21"/>
          <w:szCs w:val="21"/>
        </w:rPr>
        <w:t xml:space="preserve"> </w:t>
      </w:r>
    </w:p>
    <w:p>
      <w:pPr>
        <w:spacing w:line="360" w:lineRule="auto"/>
        <w:rPr>
          <w:rFonts w:hAnsi="宋体"/>
          <w:color w:val="auto"/>
          <w:sz w:val="21"/>
          <w:szCs w:val="21"/>
        </w:rPr>
      </w:pPr>
      <w:r>
        <w:rPr>
          <w:rFonts w:hint="eastAsia" w:hAnsi="宋体"/>
          <w:color w:val="auto"/>
          <w:sz w:val="21"/>
          <w:szCs w:val="21"/>
          <w:lang w:val="en-US" w:eastAsia="zh-CN"/>
        </w:rPr>
        <w:t>*3.1.</w:t>
      </w:r>
      <w:r>
        <w:rPr>
          <w:rFonts w:hint="eastAsia" w:hAnsi="宋体"/>
          <w:color w:val="auto"/>
          <w:sz w:val="21"/>
          <w:szCs w:val="21"/>
        </w:rPr>
        <w:t>7</w:t>
      </w:r>
      <w:r>
        <w:rPr>
          <w:rFonts w:hint="eastAsia" w:hAnsi="宋体"/>
          <w:color w:val="auto"/>
          <w:sz w:val="21"/>
          <w:szCs w:val="21"/>
          <w:lang w:eastAsia="zh-CN"/>
        </w:rPr>
        <w:t>工作温度：</w:t>
      </w:r>
      <w:r>
        <w:rPr>
          <w:rFonts w:hint="eastAsia" w:hAnsi="宋体"/>
          <w:color w:val="auto"/>
          <w:sz w:val="21"/>
          <w:szCs w:val="21"/>
          <w:lang w:val="en-US" w:eastAsia="zh-CN"/>
        </w:rPr>
        <w:t>10~60℃（</w:t>
      </w:r>
      <w:r>
        <w:rPr>
          <w:rFonts w:hint="eastAsia" w:hAnsi="宋体"/>
          <w:color w:val="auto"/>
          <w:sz w:val="21"/>
          <w:szCs w:val="21"/>
          <w:lang w:eastAsia="zh-CN"/>
        </w:rPr>
        <w:t>防爆腔体内温度</w:t>
      </w:r>
      <w:r>
        <w:rPr>
          <w:rFonts w:hint="eastAsia" w:hAnsi="宋体"/>
          <w:color w:val="auto"/>
          <w:sz w:val="21"/>
          <w:szCs w:val="21"/>
          <w:lang w:val="en-US" w:eastAsia="zh-CN"/>
        </w:rPr>
        <w:t>）</w:t>
      </w:r>
      <w:r>
        <w:rPr>
          <w:rFonts w:hAnsi="宋体"/>
          <w:color w:val="auto"/>
          <w:sz w:val="21"/>
          <w:szCs w:val="21"/>
        </w:rPr>
        <w:t>；</w:t>
      </w:r>
    </w:p>
    <w:p>
      <w:pPr>
        <w:spacing w:line="360" w:lineRule="auto"/>
        <w:rPr>
          <w:rFonts w:hint="eastAsia" w:hAnsi="宋体"/>
          <w:color w:val="0000FF"/>
          <w:sz w:val="21"/>
          <w:szCs w:val="21"/>
          <w:highlight w:val="none"/>
        </w:rPr>
      </w:pPr>
      <w:r>
        <w:rPr>
          <w:rFonts w:hint="eastAsia" w:hAnsi="宋体"/>
          <w:color w:val="auto"/>
          <w:sz w:val="21"/>
          <w:szCs w:val="21"/>
          <w:highlight w:val="none"/>
          <w:lang w:val="en-US" w:eastAsia="zh-CN"/>
        </w:rPr>
        <w:t>*3.1.</w:t>
      </w:r>
      <w:r>
        <w:rPr>
          <w:rFonts w:hint="eastAsia" w:hAnsi="宋体"/>
          <w:color w:val="auto"/>
          <w:sz w:val="21"/>
          <w:szCs w:val="21"/>
          <w:highlight w:val="none"/>
        </w:rPr>
        <w:t>8</w:t>
      </w:r>
      <w:r>
        <w:rPr>
          <w:rFonts w:hint="eastAsia" w:hAnsi="宋体"/>
          <w:sz w:val="21"/>
          <w:szCs w:val="21"/>
          <w:highlight w:val="none"/>
        </w:rPr>
        <w:t>过载能力</w:t>
      </w:r>
      <w:r>
        <w:rPr>
          <w:rFonts w:hint="eastAsia" w:hAnsi="宋体"/>
          <w:sz w:val="21"/>
          <w:szCs w:val="21"/>
          <w:highlight w:val="none"/>
          <w:lang w:eastAsia="zh-CN"/>
        </w:rPr>
        <w:t>：≥</w:t>
      </w:r>
      <w:r>
        <w:rPr>
          <w:rFonts w:hint="eastAsia" w:hAnsi="宋体"/>
          <w:sz w:val="21"/>
          <w:szCs w:val="21"/>
          <w:highlight w:val="none"/>
          <w:lang w:val="en-US" w:eastAsia="zh-CN"/>
        </w:rPr>
        <w:t>1min（125%逆变供电）;</w:t>
      </w:r>
    </w:p>
    <w:p>
      <w:pPr>
        <w:spacing w:line="360" w:lineRule="auto"/>
        <w:rPr>
          <w:rFonts w:hint="eastAsia" w:hAnsi="宋体"/>
          <w:sz w:val="21"/>
          <w:szCs w:val="21"/>
        </w:rPr>
      </w:pPr>
      <w:r>
        <w:rPr>
          <w:rFonts w:hint="eastAsia" w:hAnsi="宋体"/>
          <w:sz w:val="21"/>
          <w:szCs w:val="21"/>
          <w:lang w:val="en-US" w:eastAsia="zh-CN"/>
        </w:rPr>
        <w:t>*3.1.</w:t>
      </w:r>
      <w:r>
        <w:rPr>
          <w:rFonts w:hint="eastAsia" w:hAnsi="宋体"/>
          <w:sz w:val="21"/>
          <w:szCs w:val="21"/>
        </w:rPr>
        <w:t>9</w:t>
      </w:r>
      <w:r>
        <w:rPr>
          <w:rFonts w:hint="eastAsia" w:hAnsi="宋体"/>
          <w:sz w:val="21"/>
          <w:szCs w:val="21"/>
          <w:lang w:val="en-US" w:eastAsia="zh-CN"/>
        </w:rPr>
        <w:t>通</w:t>
      </w:r>
      <w:r>
        <w:rPr>
          <w:rFonts w:hint="eastAsia" w:hAnsi="宋体"/>
          <w:sz w:val="21"/>
          <w:szCs w:val="21"/>
          <w:highlight w:val="none"/>
          <w:lang w:val="en-US" w:eastAsia="zh-CN"/>
        </w:rPr>
        <w:t>信接口：具有光纤接口、RS232</w:t>
      </w:r>
      <w:r>
        <w:rPr>
          <w:rFonts w:hint="eastAsia" w:hAnsi="宋体"/>
          <w:sz w:val="21"/>
          <w:szCs w:val="21"/>
          <w:lang w:val="en-US" w:eastAsia="zh-CN"/>
        </w:rPr>
        <w:t>或RS485/422通讯接口，可直接与矿井下现有环网交换机对接，采用Tcp/IP标准；</w:t>
      </w:r>
    </w:p>
    <w:p>
      <w:pPr>
        <w:spacing w:line="360" w:lineRule="auto"/>
        <w:jc w:val="left"/>
        <w:rPr>
          <w:rFonts w:hint="eastAsia"/>
          <w:sz w:val="21"/>
          <w:szCs w:val="21"/>
          <w:highlight w:val="none"/>
        </w:rPr>
      </w:pPr>
      <w:r>
        <w:rPr>
          <w:rFonts w:hint="eastAsia" w:hAnsi="宋体"/>
          <w:sz w:val="21"/>
          <w:szCs w:val="21"/>
          <w:highlight w:val="none"/>
          <w:lang w:val="en-US" w:eastAsia="zh-CN"/>
        </w:rPr>
        <w:t>*3.1.</w:t>
      </w:r>
      <w:r>
        <w:rPr>
          <w:rFonts w:hint="eastAsia" w:hAnsi="宋体"/>
          <w:sz w:val="21"/>
          <w:szCs w:val="21"/>
          <w:highlight w:val="none"/>
        </w:rPr>
        <w:t>10</w:t>
      </w:r>
      <w:r>
        <w:rPr>
          <w:rFonts w:hAnsi="宋体"/>
          <w:sz w:val="21"/>
          <w:szCs w:val="21"/>
          <w:highlight w:val="none"/>
        </w:rPr>
        <w:t>电</w:t>
      </w:r>
      <w:r>
        <w:rPr>
          <w:rFonts w:hint="eastAsia" w:hAnsi="宋体"/>
          <w:sz w:val="21"/>
          <w:szCs w:val="21"/>
          <w:highlight w:val="none"/>
        </w:rPr>
        <w:t>源</w:t>
      </w:r>
      <w:r>
        <w:rPr>
          <w:rFonts w:hAnsi="宋体"/>
          <w:sz w:val="21"/>
          <w:szCs w:val="21"/>
          <w:highlight w:val="none"/>
        </w:rPr>
        <w:t>转换时间：不大于</w:t>
      </w:r>
      <w:r>
        <w:rPr>
          <w:rFonts w:hint="eastAsia"/>
          <w:sz w:val="21"/>
          <w:szCs w:val="21"/>
          <w:highlight w:val="none"/>
          <w:lang w:val="en-US" w:eastAsia="zh-CN"/>
        </w:rPr>
        <w:t>60</w:t>
      </w:r>
      <w:r>
        <w:rPr>
          <w:sz w:val="21"/>
          <w:szCs w:val="21"/>
          <w:highlight w:val="none"/>
        </w:rPr>
        <w:t>ms</w:t>
      </w:r>
      <w:r>
        <w:rPr>
          <w:rFonts w:hint="eastAsia"/>
          <w:sz w:val="21"/>
          <w:szCs w:val="21"/>
          <w:highlight w:val="none"/>
        </w:rPr>
        <w:t>；</w:t>
      </w:r>
    </w:p>
    <w:p>
      <w:pPr>
        <w:spacing w:line="360" w:lineRule="auto"/>
        <w:jc w:val="left"/>
        <w:rPr>
          <w:rFonts w:hAnsi="宋体"/>
          <w:sz w:val="21"/>
          <w:szCs w:val="21"/>
          <w:highlight w:val="none"/>
        </w:rPr>
      </w:pPr>
      <w:r>
        <w:rPr>
          <w:rFonts w:hint="eastAsia" w:hAnsi="宋体"/>
          <w:sz w:val="21"/>
          <w:szCs w:val="21"/>
          <w:highlight w:val="none"/>
          <w:lang w:val="en-US" w:eastAsia="zh-CN"/>
        </w:rPr>
        <w:t>*3.1.</w:t>
      </w:r>
      <w:r>
        <w:rPr>
          <w:rFonts w:hint="eastAsia" w:hAnsi="宋体"/>
          <w:sz w:val="21"/>
          <w:szCs w:val="21"/>
          <w:highlight w:val="none"/>
        </w:rPr>
        <w:t>11</w:t>
      </w:r>
      <w:r>
        <w:rPr>
          <w:rFonts w:hint="eastAsia" w:hAnsi="宋体"/>
          <w:sz w:val="21"/>
          <w:szCs w:val="21"/>
          <w:highlight w:val="none"/>
          <w:lang w:eastAsia="zh-CN"/>
        </w:rPr>
        <w:t>远程监测：</w:t>
      </w:r>
      <w:r>
        <w:rPr>
          <w:rFonts w:hint="eastAsia" w:hAnsi="宋体"/>
          <w:sz w:val="21"/>
          <w:szCs w:val="21"/>
          <w:highlight w:val="none"/>
        </w:rPr>
        <w:t>电源的输出电压、</w:t>
      </w:r>
      <w:r>
        <w:rPr>
          <w:rFonts w:hint="eastAsia" w:hAnsi="宋体"/>
          <w:sz w:val="21"/>
          <w:szCs w:val="21"/>
          <w:highlight w:val="none"/>
          <w:lang w:eastAsia="zh-CN"/>
        </w:rPr>
        <w:t>输出电流</w:t>
      </w:r>
      <w:r>
        <w:rPr>
          <w:rFonts w:hint="eastAsia" w:hAnsi="宋体"/>
          <w:sz w:val="21"/>
          <w:szCs w:val="21"/>
          <w:highlight w:val="none"/>
        </w:rPr>
        <w:t>、</w:t>
      </w:r>
      <w:r>
        <w:rPr>
          <w:rFonts w:hint="eastAsia" w:hAnsi="宋体"/>
          <w:sz w:val="21"/>
          <w:szCs w:val="21"/>
          <w:highlight w:val="none"/>
          <w:lang w:eastAsia="zh-CN"/>
        </w:rPr>
        <w:t>输出频率、</w:t>
      </w:r>
      <w:r>
        <w:rPr>
          <w:rFonts w:hint="eastAsia" w:hAnsi="宋体"/>
          <w:sz w:val="21"/>
          <w:szCs w:val="21"/>
          <w:highlight w:val="none"/>
        </w:rPr>
        <w:t>电池电压</w:t>
      </w:r>
      <w:r>
        <w:rPr>
          <w:rFonts w:hint="eastAsia" w:hAnsi="宋体"/>
          <w:sz w:val="21"/>
          <w:szCs w:val="21"/>
          <w:highlight w:val="none"/>
          <w:lang w:val="en-US" w:eastAsia="zh-CN"/>
        </w:rPr>
        <w:t>/电量</w:t>
      </w:r>
      <w:r>
        <w:rPr>
          <w:rFonts w:hint="eastAsia" w:hAnsi="宋体"/>
          <w:sz w:val="21"/>
          <w:szCs w:val="21"/>
          <w:highlight w:val="none"/>
        </w:rPr>
        <w:t>、</w:t>
      </w:r>
      <w:r>
        <w:rPr>
          <w:rFonts w:hint="eastAsia" w:hAnsi="宋体"/>
          <w:sz w:val="21"/>
          <w:szCs w:val="21"/>
          <w:highlight w:val="none"/>
          <w:lang w:eastAsia="zh-CN"/>
        </w:rPr>
        <w:t>充放电状态、</w:t>
      </w:r>
      <w:r>
        <w:rPr>
          <w:rFonts w:hint="eastAsia" w:hAnsi="宋体"/>
          <w:sz w:val="21"/>
          <w:szCs w:val="21"/>
          <w:highlight w:val="none"/>
        </w:rPr>
        <w:t>充电电流、报警</w:t>
      </w:r>
      <w:r>
        <w:rPr>
          <w:rFonts w:hint="eastAsia" w:hAnsi="宋体"/>
          <w:sz w:val="21"/>
          <w:szCs w:val="21"/>
          <w:highlight w:val="none"/>
          <w:lang w:val="en-US" w:eastAsia="zh-CN"/>
        </w:rPr>
        <w:t>/故障</w:t>
      </w:r>
      <w:r>
        <w:rPr>
          <w:rFonts w:hint="eastAsia" w:hAnsi="宋体"/>
          <w:sz w:val="21"/>
          <w:szCs w:val="21"/>
          <w:highlight w:val="none"/>
        </w:rPr>
        <w:t>信息</w:t>
      </w:r>
      <w:r>
        <w:rPr>
          <w:rFonts w:hint="eastAsia" w:hAnsi="宋体"/>
          <w:sz w:val="21"/>
          <w:szCs w:val="21"/>
          <w:highlight w:val="none"/>
          <w:lang w:eastAsia="zh-CN"/>
        </w:rPr>
        <w:t>（过载、低电量、逆变故障等）、供电方式</w:t>
      </w:r>
      <w:r>
        <w:rPr>
          <w:rFonts w:hint="eastAsia" w:hAnsi="宋体"/>
          <w:sz w:val="21"/>
          <w:szCs w:val="21"/>
          <w:highlight w:val="none"/>
          <w:lang w:val="en-US" w:eastAsia="zh-CN"/>
        </w:rPr>
        <w:t>/工作状态</w:t>
      </w:r>
      <w:r>
        <w:rPr>
          <w:rFonts w:hint="eastAsia" w:hAnsi="宋体"/>
          <w:sz w:val="21"/>
          <w:szCs w:val="21"/>
          <w:highlight w:val="none"/>
        </w:rPr>
        <w:t>等</w:t>
      </w:r>
      <w:r>
        <w:rPr>
          <w:rFonts w:hint="eastAsia" w:hAnsi="宋体"/>
          <w:sz w:val="21"/>
          <w:szCs w:val="21"/>
          <w:highlight w:val="none"/>
          <w:lang w:eastAsia="zh-CN"/>
        </w:rPr>
        <w:t>数据</w:t>
      </w:r>
      <w:r>
        <w:rPr>
          <w:rFonts w:hint="eastAsia" w:hAnsi="宋体"/>
          <w:sz w:val="21"/>
          <w:szCs w:val="21"/>
          <w:highlight w:val="none"/>
        </w:rPr>
        <w:t>；</w:t>
      </w:r>
    </w:p>
    <w:p>
      <w:pPr>
        <w:spacing w:line="360" w:lineRule="auto"/>
        <w:jc w:val="left"/>
        <w:rPr>
          <w:rFonts w:hint="eastAsia" w:hAnsi="宋体"/>
          <w:sz w:val="21"/>
          <w:szCs w:val="21"/>
          <w:highlight w:val="none"/>
        </w:rPr>
      </w:pPr>
      <w:r>
        <w:rPr>
          <w:rFonts w:hint="eastAsia" w:hAnsi="宋体"/>
          <w:sz w:val="21"/>
          <w:szCs w:val="21"/>
          <w:highlight w:val="none"/>
          <w:lang w:val="en-US" w:eastAsia="zh-CN"/>
        </w:rPr>
        <w:t>*3.1.</w:t>
      </w:r>
      <w:r>
        <w:rPr>
          <w:rFonts w:hint="eastAsia" w:hAnsi="宋体"/>
          <w:sz w:val="21"/>
          <w:szCs w:val="21"/>
          <w:highlight w:val="none"/>
        </w:rPr>
        <w:t>12</w:t>
      </w:r>
      <w:r>
        <w:rPr>
          <w:rFonts w:hint="eastAsia" w:hAnsi="宋体"/>
          <w:sz w:val="21"/>
          <w:szCs w:val="21"/>
          <w:highlight w:val="none"/>
          <w:lang w:eastAsia="zh-CN"/>
        </w:rPr>
        <w:t>保护与告警：具有输出浪涌及短路保护、输出过载保护、（防爆腔内的逆变、电池及其他电路）过温度保护、电池电压低保护、充电过流保护、输出欠压保护、</w:t>
      </w:r>
      <w:r>
        <w:rPr>
          <w:rFonts w:hint="eastAsia" w:hAnsi="宋体"/>
          <w:sz w:val="21"/>
          <w:szCs w:val="21"/>
          <w:highlight w:val="none"/>
        </w:rPr>
        <w:t>电池信息采集线开路保护</w:t>
      </w:r>
      <w:r>
        <w:rPr>
          <w:rFonts w:hint="eastAsia" w:hAnsi="宋体"/>
          <w:sz w:val="21"/>
          <w:szCs w:val="21"/>
          <w:highlight w:val="none"/>
          <w:lang w:eastAsia="zh-CN"/>
        </w:rPr>
        <w:t>、单机故障告警、输入故障告警等（参照标准：YDT 1095-2008）</w:t>
      </w:r>
      <w:r>
        <w:rPr>
          <w:rFonts w:hint="eastAsia" w:hAnsi="宋体"/>
          <w:sz w:val="21"/>
          <w:szCs w:val="21"/>
          <w:highlight w:val="none"/>
        </w:rPr>
        <w:t>；</w:t>
      </w:r>
    </w:p>
    <w:p>
      <w:pPr>
        <w:spacing w:line="360" w:lineRule="auto"/>
        <w:jc w:val="left"/>
        <w:rPr>
          <w:rFonts w:hint="eastAsia" w:hAnsi="宋体"/>
          <w:sz w:val="21"/>
          <w:szCs w:val="21"/>
          <w:highlight w:val="none"/>
          <w:lang w:val="en-US" w:eastAsia="zh-CN"/>
        </w:rPr>
      </w:pPr>
      <w:r>
        <w:rPr>
          <w:rFonts w:hint="eastAsia" w:hAnsi="宋体"/>
          <w:sz w:val="21"/>
          <w:szCs w:val="21"/>
          <w:highlight w:val="none"/>
          <w:lang w:val="en-US" w:eastAsia="zh-CN"/>
        </w:rPr>
        <w:t>*3.1.1</w:t>
      </w:r>
      <w:r>
        <w:rPr>
          <w:rFonts w:hint="eastAsia" w:hAnsi="宋体"/>
          <w:sz w:val="21"/>
          <w:szCs w:val="21"/>
          <w:highlight w:val="none"/>
        </w:rPr>
        <w:t>3</w:t>
      </w:r>
      <w:r>
        <w:rPr>
          <w:rFonts w:hint="eastAsia" w:hAnsi="宋体"/>
          <w:sz w:val="21"/>
          <w:szCs w:val="21"/>
          <w:lang w:val="en-US" w:eastAsia="zh-CN"/>
        </w:rPr>
        <w:t>电缆引入装置总数</w:t>
      </w:r>
      <w:r>
        <w:rPr>
          <w:rFonts w:hint="eastAsia" w:hAnsi="宋体"/>
          <w:sz w:val="21"/>
          <w:szCs w:val="21"/>
          <w:highlight w:val="none"/>
          <w:lang w:val="en-US" w:eastAsia="zh-CN"/>
        </w:rPr>
        <w:t>不少于10个，其中输入电缆引入装置要求为A4且不少于1个，输出电缆引入装置尺寸要求不小于A3（参照标准：JBT 4</w:t>
      </w:r>
      <w:r>
        <w:rPr>
          <w:rFonts w:hint="eastAsia" w:hAnsi="宋体"/>
          <w:sz w:val="21"/>
          <w:szCs w:val="21"/>
          <w:lang w:val="en-US" w:eastAsia="zh-CN"/>
        </w:rPr>
        <w:t>262-1992）</w:t>
      </w:r>
      <w:r>
        <w:rPr>
          <w:rFonts w:hint="eastAsia" w:hAnsi="宋体"/>
          <w:sz w:val="21"/>
          <w:szCs w:val="21"/>
          <w:highlight w:val="none"/>
          <w:lang w:val="en-US" w:eastAsia="zh-CN"/>
        </w:rPr>
        <w:t>；</w:t>
      </w:r>
    </w:p>
    <w:p>
      <w:pPr>
        <w:spacing w:line="360" w:lineRule="auto"/>
        <w:jc w:val="left"/>
        <w:rPr>
          <w:rFonts w:hint="eastAsia" w:hAnsi="宋体"/>
          <w:sz w:val="21"/>
          <w:szCs w:val="21"/>
          <w:highlight w:val="none"/>
          <w:lang w:val="en-US" w:eastAsia="zh-CN"/>
        </w:rPr>
      </w:pPr>
      <w:r>
        <w:rPr>
          <w:rFonts w:hint="eastAsia" w:hAnsi="宋体"/>
          <w:sz w:val="21"/>
          <w:szCs w:val="21"/>
          <w:highlight w:val="none"/>
          <w:lang w:val="en-US" w:eastAsia="zh-CN"/>
        </w:rPr>
        <w:t>*3.1.14输出可按电压等级不同或</w:t>
      </w:r>
      <w:r>
        <w:rPr>
          <w:rFonts w:hint="eastAsia" w:hAnsi="宋体"/>
          <w:sz w:val="21"/>
          <w:szCs w:val="21"/>
          <w:lang w:val="en-US" w:eastAsia="zh-CN"/>
        </w:rPr>
        <w:t>电缆引入装置不同独立控制；</w:t>
      </w:r>
    </w:p>
    <w:p>
      <w:pPr>
        <w:spacing w:line="360" w:lineRule="auto"/>
        <w:jc w:val="left"/>
        <w:rPr>
          <w:rFonts w:hint="eastAsia" w:hAnsi="宋体"/>
          <w:sz w:val="21"/>
          <w:szCs w:val="21"/>
          <w:highlight w:val="none"/>
        </w:rPr>
      </w:pPr>
      <w:r>
        <w:rPr>
          <w:rFonts w:hint="eastAsia" w:hAnsi="宋体"/>
          <w:sz w:val="21"/>
          <w:szCs w:val="21"/>
          <w:highlight w:val="none"/>
          <w:lang w:val="en-US" w:eastAsia="zh-CN"/>
        </w:rPr>
        <w:t>*3.1.15</w:t>
      </w:r>
      <w:r>
        <w:rPr>
          <w:rFonts w:hint="eastAsia" w:hAnsi="宋体"/>
          <w:sz w:val="21"/>
          <w:szCs w:val="21"/>
          <w:highlight w:val="none"/>
        </w:rPr>
        <w:t>应具有均衡充电控制功能</w:t>
      </w:r>
      <w:r>
        <w:rPr>
          <w:rFonts w:hint="eastAsia" w:hAnsi="宋体"/>
          <w:sz w:val="21"/>
          <w:szCs w:val="21"/>
          <w:highlight w:val="none"/>
          <w:lang w:eastAsia="zh-CN"/>
        </w:rPr>
        <w:t>、</w:t>
      </w:r>
      <w:r>
        <w:rPr>
          <w:rFonts w:hint="eastAsia" w:hAnsi="宋体"/>
          <w:sz w:val="21"/>
          <w:szCs w:val="21"/>
          <w:highlight w:val="none"/>
        </w:rPr>
        <w:t>单体电池过充电压保护失效检测功能</w:t>
      </w:r>
      <w:r>
        <w:rPr>
          <w:rFonts w:hint="eastAsia" w:hAnsi="宋体"/>
          <w:sz w:val="21"/>
          <w:szCs w:val="21"/>
          <w:highlight w:val="none"/>
          <w:lang w:eastAsia="zh-CN"/>
        </w:rPr>
        <w:t>、</w:t>
      </w:r>
      <w:r>
        <w:rPr>
          <w:rFonts w:hint="eastAsia" w:hAnsi="宋体"/>
          <w:sz w:val="21"/>
          <w:szCs w:val="21"/>
          <w:highlight w:val="none"/>
        </w:rPr>
        <w:t>单体电池过放电压保护失效检测功能</w:t>
      </w:r>
      <w:r>
        <w:rPr>
          <w:rFonts w:hint="eastAsia" w:hAnsi="宋体"/>
          <w:sz w:val="21"/>
          <w:szCs w:val="21"/>
          <w:highlight w:val="none"/>
          <w:lang w:eastAsia="zh-CN"/>
        </w:rPr>
        <w:t>、充放电温度保护功能；</w:t>
      </w:r>
    </w:p>
    <w:p>
      <w:pPr>
        <w:spacing w:line="360" w:lineRule="auto"/>
        <w:jc w:val="left"/>
        <w:rPr>
          <w:rFonts w:hint="eastAsia" w:hAnsi="宋体"/>
          <w:sz w:val="21"/>
          <w:szCs w:val="21"/>
          <w:highlight w:val="none"/>
        </w:rPr>
      </w:pPr>
      <w:r>
        <w:rPr>
          <w:rFonts w:hint="eastAsia" w:hAnsi="宋体"/>
          <w:sz w:val="21"/>
          <w:szCs w:val="21"/>
          <w:highlight w:val="none"/>
          <w:lang w:val="en-US" w:eastAsia="zh-CN"/>
        </w:rPr>
        <w:t>*3.1.</w:t>
      </w:r>
      <w:r>
        <w:rPr>
          <w:rFonts w:hint="eastAsia" w:hAnsi="宋体"/>
          <w:sz w:val="21"/>
          <w:szCs w:val="21"/>
          <w:highlight w:val="none"/>
        </w:rPr>
        <w:t>1</w:t>
      </w:r>
      <w:r>
        <w:rPr>
          <w:rFonts w:hint="eastAsia" w:hAnsi="宋体"/>
          <w:sz w:val="21"/>
          <w:szCs w:val="21"/>
          <w:highlight w:val="none"/>
          <w:lang w:val="en-US" w:eastAsia="zh-CN"/>
        </w:rPr>
        <w:t>6</w:t>
      </w:r>
      <w:r>
        <w:rPr>
          <w:rFonts w:hint="eastAsia" w:hAnsi="宋体"/>
          <w:sz w:val="21"/>
          <w:szCs w:val="21"/>
          <w:highlight w:val="none"/>
          <w:lang w:eastAsia="zh-CN"/>
        </w:rPr>
        <w:t>旁路功能：需提供旁路功能，以保障后备电源电池组、逆变器、变压整流器等维修安全和保持负载电力连续性；</w:t>
      </w:r>
    </w:p>
    <w:p>
      <w:pPr>
        <w:spacing w:line="360" w:lineRule="auto"/>
        <w:rPr>
          <w:rFonts w:hint="eastAsia" w:hAnsi="宋体"/>
          <w:sz w:val="21"/>
          <w:szCs w:val="21"/>
          <w:lang w:val="en-US" w:eastAsia="zh-CN"/>
        </w:rPr>
      </w:pPr>
      <w:r>
        <w:rPr>
          <w:rFonts w:hint="eastAsia" w:hAnsi="宋体"/>
          <w:sz w:val="21"/>
          <w:szCs w:val="21"/>
          <w:highlight w:val="none"/>
          <w:lang w:val="en-US" w:eastAsia="zh-CN"/>
        </w:rPr>
        <w:t>*</w:t>
      </w:r>
      <w:r>
        <w:rPr>
          <w:rFonts w:hint="eastAsia" w:hAnsi="宋体"/>
          <w:sz w:val="21"/>
          <w:szCs w:val="21"/>
          <w:lang w:val="en-US" w:eastAsia="zh-CN"/>
        </w:rPr>
        <w:t>3.1.17</w:t>
      </w:r>
      <w:r>
        <w:rPr>
          <w:rFonts w:hint="eastAsia" w:hAnsi="宋体"/>
          <w:sz w:val="21"/>
          <w:szCs w:val="21"/>
          <w:highlight w:val="none"/>
          <w:lang w:eastAsia="zh-CN"/>
        </w:rPr>
        <w:t>电磁兼容性：满足《YDT 983-2013 通信电源设备电磁兼容性要求及测量方法》的要求及测量方法</w:t>
      </w:r>
      <w:r>
        <w:rPr>
          <w:rFonts w:hint="eastAsia" w:hAnsi="宋体"/>
          <w:sz w:val="21"/>
          <w:szCs w:val="21"/>
          <w:highlight w:val="none"/>
        </w:rPr>
        <w:t>；</w:t>
      </w:r>
    </w:p>
    <w:p>
      <w:pPr>
        <w:spacing w:line="360" w:lineRule="auto"/>
        <w:rPr>
          <w:rFonts w:hint="eastAsia" w:ascii="Calibri" w:hAnsi="Calibri"/>
          <w:b/>
          <w:kern w:val="2"/>
          <w:sz w:val="21"/>
          <w:szCs w:val="21"/>
          <w:lang w:val="en-US" w:eastAsia="zh-CN" w:bidi="ar-SA"/>
        </w:rPr>
      </w:pPr>
      <w:r>
        <w:rPr>
          <w:rFonts w:hint="eastAsia" w:hAnsi="宋体"/>
          <w:sz w:val="21"/>
          <w:szCs w:val="21"/>
          <w:highlight w:val="none"/>
          <w:lang w:val="en-US" w:eastAsia="zh-CN"/>
        </w:rPr>
        <w:t>*3.1.</w:t>
      </w:r>
      <w:r>
        <w:rPr>
          <w:rFonts w:hint="eastAsia" w:hAnsi="宋体"/>
          <w:sz w:val="21"/>
          <w:szCs w:val="21"/>
          <w:highlight w:val="none"/>
        </w:rPr>
        <w:t>1</w:t>
      </w:r>
      <w:r>
        <w:rPr>
          <w:rFonts w:hint="eastAsia" w:hAnsi="宋体"/>
          <w:sz w:val="21"/>
          <w:szCs w:val="21"/>
          <w:highlight w:val="none"/>
          <w:lang w:val="en-US" w:eastAsia="zh-CN"/>
        </w:rPr>
        <w:t>8参照《GBT 147</w:t>
      </w:r>
      <w:r>
        <w:rPr>
          <w:rFonts w:hint="eastAsia" w:ascii="Calibri" w:hAnsi="Calibri"/>
          <w:b/>
          <w:kern w:val="2"/>
          <w:sz w:val="21"/>
          <w:szCs w:val="21"/>
          <w:lang w:val="en-US" w:eastAsia="zh-CN" w:bidi="ar-SA"/>
        </w:rPr>
        <w:t xml:space="preserve">15-2017 </w:t>
      </w:r>
      <w:r>
        <w:rPr>
          <w:rFonts w:hint="eastAsia" w:ascii="Calibri" w:hAnsi="Calibri"/>
          <w:b w:val="0"/>
          <w:bCs/>
          <w:kern w:val="2"/>
          <w:sz w:val="21"/>
          <w:szCs w:val="21"/>
          <w:lang w:val="en-US" w:eastAsia="zh-CN" w:bidi="ar-SA"/>
        </w:rPr>
        <w:t>信息技术设备用不间断电源通用规范》中7.1至7.9和《YDT 1095-2008 通信用不间断电源（UPS）》行业标准中5.1至5.30中相关测试方法，投标方投标时需提供后备电源设备技术要求参数、性能完整的第三方测试报告扫描件。</w:t>
      </w:r>
    </w:p>
    <w:p>
      <w:pPr>
        <w:pStyle w:val="39"/>
        <w:numPr>
          <w:ilvl w:val="0"/>
          <w:numId w:val="0"/>
        </w:numPr>
        <w:adjustRightInd w:val="0"/>
        <w:snapToGrid w:val="0"/>
        <w:spacing w:before="156" w:beforeLines="50" w:line="360" w:lineRule="auto"/>
        <w:rPr>
          <w:rFonts w:hint="eastAsia" w:ascii="Calibri" w:hAnsi="Calibri"/>
          <w:b/>
          <w:kern w:val="2"/>
          <w:sz w:val="21"/>
          <w:szCs w:val="21"/>
          <w:lang w:val="en-US" w:eastAsia="zh-CN" w:bidi="ar-SA"/>
        </w:rPr>
      </w:pPr>
      <w:r>
        <w:rPr>
          <w:rFonts w:hint="eastAsia" w:ascii="Calibri" w:hAnsi="Calibri"/>
          <w:b/>
          <w:kern w:val="2"/>
          <w:sz w:val="21"/>
          <w:szCs w:val="21"/>
          <w:lang w:val="en-US" w:eastAsia="zh-CN" w:bidi="ar-SA"/>
        </w:rPr>
        <w:t>（二）后备电源监视控制管理平台软件要求</w:t>
      </w:r>
    </w:p>
    <w:p>
      <w:pPr>
        <w:spacing w:line="360" w:lineRule="auto"/>
        <w:rPr>
          <w:rFonts w:hint="eastAsia" w:hAnsi="宋体"/>
          <w:sz w:val="21"/>
          <w:szCs w:val="21"/>
          <w:lang w:val="en-US" w:eastAsia="zh-CN"/>
        </w:rPr>
      </w:pPr>
      <w:r>
        <w:rPr>
          <w:rFonts w:hint="eastAsia" w:hAnsi="宋体"/>
          <w:sz w:val="21"/>
          <w:szCs w:val="21"/>
          <w:lang w:val="en-US" w:eastAsia="zh-CN"/>
        </w:rPr>
        <w:t>*3.2.</w:t>
      </w:r>
      <w:r>
        <w:rPr>
          <w:rFonts w:hint="eastAsia" w:hAnsi="宋体"/>
          <w:sz w:val="21"/>
          <w:szCs w:val="21"/>
        </w:rPr>
        <w:t>1</w:t>
      </w:r>
      <w:r>
        <w:rPr>
          <w:rFonts w:hint="eastAsia" w:hAnsi="宋体"/>
          <w:sz w:val="21"/>
          <w:szCs w:val="21"/>
          <w:lang w:val="en-US" w:eastAsia="zh-CN"/>
        </w:rPr>
        <w:t>管理平台</w:t>
      </w:r>
      <w:r>
        <w:rPr>
          <w:rFonts w:hint="eastAsia" w:hAnsi="宋体"/>
          <w:sz w:val="21"/>
          <w:szCs w:val="21"/>
        </w:rPr>
        <w:t>接口开放</w:t>
      </w:r>
      <w:r>
        <w:rPr>
          <w:rFonts w:hint="eastAsia" w:hAnsi="宋体"/>
          <w:sz w:val="21"/>
          <w:szCs w:val="21"/>
          <w:lang w:eastAsia="zh-CN"/>
        </w:rPr>
        <w:t>，</w:t>
      </w:r>
      <w:r>
        <w:rPr>
          <w:rFonts w:hint="eastAsia" w:hAnsi="宋体"/>
          <w:sz w:val="21"/>
          <w:szCs w:val="21"/>
          <w:lang w:val="en-US" w:eastAsia="zh-CN"/>
        </w:rPr>
        <w:t>中标方能够按照甲方要求接入现有平台或将其他系统接入本平台；</w:t>
      </w:r>
    </w:p>
    <w:p>
      <w:pPr>
        <w:spacing w:line="360" w:lineRule="auto"/>
        <w:rPr>
          <w:rFonts w:hint="eastAsia" w:hAnsi="宋体"/>
          <w:sz w:val="21"/>
          <w:szCs w:val="21"/>
        </w:rPr>
      </w:pPr>
      <w:r>
        <w:rPr>
          <w:rFonts w:hint="eastAsia" w:hAnsi="宋体"/>
          <w:sz w:val="21"/>
          <w:szCs w:val="21"/>
          <w:lang w:val="en-US" w:eastAsia="zh-CN"/>
        </w:rPr>
        <w:t>*3.2.2系统</w:t>
      </w:r>
      <w:r>
        <w:rPr>
          <w:rFonts w:hint="eastAsia" w:hAnsi="宋体"/>
          <w:sz w:val="21"/>
          <w:szCs w:val="21"/>
        </w:rPr>
        <w:t>接口协议、数据格式执行标准参照《神东企业标准-矿山机电设备通信接口和协议》</w:t>
      </w:r>
      <w:r>
        <w:rPr>
          <w:rFonts w:hint="eastAsia" w:hAnsi="宋体"/>
          <w:sz w:val="21"/>
          <w:szCs w:val="21"/>
          <w:lang w:eastAsia="zh-CN"/>
        </w:rPr>
        <w:t>；</w:t>
      </w:r>
    </w:p>
    <w:p>
      <w:pPr>
        <w:spacing w:line="360" w:lineRule="auto"/>
        <w:rPr>
          <w:rFonts w:hint="eastAsia" w:hAnsi="宋体"/>
          <w:sz w:val="21"/>
          <w:szCs w:val="21"/>
        </w:rPr>
      </w:pPr>
      <w:r>
        <w:rPr>
          <w:rFonts w:hint="eastAsia" w:hAnsi="宋体"/>
          <w:sz w:val="21"/>
          <w:szCs w:val="21"/>
          <w:lang w:val="en-US" w:eastAsia="zh-CN"/>
        </w:rPr>
        <w:t>*3.2.3</w:t>
      </w:r>
      <w:r>
        <w:rPr>
          <w:rFonts w:hint="eastAsia" w:hAnsi="宋体"/>
          <w:sz w:val="21"/>
          <w:szCs w:val="21"/>
        </w:rPr>
        <w:t>管理平台</w:t>
      </w:r>
      <w:r>
        <w:rPr>
          <w:rFonts w:hint="eastAsia" w:hAnsi="宋体"/>
          <w:sz w:val="21"/>
          <w:szCs w:val="21"/>
          <w:lang w:eastAsia="zh-CN"/>
        </w:rPr>
        <w:t>能够实时读取、显示、存储后备电源设备的</w:t>
      </w:r>
      <w:r>
        <w:rPr>
          <w:rFonts w:hint="eastAsia" w:hAnsi="宋体"/>
          <w:sz w:val="21"/>
          <w:szCs w:val="21"/>
          <w:highlight w:val="none"/>
          <w:lang w:eastAsia="zh-CN"/>
        </w:rPr>
        <w:t>远程监测数据、保护与告警信息；</w:t>
      </w:r>
    </w:p>
    <w:p>
      <w:pPr>
        <w:spacing w:line="360" w:lineRule="auto"/>
        <w:rPr>
          <w:rFonts w:hint="eastAsia" w:hAnsi="宋体"/>
          <w:sz w:val="21"/>
          <w:szCs w:val="21"/>
          <w:highlight w:val="yellow"/>
        </w:rPr>
      </w:pPr>
      <w:r>
        <w:rPr>
          <w:rFonts w:hint="eastAsia" w:hAnsi="宋体"/>
          <w:sz w:val="21"/>
          <w:szCs w:val="21"/>
          <w:lang w:val="en-US" w:eastAsia="zh-CN"/>
        </w:rPr>
        <w:t>*3.2.4用户通过管理平台可对井下后备电源设备的输入、输出及旁路切换进行控制，可对电池组强制充放电控制，并且将各种访问及操作记录存储；</w:t>
      </w:r>
    </w:p>
    <w:p>
      <w:pPr>
        <w:spacing w:line="360" w:lineRule="auto"/>
        <w:rPr>
          <w:rFonts w:hint="eastAsia" w:hAnsi="宋体"/>
          <w:sz w:val="21"/>
          <w:szCs w:val="21"/>
          <w:lang w:val="en-US" w:eastAsia="zh-CN"/>
        </w:rPr>
      </w:pPr>
      <w:r>
        <w:rPr>
          <w:rFonts w:hint="eastAsia" w:hAnsi="宋体"/>
          <w:sz w:val="21"/>
          <w:szCs w:val="21"/>
          <w:lang w:val="en-US" w:eastAsia="zh-CN"/>
        </w:rPr>
        <w:t>*3.2.5用户可通过管理平台</w:t>
      </w:r>
      <w:r>
        <w:rPr>
          <w:rFonts w:hint="eastAsia" w:hAnsi="宋体"/>
          <w:sz w:val="21"/>
          <w:szCs w:val="21"/>
          <w:lang w:eastAsia="zh-CN"/>
        </w:rPr>
        <w:t>，对后备电源设备进行实时监测、实时控制、历史记录查询，具备报表生成、导出、筛选等功能；</w:t>
      </w:r>
    </w:p>
    <w:p>
      <w:pPr>
        <w:spacing w:line="360" w:lineRule="auto"/>
        <w:rPr>
          <w:rFonts w:hint="eastAsia" w:hAnsi="宋体"/>
          <w:sz w:val="21"/>
          <w:szCs w:val="21"/>
          <w:lang w:val="en-US" w:eastAsia="zh-CN"/>
        </w:rPr>
      </w:pPr>
      <w:r>
        <w:rPr>
          <w:rFonts w:hint="eastAsia" w:hAnsi="宋体"/>
          <w:sz w:val="21"/>
          <w:szCs w:val="21"/>
          <w:lang w:val="en-US" w:eastAsia="zh-CN"/>
        </w:rPr>
        <w:t>*3.2.6管理平台客户端使用用户名、密码登录，</w:t>
      </w:r>
      <w:r>
        <w:rPr>
          <w:rFonts w:hint="eastAsia" w:hAnsi="宋体"/>
          <w:sz w:val="21"/>
          <w:szCs w:val="21"/>
          <w:lang w:eastAsia="zh-CN"/>
        </w:rPr>
        <w:t>并</w:t>
      </w:r>
      <w:r>
        <w:rPr>
          <w:rFonts w:hint="eastAsia" w:hAnsi="宋体"/>
          <w:sz w:val="21"/>
          <w:szCs w:val="21"/>
        </w:rPr>
        <w:t>具有</w:t>
      </w:r>
      <w:r>
        <w:rPr>
          <w:rFonts w:hint="eastAsia" w:hAnsi="宋体"/>
          <w:sz w:val="21"/>
          <w:szCs w:val="21"/>
          <w:lang w:eastAsia="zh-CN"/>
        </w:rPr>
        <w:t>用户名按权限分级查询、操作功能</w:t>
      </w:r>
      <w:r>
        <w:rPr>
          <w:rFonts w:hint="eastAsia" w:hAnsi="宋体"/>
          <w:sz w:val="21"/>
          <w:szCs w:val="21"/>
          <w:lang w:val="en-US" w:eastAsia="zh-CN"/>
        </w:rPr>
        <w:t>；</w:t>
      </w:r>
    </w:p>
    <w:p>
      <w:pPr>
        <w:spacing w:line="360" w:lineRule="auto"/>
        <w:rPr>
          <w:rFonts w:hint="eastAsia" w:hAnsi="宋体"/>
          <w:sz w:val="21"/>
          <w:szCs w:val="21"/>
          <w:lang w:eastAsia="zh-CN"/>
        </w:rPr>
      </w:pPr>
      <w:r>
        <w:rPr>
          <w:rFonts w:hint="eastAsia" w:hAnsi="宋体"/>
          <w:sz w:val="21"/>
          <w:szCs w:val="21"/>
          <w:lang w:val="en-US" w:eastAsia="zh-CN"/>
        </w:rPr>
        <w:t>*3.2.7</w:t>
      </w:r>
      <w:r>
        <w:rPr>
          <w:rFonts w:hint="eastAsia" w:hAnsi="宋体"/>
          <w:sz w:val="21"/>
          <w:szCs w:val="21"/>
        </w:rPr>
        <w:t>管理</w:t>
      </w:r>
      <w:r>
        <w:rPr>
          <w:rFonts w:hint="eastAsia" w:hAnsi="宋体"/>
          <w:sz w:val="21"/>
          <w:szCs w:val="21"/>
          <w:lang w:val="en-US" w:eastAsia="zh-CN"/>
        </w:rPr>
        <w:t>平台软件产品按企业授权，一次购买无限期使用，并且满足《GB/T 17544-1998 信息技术软件包质量要求和测试》；</w:t>
      </w:r>
    </w:p>
    <w:p>
      <w:pPr>
        <w:spacing w:line="360" w:lineRule="auto"/>
        <w:rPr>
          <w:rFonts w:hint="eastAsia" w:hAnsi="宋体"/>
          <w:sz w:val="21"/>
          <w:szCs w:val="21"/>
          <w:highlight w:val="none"/>
          <w:lang w:val="en-US" w:eastAsia="zh-CN"/>
        </w:rPr>
      </w:pPr>
      <w:r>
        <w:rPr>
          <w:rFonts w:hint="eastAsia" w:hAnsi="宋体"/>
          <w:sz w:val="21"/>
          <w:szCs w:val="21"/>
          <w:lang w:val="en-US" w:eastAsia="zh-CN"/>
        </w:rPr>
        <w:t>△3.2.8管理平台可具有智能AI功能:可根据相关数据对电池健康进行评估，预测电池寿命，</w:t>
      </w:r>
      <w:r>
        <w:rPr>
          <w:rFonts w:hint="eastAsia" w:hAnsi="宋体"/>
          <w:sz w:val="21"/>
          <w:szCs w:val="21"/>
          <w:highlight w:val="none"/>
          <w:lang w:val="en-US" w:eastAsia="zh-CN"/>
        </w:rPr>
        <w:t>自动对系统自检，提示故障节点；</w:t>
      </w:r>
    </w:p>
    <w:p>
      <w:pPr>
        <w:spacing w:line="360" w:lineRule="auto"/>
        <w:rPr>
          <w:rFonts w:hint="eastAsia" w:hAnsi="宋体"/>
          <w:sz w:val="21"/>
          <w:szCs w:val="21"/>
          <w:highlight w:val="none"/>
          <w:lang w:val="en-US" w:eastAsia="zh-CN"/>
        </w:rPr>
      </w:pPr>
      <w:r>
        <w:rPr>
          <w:rFonts w:hint="eastAsia" w:hAnsi="宋体"/>
          <w:sz w:val="21"/>
          <w:szCs w:val="21"/>
          <w:highlight w:val="none"/>
          <w:lang w:val="en-US" w:eastAsia="zh-CN"/>
        </w:rPr>
        <w:t>*3.2.9管理平台软件必须兼容神华360服务器版病毒防治软件。</w:t>
      </w:r>
    </w:p>
    <w:p>
      <w:pPr>
        <w:pStyle w:val="39"/>
        <w:numPr>
          <w:ilvl w:val="0"/>
          <w:numId w:val="0"/>
        </w:numPr>
        <w:adjustRightInd w:val="0"/>
        <w:snapToGrid w:val="0"/>
        <w:spacing w:before="156" w:beforeLines="50" w:line="360" w:lineRule="auto"/>
        <w:rPr>
          <w:rFonts w:hint="eastAsia"/>
          <w:b/>
          <w:sz w:val="21"/>
          <w:szCs w:val="21"/>
          <w:highlight w:val="yellow"/>
          <w:lang w:val="en-US" w:eastAsia="zh-CN"/>
        </w:rPr>
      </w:pPr>
      <w:r>
        <w:rPr>
          <w:rFonts w:hint="eastAsia"/>
          <w:b/>
          <w:sz w:val="21"/>
          <w:szCs w:val="21"/>
          <w:lang w:eastAsia="zh-CN"/>
        </w:rPr>
        <w:t>（三）、</w:t>
      </w:r>
      <w:r>
        <w:rPr>
          <w:rFonts w:hint="eastAsia"/>
          <w:b/>
          <w:sz w:val="21"/>
          <w:szCs w:val="21"/>
          <w:highlight w:val="none"/>
          <w:lang w:eastAsia="zh-CN"/>
        </w:rPr>
        <w:t>服务器技术要求</w:t>
      </w:r>
    </w:p>
    <w:p>
      <w:pPr>
        <w:spacing w:line="360" w:lineRule="auto"/>
        <w:rPr>
          <w:rFonts w:hint="eastAsia" w:hAnsi="宋体"/>
          <w:sz w:val="21"/>
          <w:szCs w:val="21"/>
          <w:lang w:val="en-US" w:eastAsia="zh-CN"/>
        </w:rPr>
      </w:pPr>
      <w:r>
        <w:rPr>
          <w:rFonts w:hint="eastAsia" w:hAnsi="宋体"/>
          <w:sz w:val="21"/>
          <w:szCs w:val="21"/>
          <w:lang w:val="en-US" w:eastAsia="zh-CN"/>
        </w:rPr>
        <w:t>*3.3.1处理器配置：2.4GHz/10-core/25MB/90W(带散热器)；</w:t>
      </w:r>
    </w:p>
    <w:p>
      <w:pPr>
        <w:spacing w:line="360" w:lineRule="auto"/>
        <w:rPr>
          <w:rFonts w:hint="eastAsia" w:hAnsi="宋体"/>
          <w:sz w:val="21"/>
          <w:szCs w:val="21"/>
          <w:lang w:val="en-US" w:eastAsia="zh-CN"/>
        </w:rPr>
      </w:pPr>
      <w:r>
        <w:rPr>
          <w:rFonts w:hint="eastAsia" w:hAnsi="宋体"/>
          <w:sz w:val="21"/>
          <w:szCs w:val="21"/>
          <w:lang w:val="en-US" w:eastAsia="zh-CN"/>
        </w:rPr>
        <w:t>*3.3.2内存配置：DDR4 RDIMM 4条16G内存，最大支持内存：1.5TB；</w:t>
      </w:r>
    </w:p>
    <w:p>
      <w:pPr>
        <w:spacing w:line="360" w:lineRule="auto"/>
        <w:rPr>
          <w:rFonts w:hint="eastAsia" w:hAnsi="宋体"/>
          <w:sz w:val="21"/>
          <w:szCs w:val="21"/>
          <w:lang w:val="en-US" w:eastAsia="zh-CN"/>
        </w:rPr>
      </w:pPr>
      <w:r>
        <w:rPr>
          <w:rFonts w:hint="eastAsia" w:hAnsi="宋体"/>
          <w:sz w:val="21"/>
          <w:szCs w:val="21"/>
          <w:lang w:val="en-US" w:eastAsia="zh-CN"/>
        </w:rPr>
        <w:t>*3.3.3硬盘配置：6块600GB-SAS  12Gb/s 2.5英寸;</w:t>
      </w:r>
    </w:p>
    <w:p>
      <w:pPr>
        <w:spacing w:line="360" w:lineRule="auto"/>
        <w:rPr>
          <w:rFonts w:hint="eastAsia" w:hAnsi="宋体"/>
          <w:sz w:val="21"/>
          <w:szCs w:val="21"/>
          <w:lang w:val="en-US" w:eastAsia="zh-CN"/>
        </w:rPr>
      </w:pPr>
      <w:r>
        <w:rPr>
          <w:rFonts w:hint="eastAsia" w:hAnsi="宋体"/>
          <w:sz w:val="21"/>
          <w:szCs w:val="21"/>
          <w:lang w:val="en-US" w:eastAsia="zh-CN"/>
        </w:rPr>
        <w:t>*3.3.4RAID卡配置：</w:t>
      </w:r>
      <w:r>
        <w:rPr>
          <w:rFonts w:hint="eastAsia" w:ascii="宋体" w:hAnsi="宋体"/>
          <w:sz w:val="21"/>
          <w:szCs w:val="21"/>
          <w:highlight w:val="none"/>
        </w:rPr>
        <w:t>RAID数量</w:t>
      </w:r>
      <w:r>
        <w:rPr>
          <w:rFonts w:hint="eastAsia" w:ascii="宋体" w:hAnsi="宋体"/>
          <w:sz w:val="21"/>
          <w:szCs w:val="21"/>
          <w:highlight w:val="none"/>
          <w:lang w:val="en-US" w:eastAsia="zh-CN"/>
        </w:rPr>
        <w:t>1，</w:t>
      </w:r>
      <w:r>
        <w:rPr>
          <w:rFonts w:hint="eastAsia" w:hAnsi="宋体"/>
          <w:sz w:val="21"/>
          <w:szCs w:val="21"/>
          <w:lang w:val="en-US" w:eastAsia="zh-CN"/>
        </w:rPr>
        <w:t>支持RAID0、1、10、5、50、6等；</w:t>
      </w:r>
    </w:p>
    <w:p>
      <w:pPr>
        <w:spacing w:line="360" w:lineRule="auto"/>
        <w:rPr>
          <w:rFonts w:hint="eastAsia" w:hAnsi="宋体"/>
          <w:sz w:val="21"/>
          <w:szCs w:val="21"/>
          <w:lang w:val="en-US" w:eastAsia="zh-CN"/>
        </w:rPr>
      </w:pPr>
      <w:r>
        <w:rPr>
          <w:rFonts w:hint="eastAsia" w:hAnsi="宋体"/>
          <w:sz w:val="21"/>
          <w:szCs w:val="21"/>
          <w:lang w:val="en-US" w:eastAsia="zh-CN"/>
        </w:rPr>
        <w:t>*3.3.5风扇配置：4个8056风扇组件；2个460W 金牌交流电源模块；</w:t>
      </w:r>
    </w:p>
    <w:p>
      <w:pPr>
        <w:spacing w:line="360" w:lineRule="auto"/>
        <w:rPr>
          <w:rFonts w:hint="eastAsia" w:hAnsi="宋体"/>
          <w:sz w:val="21"/>
          <w:szCs w:val="21"/>
          <w:lang w:val="en-US" w:eastAsia="zh-CN"/>
        </w:rPr>
      </w:pPr>
      <w:r>
        <w:rPr>
          <w:rFonts w:hint="eastAsia" w:hAnsi="宋体"/>
          <w:sz w:val="21"/>
          <w:szCs w:val="21"/>
          <w:lang w:val="en-US" w:eastAsia="zh-CN"/>
        </w:rPr>
        <w:t>*3.3.6网卡配置：配置板载网卡-4xGE电口(I350)-RJ45，配置1块双口8GB光纤HBA卡，配齐光模块全激活；</w:t>
      </w:r>
    </w:p>
    <w:p>
      <w:pPr>
        <w:spacing w:line="360" w:lineRule="auto"/>
        <w:rPr>
          <w:rFonts w:hint="eastAsia" w:hAnsi="宋体"/>
          <w:sz w:val="21"/>
          <w:szCs w:val="21"/>
          <w:lang w:val="en-US" w:eastAsia="zh-CN"/>
        </w:rPr>
      </w:pPr>
      <w:r>
        <w:rPr>
          <w:rFonts w:hint="eastAsia" w:hAnsi="宋体"/>
          <w:sz w:val="21"/>
          <w:szCs w:val="21"/>
          <w:lang w:val="en-US" w:eastAsia="zh-CN"/>
        </w:rPr>
        <w:t>*3.3.7光驱配置：光驱-DVD-RW-CD 24X/DVD 8X-SATA 光驱模块；</w:t>
      </w:r>
    </w:p>
    <w:p>
      <w:pPr>
        <w:spacing w:line="360" w:lineRule="auto"/>
        <w:rPr>
          <w:rFonts w:hint="eastAsia" w:hAnsi="宋体"/>
          <w:sz w:val="21"/>
          <w:szCs w:val="21"/>
          <w:lang w:val="en-US" w:eastAsia="zh-CN"/>
        </w:rPr>
      </w:pPr>
      <w:r>
        <w:rPr>
          <w:rFonts w:hint="eastAsia" w:hAnsi="宋体"/>
          <w:sz w:val="21"/>
          <w:szCs w:val="21"/>
          <w:lang w:val="en-US" w:eastAsia="zh-CN"/>
        </w:rPr>
        <w:t>*3.3.8服务器操作系统和数据库软件需提供正版授权；</w:t>
      </w:r>
    </w:p>
    <w:p>
      <w:pPr>
        <w:spacing w:line="360" w:lineRule="auto"/>
        <w:rPr>
          <w:rFonts w:hint="eastAsia" w:hAnsi="宋体"/>
          <w:sz w:val="21"/>
          <w:szCs w:val="21"/>
          <w:lang w:val="en-US" w:eastAsia="zh-CN"/>
        </w:rPr>
      </w:pPr>
      <w:r>
        <w:rPr>
          <w:rFonts w:hint="eastAsia" w:hAnsi="宋体"/>
          <w:sz w:val="21"/>
          <w:szCs w:val="21"/>
          <w:lang w:val="en-US" w:eastAsia="zh-CN"/>
        </w:rPr>
        <w:t>*3.3.9服务器型号：国产知名品牌。</w:t>
      </w:r>
    </w:p>
    <w:p>
      <w:pPr>
        <w:numPr>
          <w:ilvl w:val="0"/>
          <w:numId w:val="3"/>
        </w:numPr>
        <w:spacing w:line="360" w:lineRule="auto"/>
        <w:rPr>
          <w:rFonts w:hint="eastAsia" w:hAnsi="宋体"/>
          <w:b/>
          <w:bCs/>
          <w:sz w:val="21"/>
          <w:szCs w:val="21"/>
          <w:lang w:val="en-US" w:eastAsia="zh-CN"/>
        </w:rPr>
      </w:pPr>
      <w:r>
        <w:rPr>
          <w:rFonts w:hint="eastAsia" w:hAnsi="宋体"/>
          <w:b/>
          <w:bCs/>
          <w:sz w:val="21"/>
          <w:szCs w:val="21"/>
          <w:lang w:val="en-US" w:eastAsia="zh-CN"/>
        </w:rPr>
        <w:t>其他要求</w:t>
      </w:r>
    </w:p>
    <w:p>
      <w:pPr>
        <w:numPr>
          <w:ilvl w:val="0"/>
          <w:numId w:val="0"/>
        </w:numPr>
        <w:spacing w:line="360" w:lineRule="auto"/>
        <w:rPr>
          <w:rFonts w:hint="eastAsia" w:hAnsi="宋体"/>
          <w:sz w:val="21"/>
          <w:szCs w:val="21"/>
          <w:lang w:val="en-US" w:eastAsia="zh-CN"/>
        </w:rPr>
      </w:pPr>
      <w:r>
        <w:rPr>
          <w:rFonts w:hint="eastAsia" w:hAnsi="宋体"/>
          <w:sz w:val="21"/>
          <w:szCs w:val="21"/>
          <w:lang w:val="en-US" w:eastAsia="zh-CN"/>
        </w:rPr>
        <w:t>*3.4.1项目产品供货及安装调试周期限定</w:t>
      </w:r>
      <w:r>
        <w:rPr>
          <w:rFonts w:hint="eastAsia" w:hAnsi="宋体"/>
          <w:color w:val="FF0000"/>
          <w:sz w:val="21"/>
          <w:szCs w:val="21"/>
          <w:lang w:val="en-US" w:eastAsia="zh-CN"/>
        </w:rPr>
        <w:t>4个月，</w:t>
      </w:r>
      <w:r>
        <w:rPr>
          <w:rFonts w:hint="eastAsia" w:hAnsi="宋体"/>
          <w:sz w:val="21"/>
          <w:szCs w:val="21"/>
          <w:lang w:val="en-US" w:eastAsia="zh-CN"/>
        </w:rPr>
        <w:t>从签订合同之日至上线试运行，并有不少于</w:t>
      </w:r>
      <w:r>
        <w:rPr>
          <w:rFonts w:hint="eastAsia" w:hAnsi="宋体"/>
          <w:color w:val="FF0000"/>
          <w:sz w:val="21"/>
          <w:szCs w:val="21"/>
          <w:lang w:val="en-US" w:eastAsia="zh-CN"/>
        </w:rPr>
        <w:t>1个月</w:t>
      </w:r>
      <w:r>
        <w:rPr>
          <w:rFonts w:hint="eastAsia" w:hAnsi="宋体"/>
          <w:sz w:val="21"/>
          <w:szCs w:val="21"/>
          <w:lang w:val="en-US" w:eastAsia="zh-CN"/>
        </w:rPr>
        <w:t>试运行期。</w:t>
      </w:r>
    </w:p>
    <w:p>
      <w:pPr>
        <w:spacing w:line="360" w:lineRule="auto"/>
        <w:rPr>
          <w:rFonts w:hint="eastAsia" w:hAnsi="宋体"/>
          <w:sz w:val="21"/>
          <w:szCs w:val="21"/>
          <w:lang w:val="en-US" w:eastAsia="zh-CN"/>
        </w:rPr>
      </w:pPr>
      <w:r>
        <w:rPr>
          <w:rFonts w:hint="eastAsia" w:hAnsi="宋体"/>
          <w:sz w:val="21"/>
          <w:szCs w:val="21"/>
          <w:lang w:val="en-US" w:eastAsia="zh-CN"/>
        </w:rPr>
        <w:t>*3.4.2项目现场安装调试期间要严格遵守甲方安全作业的相关规定，确保人员及设备安全，设备安装调试过程中作业人员人身安全责任由乙方承担。</w:t>
      </w:r>
    </w:p>
    <w:p>
      <w:pPr>
        <w:spacing w:line="360" w:lineRule="auto"/>
        <w:rPr>
          <w:rFonts w:hint="eastAsia" w:hAnsi="宋体"/>
          <w:sz w:val="21"/>
          <w:szCs w:val="21"/>
          <w:lang w:val="en-US" w:eastAsia="zh-CN"/>
        </w:rPr>
      </w:pPr>
      <w:r>
        <w:rPr>
          <w:rFonts w:hint="eastAsia" w:hAnsi="宋体"/>
          <w:sz w:val="21"/>
          <w:szCs w:val="21"/>
          <w:lang w:val="en-US" w:eastAsia="zh-CN"/>
        </w:rPr>
        <w:t>*3.4.3</w:t>
      </w:r>
      <w:r>
        <w:rPr>
          <w:rFonts w:hint="eastAsia" w:ascii="宋体" w:cs="Arial"/>
          <w:sz w:val="21"/>
          <w:szCs w:val="21"/>
          <w:lang w:eastAsia="zh-CN"/>
        </w:rPr>
        <w:t>乙方</w:t>
      </w:r>
      <w:r>
        <w:rPr>
          <w:rFonts w:hint="eastAsia" w:ascii="宋体" w:cs="Arial"/>
          <w:sz w:val="21"/>
          <w:szCs w:val="21"/>
        </w:rPr>
        <w:t>应承诺所有应用的软件</w:t>
      </w:r>
      <w:r>
        <w:rPr>
          <w:rFonts w:hint="eastAsia" w:ascii="宋体" w:cs="Arial"/>
          <w:sz w:val="21"/>
          <w:szCs w:val="21"/>
          <w:lang w:eastAsia="zh-CN"/>
        </w:rPr>
        <w:t>、</w:t>
      </w:r>
      <w:r>
        <w:rPr>
          <w:rFonts w:hint="eastAsia" w:ascii="宋体" w:cs="Arial"/>
          <w:sz w:val="21"/>
          <w:szCs w:val="21"/>
        </w:rPr>
        <w:t>操作系统</w:t>
      </w:r>
      <w:r>
        <w:rPr>
          <w:rFonts w:hint="eastAsia" w:ascii="宋体" w:cs="Arial"/>
          <w:sz w:val="21"/>
          <w:szCs w:val="21"/>
          <w:lang w:eastAsia="zh-CN"/>
        </w:rPr>
        <w:t>等</w:t>
      </w:r>
      <w:r>
        <w:rPr>
          <w:rFonts w:hint="eastAsia" w:ascii="宋体" w:cs="Arial"/>
          <w:sz w:val="21"/>
          <w:szCs w:val="21"/>
        </w:rPr>
        <w:t>均是正版并具备合法授权，神东煤炭集团独立享有所购置系统的软、硬件的合法产权</w:t>
      </w:r>
      <w:r>
        <w:rPr>
          <w:rFonts w:hint="eastAsia" w:hAnsi="宋体"/>
          <w:sz w:val="21"/>
          <w:szCs w:val="21"/>
          <w:lang w:val="en-US" w:eastAsia="zh-CN"/>
        </w:rPr>
        <w:t>。</w:t>
      </w:r>
    </w:p>
    <w:p>
      <w:pPr>
        <w:numPr>
          <w:ilvl w:val="0"/>
          <w:numId w:val="0"/>
        </w:numPr>
        <w:spacing w:line="360" w:lineRule="auto"/>
        <w:rPr>
          <w:rFonts w:hint="eastAsia" w:ascii="宋体" w:cs="Arial"/>
          <w:sz w:val="21"/>
          <w:szCs w:val="21"/>
          <w:lang w:val="en-US" w:eastAsia="zh-CN"/>
        </w:rPr>
      </w:pPr>
      <w:r>
        <w:rPr>
          <w:rFonts w:hint="eastAsia" w:ascii="宋体" w:cs="Arial"/>
          <w:sz w:val="21"/>
          <w:szCs w:val="21"/>
          <w:lang w:val="en-US" w:eastAsia="zh-CN"/>
        </w:rPr>
        <w:t>*3.4.4 系统数据、用户信息等未经甲方许可，乙方不得私自读取，或发送第三方。</w:t>
      </w:r>
    </w:p>
    <w:p>
      <w:pPr>
        <w:pStyle w:val="38"/>
        <w:numPr>
          <w:ilvl w:val="0"/>
          <w:numId w:val="0"/>
        </w:numPr>
        <w:tabs>
          <w:tab w:val="left" w:pos="993"/>
        </w:tabs>
        <w:spacing w:line="360" w:lineRule="auto"/>
        <w:rPr>
          <w:rFonts w:ascii="宋体" w:hAnsi="宋体"/>
          <w:color w:val="000000"/>
          <w:spacing w:val="-5"/>
          <w:kern w:val="0"/>
          <w:sz w:val="24"/>
          <w:highlight w:val="none"/>
        </w:rPr>
      </w:pPr>
      <w:r>
        <w:rPr>
          <w:rFonts w:hint="eastAsia" w:ascii="宋体" w:cs="Arial"/>
          <w:sz w:val="21"/>
          <w:szCs w:val="21"/>
          <w:lang w:val="en-US" w:eastAsia="zh-CN"/>
        </w:rPr>
        <w:t>*3.4.5项</w:t>
      </w:r>
      <w:r>
        <w:rPr>
          <w:rFonts w:hint="eastAsia" w:hAnsi="宋体"/>
          <w:sz w:val="21"/>
          <w:szCs w:val="21"/>
          <w:lang w:val="en-US" w:eastAsia="zh-CN"/>
        </w:rPr>
        <w:t>目验收需提供纸质版和电子版《补连塔矿后备电源管理系统安装、使用、保养、维修手册》、《管理文档》；</w:t>
      </w:r>
      <w:r>
        <w:rPr>
          <w:rFonts w:ascii="宋体" w:hAnsi="宋体" w:eastAsia="宋体" w:cs="宋体"/>
          <w:sz w:val="21"/>
          <w:szCs w:val="21"/>
        </w:rPr>
        <w:br w:type="textWrapping"/>
      </w:r>
      <w:r>
        <w:rPr>
          <w:rFonts w:hint="eastAsia" w:ascii="宋体" w:cs="Arial"/>
          <w:sz w:val="21"/>
          <w:szCs w:val="21"/>
          <w:highlight w:val="magenta"/>
          <w:lang w:val="en-US" w:eastAsia="zh-CN"/>
        </w:rPr>
        <w:t>*3.4.6</w:t>
      </w:r>
      <w:r>
        <w:rPr>
          <w:rFonts w:hint="eastAsia" w:hAnsi="宋体"/>
          <w:sz w:val="21"/>
          <w:szCs w:val="21"/>
          <w:highlight w:val="magenta"/>
          <w:lang w:val="en-US" w:eastAsia="zh-CN"/>
        </w:rPr>
        <w:t>中标方撰写形成一份《研究报告》和《应用示范报告》；</w:t>
      </w:r>
      <w:r>
        <w:rPr>
          <w:rFonts w:hint="eastAsia" w:hAnsi="宋体"/>
          <w:sz w:val="21"/>
          <w:szCs w:val="21"/>
          <w:lang w:val="en-US" w:eastAsia="zh-CN"/>
        </w:rPr>
        <w:br w:type="textWrapping"/>
      </w:r>
      <w:r>
        <w:rPr>
          <w:rFonts w:hint="eastAsia" w:ascii="宋体" w:cs="Arial"/>
          <w:sz w:val="21"/>
          <w:szCs w:val="21"/>
          <w:lang w:val="en-US" w:eastAsia="zh-CN"/>
        </w:rPr>
        <w:t>*3.4.7</w:t>
      </w:r>
      <w:r>
        <w:rPr>
          <w:rFonts w:hint="eastAsia" w:hAnsi="宋体"/>
          <w:sz w:val="21"/>
          <w:szCs w:val="21"/>
          <w:lang w:val="en-US" w:eastAsia="zh-CN"/>
        </w:rPr>
        <w:t>中标方负责现场指导、培训使用该系统；</w:t>
      </w:r>
      <w:r>
        <w:rPr>
          <w:rFonts w:hint="eastAsia" w:hAnsi="宋体"/>
          <w:sz w:val="21"/>
          <w:szCs w:val="21"/>
          <w:lang w:val="en-US" w:eastAsia="zh-CN"/>
        </w:rPr>
        <w:br w:type="textWrapping"/>
      </w:r>
      <w:r>
        <w:rPr>
          <w:rFonts w:hint="eastAsia" w:ascii="宋体" w:cs="Arial"/>
          <w:sz w:val="21"/>
          <w:szCs w:val="21"/>
          <w:lang w:val="en-US" w:eastAsia="zh-CN"/>
        </w:rPr>
        <w:t>*3.4.9</w:t>
      </w:r>
      <w:r>
        <w:rPr>
          <w:rFonts w:hint="eastAsia" w:hAnsi="宋体"/>
          <w:sz w:val="21"/>
          <w:szCs w:val="21"/>
          <w:lang w:val="en-US" w:eastAsia="zh-CN"/>
        </w:rPr>
        <w:t>产品生产制造完成后，运输至神东公司指定地点完成安装调试，方可提交到货验收申请。</w:t>
      </w:r>
    </w:p>
    <w:p>
      <w:pPr>
        <w:pStyle w:val="38"/>
        <w:numPr>
          <w:ilvl w:val="0"/>
          <w:numId w:val="0"/>
        </w:numPr>
        <w:tabs>
          <w:tab w:val="left" w:pos="993"/>
        </w:tabs>
        <w:spacing w:line="360" w:lineRule="auto"/>
        <w:rPr>
          <w:rFonts w:ascii="宋体" w:hAnsi="宋体"/>
          <w:color w:val="000000"/>
          <w:spacing w:val="-5"/>
          <w:kern w:val="0"/>
          <w:sz w:val="24"/>
          <w:highlight w:val="magenta"/>
        </w:rPr>
      </w:pPr>
      <w:r>
        <w:rPr>
          <w:rFonts w:hint="eastAsia" w:ascii="宋体" w:cs="Arial"/>
          <w:sz w:val="21"/>
          <w:szCs w:val="21"/>
          <w:highlight w:val="magenta"/>
          <w:lang w:val="en-US" w:eastAsia="zh-CN"/>
        </w:rPr>
        <w:t>*3.4.10</w:t>
      </w:r>
      <w:r>
        <w:rPr>
          <w:rFonts w:hint="eastAsia" w:ascii="宋体" w:hAnsi="宋体"/>
          <w:color w:val="000000"/>
          <w:spacing w:val="-5"/>
          <w:kern w:val="0"/>
          <w:sz w:val="24"/>
          <w:highlight w:val="magenta"/>
        </w:rPr>
        <w:t>本项目设施购置为“交钥匙工程”，中标单位需完成整个项目的采购、施工、安装、调试及验收工作。质保期从验收合格之日起，一年内设备出现质量问题中标单位应免费维修、更换有问题的设备。</w:t>
      </w:r>
    </w:p>
    <w:p>
      <w:pPr>
        <w:pStyle w:val="38"/>
        <w:numPr>
          <w:ilvl w:val="0"/>
          <w:numId w:val="0"/>
        </w:numPr>
        <w:tabs>
          <w:tab w:val="left" w:pos="993"/>
        </w:tabs>
        <w:spacing w:line="360" w:lineRule="auto"/>
        <w:rPr>
          <w:rFonts w:ascii="宋体" w:hAnsi="宋体"/>
          <w:color w:val="000000"/>
          <w:spacing w:val="-5"/>
          <w:kern w:val="0"/>
          <w:sz w:val="24"/>
          <w:highlight w:val="none"/>
        </w:rPr>
      </w:pPr>
      <w:r>
        <w:rPr>
          <w:rFonts w:hint="eastAsia" w:ascii="宋体" w:cs="Arial"/>
          <w:sz w:val="21"/>
          <w:szCs w:val="21"/>
          <w:lang w:val="en-US" w:eastAsia="zh-CN"/>
        </w:rPr>
        <w:t>*3.4.11</w:t>
      </w:r>
      <w:r>
        <w:rPr>
          <w:rFonts w:hint="eastAsia" w:ascii="宋体" w:hAnsi="宋体"/>
          <w:sz w:val="24"/>
          <w:highlight w:val="none"/>
        </w:rPr>
        <w:t>投标报价包括：设备费、材料费、辅件及辅材、安装调试费、运费、增值税、人员培训费等。要求投标方按照以上费用列表分项单独进行报价（未列事项，视为总报价已包含）。</w:t>
      </w:r>
    </w:p>
    <w:p>
      <w:pPr>
        <w:numPr>
          <w:ilvl w:val="0"/>
          <w:numId w:val="0"/>
        </w:numPr>
        <w:spacing w:line="360" w:lineRule="auto"/>
        <w:rPr>
          <w:rFonts w:hint="eastAsia" w:ascii="宋体" w:cs="Arial"/>
          <w:sz w:val="21"/>
          <w:szCs w:val="21"/>
          <w:lang w:val="en-US" w:eastAsia="zh-CN"/>
        </w:rPr>
      </w:pPr>
    </w:p>
    <w:p>
      <w:pPr>
        <w:pStyle w:val="40"/>
        <w:jc w:val="center"/>
      </w:pPr>
      <w:bookmarkStart w:id="3" w:name="_Toc357086143"/>
      <w:r>
        <w:rPr>
          <w:rFonts w:hint="eastAsia"/>
        </w:rPr>
        <w:t>第二节</w:t>
      </w:r>
      <w:r>
        <w:rPr>
          <w:rFonts w:hint="eastAsia"/>
          <w:lang w:val="en-US" w:eastAsia="zh-CN"/>
        </w:rPr>
        <w:t xml:space="preserve"> </w:t>
      </w:r>
      <w:r>
        <w:rPr>
          <w:rFonts w:hint="eastAsia"/>
        </w:rPr>
        <w:t>备件和工具</w:t>
      </w:r>
      <w:bookmarkEnd w:id="3"/>
    </w:p>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w:t>
      </w:r>
      <w:r>
        <w:rPr>
          <w:rFonts w:hint="eastAsia" w:ascii="宋体" w:hAnsi="宋体"/>
          <w:szCs w:val="21"/>
          <w:lang w:eastAsia="zh-CN"/>
        </w:rPr>
        <w:t>设备或软件</w:t>
      </w:r>
      <w:r>
        <w:rPr>
          <w:rFonts w:hint="eastAsia" w:ascii="宋体" w:hAnsi="宋体"/>
          <w:szCs w:val="21"/>
        </w:rPr>
        <w:t>不能提供时，中标人要免费为用户升级。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r>
        <w:rPr>
          <w:rFonts w:hint="eastAsia" w:ascii="宋体" w:hAnsi="宋体"/>
          <w:szCs w:val="21"/>
          <w:lang w:eastAsia="zh-CN"/>
        </w:rPr>
        <w:t>等技术资料</w:t>
      </w:r>
      <w:r>
        <w:rPr>
          <w:rFonts w:hint="eastAsia" w:ascii="宋体" w:hAnsi="宋体"/>
          <w:szCs w:val="21"/>
        </w:rPr>
        <w:t>。</w:t>
      </w:r>
    </w:p>
    <w:p>
      <w:pPr>
        <w:pStyle w:val="11"/>
        <w:adjustRightInd w:val="0"/>
        <w:snapToGrid w:val="0"/>
        <w:spacing w:beforeLines="50"/>
        <w:rPr>
          <w:rFonts w:ascii="宋体" w:hAnsi="宋体"/>
          <w:szCs w:val="21"/>
        </w:rPr>
      </w:pPr>
    </w:p>
    <w:p>
      <w:pPr>
        <w:pStyle w:val="40"/>
      </w:pPr>
      <w:r>
        <w:rPr>
          <w:rFonts w:hint="eastAsia" w:ascii="宋体" w:hAnsi="宋体"/>
          <w:szCs w:val="21"/>
        </w:rPr>
        <w:br w:type="page"/>
      </w:r>
    </w:p>
    <w:p>
      <w:pPr>
        <w:pStyle w:val="40"/>
        <w:jc w:val="center"/>
      </w:pPr>
      <w:bookmarkStart w:id="4" w:name="_Toc357086144"/>
      <w:r>
        <w:rPr>
          <w:rFonts w:hint="eastAsia"/>
        </w:rPr>
        <w:t>第三节</w:t>
      </w:r>
      <w:r>
        <w:rPr>
          <w:rFonts w:hint="eastAsia"/>
          <w:lang w:val="en-US" w:eastAsia="zh-CN"/>
        </w:rPr>
        <w:t xml:space="preserve"> </w:t>
      </w:r>
      <w:r>
        <w:rPr>
          <w:rFonts w:hint="eastAsia"/>
        </w:rPr>
        <w:t>设备出厂前检验</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11"/>
        <w:adjustRightInd w:val="0"/>
        <w:snapToGrid w:val="0"/>
        <w:rPr>
          <w:rFonts w:ascii="宋体" w:hAnsi="宋体"/>
          <w:szCs w:val="21"/>
        </w:rPr>
      </w:pPr>
    </w:p>
    <w:p>
      <w:pPr>
        <w:pStyle w:val="40"/>
        <w:jc w:val="center"/>
      </w:pPr>
      <w:r>
        <w:rPr>
          <w:rFonts w:hint="eastAsia" w:ascii="宋体" w:hAnsi="宋体"/>
          <w:szCs w:val="21"/>
        </w:rPr>
        <w:br w:type="page"/>
      </w:r>
      <w:bookmarkStart w:id="5" w:name="_Toc357086145"/>
      <w:r>
        <w:rPr>
          <w:rFonts w:hint="eastAsia"/>
        </w:rPr>
        <w:t>第四节</w:t>
      </w:r>
      <w:r>
        <w:rPr>
          <w:rFonts w:hint="eastAsia"/>
          <w:lang w:val="en-US" w:eastAsia="zh-CN"/>
        </w:rPr>
        <w:t xml:space="preserve"> </w:t>
      </w:r>
      <w:r>
        <w:rPr>
          <w:rFonts w:hint="eastAsia"/>
        </w:rPr>
        <w:t>技术服务</w:t>
      </w:r>
      <w:bookmarkEnd w:id="5"/>
    </w:p>
    <w:p>
      <w:pPr>
        <w:adjustRightInd w:val="0"/>
        <w:snapToGrid w:val="0"/>
        <w:spacing w:line="360" w:lineRule="auto"/>
        <w:jc w:val="center"/>
        <w:rPr>
          <w:rFonts w:ascii="宋体" w:hAnsi="宋体"/>
          <w:szCs w:val="21"/>
        </w:rPr>
      </w:pPr>
    </w:p>
    <w:p>
      <w:pPr>
        <w:numPr>
          <w:ilvl w:val="0"/>
          <w:numId w:val="4"/>
        </w:numPr>
        <w:adjustRightInd w:val="0"/>
        <w:snapToGrid w:val="0"/>
        <w:spacing w:beforeLines="50" w:line="360" w:lineRule="auto"/>
        <w:ind w:left="315" w:hanging="315" w:hangingChars="150"/>
        <w:rPr>
          <w:rFonts w:hint="eastAsia" w:ascii="宋体" w:hAnsi="宋体"/>
          <w:szCs w:val="21"/>
        </w:rPr>
      </w:pPr>
      <w:r>
        <w:rPr>
          <w:rFonts w:hint="eastAsia" w:ascii="宋体" w:hAnsi="宋体"/>
          <w:szCs w:val="21"/>
        </w:rPr>
        <w:t>中标人将派出有技术、有能力胜任的</w:t>
      </w:r>
      <w:r>
        <w:rPr>
          <w:rFonts w:hint="eastAsia" w:ascii="宋体" w:hAnsi="宋体"/>
          <w:szCs w:val="21"/>
          <w:lang w:eastAsia="zh-CN"/>
        </w:rPr>
        <w:t>安装与</w:t>
      </w:r>
      <w:r>
        <w:rPr>
          <w:rFonts w:hint="eastAsia" w:ascii="宋体" w:hAnsi="宋体"/>
          <w:szCs w:val="21"/>
        </w:rPr>
        <w:t>服务</w:t>
      </w:r>
      <w:r>
        <w:rPr>
          <w:rFonts w:hint="eastAsia" w:ascii="宋体" w:hAnsi="宋体"/>
          <w:szCs w:val="21"/>
          <w:lang w:eastAsia="zh-CN"/>
        </w:rPr>
        <w:t>人员</w:t>
      </w:r>
      <w:r>
        <w:rPr>
          <w:rFonts w:hint="eastAsia" w:ascii="宋体" w:hAnsi="宋体"/>
          <w:szCs w:val="21"/>
        </w:rPr>
        <w:t>到现场，提供有关安装、调试、测试、维修及现场培训维修人员的服务。中标人服务的主要责任与任务如下：</w:t>
      </w:r>
    </w:p>
    <w:p>
      <w:pPr>
        <w:adjustRightInd w:val="0"/>
        <w:snapToGrid w:val="0"/>
        <w:spacing w:beforeLines="50" w:line="360" w:lineRule="auto"/>
        <w:ind w:firstLine="525"/>
        <w:rPr>
          <w:rFonts w:hint="eastAsia" w:ascii="宋体" w:hAnsi="宋体"/>
          <w:szCs w:val="21"/>
        </w:rPr>
      </w:pPr>
      <w:r>
        <w:rPr>
          <w:rFonts w:hint="eastAsia" w:ascii="宋体" w:hAnsi="宋体"/>
          <w:szCs w:val="21"/>
        </w:rPr>
        <w:t>——给招标人提供完整的技术</w:t>
      </w:r>
      <w:r>
        <w:rPr>
          <w:rFonts w:hint="eastAsia" w:ascii="宋体" w:hAnsi="宋体"/>
          <w:szCs w:val="21"/>
          <w:lang w:eastAsia="zh-CN"/>
        </w:rPr>
        <w:t>资料</w:t>
      </w:r>
      <w:r>
        <w:rPr>
          <w:rFonts w:hint="eastAsia" w:ascii="宋体" w:hAnsi="宋体"/>
          <w:szCs w:val="21"/>
        </w:rPr>
        <w:t>。</w:t>
      </w:r>
    </w:p>
    <w:p>
      <w:pPr>
        <w:adjustRightInd w:val="0"/>
        <w:snapToGrid w:val="0"/>
        <w:spacing w:beforeLines="50" w:line="360" w:lineRule="auto"/>
        <w:ind w:firstLine="525"/>
        <w:rPr>
          <w:rFonts w:hint="eastAsia" w:ascii="宋体" w:hAnsi="宋体" w:eastAsia="宋体"/>
          <w:szCs w:val="21"/>
          <w:lang w:val="en-US" w:eastAsia="zh-CN"/>
        </w:rPr>
      </w:pPr>
      <w:r>
        <w:rPr>
          <w:rFonts w:hint="eastAsia" w:ascii="宋体" w:hAnsi="宋体"/>
          <w:szCs w:val="21"/>
          <w:lang w:val="en-US" w:eastAsia="zh-CN"/>
        </w:rPr>
        <w:t>——根据招标人的需求，提供设备安装、调试服务。</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r>
        <w:rPr>
          <w:rFonts w:hint="eastAsia" w:ascii="宋体" w:hAnsi="宋体"/>
          <w:szCs w:val="21"/>
          <w:lang w:eastAsia="zh-CN"/>
        </w:rPr>
        <w:t>在安装过程中，招标人人员跟随施工并进行学习。</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40"/>
        <w:jc w:val="center"/>
      </w:pPr>
      <w:r>
        <w:rPr>
          <w:rFonts w:hint="eastAsia" w:ascii="宋体" w:hAnsi="宋体"/>
          <w:szCs w:val="21"/>
        </w:rPr>
        <w:br w:type="page"/>
      </w:r>
      <w:bookmarkStart w:id="6" w:name="_Toc357086146"/>
      <w:r>
        <w:rPr>
          <w:rFonts w:hint="eastAsia"/>
        </w:rPr>
        <w:t>第五节</w:t>
      </w:r>
      <w:r>
        <w:rPr>
          <w:rFonts w:hint="eastAsia"/>
          <w:lang w:val="en-US" w:eastAsia="zh-CN"/>
        </w:rPr>
        <w:t xml:space="preserve"> </w:t>
      </w:r>
      <w:r>
        <w:rPr>
          <w:rFonts w:hint="eastAsia"/>
        </w:rPr>
        <w:t>安装、检验、调试、试运行及验收</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安装：意为</w:t>
      </w:r>
      <w:r>
        <w:rPr>
          <w:rFonts w:hint="eastAsia" w:ascii="宋体" w:hAnsi="宋体"/>
          <w:szCs w:val="21"/>
          <w:lang w:eastAsia="zh-CN"/>
        </w:rPr>
        <w:t>中标</w:t>
      </w:r>
      <w:r>
        <w:rPr>
          <w:rFonts w:hint="eastAsia" w:ascii="宋体" w:hAnsi="宋体"/>
          <w:szCs w:val="21"/>
        </w:rPr>
        <w:t>人安装人员将整套设备或一个系统安装起来。</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ascii="宋体" w:hAnsi="宋体"/>
          <w:szCs w:val="21"/>
        </w:rPr>
      </w:pPr>
    </w:p>
    <w:p>
      <w:pPr>
        <w:pStyle w:val="40"/>
        <w:jc w:val="center"/>
      </w:pPr>
      <w:r>
        <w:rPr>
          <w:rFonts w:hint="eastAsia" w:ascii="宋体" w:hAnsi="宋体"/>
          <w:szCs w:val="21"/>
        </w:rPr>
        <w:br w:type="page"/>
      </w:r>
      <w:bookmarkStart w:id="7" w:name="_Toc357086147"/>
      <w:r>
        <w:rPr>
          <w:rFonts w:hint="eastAsia"/>
        </w:rPr>
        <w:t>第六节</w:t>
      </w:r>
      <w:r>
        <w:rPr>
          <w:rFonts w:hint="eastAsia"/>
          <w:lang w:val="en-US" w:eastAsia="zh-CN"/>
        </w:rPr>
        <w:t xml:space="preserve"> </w:t>
      </w:r>
      <w:r>
        <w:rPr>
          <w:rFonts w:hint="eastAsia"/>
        </w:rPr>
        <w:t>质量保证</w:t>
      </w:r>
      <w:bookmarkEnd w:id="7"/>
    </w:p>
    <w:p>
      <w:pPr>
        <w:adjustRightInd w:val="0"/>
        <w:snapToGrid w:val="0"/>
        <w:spacing w:line="360" w:lineRule="auto"/>
        <w:jc w:val="center"/>
        <w:rPr>
          <w:rFonts w:ascii="宋体" w:hAnsi="宋体"/>
          <w:szCs w:val="21"/>
        </w:rPr>
      </w:pPr>
    </w:p>
    <w:p>
      <w:pPr>
        <w:spacing w:after="120" w:line="500" w:lineRule="exact"/>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r>
        <w:rPr>
          <w:rFonts w:hint="eastAsia" w:ascii="宋体" w:hAnsi="宋体"/>
          <w:bCs/>
          <w:color w:val="000000"/>
          <w:szCs w:val="21"/>
        </w:rPr>
        <w:t>此产品必须全国联保，实行三包服务。</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38"/>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40"/>
        <w:jc w:val="center"/>
      </w:pPr>
      <w:r>
        <w:rPr>
          <w:rFonts w:hint="eastAsia" w:ascii="宋体" w:hAnsi="宋体"/>
          <w:szCs w:val="21"/>
        </w:rPr>
        <w:br w:type="page"/>
      </w:r>
      <w:bookmarkStart w:id="8" w:name="_Toc357086148"/>
      <w:r>
        <w:rPr>
          <w:rFonts w:hint="eastAsia"/>
        </w:rPr>
        <w:t>第七节</w:t>
      </w:r>
      <w:r>
        <w:rPr>
          <w:rFonts w:hint="eastAsia"/>
          <w:lang w:val="en-US" w:eastAsia="zh-CN"/>
        </w:rPr>
        <w:t xml:space="preserve"> </w:t>
      </w:r>
      <w:r>
        <w:rPr>
          <w:rFonts w:hint="eastAsia"/>
        </w:rPr>
        <w:t>技术资料和图纸</w:t>
      </w:r>
      <w:bookmarkEnd w:id="8"/>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w:t>
      </w:r>
      <w:r>
        <w:rPr>
          <w:rFonts w:hint="eastAsia" w:ascii="宋体" w:hAnsi="宋体"/>
          <w:color w:val="auto"/>
          <w:szCs w:val="21"/>
        </w:rPr>
        <w:t>备提供</w:t>
      </w:r>
      <w:r>
        <w:rPr>
          <w:rFonts w:hint="eastAsia" w:ascii="宋体" w:hAnsi="宋体"/>
          <w:color w:val="auto"/>
          <w:szCs w:val="21"/>
          <w:u w:val="single"/>
        </w:rPr>
        <w:t>6</w:t>
      </w:r>
      <w:r>
        <w:rPr>
          <w:rFonts w:hint="eastAsia" w:ascii="宋体" w:hAnsi="宋体"/>
          <w:color w:val="auto"/>
          <w:szCs w:val="21"/>
        </w:rPr>
        <w:t>份技术文件和图纸的副本。其中两份副本包括1份光盘文件将在设备发货前的14天，以特快专递方式</w:t>
      </w:r>
      <w:r>
        <w:rPr>
          <w:rFonts w:hint="eastAsia" w:ascii="宋体" w:hAnsi="宋体"/>
          <w:szCs w:val="21"/>
        </w:rPr>
        <w:t>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全部机电图纸、材料清册、所有设备、元件、部件型号、规格、产品检验合格证及出厂日期。</w:t>
      </w:r>
    </w:p>
    <w:p>
      <w:pPr>
        <w:adjustRightInd w:val="0"/>
        <w:snapToGrid w:val="0"/>
        <w:spacing w:beforeLines="50" w:line="360" w:lineRule="auto"/>
        <w:ind w:left="283" w:hanging="283" w:hangingChars="135"/>
        <w:rPr>
          <w:rFonts w:hint="eastAsia"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Lines="50" w:line="360" w:lineRule="auto"/>
        <w:rPr>
          <w:rFonts w:ascii="宋体" w:hAnsi="宋体"/>
          <w:sz w:val="24"/>
          <w:szCs w:val="24"/>
        </w:rPr>
      </w:pPr>
      <w:r>
        <w:rPr>
          <w:rFonts w:hint="eastAsia" w:ascii="宋体" w:hAnsi="宋体"/>
          <w:szCs w:val="21"/>
        </w:rPr>
        <w:br w:type="page"/>
      </w:r>
    </w:p>
    <w:bookmarkEnd w:id="0"/>
    <w:p>
      <w:pPr>
        <w:pStyle w:val="3"/>
        <w:numPr>
          <w:ilvl w:val="1"/>
          <w:numId w:val="0"/>
        </w:numPr>
        <w:adjustRightInd/>
        <w:spacing w:line="415" w:lineRule="auto"/>
        <w:jc w:val="center"/>
        <w:textAlignment w:val="auto"/>
        <w:rPr>
          <w:rFonts w:hint="eastAsia" w:ascii="Times New Roman" w:hAnsi="Times New Roman" w:eastAsia="宋体" w:cs="Times New Roman"/>
          <w:b/>
          <w:kern w:val="44"/>
          <w:sz w:val="36"/>
          <w:szCs w:val="20"/>
          <w:lang w:val="en-US" w:eastAsia="zh-CN" w:bidi="ar-SA"/>
        </w:rPr>
      </w:pPr>
      <w:bookmarkStart w:id="9" w:name="_Toc15622920"/>
      <w:bookmarkStart w:id="10" w:name="_Toc281475914"/>
      <w:r>
        <w:rPr>
          <w:rFonts w:hint="eastAsia" w:ascii="Times New Roman" w:hAnsi="Times New Roman" w:eastAsia="宋体" w:cs="Times New Roman"/>
          <w:b/>
          <w:kern w:val="44"/>
          <w:sz w:val="36"/>
          <w:szCs w:val="20"/>
          <w:lang w:val="en-US" w:eastAsia="zh-CN" w:bidi="ar-SA"/>
        </w:rPr>
        <w:t>投标要求</w:t>
      </w:r>
    </w:p>
    <w:p>
      <w:pPr>
        <w:pStyle w:val="3"/>
        <w:pageBreakBefore w:val="0"/>
        <w:numPr>
          <w:ilvl w:val="1"/>
          <w:numId w:val="0"/>
        </w:numPr>
        <w:kinsoku/>
        <w:wordWrap/>
        <w:overflowPunct/>
        <w:topLinePunct w:val="0"/>
        <w:autoSpaceDE/>
        <w:autoSpaceDN/>
        <w:bidi w:val="0"/>
        <w:adjustRightInd/>
        <w:snapToGrid/>
        <w:spacing w:before="0" w:after="0" w:line="430" w:lineRule="exact"/>
        <w:ind w:right="0" w:rightChars="0"/>
        <w:jc w:val="both"/>
        <w:textAlignment w:val="auto"/>
        <w:rPr>
          <w:color w:val="auto"/>
        </w:rPr>
      </w:pPr>
      <w:r>
        <w:rPr>
          <w:color w:val="auto"/>
        </w:rPr>
        <w:t>1</w:t>
      </w:r>
      <w:r>
        <w:rPr>
          <w:rFonts w:hint="eastAsia"/>
          <w:color w:val="auto"/>
        </w:rPr>
        <w:t>概述</w:t>
      </w:r>
      <w:bookmarkEnd w:id="9"/>
    </w:p>
    <w:p>
      <w:pPr>
        <w:pageBreakBefore w:val="0"/>
        <w:kinsoku/>
        <w:wordWrap/>
        <w:overflowPunct/>
        <w:topLinePunct w:val="0"/>
        <w:autoSpaceDE/>
        <w:autoSpaceDN/>
        <w:bidi w:val="0"/>
        <w:adjustRightInd/>
        <w:snapToGrid/>
        <w:spacing w:line="430" w:lineRule="exact"/>
        <w:ind w:left="0" w:leftChars="0" w:right="0" w:rightChars="0" w:firstLine="420" w:firstLineChars="200"/>
        <w:textAlignment w:val="auto"/>
        <w:rPr>
          <w:rFonts w:hint="eastAsia" w:ascii="Calibri" w:hAnsi="宋体"/>
          <w:szCs w:val="21"/>
        </w:rPr>
      </w:pPr>
      <w:r>
        <w:rPr>
          <w:rFonts w:hint="eastAsia" w:ascii="Calibri" w:hAnsi="宋体"/>
          <w:szCs w:val="21"/>
        </w:rPr>
        <w:t>为了保证矿用电气产品</w:t>
      </w:r>
      <w:r>
        <w:rPr>
          <w:rFonts w:ascii="Calibri" w:hAnsi="宋体"/>
          <w:szCs w:val="21"/>
        </w:rPr>
        <w:t>在</w:t>
      </w:r>
      <w:r>
        <w:rPr>
          <w:rFonts w:hint="eastAsia" w:ascii="Calibri" w:hAnsi="宋体"/>
          <w:szCs w:val="21"/>
        </w:rPr>
        <w:t>井下使用的可靠性，部分自动化控制系统和信息化系统配备了后备电源，如：安全监测系统、人员定位系统、无线通信系统、工业环网系统、皮带自动化系统、自动化控制器等。但是这些系统使用的后备电源智能化程度低，绝大部分电源无信息采集、通讯的功能，无法远程监控管理。为了</w:t>
      </w:r>
      <w:r>
        <w:rPr>
          <w:rFonts w:hint="eastAsia" w:ascii="Calibri" w:hAnsi="宋体"/>
          <w:szCs w:val="21"/>
          <w:lang w:eastAsia="zh-CN"/>
        </w:rPr>
        <w:t>解决上述问题，并</w:t>
      </w:r>
      <w:r>
        <w:rPr>
          <w:rFonts w:hint="eastAsia" w:ascii="Calibri" w:hAnsi="宋体"/>
          <w:szCs w:val="21"/>
        </w:rPr>
        <w:t>方便用户了对后备电源的日常维护管理，</w:t>
      </w:r>
      <w:r>
        <w:rPr>
          <w:rFonts w:hint="eastAsia" w:ascii="Calibri" w:hAnsi="宋体"/>
          <w:szCs w:val="21"/>
          <w:lang w:eastAsia="zh-CN"/>
        </w:rPr>
        <w:t>计划</w:t>
      </w:r>
      <w:r>
        <w:rPr>
          <w:rFonts w:hint="eastAsia" w:ascii="Calibri" w:hAnsi="宋体"/>
          <w:szCs w:val="21"/>
        </w:rPr>
        <w:t>为矿井</w:t>
      </w:r>
      <w:r>
        <w:rPr>
          <w:rFonts w:hint="eastAsia" w:ascii="Calibri" w:hAnsi="宋体"/>
          <w:szCs w:val="21"/>
          <w:lang w:eastAsia="zh-CN"/>
        </w:rPr>
        <w:t>建设</w:t>
      </w:r>
      <w:r>
        <w:rPr>
          <w:rFonts w:hint="eastAsia" w:ascii="Calibri" w:hAnsi="宋体"/>
          <w:szCs w:val="21"/>
        </w:rPr>
        <w:t>后备电源管理系统</w:t>
      </w:r>
      <w:r>
        <w:rPr>
          <w:rFonts w:hint="eastAsia" w:ascii="Calibri" w:hAnsi="宋体"/>
          <w:szCs w:val="21"/>
          <w:lang w:eastAsia="zh-CN"/>
        </w:rPr>
        <w:t>。</w:t>
      </w:r>
    </w:p>
    <w:p>
      <w:pPr>
        <w:pStyle w:val="3"/>
        <w:pageBreakBefore w:val="0"/>
        <w:numPr>
          <w:ilvl w:val="1"/>
          <w:numId w:val="0"/>
        </w:numPr>
        <w:kinsoku/>
        <w:wordWrap/>
        <w:overflowPunct/>
        <w:topLinePunct w:val="0"/>
        <w:autoSpaceDE/>
        <w:autoSpaceDN/>
        <w:bidi w:val="0"/>
        <w:adjustRightInd/>
        <w:snapToGrid/>
        <w:spacing w:before="0" w:after="0" w:line="430" w:lineRule="exact"/>
        <w:ind w:right="0" w:rightChars="0"/>
        <w:jc w:val="both"/>
        <w:textAlignment w:val="auto"/>
        <w:rPr>
          <w:color w:val="auto"/>
        </w:rPr>
      </w:pPr>
      <w:r>
        <w:rPr>
          <w:rFonts w:hint="eastAsia"/>
          <w:color w:val="auto"/>
        </w:rPr>
        <w:t>2投标人资格要求</w:t>
      </w:r>
    </w:p>
    <w:p>
      <w:pPr>
        <w:pageBreakBefore w:val="0"/>
        <w:widowControl/>
        <w:numPr>
          <w:ilvl w:val="0"/>
          <w:numId w:val="5"/>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ascii="宋体" w:cs="Arial"/>
          <w:szCs w:val="21"/>
        </w:rPr>
        <w:t>具有独立签订合同并能履行合同的独立法人</w:t>
      </w:r>
      <w:r>
        <w:rPr>
          <w:rFonts w:hint="eastAsia" w:ascii="宋体" w:cs="Arial"/>
          <w:szCs w:val="21"/>
          <w:lang w:eastAsia="zh-CN"/>
        </w:rPr>
        <w:t>资格，</w:t>
      </w:r>
      <w:r>
        <w:rPr>
          <w:rFonts w:ascii="宋体" w:cs="Arial"/>
          <w:szCs w:val="21"/>
        </w:rPr>
        <w:t>具有设计、制造或销售与招标设备相同或相近设备的</w:t>
      </w:r>
      <w:r>
        <w:rPr>
          <w:rFonts w:hint="eastAsia" w:ascii="宋体" w:cs="Arial"/>
          <w:szCs w:val="21"/>
          <w:lang w:eastAsia="zh-CN"/>
        </w:rPr>
        <w:t>经历</w:t>
      </w:r>
      <w:r>
        <w:rPr>
          <w:rFonts w:ascii="宋体" w:cs="Arial"/>
          <w:szCs w:val="21"/>
        </w:rPr>
        <w:t>，</w:t>
      </w:r>
      <w:r>
        <w:rPr>
          <w:rFonts w:hint="eastAsia" w:ascii="宋体" w:cs="Arial"/>
          <w:szCs w:val="21"/>
          <w:lang w:eastAsia="zh-CN"/>
        </w:rPr>
        <w:t>并提供</w:t>
      </w:r>
      <w:r>
        <w:rPr>
          <w:rFonts w:ascii="宋体" w:cs="Arial"/>
          <w:szCs w:val="21"/>
        </w:rPr>
        <w:t>同类设备的</w:t>
      </w:r>
      <w:r>
        <w:rPr>
          <w:rFonts w:hint="eastAsia" w:ascii="宋体" w:cs="Arial"/>
          <w:szCs w:val="21"/>
          <w:lang w:eastAsia="zh-CN"/>
        </w:rPr>
        <w:t>业绩合同两份。</w:t>
      </w:r>
    </w:p>
    <w:p>
      <w:pPr>
        <w:pageBreakBefore w:val="0"/>
        <w:widowControl/>
        <w:numPr>
          <w:ilvl w:val="0"/>
          <w:numId w:val="5"/>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hAnsi="宋体"/>
          <w:szCs w:val="21"/>
          <w:lang w:val="en-US" w:eastAsia="zh-CN"/>
        </w:rPr>
        <w:t>注册资本</w:t>
      </w:r>
      <w:r>
        <w:rPr>
          <w:rFonts w:hint="eastAsia" w:hAnsi="宋体"/>
          <w:color w:val="FF0000"/>
          <w:szCs w:val="21"/>
          <w:lang w:val="en-US" w:eastAsia="zh-CN"/>
        </w:rPr>
        <w:t>1000万元</w:t>
      </w:r>
      <w:r>
        <w:rPr>
          <w:rFonts w:hint="eastAsia" w:hAnsi="宋体"/>
          <w:szCs w:val="21"/>
          <w:lang w:val="en-US" w:eastAsia="zh-CN"/>
        </w:rPr>
        <w:t>（含）人民币以上</w:t>
      </w:r>
      <w:r>
        <w:rPr>
          <w:rFonts w:ascii="宋体" w:cs="Arial"/>
          <w:szCs w:val="21"/>
        </w:rPr>
        <w:t>。</w:t>
      </w:r>
    </w:p>
    <w:p>
      <w:pPr>
        <w:pageBreakBefore w:val="0"/>
        <w:widowControl/>
        <w:numPr>
          <w:ilvl w:val="0"/>
          <w:numId w:val="5"/>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highlight w:val="none"/>
        </w:rPr>
      </w:pPr>
      <w:r>
        <w:rPr>
          <w:rFonts w:ascii="宋体" w:cs="Arial"/>
          <w:szCs w:val="21"/>
        </w:rPr>
        <w:t>生产厂家必须具有合法的设备制造资质、营业执照、生产许可证、产品质量检验合格</w:t>
      </w:r>
      <w:r>
        <w:rPr>
          <w:rFonts w:ascii="宋体" w:cs="Arial"/>
          <w:szCs w:val="21"/>
          <w:highlight w:val="none"/>
        </w:rPr>
        <w:t>证、矿用产品安全标志证书</w:t>
      </w:r>
      <w:r>
        <w:rPr>
          <w:rFonts w:hint="eastAsia" w:ascii="宋体" w:cs="Arial"/>
          <w:szCs w:val="21"/>
          <w:highlight w:val="none"/>
          <w:lang w:eastAsia="zh-CN"/>
        </w:rPr>
        <w:t>、系统集成商资质</w:t>
      </w:r>
      <w:r>
        <w:rPr>
          <w:rFonts w:hint="eastAsia" w:ascii="宋体" w:cs="Arial"/>
          <w:szCs w:val="21"/>
          <w:highlight w:val="none"/>
        </w:rPr>
        <w:t>。</w:t>
      </w:r>
    </w:p>
    <w:p>
      <w:pPr>
        <w:pageBreakBefore w:val="0"/>
        <w:widowControl/>
        <w:numPr>
          <w:ilvl w:val="0"/>
          <w:numId w:val="5"/>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ascii="宋体" w:cs="Arial"/>
          <w:szCs w:val="21"/>
          <w:highlight w:val="none"/>
        </w:rPr>
        <w:t>具有完善的质量保证体系或通</w:t>
      </w:r>
      <w:r>
        <w:rPr>
          <w:rFonts w:ascii="宋体" w:cs="Arial"/>
          <w:szCs w:val="21"/>
        </w:rPr>
        <w:t>过质量体系认证的证书等。</w:t>
      </w:r>
    </w:p>
    <w:p>
      <w:pPr>
        <w:pageBreakBefore w:val="0"/>
        <w:widowControl/>
        <w:numPr>
          <w:ilvl w:val="0"/>
          <w:numId w:val="5"/>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lang w:eastAsia="zh-CN"/>
        </w:rPr>
        <w:t>提供</w:t>
      </w:r>
      <w:r>
        <w:rPr>
          <w:rFonts w:ascii="宋体" w:cs="Arial"/>
          <w:szCs w:val="21"/>
        </w:rPr>
        <w:t>银行资信</w:t>
      </w:r>
      <w:r>
        <w:rPr>
          <w:rFonts w:hint="eastAsia" w:ascii="宋体" w:cs="Arial"/>
          <w:szCs w:val="21"/>
          <w:lang w:eastAsia="zh-CN"/>
        </w:rPr>
        <w:t>证明</w:t>
      </w:r>
      <w:r>
        <w:rPr>
          <w:rFonts w:ascii="宋体" w:cs="Arial"/>
          <w:szCs w:val="21"/>
        </w:rPr>
        <w:t>，</w:t>
      </w:r>
      <w:r>
        <w:rPr>
          <w:rFonts w:hint="eastAsia" w:ascii="宋体" w:cs="Arial"/>
          <w:szCs w:val="21"/>
          <w:lang w:eastAsia="zh-CN"/>
        </w:rPr>
        <w:t>包括该企业未</w:t>
      </w:r>
      <w:r>
        <w:rPr>
          <w:rFonts w:ascii="宋体" w:cs="Arial"/>
          <w:szCs w:val="21"/>
        </w:rPr>
        <w:t>处于被责令停业，财产被接管、冻结、破产状态。</w:t>
      </w:r>
    </w:p>
    <w:p>
      <w:pPr>
        <w:pageBreakBefore w:val="0"/>
        <w:widowControl/>
        <w:numPr>
          <w:ilvl w:val="0"/>
          <w:numId w:val="5"/>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ascii="宋体" w:cs="Arial"/>
          <w:szCs w:val="21"/>
        </w:rPr>
        <w:t>项目负责人、技术负责人必须具备相关专业中级及以上职称</w:t>
      </w:r>
      <w:r>
        <w:rPr>
          <w:rFonts w:hint="eastAsia" w:ascii="宋体" w:cs="Arial"/>
          <w:szCs w:val="21"/>
        </w:rPr>
        <w:t>。</w:t>
      </w:r>
    </w:p>
    <w:p>
      <w:pPr>
        <w:pStyle w:val="3"/>
        <w:pageBreakBefore w:val="0"/>
        <w:numPr>
          <w:ilvl w:val="1"/>
          <w:numId w:val="0"/>
        </w:numPr>
        <w:kinsoku/>
        <w:wordWrap/>
        <w:overflowPunct/>
        <w:topLinePunct w:val="0"/>
        <w:autoSpaceDE/>
        <w:autoSpaceDN/>
        <w:bidi w:val="0"/>
        <w:adjustRightInd/>
        <w:snapToGrid/>
        <w:spacing w:before="0" w:after="0" w:line="430" w:lineRule="exact"/>
        <w:ind w:right="0" w:rightChars="0"/>
        <w:jc w:val="both"/>
        <w:textAlignment w:val="auto"/>
        <w:rPr>
          <w:color w:val="auto"/>
        </w:rPr>
      </w:pPr>
      <w:bookmarkStart w:id="11" w:name="_Toc15622921"/>
      <w:r>
        <w:rPr>
          <w:rFonts w:hint="eastAsia"/>
          <w:color w:val="auto"/>
        </w:rPr>
        <w:t>3投标要求</w:t>
      </w:r>
      <w:bookmarkEnd w:id="11"/>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本技术规范的内容包括</w:t>
      </w:r>
      <w:r>
        <w:rPr>
          <w:rFonts w:hint="eastAsia" w:ascii="宋体" w:cs="Arial"/>
          <w:szCs w:val="21"/>
          <w:lang w:eastAsia="zh-CN"/>
        </w:rPr>
        <w:t>补连塔矿井下后备电源管理</w:t>
      </w:r>
      <w:r>
        <w:rPr>
          <w:rFonts w:hint="eastAsia" w:ascii="宋体" w:cs="Arial"/>
          <w:szCs w:val="21"/>
        </w:rPr>
        <w:t>系统设计、设备采购、</w:t>
      </w:r>
      <w:r>
        <w:rPr>
          <w:rFonts w:hint="eastAsia" w:ascii="宋体" w:cs="Arial"/>
          <w:szCs w:val="21"/>
          <w:lang w:eastAsia="zh-CN"/>
        </w:rPr>
        <w:t>设备运输、</w:t>
      </w:r>
      <w:r>
        <w:rPr>
          <w:rFonts w:hint="eastAsia" w:ascii="宋体" w:cs="Arial"/>
          <w:szCs w:val="21"/>
        </w:rPr>
        <w:t>设备安装、</w:t>
      </w:r>
      <w:r>
        <w:rPr>
          <w:rFonts w:hint="eastAsia" w:ascii="宋体" w:cs="Arial"/>
          <w:szCs w:val="21"/>
          <w:lang w:eastAsia="zh-CN"/>
        </w:rPr>
        <w:t>软件开发、软件部署、</w:t>
      </w:r>
      <w:r>
        <w:rPr>
          <w:rFonts w:hint="eastAsia" w:ascii="宋体" w:cs="Arial"/>
          <w:szCs w:val="21"/>
        </w:rPr>
        <w:t>系统调试等。</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应该提供满足本规范书中要求的全部设备和服务支持。投标方应保证所提供的系统设备是全新的、技术先进的、成熟的、高质量的设计并满足本系统的安全、可靠、高效和便于维护。投标方应认真阅读此招标书中的条款，按照其中的要求，逐条做出</w:t>
      </w:r>
      <w:r>
        <w:rPr>
          <w:rFonts w:hint="eastAsia" w:ascii="宋体" w:cs="Arial"/>
          <w:szCs w:val="21"/>
          <w:lang w:eastAsia="zh-CN"/>
        </w:rPr>
        <w:t>响应</w:t>
      </w:r>
      <w:r>
        <w:rPr>
          <w:rFonts w:hint="eastAsia" w:ascii="宋体" w:cs="Arial"/>
          <w:szCs w:val="21"/>
        </w:rPr>
        <w:t>。</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本规范书提出了最低限度的技术要求，并未对一切技术细节做出规定，也未充分引述有关标准和规范的条文，投标方应保证提供符合本规范书和工业标准的优质产品。</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必须满足本规范书中主要项目的要求，否则其建议书将被拒绝并被认作没有回答。如果投标方没有以书面形式对本规范书的条文提出异议，则认为供方提供的系统完全符合本规范书的要求。如有异议，都应在投标书中以“对规范书的意见和同规范书的差异”为标题的专门章节加以详细的描述。</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对每个单项产品，投标方在投标时必须提供原厂商的正式技术指标说明文件。</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投标方在投标建议书中建议的每个硬件的型号/部件号必须逐一说明。投标方认为需特殊说明的部分应附详细的技术资料，否则，由于评标理解不同，产生的后果由投标方负责。</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本规范书所使用的标准如与供方所执行的标准发生矛盾时，按较高标准执行。</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本工程工作语言为中文。对进口设备，在提供英文资料的同时，应提供相同版本的中文资料，招标方对所有设备产品的理解以中文版本为准。</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投标方应承诺提供所供设备的日常维护的专用软、硬件工具及充足的设备易损备品。</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投标方应承诺提供所有进口设备的进口商检的报告及证明，有关交货前的任何费用由供方承担。</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投标方应承诺所有应用的软件及操作系统均是正版并具备合法授权，在今后的使用中能合法提供给使用方使用。神东煤炭集团独立享有所购置系统的软、硬件的合法产权。</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投标方应承诺对投标产品提供一年</w:t>
      </w:r>
      <w:r>
        <w:rPr>
          <w:rFonts w:hint="eastAsia" w:ascii="宋体" w:cs="Arial"/>
          <w:szCs w:val="21"/>
          <w:lang w:eastAsia="zh-CN"/>
        </w:rPr>
        <w:t>（质保期）</w:t>
      </w:r>
      <w:r>
        <w:rPr>
          <w:rFonts w:hint="eastAsia" w:ascii="宋体" w:cs="Arial"/>
          <w:szCs w:val="21"/>
        </w:rPr>
        <w:t>原厂技术维护和咨询及保修服务。</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当投标方所提供的供货范围在实际工程中不能满足技术规范要求时，供方应无偿提供所需的硬件及软件，按项目规定的公司完成全部工程。</w:t>
      </w:r>
    </w:p>
    <w:p>
      <w:pPr>
        <w:pStyle w:val="3"/>
        <w:pageBreakBefore w:val="0"/>
        <w:numPr>
          <w:ilvl w:val="1"/>
          <w:numId w:val="0"/>
        </w:numPr>
        <w:kinsoku/>
        <w:wordWrap/>
        <w:overflowPunct/>
        <w:topLinePunct w:val="0"/>
        <w:autoSpaceDE/>
        <w:autoSpaceDN/>
        <w:bidi w:val="0"/>
        <w:adjustRightInd/>
        <w:snapToGrid/>
        <w:spacing w:before="0" w:after="0" w:line="430" w:lineRule="exact"/>
        <w:ind w:right="0" w:rightChars="0"/>
        <w:jc w:val="both"/>
        <w:textAlignment w:val="auto"/>
        <w:rPr>
          <w:color w:val="auto"/>
        </w:rPr>
      </w:pPr>
      <w:bookmarkStart w:id="12" w:name="_Toc15622922"/>
      <w:r>
        <w:rPr>
          <w:rFonts w:hint="eastAsia"/>
          <w:color w:val="auto"/>
        </w:rPr>
        <w:t>4招标范围</w:t>
      </w:r>
      <w:bookmarkEnd w:id="12"/>
    </w:p>
    <w:p>
      <w:pPr>
        <w:pageBreakBefore w:val="0"/>
        <w:widowControl/>
        <w:tabs>
          <w:tab w:val="left" w:pos="360"/>
          <w:tab w:val="left" w:pos="1440"/>
        </w:tabs>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1.本技术规范书描述了系统软硬件平台购置的技术规范。</w:t>
      </w:r>
    </w:p>
    <w:p>
      <w:pPr>
        <w:pageBreakBefore w:val="0"/>
        <w:widowControl/>
        <w:tabs>
          <w:tab w:val="left" w:pos="360"/>
          <w:tab w:val="left" w:pos="1440"/>
        </w:tabs>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2.投标方除提供系统设备外，承担的本期工程内容包括以下部分，但不限于此：</w:t>
      </w:r>
    </w:p>
    <w:p>
      <w:pPr>
        <w:pageBreakBefore w:val="0"/>
        <w:widowControl/>
        <w:numPr>
          <w:ilvl w:val="0"/>
          <w:numId w:val="7"/>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系统软硬件配置方案及供货方案确认</w:t>
      </w:r>
      <w:r>
        <w:rPr>
          <w:rFonts w:hint="eastAsia" w:ascii="宋体" w:cs="Arial"/>
          <w:szCs w:val="21"/>
          <w:lang w:eastAsia="zh-CN"/>
        </w:rPr>
        <w:t>。</w:t>
      </w:r>
    </w:p>
    <w:p>
      <w:pPr>
        <w:pageBreakBefore w:val="0"/>
        <w:widowControl/>
        <w:numPr>
          <w:ilvl w:val="0"/>
          <w:numId w:val="7"/>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现场安装：</w:t>
      </w:r>
    </w:p>
    <w:p>
      <w:pPr>
        <w:pageBreakBefore w:val="0"/>
        <w:tabs>
          <w:tab w:val="left" w:pos="360"/>
        </w:tabs>
        <w:kinsoku/>
        <w:wordWrap/>
        <w:overflowPunct/>
        <w:topLinePunct w:val="0"/>
        <w:autoSpaceDE/>
        <w:autoSpaceDN/>
        <w:bidi w:val="0"/>
        <w:adjustRightInd/>
        <w:snapToGrid/>
        <w:spacing w:line="430" w:lineRule="exact"/>
        <w:ind w:left="0" w:leftChars="0" w:right="0" w:rightChars="0" w:firstLine="420" w:firstLineChars="200"/>
        <w:textAlignment w:val="auto"/>
        <w:rPr>
          <w:rFonts w:ascii="宋体" w:cs="Arial"/>
          <w:szCs w:val="21"/>
        </w:rPr>
      </w:pPr>
      <w:r>
        <w:rPr>
          <w:rFonts w:hint="eastAsia" w:ascii="宋体" w:cs="Arial"/>
          <w:szCs w:val="21"/>
        </w:rPr>
        <w:t>投标方需提供合同范围内的软硬件设备，且负责现场连接及系统安装、配置、调试服务。为保证</w:t>
      </w:r>
      <w:r>
        <w:rPr>
          <w:rFonts w:hint="eastAsia" w:ascii="宋体" w:cs="Arial"/>
          <w:szCs w:val="21"/>
          <w:lang w:eastAsia="zh-CN"/>
        </w:rPr>
        <w:t>补连塔矿井下后备电源管理</w:t>
      </w:r>
      <w:r>
        <w:rPr>
          <w:rFonts w:hint="eastAsia" w:ascii="宋体" w:cs="Arial"/>
          <w:szCs w:val="21"/>
        </w:rPr>
        <w:t>系统</w:t>
      </w:r>
      <w:r>
        <w:rPr>
          <w:rFonts w:hint="eastAsia" w:ascii="宋体" w:cs="Arial"/>
          <w:szCs w:val="21"/>
          <w:lang w:eastAsia="zh-CN"/>
        </w:rPr>
        <w:t>建设的</w:t>
      </w:r>
      <w:r>
        <w:rPr>
          <w:rFonts w:hint="eastAsia" w:ascii="宋体" w:cs="Arial"/>
          <w:szCs w:val="21"/>
        </w:rPr>
        <w:t>实施质量，</w:t>
      </w:r>
      <w:r>
        <w:rPr>
          <w:rFonts w:hint="eastAsia" w:ascii="宋体" w:cs="Arial"/>
          <w:szCs w:val="21"/>
          <w:lang w:eastAsia="zh-CN"/>
        </w:rPr>
        <w:t>投标方</w:t>
      </w:r>
      <w:r>
        <w:rPr>
          <w:rFonts w:hint="eastAsia" w:ascii="宋体" w:cs="Arial"/>
          <w:szCs w:val="21"/>
        </w:rPr>
        <w:t>要充分理解现有</w:t>
      </w:r>
      <w:r>
        <w:rPr>
          <w:rFonts w:hint="eastAsia" w:ascii="宋体" w:cs="Arial"/>
          <w:szCs w:val="21"/>
          <w:lang w:eastAsia="zh-CN"/>
        </w:rPr>
        <w:t>井下网络环境</w:t>
      </w:r>
      <w:r>
        <w:rPr>
          <w:rFonts w:hint="eastAsia" w:ascii="宋体" w:cs="Arial"/>
          <w:szCs w:val="21"/>
        </w:rPr>
        <w:t>、</w:t>
      </w:r>
      <w:r>
        <w:rPr>
          <w:rFonts w:hint="eastAsia" w:ascii="宋体" w:cs="Arial"/>
          <w:szCs w:val="21"/>
          <w:lang w:eastAsia="zh-CN"/>
        </w:rPr>
        <w:t>现场</w:t>
      </w:r>
      <w:r>
        <w:rPr>
          <w:rFonts w:hint="eastAsia" w:ascii="宋体" w:cs="Arial"/>
          <w:szCs w:val="21"/>
        </w:rPr>
        <w:t>实施环境和应用需求状况等信息，在实施工作开始前完成前期的调研工作。</w:t>
      </w:r>
    </w:p>
    <w:p>
      <w:pPr>
        <w:pageBreakBefore w:val="0"/>
        <w:widowControl/>
        <w:numPr>
          <w:ilvl w:val="0"/>
          <w:numId w:val="7"/>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现场验收</w:t>
      </w:r>
    </w:p>
    <w:p>
      <w:pPr>
        <w:pageBreakBefore w:val="0"/>
        <w:widowControl/>
        <w:numPr>
          <w:ilvl w:val="0"/>
          <w:numId w:val="7"/>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用户技术培训</w:t>
      </w:r>
    </w:p>
    <w:p>
      <w:pPr>
        <w:pageBreakBefore w:val="0"/>
        <w:widowControl/>
        <w:numPr>
          <w:ilvl w:val="0"/>
          <w:numId w:val="7"/>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质保、技术服务及售后服务，提出技术支持服务的策略和承诺</w:t>
      </w:r>
    </w:p>
    <w:p>
      <w:pPr>
        <w:pageBreakBefore w:val="0"/>
        <w:widowControl/>
        <w:tabs>
          <w:tab w:val="left" w:pos="360"/>
          <w:tab w:val="left" w:pos="1440"/>
        </w:tabs>
        <w:kinsoku/>
        <w:wordWrap/>
        <w:overflowPunct/>
        <w:topLinePunct w:val="0"/>
        <w:autoSpaceDE/>
        <w:autoSpaceDN/>
        <w:bidi w:val="0"/>
        <w:adjustRightInd/>
        <w:snapToGrid/>
        <w:spacing w:line="430" w:lineRule="exact"/>
        <w:ind w:left="0" w:leftChars="0" w:right="0" w:rightChars="0" w:firstLine="420" w:firstLineChars="200"/>
        <w:textAlignment w:val="auto"/>
        <w:rPr>
          <w:rFonts w:ascii="宋体" w:cs="Arial"/>
          <w:szCs w:val="21"/>
        </w:rPr>
      </w:pPr>
      <w:r>
        <w:rPr>
          <w:rFonts w:hint="eastAsia" w:ascii="宋体" w:cs="Arial"/>
          <w:szCs w:val="21"/>
        </w:rPr>
        <w:t>3.</w:t>
      </w:r>
      <w:r>
        <w:rPr>
          <w:rFonts w:hint="eastAsia" w:ascii="宋体" w:cs="Arial"/>
          <w:szCs w:val="21"/>
          <w:lang w:eastAsia="zh-CN"/>
        </w:rPr>
        <w:t>投标方</w:t>
      </w:r>
      <w:r>
        <w:rPr>
          <w:rFonts w:hint="eastAsia" w:ascii="宋体" w:cs="Arial"/>
          <w:szCs w:val="21"/>
        </w:rPr>
        <w:t>应保证所提系统供软、硬件平台系统所构成系统的完整性，投标方可基于自身的了解以及</w:t>
      </w:r>
      <w:r>
        <w:rPr>
          <w:rFonts w:hint="eastAsia" w:ascii="宋体" w:cs="Arial"/>
          <w:szCs w:val="21"/>
          <w:lang w:val="en-US" w:eastAsia="zh-CN"/>
        </w:rPr>
        <w:t>UPS电源</w:t>
      </w:r>
      <w:r>
        <w:rPr>
          <w:rFonts w:hint="eastAsia" w:ascii="宋体" w:cs="Arial"/>
          <w:szCs w:val="21"/>
        </w:rPr>
        <w:t>基本需求情况给出合理的方案建议，在应答中详细说明。因系统软、硬件配置的缺陷而影响整个系统的完整性，投标方应负完全的责任。</w:t>
      </w:r>
    </w:p>
    <w:p>
      <w:pPr>
        <w:pStyle w:val="3"/>
        <w:pageBreakBefore w:val="0"/>
        <w:numPr>
          <w:ilvl w:val="1"/>
          <w:numId w:val="0"/>
        </w:numPr>
        <w:kinsoku/>
        <w:wordWrap/>
        <w:overflowPunct/>
        <w:topLinePunct w:val="0"/>
        <w:autoSpaceDE/>
        <w:autoSpaceDN/>
        <w:bidi w:val="0"/>
        <w:adjustRightInd/>
        <w:snapToGrid/>
        <w:spacing w:before="0" w:after="0" w:line="430" w:lineRule="exact"/>
        <w:ind w:right="0" w:rightChars="0"/>
        <w:jc w:val="both"/>
        <w:textAlignment w:val="auto"/>
        <w:rPr>
          <w:color w:val="auto"/>
        </w:rPr>
      </w:pPr>
      <w:bookmarkStart w:id="13" w:name="_Toc281475911"/>
      <w:bookmarkStart w:id="14" w:name="_Toc46488557"/>
      <w:bookmarkStart w:id="15" w:name="_Toc15622923"/>
      <w:bookmarkStart w:id="16" w:name="_Toc108442060"/>
      <w:r>
        <w:rPr>
          <w:rFonts w:hint="eastAsia"/>
          <w:color w:val="auto"/>
        </w:rPr>
        <w:t>5投标方责任</w:t>
      </w:r>
      <w:bookmarkEnd w:id="13"/>
      <w:bookmarkEnd w:id="14"/>
      <w:bookmarkEnd w:id="15"/>
      <w:bookmarkEnd w:id="16"/>
    </w:p>
    <w:p>
      <w:pPr>
        <w:pageBreakBefore w:val="0"/>
        <w:kinsoku/>
        <w:wordWrap/>
        <w:overflowPunct/>
        <w:topLinePunct w:val="0"/>
        <w:autoSpaceDE/>
        <w:autoSpaceDN/>
        <w:bidi w:val="0"/>
        <w:adjustRightInd/>
        <w:snapToGrid/>
        <w:spacing w:line="430" w:lineRule="exact"/>
        <w:ind w:left="0" w:leftChars="0" w:right="0" w:rightChars="0" w:firstLine="420" w:firstLineChars="200"/>
        <w:textAlignment w:val="auto"/>
        <w:rPr>
          <w:rFonts w:ascii="宋体" w:cs="Arial"/>
          <w:szCs w:val="21"/>
        </w:rPr>
      </w:pPr>
      <w:r>
        <w:rPr>
          <w:rFonts w:hint="eastAsia" w:ascii="宋体" w:cs="Arial"/>
          <w:szCs w:val="21"/>
        </w:rPr>
        <w:t>投标方负责报价、供货、系统集成、运输、安装、现场验收测试、技术服务、工程管理等。包括：</w:t>
      </w:r>
    </w:p>
    <w:p>
      <w:pPr>
        <w:pageBreakBefore w:val="0"/>
        <w:kinsoku/>
        <w:wordWrap/>
        <w:overflowPunct/>
        <w:topLinePunct w:val="0"/>
        <w:autoSpaceDE/>
        <w:autoSpaceDN/>
        <w:bidi w:val="0"/>
        <w:adjustRightInd/>
        <w:snapToGrid/>
        <w:spacing w:line="430" w:lineRule="exact"/>
        <w:ind w:left="0" w:leftChars="0" w:right="0" w:rightChars="0" w:firstLine="420" w:firstLineChars="200"/>
        <w:textAlignment w:val="auto"/>
        <w:rPr>
          <w:rFonts w:ascii="宋体" w:cs="Arial"/>
          <w:szCs w:val="21"/>
        </w:rPr>
      </w:pPr>
      <w:r>
        <w:rPr>
          <w:rFonts w:hint="eastAsia" w:ascii="宋体" w:cs="Arial"/>
          <w:szCs w:val="21"/>
        </w:rPr>
        <w:t>1.负责系统设备配置方案设计、供货、集成、确认第三方的硬件设备，保证系统成功集成。</w:t>
      </w:r>
    </w:p>
    <w:p>
      <w:pPr>
        <w:pageBreakBefore w:val="0"/>
        <w:widowControl/>
        <w:tabs>
          <w:tab w:val="left" w:pos="786"/>
        </w:tabs>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2合同期内成立项目组，明确负责人，为招标方提供项目管理服务。</w:t>
      </w:r>
    </w:p>
    <w:p>
      <w:pPr>
        <w:pageBreakBefore w:val="0"/>
        <w:widowControl/>
        <w:tabs>
          <w:tab w:val="left" w:pos="786"/>
        </w:tabs>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3.参与本项目召开的有关联席会。</w:t>
      </w:r>
    </w:p>
    <w:p>
      <w:pPr>
        <w:pageBreakBefore w:val="0"/>
        <w:widowControl/>
        <w:tabs>
          <w:tab w:val="left" w:pos="786"/>
        </w:tabs>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4.提供合同内硬件设备系统运行所需软件、软件介质和最终用户授权证书。</w:t>
      </w:r>
    </w:p>
    <w:p>
      <w:pPr>
        <w:pageBreakBefore w:val="0"/>
        <w:widowControl/>
        <w:tabs>
          <w:tab w:val="left" w:pos="786"/>
        </w:tabs>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5. 投标方应保证提供的所有硬件的质量、性能及技术指标完全满足本技术规范书要求。</w:t>
      </w:r>
    </w:p>
    <w:p>
      <w:pPr>
        <w:pageBreakBefore w:val="0"/>
        <w:widowControl/>
        <w:tabs>
          <w:tab w:val="left" w:pos="786"/>
        </w:tabs>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6. 负责对招标方运行人员的技术培训。</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负责提供系统硬件的所有技术文件资料，图纸和用户手册等。</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负责提出设备对供电、接地、消防、运行环境及安装的详细要求。</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提供硬件设备所有电缆、接头和电源插座，所有配件必须符合</w:t>
      </w:r>
      <w:r>
        <w:rPr>
          <w:rFonts w:hint="eastAsia" w:ascii="宋体" w:cs="Arial"/>
          <w:szCs w:val="21"/>
          <w:lang w:eastAsia="zh-CN"/>
        </w:rPr>
        <w:t>国家标准</w:t>
      </w:r>
      <w:r>
        <w:rPr>
          <w:rFonts w:hint="eastAsia" w:ascii="宋体" w:cs="Arial"/>
          <w:szCs w:val="21"/>
        </w:rPr>
        <w:t>。</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提供系统安装和运行维护所需的专用工具和测试设备等。</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所有硬件按合同要求验收测试，并负责现场验收。</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负责所有设备的运输，现场安装调试等，达到合同要求，满足运行条件。</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投标方应对最终提供的全部技术资料的准确性负责。</w:t>
      </w:r>
    </w:p>
    <w:p>
      <w:pPr>
        <w:pageBreakBefore w:val="0"/>
        <w:widowControl/>
        <w:numPr>
          <w:ilvl w:val="0"/>
          <w:numId w:val="6"/>
        </w:numPr>
        <w:kinsoku/>
        <w:wordWrap/>
        <w:overflowPunct/>
        <w:topLinePunct w:val="0"/>
        <w:autoSpaceDE/>
        <w:autoSpaceDN/>
        <w:bidi w:val="0"/>
        <w:adjustRightInd/>
        <w:snapToGrid/>
        <w:spacing w:line="430" w:lineRule="exact"/>
        <w:ind w:left="0" w:leftChars="0" w:right="0" w:rightChars="0" w:firstLine="420" w:firstLineChars="200"/>
        <w:jc w:val="left"/>
        <w:textAlignment w:val="auto"/>
        <w:rPr>
          <w:rFonts w:ascii="宋体" w:cs="Arial"/>
          <w:szCs w:val="21"/>
        </w:rPr>
      </w:pPr>
      <w:r>
        <w:rPr>
          <w:rFonts w:hint="eastAsia" w:ascii="宋体" w:cs="Arial"/>
          <w:szCs w:val="21"/>
        </w:rPr>
        <w:t>现场验收通过后开始12个月的设备质量保证期，保修服务应按合同约定的要求由投标方直接提供。</w:t>
      </w:r>
    </w:p>
    <w:bookmarkEnd w:id="10"/>
    <w:p>
      <w:pPr>
        <w:spacing w:line="360" w:lineRule="auto"/>
        <w:rPr>
          <w:rFonts w:hint="eastAsia" w:ascii="宋体" w:cs="Arial"/>
          <w:szCs w:val="21"/>
          <w:lang w:eastAsia="zh-CN"/>
        </w:rPr>
      </w:pPr>
      <w:r>
        <w:rPr>
          <w:rFonts w:hint="eastAsia" w:ascii="宋体" w:cs="Arial"/>
          <w:szCs w:val="21"/>
          <w:lang w:eastAsia="zh-CN"/>
        </w:rPr>
        <w:br w:type="page"/>
      </w:r>
    </w:p>
    <w:tbl>
      <w:tblPr>
        <w:tblStyle w:val="21"/>
        <w:tblpPr w:leftFromText="180" w:rightFromText="180" w:vertAnchor="text" w:horzAnchor="page" w:tblpX="1397" w:tblpY="99"/>
        <w:tblOverlap w:val="never"/>
        <w:tblW w:w="9900" w:type="dxa"/>
        <w:tblInd w:w="0" w:type="dxa"/>
        <w:tblLayout w:type="fixed"/>
        <w:tblCellMar>
          <w:top w:w="0" w:type="dxa"/>
          <w:left w:w="108" w:type="dxa"/>
          <w:bottom w:w="0" w:type="dxa"/>
          <w:right w:w="108" w:type="dxa"/>
        </w:tblCellMar>
      </w:tblPr>
      <w:tblGrid>
        <w:gridCol w:w="645"/>
        <w:gridCol w:w="1815"/>
        <w:gridCol w:w="5955"/>
        <w:gridCol w:w="1485"/>
      </w:tblGrid>
      <w:tr>
        <w:tblPrEx>
          <w:tblLayout w:type="fixed"/>
          <w:tblCellMar>
            <w:top w:w="0" w:type="dxa"/>
            <w:left w:w="108" w:type="dxa"/>
            <w:bottom w:w="0" w:type="dxa"/>
            <w:right w:w="108" w:type="dxa"/>
          </w:tblCellMar>
        </w:tblPrEx>
        <w:trPr>
          <w:trHeight w:val="285" w:hRule="atLeast"/>
        </w:trPr>
        <w:tc>
          <w:tcPr>
            <w:tcW w:w="9900"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b/>
                <w:color w:val="000000"/>
                <w:sz w:val="18"/>
              </w:rPr>
            </w:pPr>
            <w:r>
              <w:rPr>
                <w:rFonts w:hint="eastAsia" w:ascii="宋体" w:eastAsia="宋体"/>
                <w:b/>
                <w:color w:val="000000"/>
                <w:sz w:val="18"/>
              </w:rPr>
              <w:t>补连塔矿需后备电源变电所统计</w:t>
            </w:r>
          </w:p>
        </w:tc>
      </w:tr>
      <w:tr>
        <w:tblPrEx>
          <w:tblLayout w:type="fixed"/>
          <w:tblCellMar>
            <w:top w:w="0" w:type="dxa"/>
            <w:left w:w="108" w:type="dxa"/>
            <w:bottom w:w="0" w:type="dxa"/>
            <w:right w:w="108" w:type="dxa"/>
          </w:tblCellMar>
        </w:tblPrEx>
        <w:trPr>
          <w:trHeight w:val="42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b/>
                <w:color w:val="000000"/>
                <w:sz w:val="18"/>
              </w:rPr>
            </w:pPr>
            <w:r>
              <w:rPr>
                <w:rFonts w:hint="eastAsia" w:ascii="宋体" w:eastAsia="宋体"/>
                <w:b/>
                <w:color w:val="000000"/>
                <w:sz w:val="18"/>
              </w:rPr>
              <w:t>序号</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b/>
                <w:color w:val="000000"/>
                <w:sz w:val="18"/>
              </w:rPr>
            </w:pPr>
            <w:r>
              <w:rPr>
                <w:rFonts w:hint="eastAsia" w:ascii="宋体" w:eastAsia="宋体"/>
                <w:b/>
                <w:color w:val="000000"/>
                <w:sz w:val="18"/>
              </w:rPr>
              <w:t>名称</w:t>
            </w:r>
          </w:p>
        </w:tc>
        <w:tc>
          <w:tcPr>
            <w:tcW w:w="595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b/>
                <w:color w:val="000000"/>
                <w:sz w:val="18"/>
              </w:rPr>
            </w:pPr>
            <w:r>
              <w:rPr>
                <w:rFonts w:hint="eastAsia" w:ascii="宋体" w:eastAsia="宋体"/>
                <w:b/>
                <w:color w:val="000000"/>
                <w:sz w:val="18"/>
              </w:rPr>
              <w:t>需接入设备名称</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b/>
                <w:color w:val="000000"/>
                <w:sz w:val="18"/>
              </w:rPr>
            </w:pPr>
            <w:r>
              <w:rPr>
                <w:rFonts w:hint="eastAsia" w:ascii="宋体" w:eastAsia="宋体"/>
                <w:b/>
                <w:color w:val="000000"/>
                <w:sz w:val="18"/>
              </w:rPr>
              <w:t>功率估算（瓦)</w:t>
            </w:r>
          </w:p>
        </w:tc>
      </w:tr>
      <w:tr>
        <w:tblPrEx>
          <w:tblLayout w:type="fixed"/>
          <w:tblCellMar>
            <w:top w:w="0" w:type="dxa"/>
            <w:left w:w="108" w:type="dxa"/>
            <w:bottom w:w="0" w:type="dxa"/>
            <w:right w:w="108" w:type="dxa"/>
          </w:tblCellMar>
        </w:tblPrEx>
        <w:trPr>
          <w:trHeight w:val="45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2#变电所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sz w:val="18"/>
              </w:rPr>
            </w:pPr>
            <w:r>
              <w:rPr>
                <w:rFonts w:hint="eastAsia" w:ascii="宋体" w:eastAsia="宋体"/>
                <w:sz w:val="18"/>
              </w:rPr>
              <w:t>环网交换机、防爆计算机、防爆PLC柜、监测监控分站*2、监测监控交换机、人员定位分站、语音广播分站、防爆摄像头*2、门禁、综合分站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1232.4</w:t>
            </w:r>
          </w:p>
        </w:tc>
      </w:tr>
      <w:tr>
        <w:tblPrEx>
          <w:tblLayout w:type="fixed"/>
          <w:tblCellMar>
            <w:top w:w="0" w:type="dxa"/>
            <w:left w:w="108" w:type="dxa"/>
            <w:bottom w:w="0" w:type="dxa"/>
            <w:right w:w="108" w:type="dxa"/>
          </w:tblCellMar>
        </w:tblPrEx>
        <w:trPr>
          <w:trHeight w:val="45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2</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107机头变电所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环网交换机、防爆PLC柜、监测监控分站、监测监控交换机、防爆摄像头*2、门禁、综合分站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867.6</w:t>
            </w:r>
          </w:p>
        </w:tc>
      </w:tr>
      <w:tr>
        <w:tblPrEx>
          <w:tblLayout w:type="fixed"/>
          <w:tblCellMar>
            <w:top w:w="0" w:type="dxa"/>
            <w:left w:w="108" w:type="dxa"/>
            <w:bottom w:w="0" w:type="dxa"/>
            <w:right w:w="108" w:type="dxa"/>
          </w:tblCellMar>
        </w:tblPrEx>
        <w:trPr>
          <w:trHeight w:val="675"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3</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6#变电所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环网交换机、防爆计算机、防爆PLC柜*2、监测监控分站*3、监测监控交换机、人员定位分站、语音广播分站、基站控制器、基站控制器光端机、防爆摄像头*4、门禁、电话光端机、综合分站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2067.6</w:t>
            </w:r>
          </w:p>
        </w:tc>
      </w:tr>
      <w:tr>
        <w:tblPrEx>
          <w:tblLayout w:type="fixed"/>
          <w:tblCellMar>
            <w:top w:w="0" w:type="dxa"/>
            <w:left w:w="108" w:type="dxa"/>
            <w:bottom w:w="0" w:type="dxa"/>
            <w:right w:w="108" w:type="dxa"/>
          </w:tblCellMar>
        </w:tblPrEx>
        <w:trPr>
          <w:trHeight w:val="675"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4</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5#变电所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环网交换机、防爆计算机、防爆PLC柜、监测监控分站、监测监控交换机、人员定位分站、语音广播分站、基站控制器、基站控制器光端机、防爆摄像头*4、综合分站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1477.2</w:t>
            </w:r>
          </w:p>
        </w:tc>
      </w:tr>
      <w:tr>
        <w:tblPrEx>
          <w:tblLayout w:type="fixed"/>
          <w:tblCellMar>
            <w:top w:w="0" w:type="dxa"/>
            <w:left w:w="108" w:type="dxa"/>
            <w:bottom w:w="0" w:type="dxa"/>
            <w:right w:w="108" w:type="dxa"/>
          </w:tblCellMar>
        </w:tblPrEx>
        <w:trPr>
          <w:trHeight w:val="675"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5</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4#水泵房配电室</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sz w:val="18"/>
              </w:rPr>
            </w:pPr>
            <w:r>
              <w:rPr>
                <w:rFonts w:hint="eastAsia" w:ascii="宋体" w:eastAsia="宋体"/>
                <w:sz w:val="18"/>
              </w:rPr>
              <w:t>环网交换机、电力监控交换机、防爆PLC柜*2、人员定位分站、语音广播分站、监测监控分站、监测监控交换机、防爆摄像头*2、门禁分站、综合分站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1316.4</w:t>
            </w:r>
          </w:p>
        </w:tc>
      </w:tr>
      <w:tr>
        <w:tblPrEx>
          <w:tblLayout w:type="fixed"/>
          <w:tblCellMar>
            <w:top w:w="0" w:type="dxa"/>
            <w:left w:w="108" w:type="dxa"/>
            <w:bottom w:w="0" w:type="dxa"/>
            <w:right w:w="108" w:type="dxa"/>
          </w:tblCellMar>
        </w:tblPrEx>
        <w:trPr>
          <w:trHeight w:val="675"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6</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3#变电所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sz w:val="18"/>
              </w:rPr>
            </w:pPr>
            <w:r>
              <w:rPr>
                <w:rFonts w:hint="eastAsia" w:ascii="宋体" w:eastAsia="宋体"/>
                <w:sz w:val="18"/>
              </w:rPr>
              <w:t>环网交换机、防爆计算机、防爆PLC柜*2、监测监控分站*2、监测监控交换机、人员定位分站、语音广播分站、防爆摄像头*4、门禁分站、综合分站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1491.6</w:t>
            </w:r>
          </w:p>
        </w:tc>
      </w:tr>
      <w:tr>
        <w:tblPrEx>
          <w:tblLayout w:type="fixed"/>
          <w:tblCellMar>
            <w:top w:w="0" w:type="dxa"/>
            <w:left w:w="108" w:type="dxa"/>
            <w:bottom w:w="0" w:type="dxa"/>
            <w:right w:w="108" w:type="dxa"/>
          </w:tblCellMar>
        </w:tblPrEx>
        <w:trPr>
          <w:trHeight w:val="45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7</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22煤四盘区中驱胶带机配电室</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防爆PLC柜、监测监控分站、监测监控交换机、人员定位分站、语音广播分站、电力监控分站、电力监控交换机、防爆摄像头*2、综合分站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810</w:t>
            </w:r>
          </w:p>
        </w:tc>
      </w:tr>
      <w:tr>
        <w:tblPrEx>
          <w:tblLayout w:type="fixed"/>
          <w:tblCellMar>
            <w:top w:w="0" w:type="dxa"/>
            <w:left w:w="108" w:type="dxa"/>
            <w:bottom w:w="0" w:type="dxa"/>
            <w:right w:w="108" w:type="dxa"/>
          </w:tblCellMar>
        </w:tblPrEx>
        <w:trPr>
          <w:trHeight w:val="45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8</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22煤三盘区203胶带机配电室</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环网交换机、防爆PLC柜、监测监控分站、监测监控交换机、人员定位分站、语音广播分站、防爆摄像头*2、综合分站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930</w:t>
            </w:r>
          </w:p>
        </w:tc>
      </w:tr>
      <w:tr>
        <w:tblPrEx>
          <w:tblLayout w:type="fixed"/>
          <w:tblCellMar>
            <w:top w:w="0" w:type="dxa"/>
            <w:left w:w="108" w:type="dxa"/>
            <w:bottom w:w="0" w:type="dxa"/>
            <w:right w:w="108" w:type="dxa"/>
          </w:tblCellMar>
        </w:tblPrEx>
        <w:trPr>
          <w:trHeight w:val="45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9</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106机头变电所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摄像头*2、环网交换机、人员定位分站、一般型PLC柜、门禁、监测监控分站*2、监测监控交换机、语音广播分站、综合分站*2</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932.4</w:t>
            </w:r>
          </w:p>
        </w:tc>
      </w:tr>
      <w:tr>
        <w:tblPrEx>
          <w:tblLayout w:type="fixed"/>
          <w:tblCellMar>
            <w:top w:w="0" w:type="dxa"/>
            <w:left w:w="108" w:type="dxa"/>
            <w:bottom w:w="0" w:type="dxa"/>
            <w:right w:w="108" w:type="dxa"/>
          </w:tblCellMar>
        </w:tblPrEx>
        <w:trPr>
          <w:trHeight w:val="675"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10</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防爆摄像头*2、门禁、重庆煤科院交换机、语音广播分站、一般型PLC柜、人员定位分站、防爆计算机、监测监控分站、监测监控交换机、综合分站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896.4</w:t>
            </w:r>
          </w:p>
        </w:tc>
      </w:tr>
      <w:tr>
        <w:tblPrEx>
          <w:tblLayout w:type="fixed"/>
          <w:tblCellMar>
            <w:top w:w="0" w:type="dxa"/>
            <w:left w:w="108" w:type="dxa"/>
            <w:bottom w:w="0" w:type="dxa"/>
            <w:right w:w="108" w:type="dxa"/>
          </w:tblCellMar>
        </w:tblPrEx>
        <w:trPr>
          <w:trHeight w:val="45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11</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4#变电所</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人员定位分站、防爆PLC柜、防爆摄像头、门禁、语音广播分站、监测监控分站、监测监控交换机、综合分站、防爆计算机</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922.8</w:t>
            </w:r>
          </w:p>
        </w:tc>
      </w:tr>
      <w:tr>
        <w:tblPrEx>
          <w:tblLayout w:type="fixed"/>
          <w:tblCellMar>
            <w:top w:w="0" w:type="dxa"/>
            <w:left w:w="108" w:type="dxa"/>
            <w:bottom w:w="0" w:type="dxa"/>
            <w:right w:w="108" w:type="dxa"/>
          </w:tblCellMar>
        </w:tblPrEx>
        <w:trPr>
          <w:trHeight w:val="69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12</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连掘一队一部皮带机头</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华宁皮带集控计算机、重庆煤科院网络交换机、科达交换机、防爆计算机、人员定位分站、语音广播分站、监测监控分站、防爆摄像头*2、综合分站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1092</w:t>
            </w:r>
          </w:p>
        </w:tc>
      </w:tr>
      <w:tr>
        <w:tblPrEx>
          <w:tblLayout w:type="fixed"/>
          <w:tblCellMar>
            <w:top w:w="0" w:type="dxa"/>
            <w:left w:w="108" w:type="dxa"/>
            <w:bottom w:w="0" w:type="dxa"/>
            <w:right w:w="108" w:type="dxa"/>
          </w:tblCellMar>
        </w:tblPrEx>
        <w:trPr>
          <w:trHeight w:val="630"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13</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color w:val="000000"/>
                <w:sz w:val="18"/>
              </w:rPr>
            </w:pPr>
            <w:r>
              <w:rPr>
                <w:rFonts w:hint="eastAsia" w:ascii="宋体" w:eastAsia="宋体"/>
                <w:color w:val="000000"/>
                <w:sz w:val="18"/>
              </w:rPr>
              <w:t>掘锚二队一部皮带机头</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color w:val="000000"/>
                <w:sz w:val="18"/>
              </w:rPr>
            </w:pPr>
            <w:r>
              <w:rPr>
                <w:rFonts w:hint="eastAsia" w:ascii="宋体" w:eastAsia="宋体"/>
                <w:color w:val="000000"/>
                <w:sz w:val="18"/>
              </w:rPr>
              <w:t>华宁皮带集控电脑、重庆煤科院网络交换机、科达交换机、防爆计算机、人员定位分站、语音广播分站、监测监控分站、防爆摄像头*2、综合分站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1092</w:t>
            </w:r>
          </w:p>
        </w:tc>
      </w:tr>
      <w:tr>
        <w:tblPrEx>
          <w:tblLayout w:type="fixed"/>
          <w:tblCellMar>
            <w:top w:w="0" w:type="dxa"/>
            <w:left w:w="108" w:type="dxa"/>
            <w:bottom w:w="0" w:type="dxa"/>
            <w:right w:w="108" w:type="dxa"/>
          </w:tblCellMar>
        </w:tblPrEx>
        <w:trPr>
          <w:trHeight w:val="675" w:hRule="atLeast"/>
        </w:trPr>
        <w:tc>
          <w:tcPr>
            <w:tcW w:w="64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14</w:t>
            </w:r>
          </w:p>
        </w:tc>
        <w:tc>
          <w:tcPr>
            <w:tcW w:w="181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掘锚一队一部皮带机头</w:t>
            </w:r>
          </w:p>
        </w:tc>
        <w:tc>
          <w:tcPr>
            <w:tcW w:w="5955" w:type="dxa"/>
            <w:tcBorders>
              <w:top w:val="single" w:color="auto" w:sz="6" w:space="0"/>
              <w:left w:val="single" w:color="auto" w:sz="6" w:space="0"/>
              <w:bottom w:val="single" w:color="auto" w:sz="6" w:space="0"/>
              <w:right w:val="single" w:color="auto" w:sz="6" w:space="0"/>
            </w:tcBorders>
            <w:vAlign w:val="center"/>
          </w:tcPr>
          <w:p>
            <w:pPr>
              <w:rPr>
                <w:rFonts w:hint="eastAsia" w:ascii="宋体" w:eastAsia="宋体"/>
                <w:sz w:val="18"/>
              </w:rPr>
            </w:pPr>
            <w:r>
              <w:rPr>
                <w:rFonts w:hint="eastAsia" w:ascii="宋体" w:eastAsia="宋体"/>
                <w:sz w:val="18"/>
              </w:rPr>
              <w:t>华宁皮带集控电脑、重庆煤科院网络交换机、科达交换机、防爆计算机*2、人员定位分站、语音广播分站、监测监控分站、防爆摄像头*2、综合分站</w:t>
            </w:r>
          </w:p>
        </w:tc>
        <w:tc>
          <w:tcPr>
            <w:tcW w:w="1485"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sz w:val="18"/>
              </w:rPr>
            </w:pPr>
            <w:r>
              <w:rPr>
                <w:rFonts w:hint="eastAsia" w:ascii="宋体" w:eastAsia="宋体"/>
                <w:sz w:val="18"/>
              </w:rPr>
              <w:t>1380</w:t>
            </w:r>
          </w:p>
        </w:tc>
      </w:tr>
    </w:tbl>
    <w:p>
      <w:pPr>
        <w:spacing w:line="360" w:lineRule="auto"/>
        <w:rPr>
          <w:rFonts w:hint="eastAsia" w:ascii="宋体" w:cs="Arial"/>
          <w:szCs w:val="21"/>
          <w:lang w:val="en-US" w:eastAsia="zh-CN"/>
        </w:rPr>
      </w:pPr>
      <w:r>
        <w:rPr>
          <w:rFonts w:hint="eastAsia" w:ascii="宋体" w:cs="Arial"/>
          <w:szCs w:val="21"/>
          <w:lang w:val="en-US" w:eastAsia="zh-CN"/>
        </w:rPr>
        <w:t>注意：上述功率值为估算参考值，以实际参数为准。</w:t>
      </w:r>
    </w:p>
    <w:p>
      <w:pPr>
        <w:spacing w:line="360" w:lineRule="auto"/>
        <w:rPr>
          <w:rFonts w:hint="eastAsia" w:ascii="宋体" w:cs="Arial"/>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tentative="0">
      <w:start w:val="1"/>
      <w:numFmt w:val="decimal"/>
      <w:lvlText w:val="4.7.%1"/>
      <w:lvlJc w:val="left"/>
      <w:pPr>
        <w:tabs>
          <w:tab w:val="left" w:pos="0"/>
        </w:tabs>
        <w:ind w:left="0" w:firstLine="0"/>
      </w:pPr>
      <w:rPr>
        <w:rFonts w:hint="eastAsia"/>
      </w:rPr>
    </w:lvl>
    <w:lvl w:ilvl="1" w:tentative="0">
      <w:start w:val="1"/>
      <w:numFmt w:val="none"/>
      <w:pStyle w:val="3"/>
      <w:suff w:val="nothing"/>
      <w:lvlText w:val=""/>
      <w:lvlJc w:val="left"/>
      <w:pPr>
        <w:tabs>
          <w:tab w:val="left" w:pos="0"/>
        </w:tabs>
        <w:ind w:left="0" w:firstLine="0"/>
      </w:pPr>
      <w:rPr>
        <w:rFonts w:hint="eastAsia"/>
      </w:rPr>
    </w:lvl>
    <w:lvl w:ilvl="2" w:tentative="0">
      <w:start w:val="1"/>
      <w:numFmt w:val="none"/>
      <w:pStyle w:val="4"/>
      <w:suff w:val="nothing"/>
      <w:lvlText w:val=""/>
      <w:lvlJc w:val="left"/>
      <w:pPr>
        <w:tabs>
          <w:tab w:val="left" w:pos="0"/>
        </w:tabs>
        <w:ind w:left="0" w:firstLine="0"/>
      </w:pPr>
      <w:rPr>
        <w:rFonts w:hint="eastAsia"/>
      </w:rPr>
    </w:lvl>
    <w:lvl w:ilvl="3" w:tentative="0">
      <w:start w:val="1"/>
      <w:numFmt w:val="none"/>
      <w:pStyle w:val="5"/>
      <w:suff w:val="nothing"/>
      <w:lvlText w:val=""/>
      <w:lvlJc w:val="left"/>
      <w:pPr>
        <w:tabs>
          <w:tab w:val="left" w:pos="0"/>
        </w:tabs>
        <w:ind w:left="0" w:firstLine="0"/>
      </w:pPr>
      <w:rPr>
        <w:rFonts w:hint="eastAsia"/>
      </w:rPr>
    </w:lvl>
    <w:lvl w:ilvl="4" w:tentative="0">
      <w:start w:val="1"/>
      <w:numFmt w:val="none"/>
      <w:pStyle w:val="6"/>
      <w:suff w:val="nothing"/>
      <w:lvlText w:val=""/>
      <w:lvlJc w:val="left"/>
      <w:pPr>
        <w:tabs>
          <w:tab w:val="left" w:pos="0"/>
        </w:tabs>
        <w:ind w:left="0" w:firstLine="0"/>
      </w:pPr>
      <w:rPr>
        <w:rFonts w:hint="eastAsia"/>
      </w:rPr>
    </w:lvl>
    <w:lvl w:ilvl="5" w:tentative="0">
      <w:start w:val="1"/>
      <w:numFmt w:val="none"/>
      <w:pStyle w:val="7"/>
      <w:suff w:val="nothing"/>
      <w:lvlText w:val=""/>
      <w:lvlJc w:val="left"/>
      <w:pPr>
        <w:tabs>
          <w:tab w:val="left" w:pos="0"/>
        </w:tabs>
        <w:ind w:left="0" w:firstLine="0"/>
      </w:pPr>
      <w:rPr>
        <w:rFonts w:hint="eastAsia"/>
      </w:rPr>
    </w:lvl>
    <w:lvl w:ilvl="6" w:tentative="0">
      <w:start w:val="1"/>
      <w:numFmt w:val="none"/>
      <w:pStyle w:val="8"/>
      <w:suff w:val="nothing"/>
      <w:lvlText w:val=""/>
      <w:lvlJc w:val="left"/>
      <w:pPr>
        <w:tabs>
          <w:tab w:val="left" w:pos="0"/>
        </w:tabs>
        <w:ind w:left="0" w:firstLine="0"/>
      </w:pPr>
      <w:rPr>
        <w:rFonts w:hint="eastAsia"/>
      </w:rPr>
    </w:lvl>
    <w:lvl w:ilvl="7" w:tentative="0">
      <w:start w:val="1"/>
      <w:numFmt w:val="none"/>
      <w:pStyle w:val="9"/>
      <w:suff w:val="nothing"/>
      <w:lvlText w:val=""/>
      <w:lvlJc w:val="left"/>
      <w:pPr>
        <w:tabs>
          <w:tab w:val="left" w:pos="0"/>
        </w:tabs>
        <w:ind w:left="0" w:firstLine="0"/>
      </w:pPr>
      <w:rPr>
        <w:rFonts w:hint="eastAsia"/>
      </w:rPr>
    </w:lvl>
    <w:lvl w:ilvl="8" w:tentative="0">
      <w:start w:val="1"/>
      <w:numFmt w:val="none"/>
      <w:pStyle w:val="10"/>
      <w:suff w:val="nothing"/>
      <w:lvlText w:val=""/>
      <w:lvlJc w:val="left"/>
      <w:pPr>
        <w:tabs>
          <w:tab w:val="left" w:pos="0"/>
        </w:tabs>
        <w:ind w:left="0" w:firstLine="0"/>
      </w:pPr>
      <w:rPr>
        <w:rFonts w:hint="eastAsia"/>
      </w:rPr>
    </w:lvl>
  </w:abstractNum>
  <w:abstractNum w:abstractNumId="1">
    <w:nsid w:val="3A5927ED"/>
    <w:multiLevelType w:val="multilevel"/>
    <w:tmpl w:val="3A5927ED"/>
    <w:lvl w:ilvl="0" w:tentative="0">
      <w:start w:val="1"/>
      <w:numFmt w:val="decimal"/>
      <w:lvlText w:val="%1."/>
      <w:lvlJc w:val="left"/>
      <w:pPr>
        <w:tabs>
          <w:tab w:val="left" w:pos="786"/>
        </w:tabs>
        <w:ind w:left="786" w:hanging="360"/>
      </w:pPr>
      <w:rPr>
        <w:rFonts w:hint="default"/>
      </w:rPr>
    </w:lvl>
    <w:lvl w:ilvl="1" w:tentative="0">
      <w:start w:val="1"/>
      <w:numFmt w:val="bullet"/>
      <w:lvlText w:val=""/>
      <w:lvlJc w:val="left"/>
      <w:pPr>
        <w:tabs>
          <w:tab w:val="left" w:pos="960"/>
        </w:tabs>
        <w:ind w:left="960" w:hanging="420"/>
      </w:pPr>
      <w:rPr>
        <w:rFonts w:hint="default" w:ascii="Wingdings" w:hAnsi="Wingdings"/>
      </w:rPr>
    </w:lvl>
    <w:lvl w:ilvl="2" w:tentative="0">
      <w:start w:val="1"/>
      <w:numFmt w:val="decimal"/>
      <w:lvlText w:val="%3、"/>
      <w:lvlJc w:val="left"/>
      <w:pPr>
        <w:tabs>
          <w:tab w:val="left" w:pos="1680"/>
        </w:tabs>
        <w:ind w:left="1680" w:hanging="720"/>
      </w:pPr>
      <w:rPr>
        <w:rFonts w:hint="eastAsia"/>
      </w:rPr>
    </w:lvl>
    <w:lvl w:ilvl="3" w:tentative="0">
      <w:start w:val="1"/>
      <w:numFmt w:val="bullet"/>
      <w:lvlText w:val=""/>
      <w:lvlJc w:val="left"/>
      <w:pPr>
        <w:tabs>
          <w:tab w:val="left" w:pos="1800"/>
        </w:tabs>
        <w:ind w:left="1800" w:hanging="420"/>
      </w:pPr>
      <w:rPr>
        <w:rFonts w:hint="default" w:ascii="Wingdings" w:hAnsi="Wingdings"/>
      </w:rPr>
    </w:lvl>
    <w:lvl w:ilvl="4" w:tentative="0">
      <w:start w:val="1"/>
      <w:numFmt w:val="bullet"/>
      <w:lvlText w:val=""/>
      <w:lvlJc w:val="left"/>
      <w:pPr>
        <w:tabs>
          <w:tab w:val="left" w:pos="2220"/>
        </w:tabs>
        <w:ind w:left="2220" w:hanging="420"/>
      </w:pPr>
      <w:rPr>
        <w:rFonts w:hint="default" w:ascii="Wingdings" w:hAnsi="Wingdings"/>
      </w:rPr>
    </w:lvl>
    <w:lvl w:ilvl="5" w:tentative="0">
      <w:start w:val="1"/>
      <w:numFmt w:val="bullet"/>
      <w:lvlText w:val=""/>
      <w:lvlJc w:val="left"/>
      <w:pPr>
        <w:tabs>
          <w:tab w:val="left" w:pos="2640"/>
        </w:tabs>
        <w:ind w:left="2640" w:hanging="420"/>
      </w:pPr>
      <w:rPr>
        <w:rFonts w:hint="default" w:ascii="Wingdings" w:hAnsi="Wingdings"/>
      </w:rPr>
    </w:lvl>
    <w:lvl w:ilvl="6" w:tentative="0">
      <w:start w:val="1"/>
      <w:numFmt w:val="bullet"/>
      <w:lvlText w:val=""/>
      <w:lvlJc w:val="left"/>
      <w:pPr>
        <w:tabs>
          <w:tab w:val="left" w:pos="3060"/>
        </w:tabs>
        <w:ind w:left="3060" w:hanging="420"/>
      </w:pPr>
      <w:rPr>
        <w:rFonts w:hint="default" w:ascii="Wingdings" w:hAnsi="Wingdings"/>
      </w:rPr>
    </w:lvl>
    <w:lvl w:ilvl="7" w:tentative="0">
      <w:start w:val="1"/>
      <w:numFmt w:val="bullet"/>
      <w:lvlText w:val=""/>
      <w:lvlJc w:val="left"/>
      <w:pPr>
        <w:tabs>
          <w:tab w:val="left" w:pos="3480"/>
        </w:tabs>
        <w:ind w:left="3480" w:hanging="420"/>
      </w:pPr>
      <w:rPr>
        <w:rFonts w:hint="default" w:ascii="Wingdings" w:hAnsi="Wingdings"/>
      </w:rPr>
    </w:lvl>
    <w:lvl w:ilvl="8" w:tentative="0">
      <w:start w:val="1"/>
      <w:numFmt w:val="bullet"/>
      <w:lvlText w:val=""/>
      <w:lvlJc w:val="left"/>
      <w:pPr>
        <w:tabs>
          <w:tab w:val="left" w:pos="3900"/>
        </w:tabs>
        <w:ind w:left="3900" w:hanging="420"/>
      </w:pPr>
      <w:rPr>
        <w:rFonts w:hint="default" w:ascii="Wingdings" w:hAnsi="Wingdings"/>
      </w:rPr>
    </w:lvl>
  </w:abstractNum>
  <w:abstractNum w:abstractNumId="2">
    <w:nsid w:val="5A6A7F4D"/>
    <w:multiLevelType w:val="multilevel"/>
    <w:tmpl w:val="5A6A7F4D"/>
    <w:lvl w:ilvl="0" w:tentative="0">
      <w:start w:val="1"/>
      <w:numFmt w:val="decimal"/>
      <w:lvlText w:val="%1."/>
      <w:lvlJc w:val="left"/>
      <w:pPr>
        <w:tabs>
          <w:tab w:val="left" w:pos="786"/>
        </w:tabs>
        <w:ind w:left="786" w:hanging="360"/>
      </w:pPr>
      <w:rPr>
        <w:rFonts w:hint="default"/>
      </w:rPr>
    </w:lvl>
    <w:lvl w:ilvl="1" w:tentative="0">
      <w:start w:val="1"/>
      <w:numFmt w:val="bullet"/>
      <w:lvlText w:val=""/>
      <w:lvlJc w:val="left"/>
      <w:pPr>
        <w:tabs>
          <w:tab w:val="left" w:pos="960"/>
        </w:tabs>
        <w:ind w:left="960" w:hanging="420"/>
      </w:pPr>
      <w:rPr>
        <w:rFonts w:hint="default" w:ascii="Wingdings" w:hAnsi="Wingdings"/>
      </w:rPr>
    </w:lvl>
    <w:lvl w:ilvl="2" w:tentative="0">
      <w:start w:val="1"/>
      <w:numFmt w:val="decimal"/>
      <w:lvlText w:val="%3、"/>
      <w:lvlJc w:val="left"/>
      <w:pPr>
        <w:tabs>
          <w:tab w:val="left" w:pos="1680"/>
        </w:tabs>
        <w:ind w:left="1680" w:hanging="720"/>
      </w:pPr>
      <w:rPr>
        <w:rFonts w:hint="eastAsia"/>
      </w:rPr>
    </w:lvl>
    <w:lvl w:ilvl="3" w:tentative="0">
      <w:start w:val="1"/>
      <w:numFmt w:val="bullet"/>
      <w:lvlText w:val=""/>
      <w:lvlJc w:val="left"/>
      <w:pPr>
        <w:tabs>
          <w:tab w:val="left" w:pos="1800"/>
        </w:tabs>
        <w:ind w:left="1800" w:hanging="420"/>
      </w:pPr>
      <w:rPr>
        <w:rFonts w:hint="default" w:ascii="Wingdings" w:hAnsi="Wingdings"/>
      </w:rPr>
    </w:lvl>
    <w:lvl w:ilvl="4" w:tentative="0">
      <w:start w:val="1"/>
      <w:numFmt w:val="bullet"/>
      <w:lvlText w:val=""/>
      <w:lvlJc w:val="left"/>
      <w:pPr>
        <w:tabs>
          <w:tab w:val="left" w:pos="2220"/>
        </w:tabs>
        <w:ind w:left="2220" w:hanging="420"/>
      </w:pPr>
      <w:rPr>
        <w:rFonts w:hint="default" w:ascii="Wingdings" w:hAnsi="Wingdings"/>
      </w:rPr>
    </w:lvl>
    <w:lvl w:ilvl="5" w:tentative="0">
      <w:start w:val="1"/>
      <w:numFmt w:val="bullet"/>
      <w:lvlText w:val=""/>
      <w:lvlJc w:val="left"/>
      <w:pPr>
        <w:tabs>
          <w:tab w:val="left" w:pos="2640"/>
        </w:tabs>
        <w:ind w:left="2640" w:hanging="420"/>
      </w:pPr>
      <w:rPr>
        <w:rFonts w:hint="default" w:ascii="Wingdings" w:hAnsi="Wingdings"/>
      </w:rPr>
    </w:lvl>
    <w:lvl w:ilvl="6" w:tentative="0">
      <w:start w:val="1"/>
      <w:numFmt w:val="bullet"/>
      <w:lvlText w:val=""/>
      <w:lvlJc w:val="left"/>
      <w:pPr>
        <w:tabs>
          <w:tab w:val="left" w:pos="3060"/>
        </w:tabs>
        <w:ind w:left="3060" w:hanging="420"/>
      </w:pPr>
      <w:rPr>
        <w:rFonts w:hint="default" w:ascii="Wingdings" w:hAnsi="Wingdings"/>
      </w:rPr>
    </w:lvl>
    <w:lvl w:ilvl="7" w:tentative="0">
      <w:start w:val="1"/>
      <w:numFmt w:val="bullet"/>
      <w:lvlText w:val=""/>
      <w:lvlJc w:val="left"/>
      <w:pPr>
        <w:tabs>
          <w:tab w:val="left" w:pos="3480"/>
        </w:tabs>
        <w:ind w:left="3480" w:hanging="420"/>
      </w:pPr>
      <w:rPr>
        <w:rFonts w:hint="default" w:ascii="Wingdings" w:hAnsi="Wingdings"/>
      </w:rPr>
    </w:lvl>
    <w:lvl w:ilvl="8" w:tentative="0">
      <w:start w:val="1"/>
      <w:numFmt w:val="bullet"/>
      <w:lvlText w:val=""/>
      <w:lvlJc w:val="left"/>
      <w:pPr>
        <w:tabs>
          <w:tab w:val="left" w:pos="3900"/>
        </w:tabs>
        <w:ind w:left="3900" w:hanging="420"/>
      </w:pPr>
      <w:rPr>
        <w:rFonts w:hint="default" w:ascii="Wingdings" w:hAnsi="Wingdings"/>
      </w:rPr>
    </w:lvl>
  </w:abstractNum>
  <w:abstractNum w:abstractNumId="3">
    <w:nsid w:val="5AB05D2D"/>
    <w:multiLevelType w:val="singleLevel"/>
    <w:tmpl w:val="5AB05D2D"/>
    <w:lvl w:ilvl="0" w:tentative="0">
      <w:start w:val="1"/>
      <w:numFmt w:val="decimal"/>
      <w:suff w:val="space"/>
      <w:lvlText w:val="%1."/>
      <w:lvlJc w:val="left"/>
    </w:lvl>
  </w:abstractNum>
  <w:abstractNum w:abstractNumId="4">
    <w:nsid w:val="5AB0621F"/>
    <w:multiLevelType w:val="singleLevel"/>
    <w:tmpl w:val="5AB0621F"/>
    <w:lvl w:ilvl="0" w:tentative="0">
      <w:start w:val="4"/>
      <w:numFmt w:val="chineseCounting"/>
      <w:suff w:val="nothing"/>
      <w:lvlText w:val="（%1）"/>
      <w:lvlJc w:val="left"/>
    </w:lvl>
  </w:abstractNum>
  <w:abstractNum w:abstractNumId="5">
    <w:nsid w:val="5AB06445"/>
    <w:multiLevelType w:val="singleLevel"/>
    <w:tmpl w:val="5AB06445"/>
    <w:lvl w:ilvl="0" w:tentative="0">
      <w:start w:val="2"/>
      <w:numFmt w:val="chineseCounting"/>
      <w:suff w:val="space"/>
      <w:lvlText w:val="%1、"/>
      <w:lvlJc w:val="left"/>
    </w:lvl>
  </w:abstractNum>
  <w:abstractNum w:abstractNumId="6">
    <w:nsid w:val="66CF5740"/>
    <w:multiLevelType w:val="multilevel"/>
    <w:tmpl w:val="66CF5740"/>
    <w:lvl w:ilvl="0" w:tentative="0">
      <w:start w:val="1"/>
      <w:numFmt w:val="bullet"/>
      <w:lvlText w:val=""/>
      <w:lvlJc w:val="left"/>
      <w:pPr>
        <w:tabs>
          <w:tab w:val="left" w:pos="1320"/>
        </w:tabs>
        <w:ind w:left="1320" w:hanging="420"/>
      </w:pPr>
      <w:rPr>
        <w:rFonts w:hint="default" w:ascii="Wingdings" w:hAnsi="Wingdings"/>
      </w:rPr>
    </w:lvl>
    <w:lvl w:ilvl="1" w:tentative="0">
      <w:start w:val="1"/>
      <w:numFmt w:val="decimal"/>
      <w:lvlText w:val="（%2）"/>
      <w:lvlJc w:val="left"/>
      <w:pPr>
        <w:ind w:left="1004" w:hanging="720"/>
      </w:pPr>
      <w:rPr>
        <w:rFonts w:hint="default"/>
      </w:rPr>
    </w:lvl>
    <w:lvl w:ilvl="2" w:tentative="0">
      <w:start w:val="1"/>
      <w:numFmt w:val="decimal"/>
      <w:lvlText w:val="%1.%2.%3"/>
      <w:lvlJc w:val="left"/>
      <w:pPr>
        <w:tabs>
          <w:tab w:val="left" w:pos="1620"/>
        </w:tabs>
        <w:ind w:left="1620" w:hanging="720"/>
      </w:pPr>
      <w:rPr>
        <w:rFonts w:hint="default"/>
      </w:rPr>
    </w:lvl>
    <w:lvl w:ilvl="3" w:tentative="0">
      <w:start w:val="1"/>
      <w:numFmt w:val="decimal"/>
      <w:lvlText w:val="%1.%2.%3.%4"/>
      <w:lvlJc w:val="left"/>
      <w:pPr>
        <w:tabs>
          <w:tab w:val="left" w:pos="1980"/>
        </w:tabs>
        <w:ind w:left="1980" w:hanging="1080"/>
      </w:pPr>
      <w:rPr>
        <w:rFonts w:hint="default"/>
      </w:rPr>
    </w:lvl>
    <w:lvl w:ilvl="4" w:tentative="0">
      <w:start w:val="1"/>
      <w:numFmt w:val="decimal"/>
      <w:lvlText w:val="%1.%2.%3.%4.%5"/>
      <w:lvlJc w:val="left"/>
      <w:pPr>
        <w:tabs>
          <w:tab w:val="left" w:pos="2340"/>
        </w:tabs>
        <w:ind w:left="2340" w:hanging="1440"/>
      </w:pPr>
      <w:rPr>
        <w:rFonts w:hint="default"/>
      </w:rPr>
    </w:lvl>
    <w:lvl w:ilvl="5" w:tentative="0">
      <w:start w:val="1"/>
      <w:numFmt w:val="decimal"/>
      <w:lvlText w:val="%1.%2.%3.%4.%5.%6"/>
      <w:lvlJc w:val="left"/>
      <w:pPr>
        <w:tabs>
          <w:tab w:val="left" w:pos="2700"/>
        </w:tabs>
        <w:ind w:left="2700" w:hanging="1800"/>
      </w:pPr>
      <w:rPr>
        <w:rFonts w:hint="default"/>
      </w:rPr>
    </w:lvl>
    <w:lvl w:ilvl="6" w:tentative="0">
      <w:start w:val="1"/>
      <w:numFmt w:val="decimal"/>
      <w:lvlText w:val="%1.%2.%3.%4.%5.%6.%7"/>
      <w:lvlJc w:val="left"/>
      <w:pPr>
        <w:tabs>
          <w:tab w:val="left" w:pos="2700"/>
        </w:tabs>
        <w:ind w:left="2700" w:hanging="1800"/>
      </w:pPr>
      <w:rPr>
        <w:rFonts w:hint="default"/>
      </w:rPr>
    </w:lvl>
    <w:lvl w:ilvl="7" w:tentative="0">
      <w:start w:val="1"/>
      <w:numFmt w:val="decimal"/>
      <w:lvlText w:val="%1.%2.%3.%4.%5.%6.%7.%8"/>
      <w:lvlJc w:val="left"/>
      <w:pPr>
        <w:tabs>
          <w:tab w:val="left" w:pos="3060"/>
        </w:tabs>
        <w:ind w:left="3060" w:hanging="2160"/>
      </w:pPr>
      <w:rPr>
        <w:rFonts w:hint="default"/>
      </w:rPr>
    </w:lvl>
    <w:lvl w:ilvl="8" w:tentative="0">
      <w:start w:val="1"/>
      <w:numFmt w:val="decimal"/>
      <w:lvlText w:val="%1.%2.%3.%4.%5.%6.%7.%8.%9"/>
      <w:lvlJc w:val="left"/>
      <w:pPr>
        <w:tabs>
          <w:tab w:val="left" w:pos="3420"/>
        </w:tabs>
        <w:ind w:left="3420" w:hanging="2520"/>
      </w:pPr>
      <w:rPr>
        <w:rFonts w:hint="default"/>
      </w:rPr>
    </w:lvl>
  </w:abstractNum>
  <w:num w:numId="1">
    <w:abstractNumId w:val="0"/>
  </w:num>
  <w:num w:numId="2">
    <w:abstractNumId w:val="5"/>
  </w:num>
  <w:num w:numId="3">
    <w:abstractNumId w:val="4"/>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BD"/>
    <w:rsid w:val="000067E4"/>
    <w:rsid w:val="000157E5"/>
    <w:rsid w:val="000518A7"/>
    <w:rsid w:val="00083B87"/>
    <w:rsid w:val="000C6C8F"/>
    <w:rsid w:val="00106987"/>
    <w:rsid w:val="00130434"/>
    <w:rsid w:val="00132BCA"/>
    <w:rsid w:val="001613ED"/>
    <w:rsid w:val="00182D07"/>
    <w:rsid w:val="001B3A5A"/>
    <w:rsid w:val="001B73CD"/>
    <w:rsid w:val="001D799D"/>
    <w:rsid w:val="001E3002"/>
    <w:rsid w:val="001E7837"/>
    <w:rsid w:val="001F71EC"/>
    <w:rsid w:val="00204D33"/>
    <w:rsid w:val="00207562"/>
    <w:rsid w:val="00225CCE"/>
    <w:rsid w:val="0023664D"/>
    <w:rsid w:val="00246DF5"/>
    <w:rsid w:val="0025332C"/>
    <w:rsid w:val="0026243D"/>
    <w:rsid w:val="002A2585"/>
    <w:rsid w:val="002A2DA9"/>
    <w:rsid w:val="002C57FD"/>
    <w:rsid w:val="002C5ABD"/>
    <w:rsid w:val="002D7B36"/>
    <w:rsid w:val="00322480"/>
    <w:rsid w:val="003241A4"/>
    <w:rsid w:val="00337F42"/>
    <w:rsid w:val="00347926"/>
    <w:rsid w:val="00387209"/>
    <w:rsid w:val="003B7981"/>
    <w:rsid w:val="003D7671"/>
    <w:rsid w:val="003F44B1"/>
    <w:rsid w:val="003F4EED"/>
    <w:rsid w:val="004046F1"/>
    <w:rsid w:val="00405D7F"/>
    <w:rsid w:val="00406875"/>
    <w:rsid w:val="00410032"/>
    <w:rsid w:val="004162CB"/>
    <w:rsid w:val="004204A5"/>
    <w:rsid w:val="004343B2"/>
    <w:rsid w:val="00440F6D"/>
    <w:rsid w:val="00454B20"/>
    <w:rsid w:val="00466248"/>
    <w:rsid w:val="00476F27"/>
    <w:rsid w:val="004E0308"/>
    <w:rsid w:val="0053305D"/>
    <w:rsid w:val="00540CB8"/>
    <w:rsid w:val="0059540D"/>
    <w:rsid w:val="00595C9D"/>
    <w:rsid w:val="005A0BE6"/>
    <w:rsid w:val="005C6F54"/>
    <w:rsid w:val="005D3D17"/>
    <w:rsid w:val="005E0EE4"/>
    <w:rsid w:val="005E3907"/>
    <w:rsid w:val="0064083C"/>
    <w:rsid w:val="0065691B"/>
    <w:rsid w:val="006619BB"/>
    <w:rsid w:val="006A7CBE"/>
    <w:rsid w:val="006B4D10"/>
    <w:rsid w:val="006C4E49"/>
    <w:rsid w:val="006E20B6"/>
    <w:rsid w:val="006F115C"/>
    <w:rsid w:val="006F37F3"/>
    <w:rsid w:val="0070527B"/>
    <w:rsid w:val="007278A0"/>
    <w:rsid w:val="00731FE7"/>
    <w:rsid w:val="0073365A"/>
    <w:rsid w:val="007604E6"/>
    <w:rsid w:val="0076791C"/>
    <w:rsid w:val="00770B66"/>
    <w:rsid w:val="00777965"/>
    <w:rsid w:val="007D1B8D"/>
    <w:rsid w:val="007F18F4"/>
    <w:rsid w:val="00852DE9"/>
    <w:rsid w:val="00890A7B"/>
    <w:rsid w:val="0089123D"/>
    <w:rsid w:val="008A2405"/>
    <w:rsid w:val="008E262A"/>
    <w:rsid w:val="008F2223"/>
    <w:rsid w:val="009051EF"/>
    <w:rsid w:val="00922B50"/>
    <w:rsid w:val="00943E6F"/>
    <w:rsid w:val="009464D9"/>
    <w:rsid w:val="00956E8D"/>
    <w:rsid w:val="00961E1A"/>
    <w:rsid w:val="00A23EA9"/>
    <w:rsid w:val="00A32731"/>
    <w:rsid w:val="00A52CB2"/>
    <w:rsid w:val="00A70585"/>
    <w:rsid w:val="00A904B6"/>
    <w:rsid w:val="00A95724"/>
    <w:rsid w:val="00AA22AA"/>
    <w:rsid w:val="00AB1208"/>
    <w:rsid w:val="00AD37B3"/>
    <w:rsid w:val="00B064B8"/>
    <w:rsid w:val="00B16C71"/>
    <w:rsid w:val="00B218F7"/>
    <w:rsid w:val="00B26100"/>
    <w:rsid w:val="00B26D4B"/>
    <w:rsid w:val="00B37E61"/>
    <w:rsid w:val="00B77F2A"/>
    <w:rsid w:val="00B82976"/>
    <w:rsid w:val="00BC1654"/>
    <w:rsid w:val="00BC59E6"/>
    <w:rsid w:val="00BE10EB"/>
    <w:rsid w:val="00BE19FA"/>
    <w:rsid w:val="00BE66F4"/>
    <w:rsid w:val="00C1148B"/>
    <w:rsid w:val="00C27306"/>
    <w:rsid w:val="00C4783F"/>
    <w:rsid w:val="00C77D05"/>
    <w:rsid w:val="00C811AD"/>
    <w:rsid w:val="00CA039B"/>
    <w:rsid w:val="00CA18E1"/>
    <w:rsid w:val="00CA6B36"/>
    <w:rsid w:val="00CB6D92"/>
    <w:rsid w:val="00CC5F1A"/>
    <w:rsid w:val="00CD3B4B"/>
    <w:rsid w:val="00CE7A0F"/>
    <w:rsid w:val="00CF54BE"/>
    <w:rsid w:val="00D171C3"/>
    <w:rsid w:val="00D27C22"/>
    <w:rsid w:val="00D659CB"/>
    <w:rsid w:val="00D704FF"/>
    <w:rsid w:val="00D7188D"/>
    <w:rsid w:val="00D74811"/>
    <w:rsid w:val="00DB19C8"/>
    <w:rsid w:val="00DB7000"/>
    <w:rsid w:val="00DC623C"/>
    <w:rsid w:val="00DC7150"/>
    <w:rsid w:val="00DE7507"/>
    <w:rsid w:val="00E2026F"/>
    <w:rsid w:val="00E2622D"/>
    <w:rsid w:val="00E30EC5"/>
    <w:rsid w:val="00E31027"/>
    <w:rsid w:val="00E31358"/>
    <w:rsid w:val="00E67455"/>
    <w:rsid w:val="00E71269"/>
    <w:rsid w:val="00EA7F8B"/>
    <w:rsid w:val="00ED1BFD"/>
    <w:rsid w:val="00ED42DC"/>
    <w:rsid w:val="00ED7FC5"/>
    <w:rsid w:val="00EE3746"/>
    <w:rsid w:val="00EE5C8D"/>
    <w:rsid w:val="00F0396D"/>
    <w:rsid w:val="00F04A9E"/>
    <w:rsid w:val="00F161A4"/>
    <w:rsid w:val="00F22FE2"/>
    <w:rsid w:val="00F254A8"/>
    <w:rsid w:val="00F41AE5"/>
    <w:rsid w:val="00F51156"/>
    <w:rsid w:val="00F55433"/>
    <w:rsid w:val="00F755A4"/>
    <w:rsid w:val="00F90E07"/>
    <w:rsid w:val="00FA04FA"/>
    <w:rsid w:val="00FA39D5"/>
    <w:rsid w:val="00FB1DC0"/>
    <w:rsid w:val="00FB2D62"/>
    <w:rsid w:val="00FC0928"/>
    <w:rsid w:val="00FC56FA"/>
    <w:rsid w:val="00FC6E15"/>
    <w:rsid w:val="00FD7FC5"/>
    <w:rsid w:val="00FF1795"/>
    <w:rsid w:val="00FF54DB"/>
    <w:rsid w:val="01133E8E"/>
    <w:rsid w:val="014D2A8D"/>
    <w:rsid w:val="01E73BF2"/>
    <w:rsid w:val="02BA1B22"/>
    <w:rsid w:val="02CA7AF4"/>
    <w:rsid w:val="077202C2"/>
    <w:rsid w:val="08C5135D"/>
    <w:rsid w:val="08C934AD"/>
    <w:rsid w:val="0CC4053E"/>
    <w:rsid w:val="0F5E5CAE"/>
    <w:rsid w:val="10F745D4"/>
    <w:rsid w:val="11DB25BB"/>
    <w:rsid w:val="167041CE"/>
    <w:rsid w:val="17E02F1C"/>
    <w:rsid w:val="183F3D64"/>
    <w:rsid w:val="18BD450A"/>
    <w:rsid w:val="1B6B5768"/>
    <w:rsid w:val="20A715A6"/>
    <w:rsid w:val="2E1F7430"/>
    <w:rsid w:val="2F0C7590"/>
    <w:rsid w:val="2FA80179"/>
    <w:rsid w:val="32980EB0"/>
    <w:rsid w:val="33713F8B"/>
    <w:rsid w:val="33A1587B"/>
    <w:rsid w:val="36117623"/>
    <w:rsid w:val="366A62F2"/>
    <w:rsid w:val="36A42540"/>
    <w:rsid w:val="3AB12AE4"/>
    <w:rsid w:val="3D3E5648"/>
    <w:rsid w:val="3D6F77DD"/>
    <w:rsid w:val="3EEC5879"/>
    <w:rsid w:val="42D976AB"/>
    <w:rsid w:val="43F70BB6"/>
    <w:rsid w:val="4574489C"/>
    <w:rsid w:val="482E66BC"/>
    <w:rsid w:val="485340E9"/>
    <w:rsid w:val="4AF3122B"/>
    <w:rsid w:val="4B881B54"/>
    <w:rsid w:val="4DFB6798"/>
    <w:rsid w:val="53C5589E"/>
    <w:rsid w:val="553D7B44"/>
    <w:rsid w:val="57A6402B"/>
    <w:rsid w:val="5841380B"/>
    <w:rsid w:val="59EA2154"/>
    <w:rsid w:val="5B773D19"/>
    <w:rsid w:val="62FB53D2"/>
    <w:rsid w:val="64604B25"/>
    <w:rsid w:val="652263F1"/>
    <w:rsid w:val="68B67143"/>
    <w:rsid w:val="6D7C2DA7"/>
    <w:rsid w:val="70BA0816"/>
    <w:rsid w:val="72E54E17"/>
    <w:rsid w:val="73B10A3E"/>
    <w:rsid w:val="7434078F"/>
    <w:rsid w:val="784022A6"/>
    <w:rsid w:val="7E624BFD"/>
    <w:rsid w:val="7E8B1184"/>
    <w:rsid w:val="7FCE2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keepLines/>
      <w:tabs>
        <w:tab w:val="left" w:pos="0"/>
      </w:tabs>
      <w:adjustRightInd w:val="0"/>
      <w:spacing w:before="340" w:after="330" w:line="160" w:lineRule="exact"/>
      <w:jc w:val="center"/>
      <w:textAlignment w:val="baseline"/>
      <w:outlineLvl w:val="0"/>
    </w:pPr>
    <w:rPr>
      <w:rFonts w:ascii="宋体"/>
      <w:b/>
      <w:kern w:val="44"/>
      <w:sz w:val="36"/>
      <w:szCs w:val="20"/>
    </w:rPr>
  </w:style>
  <w:style w:type="paragraph" w:styleId="3">
    <w:name w:val="heading 2"/>
    <w:basedOn w:val="1"/>
    <w:next w:val="1"/>
    <w:link w:val="27"/>
    <w:qFormat/>
    <w:uiPriority w:val="0"/>
    <w:pPr>
      <w:keepNext/>
      <w:keepLines/>
      <w:numPr>
        <w:ilvl w:val="1"/>
        <w:numId w:val="1"/>
      </w:numPr>
      <w:adjustRightInd w:val="0"/>
      <w:spacing w:before="260" w:after="260" w:line="416" w:lineRule="atLeast"/>
      <w:jc w:val="center"/>
      <w:textAlignment w:val="baseline"/>
      <w:outlineLvl w:val="1"/>
    </w:pPr>
    <w:rPr>
      <w:rFonts w:ascii="Arial" w:hAnsi="Arial" w:eastAsia="黑体"/>
      <w:b/>
      <w:color w:val="000000"/>
      <w:kern w:val="0"/>
      <w:sz w:val="32"/>
      <w:szCs w:val="20"/>
    </w:rPr>
  </w:style>
  <w:style w:type="paragraph" w:styleId="4">
    <w:name w:val="heading 3"/>
    <w:basedOn w:val="1"/>
    <w:next w:val="1"/>
    <w:link w:val="28"/>
    <w:qFormat/>
    <w:uiPriority w:val="0"/>
    <w:pPr>
      <w:keepNext/>
      <w:keepLines/>
      <w:numPr>
        <w:ilvl w:val="2"/>
        <w:numId w:val="1"/>
      </w:numPr>
      <w:adjustRightInd w:val="0"/>
      <w:spacing w:before="260" w:after="260" w:line="416" w:lineRule="atLeast"/>
      <w:textAlignment w:val="baseline"/>
      <w:outlineLvl w:val="2"/>
    </w:pPr>
    <w:rPr>
      <w:b/>
      <w:kern w:val="0"/>
      <w:sz w:val="32"/>
      <w:szCs w:val="20"/>
    </w:rPr>
  </w:style>
  <w:style w:type="paragraph" w:styleId="5">
    <w:name w:val="heading 4"/>
    <w:basedOn w:val="1"/>
    <w:next w:val="1"/>
    <w:link w:val="29"/>
    <w:qFormat/>
    <w:uiPriority w:val="0"/>
    <w:pPr>
      <w:keepNext/>
      <w:keepLines/>
      <w:numPr>
        <w:ilvl w:val="3"/>
        <w:numId w:val="1"/>
      </w:numPr>
      <w:adjustRightInd w:val="0"/>
      <w:spacing w:before="280" w:after="290" w:line="376" w:lineRule="atLeast"/>
      <w:textAlignment w:val="baseline"/>
      <w:outlineLvl w:val="3"/>
    </w:pPr>
    <w:rPr>
      <w:rFonts w:ascii="Arial" w:hAnsi="Arial" w:eastAsia="黑体"/>
      <w:b/>
      <w:kern w:val="0"/>
      <w:sz w:val="28"/>
      <w:szCs w:val="20"/>
    </w:rPr>
  </w:style>
  <w:style w:type="paragraph" w:styleId="6">
    <w:name w:val="heading 5"/>
    <w:basedOn w:val="1"/>
    <w:next w:val="1"/>
    <w:link w:val="30"/>
    <w:qFormat/>
    <w:uiPriority w:val="0"/>
    <w:pPr>
      <w:keepNext/>
      <w:keepLines/>
      <w:numPr>
        <w:ilvl w:val="4"/>
        <w:numId w:val="1"/>
      </w:numPr>
      <w:adjustRightInd w:val="0"/>
      <w:spacing w:before="280" w:after="290" w:line="376" w:lineRule="atLeast"/>
      <w:textAlignment w:val="baseline"/>
      <w:outlineLvl w:val="4"/>
    </w:pPr>
    <w:rPr>
      <w:b/>
      <w:kern w:val="0"/>
      <w:sz w:val="28"/>
      <w:szCs w:val="20"/>
    </w:rPr>
  </w:style>
  <w:style w:type="paragraph" w:styleId="7">
    <w:name w:val="heading 6"/>
    <w:basedOn w:val="1"/>
    <w:next w:val="1"/>
    <w:link w:val="31"/>
    <w:qFormat/>
    <w:uiPriority w:val="0"/>
    <w:pPr>
      <w:keepNext/>
      <w:keepLines/>
      <w:numPr>
        <w:ilvl w:val="5"/>
        <w:numId w:val="1"/>
      </w:numPr>
      <w:adjustRightInd w:val="0"/>
      <w:spacing w:before="240" w:after="64" w:line="320" w:lineRule="atLeast"/>
      <w:textAlignment w:val="baseline"/>
      <w:outlineLvl w:val="5"/>
    </w:pPr>
    <w:rPr>
      <w:rFonts w:ascii="Arial" w:hAnsi="Arial" w:eastAsia="黑体"/>
      <w:b/>
      <w:kern w:val="0"/>
      <w:sz w:val="24"/>
      <w:szCs w:val="20"/>
    </w:rPr>
  </w:style>
  <w:style w:type="paragraph" w:styleId="8">
    <w:name w:val="heading 7"/>
    <w:basedOn w:val="1"/>
    <w:next w:val="1"/>
    <w:link w:val="32"/>
    <w:qFormat/>
    <w:uiPriority w:val="0"/>
    <w:pPr>
      <w:keepNext/>
      <w:keepLines/>
      <w:numPr>
        <w:ilvl w:val="6"/>
        <w:numId w:val="1"/>
      </w:numPr>
      <w:adjustRightInd w:val="0"/>
      <w:spacing w:before="240" w:after="64" w:line="320" w:lineRule="atLeast"/>
      <w:textAlignment w:val="baseline"/>
      <w:outlineLvl w:val="6"/>
    </w:pPr>
    <w:rPr>
      <w:b/>
      <w:kern w:val="0"/>
      <w:sz w:val="24"/>
      <w:szCs w:val="20"/>
    </w:rPr>
  </w:style>
  <w:style w:type="paragraph" w:styleId="9">
    <w:name w:val="heading 8"/>
    <w:basedOn w:val="1"/>
    <w:next w:val="1"/>
    <w:link w:val="33"/>
    <w:qFormat/>
    <w:uiPriority w:val="0"/>
    <w:pPr>
      <w:keepNext/>
      <w:keepLines/>
      <w:numPr>
        <w:ilvl w:val="7"/>
        <w:numId w:val="1"/>
      </w:numPr>
      <w:adjustRightInd w:val="0"/>
      <w:spacing w:before="240" w:after="64" w:line="320" w:lineRule="atLeast"/>
      <w:textAlignment w:val="baseline"/>
      <w:outlineLvl w:val="7"/>
    </w:pPr>
    <w:rPr>
      <w:rFonts w:ascii="Arial" w:hAnsi="Arial" w:eastAsia="黑体"/>
      <w:kern w:val="0"/>
      <w:sz w:val="24"/>
      <w:szCs w:val="20"/>
    </w:rPr>
  </w:style>
  <w:style w:type="paragraph" w:styleId="10">
    <w:name w:val="heading 9"/>
    <w:basedOn w:val="1"/>
    <w:next w:val="1"/>
    <w:link w:val="34"/>
    <w:qFormat/>
    <w:uiPriority w:val="0"/>
    <w:pPr>
      <w:keepNext/>
      <w:keepLines/>
      <w:numPr>
        <w:ilvl w:val="8"/>
        <w:numId w:val="1"/>
      </w:numPr>
      <w:adjustRightInd w:val="0"/>
      <w:spacing w:before="240" w:after="64" w:line="320" w:lineRule="atLeast"/>
      <w:textAlignment w:val="baseline"/>
      <w:outlineLvl w:val="8"/>
    </w:pPr>
    <w:rPr>
      <w:rFonts w:ascii="Arial" w:hAnsi="Arial" w:eastAsia="黑体"/>
      <w:kern w:val="0"/>
      <w:szCs w:val="20"/>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Body Text"/>
    <w:basedOn w:val="1"/>
    <w:unhideWhenUsed/>
    <w:qFormat/>
    <w:uiPriority w:val="0"/>
    <w:pPr>
      <w:spacing w:line="360" w:lineRule="auto"/>
    </w:pPr>
    <w:rPr>
      <w:sz w:val="24"/>
    </w:rPr>
  </w:style>
  <w:style w:type="paragraph" w:styleId="12">
    <w:name w:val="Plain Text"/>
    <w:basedOn w:val="1"/>
    <w:unhideWhenUsed/>
    <w:qFormat/>
    <w:uiPriority w:val="0"/>
    <w:rPr>
      <w:rFonts w:ascii="宋体" w:hAnsi="Courier New" w:cs="Courier New"/>
      <w:szCs w:val="21"/>
    </w:rPr>
  </w:style>
  <w:style w:type="paragraph" w:styleId="13">
    <w:name w:val="Balloon Text"/>
    <w:basedOn w:val="1"/>
    <w:link w:val="35"/>
    <w:unhideWhenUsed/>
    <w:qFormat/>
    <w:uiPriority w:val="0"/>
    <w:rPr>
      <w:sz w:val="18"/>
      <w:szCs w:val="18"/>
    </w:rPr>
  </w:style>
  <w:style w:type="paragraph" w:styleId="14">
    <w:name w:val="footer"/>
    <w:basedOn w:val="1"/>
    <w:link w:val="25"/>
    <w:unhideWhenUsed/>
    <w:qFormat/>
    <w:uiPriority w:val="99"/>
    <w:pPr>
      <w:tabs>
        <w:tab w:val="center" w:pos="4153"/>
        <w:tab w:val="right" w:pos="8306"/>
      </w:tabs>
      <w:snapToGrid w:val="0"/>
      <w:jc w:val="left"/>
    </w:pPr>
    <w:rPr>
      <w:sz w:val="18"/>
      <w:szCs w:val="18"/>
    </w:rPr>
  </w:style>
  <w:style w:type="paragraph" w:styleId="15">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unhideWhenUsed/>
    <w:qFormat/>
    <w:uiPriority w:val="0"/>
    <w:pPr>
      <w:snapToGrid w:val="0"/>
      <w:jc w:val="left"/>
    </w:pPr>
    <w:rPr>
      <w:sz w:val="18"/>
      <w:szCs w:val="18"/>
    </w:rPr>
  </w:style>
  <w:style w:type="paragraph" w:styleId="17">
    <w:name w:val="Normal (Web)"/>
    <w:basedOn w:val="1"/>
    <w:unhideWhenUsed/>
    <w:qFormat/>
    <w:uiPriority w:val="0"/>
    <w:pPr>
      <w:widowControl/>
      <w:spacing w:before="100" w:beforeAutospacing="1" w:after="100" w:afterAutospacing="1"/>
      <w:jc w:val="left"/>
    </w:pPr>
    <w:rPr>
      <w:rFonts w:ascii="宋体" w:hAnsi="宋体" w:eastAsia="宋体" w:cs="Times New Roman"/>
      <w:kern w:val="0"/>
      <w:sz w:val="24"/>
      <w:szCs w:val="24"/>
    </w:rPr>
  </w:style>
  <w:style w:type="character" w:styleId="19">
    <w:name w:val="Hyperlink"/>
    <w:unhideWhenUsed/>
    <w:qFormat/>
    <w:uiPriority w:val="99"/>
    <w:rPr>
      <w:color w:val="136EC2"/>
      <w:u w:val="single"/>
    </w:rPr>
  </w:style>
  <w:style w:type="character" w:styleId="20">
    <w:name w:val="footnote reference"/>
    <w:unhideWhenUsed/>
    <w:qFormat/>
    <w:uiPriority w:val="0"/>
    <w:rPr>
      <w:vertAlign w:val="superscript"/>
    </w:rPr>
  </w:style>
  <w:style w:type="paragraph" w:customStyle="1" w:styleId="22">
    <w:name w:val="列出段落1"/>
    <w:basedOn w:val="1"/>
    <w:unhideWhenUsed/>
    <w:qFormat/>
    <w:uiPriority w:val="99"/>
    <w:pPr>
      <w:ind w:firstLine="420" w:firstLineChars="200"/>
    </w:pPr>
  </w:style>
  <w:style w:type="paragraph" w:customStyle="1" w:styleId="2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24">
    <w:name w:val="页眉 Char"/>
    <w:link w:val="15"/>
    <w:qFormat/>
    <w:uiPriority w:val="99"/>
    <w:rPr>
      <w:sz w:val="18"/>
      <w:szCs w:val="18"/>
    </w:rPr>
  </w:style>
  <w:style w:type="character" w:customStyle="1" w:styleId="25">
    <w:name w:val="页脚 Char"/>
    <w:link w:val="14"/>
    <w:qFormat/>
    <w:uiPriority w:val="99"/>
    <w:rPr>
      <w:sz w:val="18"/>
      <w:szCs w:val="18"/>
    </w:rPr>
  </w:style>
  <w:style w:type="character" w:customStyle="1" w:styleId="26">
    <w:name w:val="标题 1 Char"/>
    <w:link w:val="2"/>
    <w:qFormat/>
    <w:uiPriority w:val="0"/>
    <w:rPr>
      <w:rFonts w:ascii="宋体" w:hAnsi="Times New Roman" w:eastAsia="宋体" w:cs="Times New Roman"/>
      <w:b/>
      <w:kern w:val="44"/>
      <w:sz w:val="36"/>
      <w:szCs w:val="20"/>
    </w:rPr>
  </w:style>
  <w:style w:type="character" w:customStyle="1" w:styleId="27">
    <w:name w:val="标题 2 Char"/>
    <w:link w:val="3"/>
    <w:qFormat/>
    <w:uiPriority w:val="0"/>
    <w:rPr>
      <w:rFonts w:ascii="Arial" w:hAnsi="Arial" w:eastAsia="黑体"/>
      <w:b/>
      <w:color w:val="000000"/>
      <w:sz w:val="32"/>
    </w:rPr>
  </w:style>
  <w:style w:type="character" w:customStyle="1" w:styleId="28">
    <w:name w:val="标题 3 Char"/>
    <w:link w:val="4"/>
    <w:qFormat/>
    <w:uiPriority w:val="0"/>
    <w:rPr>
      <w:rFonts w:ascii="Times New Roman" w:hAnsi="Times New Roman" w:eastAsia="宋体" w:cs="Times New Roman"/>
      <w:b/>
      <w:kern w:val="0"/>
      <w:sz w:val="32"/>
      <w:szCs w:val="20"/>
    </w:rPr>
  </w:style>
  <w:style w:type="character" w:customStyle="1" w:styleId="29">
    <w:name w:val="标题 4 Char"/>
    <w:link w:val="5"/>
    <w:qFormat/>
    <w:uiPriority w:val="0"/>
    <w:rPr>
      <w:rFonts w:ascii="Arial" w:hAnsi="Arial" w:eastAsia="黑体" w:cs="Times New Roman"/>
      <w:b/>
      <w:kern w:val="0"/>
      <w:sz w:val="28"/>
      <w:szCs w:val="20"/>
    </w:rPr>
  </w:style>
  <w:style w:type="character" w:customStyle="1" w:styleId="30">
    <w:name w:val="标题 5 Char"/>
    <w:link w:val="6"/>
    <w:qFormat/>
    <w:uiPriority w:val="0"/>
    <w:rPr>
      <w:rFonts w:ascii="Times New Roman" w:hAnsi="Times New Roman" w:eastAsia="宋体" w:cs="Times New Roman"/>
      <w:b/>
      <w:kern w:val="0"/>
      <w:sz w:val="28"/>
      <w:szCs w:val="20"/>
    </w:rPr>
  </w:style>
  <w:style w:type="character" w:customStyle="1" w:styleId="31">
    <w:name w:val="标题 6 Char"/>
    <w:link w:val="7"/>
    <w:qFormat/>
    <w:uiPriority w:val="0"/>
    <w:rPr>
      <w:rFonts w:ascii="Arial" w:hAnsi="Arial" w:eastAsia="黑体" w:cs="Times New Roman"/>
      <w:b/>
      <w:kern w:val="0"/>
      <w:sz w:val="24"/>
      <w:szCs w:val="20"/>
    </w:rPr>
  </w:style>
  <w:style w:type="character" w:customStyle="1" w:styleId="32">
    <w:name w:val="标题 7 Char"/>
    <w:link w:val="8"/>
    <w:qFormat/>
    <w:uiPriority w:val="0"/>
    <w:rPr>
      <w:rFonts w:ascii="Times New Roman" w:hAnsi="Times New Roman" w:eastAsia="宋体" w:cs="Times New Roman"/>
      <w:b/>
      <w:kern w:val="0"/>
      <w:sz w:val="24"/>
      <w:szCs w:val="20"/>
    </w:rPr>
  </w:style>
  <w:style w:type="character" w:customStyle="1" w:styleId="33">
    <w:name w:val="标题 8 Char"/>
    <w:link w:val="9"/>
    <w:qFormat/>
    <w:uiPriority w:val="0"/>
    <w:rPr>
      <w:rFonts w:ascii="Arial" w:hAnsi="Arial" w:eastAsia="黑体" w:cs="Times New Roman"/>
      <w:kern w:val="0"/>
      <w:sz w:val="24"/>
      <w:szCs w:val="20"/>
    </w:rPr>
  </w:style>
  <w:style w:type="character" w:customStyle="1" w:styleId="34">
    <w:name w:val="标题 9 Char"/>
    <w:link w:val="10"/>
    <w:qFormat/>
    <w:uiPriority w:val="0"/>
    <w:rPr>
      <w:rFonts w:ascii="Arial" w:hAnsi="Arial" w:eastAsia="黑体" w:cs="Times New Roman"/>
      <w:kern w:val="0"/>
      <w:szCs w:val="20"/>
    </w:rPr>
  </w:style>
  <w:style w:type="character" w:customStyle="1" w:styleId="35">
    <w:name w:val="批注框文本 Char"/>
    <w:link w:val="13"/>
    <w:semiHidden/>
    <w:qFormat/>
    <w:uiPriority w:val="0"/>
    <w:rPr>
      <w:kern w:val="2"/>
      <w:sz w:val="18"/>
      <w:szCs w:val="18"/>
    </w:rPr>
  </w:style>
  <w:style w:type="character" w:customStyle="1" w:styleId="36">
    <w:name w:val="apple-converted-space"/>
    <w:basedOn w:val="18"/>
    <w:qFormat/>
    <w:uiPriority w:val="0"/>
  </w:style>
  <w:style w:type="character" w:customStyle="1" w:styleId="37">
    <w:name w:val="param-name"/>
    <w:basedOn w:val="18"/>
    <w:qFormat/>
    <w:uiPriority w:val="0"/>
  </w:style>
  <w:style w:type="paragraph" w:customStyle="1" w:styleId="38">
    <w:name w:val="List Paragraph"/>
    <w:basedOn w:val="1"/>
    <w:unhideWhenUsed/>
    <w:qFormat/>
    <w:uiPriority w:val="99"/>
    <w:pPr>
      <w:ind w:firstLine="420" w:firstLineChars="200"/>
    </w:pPr>
  </w:style>
  <w:style w:type="paragraph" w:customStyle="1" w:styleId="39">
    <w:name w:val="_Style 1"/>
    <w:basedOn w:val="1"/>
    <w:qFormat/>
    <w:uiPriority w:val="34"/>
    <w:pPr>
      <w:ind w:firstLine="420" w:firstLineChars="200"/>
    </w:pPr>
    <w:rPr>
      <w:rFonts w:ascii="Calibri" w:hAnsi="Calibri"/>
      <w:szCs w:val="22"/>
    </w:rPr>
  </w:style>
  <w:style w:type="paragraph" w:customStyle="1" w:styleId="40">
    <w:name w:val="样式 标题 2 + Times New Roman 四号 非加粗 段前: 5 磅 段后: 0 磅 行距: 固定值 20..."/>
    <w:basedOn w:val="3"/>
    <w:next w:val="1"/>
    <w:qFormat/>
    <w:uiPriority w:val="0"/>
    <w:pPr>
      <w:spacing w:before="100" w:after="0" w:line="400" w:lineRule="exact"/>
    </w:pPr>
    <w:rPr>
      <w:rFonts w:ascii="Times New Roman" w:hAnsi="Times New Roman" w:eastAsia="黑体" w:cs="宋体"/>
      <w:b w:val="0"/>
      <w:sz w:val="28"/>
      <w:szCs w:val="20"/>
    </w:rPr>
  </w:style>
  <w:style w:type="character" w:customStyle="1" w:styleId="41">
    <w:name w:val="urtxtstd17"/>
    <w:basedOn w:val="18"/>
    <w:qFormat/>
    <w:uiPriority w:val="0"/>
    <w:rPr>
      <w:rFonts w:hint="default" w:ascii="Arial" w:hAnsi="Arial" w:cs="Arial"/>
      <w:sz w:val="17"/>
      <w:szCs w:val="1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F761DD-39CC-4DE8-92C5-9D7E1AA69349}">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19</Pages>
  <Words>1692</Words>
  <Characters>9647</Characters>
  <Lines>80</Lines>
  <Paragraphs>22</Paragraphs>
  <TotalTime>5</TotalTime>
  <ScaleCrop>false</ScaleCrop>
  <LinksUpToDate>false</LinksUpToDate>
  <CharactersWithSpaces>11317</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2015-02-11T09:09:00Z</dcterms:created>
  <dc:creator>Lenovo User</dc:creator>
  <cp:lastModifiedBy>Administrator</cp:lastModifiedBy>
  <cp:lastPrinted>2014-11-26T11:17:00Z</cp:lastPrinted>
  <dcterms:modified xsi:type="dcterms:W3CDTF">2019-04-29T03:03:34Z</dcterms:modified>
  <dc:title>第四章 方案及设备技术要求</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