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both"/>
        <w:rPr>
          <w:rFonts w:hint="eastAsia" w:ascii="宋体" w:eastAsia="宋体"/>
          <w:b/>
          <w:bCs/>
          <w:color w:val="auto"/>
          <w:sz w:val="21"/>
          <w:szCs w:val="21"/>
          <w:lang w:eastAsia="zh-CN"/>
        </w:rPr>
      </w:pPr>
      <w:r>
        <w:rPr>
          <w:rFonts w:hint="eastAsia" w:ascii="宋体"/>
          <w:b/>
          <w:bCs/>
          <w:color w:val="auto"/>
          <w:sz w:val="21"/>
          <w:szCs w:val="21"/>
          <w:lang w:eastAsia="zh-CN"/>
        </w:rPr>
        <w:t>公告附件：</w:t>
      </w:r>
    </w:p>
    <w:p>
      <w:pPr>
        <w:jc w:val="center"/>
        <w:rPr>
          <w:rFonts w:hint="eastAsia" w:ascii="宋体" w:hAnsi="宋体" w:eastAsia="宋体" w:cs="宋体"/>
          <w:b/>
          <w:bCs/>
          <w:color w:val="auto"/>
          <w:kern w:val="44"/>
          <w:sz w:val="21"/>
          <w:szCs w:val="21"/>
          <w:lang w:eastAsia="zh-CN"/>
        </w:rPr>
      </w:pPr>
      <w:r>
        <w:rPr>
          <w:rFonts w:hint="eastAsia" w:ascii="宋体"/>
          <w:b/>
          <w:bCs/>
          <w:color w:val="auto"/>
          <w:sz w:val="21"/>
          <w:szCs w:val="21"/>
        </w:rPr>
        <w:t xml:space="preserve"> </w:t>
      </w:r>
      <w:r>
        <w:rPr>
          <w:rFonts w:hint="eastAsia" w:ascii="宋体" w:hAnsi="宋体" w:eastAsia="宋体" w:cs="宋体"/>
          <w:b/>
          <w:bCs/>
          <w:color w:val="auto"/>
          <w:sz w:val="21"/>
          <w:szCs w:val="21"/>
        </w:rPr>
        <w:t>到发线防溜装置招标技术</w:t>
      </w:r>
      <w:r>
        <w:rPr>
          <w:rFonts w:hint="eastAsia" w:ascii="宋体" w:hAnsi="宋体" w:eastAsia="宋体" w:cs="宋体"/>
          <w:b/>
          <w:bCs/>
          <w:color w:val="auto"/>
          <w:sz w:val="21"/>
          <w:szCs w:val="21"/>
          <w:lang w:eastAsia="zh-CN"/>
        </w:rPr>
        <w:t>要求</w:t>
      </w:r>
    </w:p>
    <w:p>
      <w:pPr>
        <w:spacing w:line="360" w:lineRule="auto"/>
        <w:rPr>
          <w:rFonts w:hint="eastAsia" w:ascii="宋体" w:hAnsi="宋体" w:eastAsia="宋体" w:cs="宋体"/>
          <w:b/>
          <w:bCs w:val="0"/>
          <w:color w:val="auto"/>
          <w:sz w:val="21"/>
          <w:szCs w:val="21"/>
        </w:rPr>
      </w:pPr>
      <w:r>
        <w:rPr>
          <w:rFonts w:hint="eastAsia" w:ascii="宋体" w:hAnsi="宋体" w:eastAsia="宋体" w:cs="宋体"/>
          <w:b/>
          <w:bCs w:val="0"/>
          <w:color w:val="auto"/>
          <w:sz w:val="21"/>
          <w:szCs w:val="21"/>
        </w:rPr>
        <w:t>1.货物需求</w:t>
      </w:r>
      <w:bookmarkStart w:id="2" w:name="_GoBack"/>
      <w:bookmarkEnd w:id="2"/>
    </w:p>
    <w:p>
      <w:pPr>
        <w:spacing w:line="360" w:lineRule="auto"/>
        <w:rPr>
          <w:rFonts w:hint="eastAsia" w:ascii="宋体" w:hAnsi="宋体" w:eastAsia="宋体" w:cs="宋体"/>
          <w:bCs/>
          <w:color w:val="auto"/>
          <w:sz w:val="21"/>
          <w:szCs w:val="21"/>
        </w:rPr>
      </w:pPr>
      <w:r>
        <w:rPr>
          <w:rFonts w:hint="eastAsia" w:ascii="宋体" w:hAnsi="宋体" w:eastAsia="宋体" w:cs="宋体"/>
          <w:bCs/>
          <w:color w:val="auto"/>
          <w:sz w:val="21"/>
          <w:szCs w:val="21"/>
        </w:rPr>
        <w:t>1.1货物需求一览表</w:t>
      </w:r>
    </w:p>
    <w:tbl>
      <w:tblPr>
        <w:tblStyle w:val="6"/>
        <w:tblW w:w="8570" w:type="dxa"/>
        <w:jc w:val="center"/>
        <w:tblInd w:w="0" w:type="dxa"/>
        <w:tblLayout w:type="fixed"/>
        <w:tblCellMar>
          <w:top w:w="0" w:type="dxa"/>
          <w:left w:w="108" w:type="dxa"/>
          <w:bottom w:w="0" w:type="dxa"/>
          <w:right w:w="108" w:type="dxa"/>
        </w:tblCellMar>
      </w:tblPr>
      <w:tblGrid>
        <w:gridCol w:w="720"/>
        <w:gridCol w:w="2833"/>
        <w:gridCol w:w="946"/>
        <w:gridCol w:w="912"/>
        <w:gridCol w:w="3159"/>
      </w:tblGrid>
      <w:tr>
        <w:tblPrEx>
          <w:tblLayout w:type="fixed"/>
          <w:tblCellMar>
            <w:top w:w="0" w:type="dxa"/>
            <w:left w:w="108" w:type="dxa"/>
            <w:bottom w:w="0" w:type="dxa"/>
            <w:right w:w="108" w:type="dxa"/>
          </w:tblCellMar>
        </w:tblPrEx>
        <w:trPr>
          <w:trHeight w:val="465" w:hRule="atLeast"/>
          <w:jc w:val="center"/>
        </w:trPr>
        <w:tc>
          <w:tcPr>
            <w:tcW w:w="72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color w:val="auto"/>
                <w:sz w:val="18"/>
                <w:szCs w:val="18"/>
              </w:rPr>
            </w:pPr>
            <w:r>
              <w:rPr>
                <w:rFonts w:hint="eastAsia" w:ascii="宋体" w:hAnsi="宋体" w:eastAsia="宋体" w:cs="宋体"/>
                <w:color w:val="auto"/>
                <w:sz w:val="18"/>
                <w:szCs w:val="18"/>
              </w:rPr>
              <w:t>序号</w:t>
            </w:r>
          </w:p>
        </w:tc>
        <w:tc>
          <w:tcPr>
            <w:tcW w:w="2833" w:type="dxa"/>
            <w:tcBorders>
              <w:top w:val="single" w:color="auto" w:sz="4" w:space="0"/>
              <w:left w:val="nil"/>
              <w:bottom w:val="single" w:color="auto" w:sz="4" w:space="0"/>
              <w:right w:val="single" w:color="auto" w:sz="4" w:space="0"/>
            </w:tcBorders>
            <w:vAlign w:val="center"/>
          </w:tcPr>
          <w:p>
            <w:pPr>
              <w:spacing w:line="400" w:lineRule="exact"/>
              <w:jc w:val="center"/>
              <w:rPr>
                <w:rFonts w:hint="eastAsia" w:ascii="宋体" w:hAnsi="宋体" w:eastAsia="宋体" w:cs="宋体"/>
                <w:color w:val="auto"/>
                <w:sz w:val="18"/>
                <w:szCs w:val="18"/>
              </w:rPr>
            </w:pPr>
            <w:r>
              <w:rPr>
                <w:rFonts w:hint="eastAsia" w:ascii="宋体" w:hAnsi="宋体" w:eastAsia="宋体" w:cs="宋体"/>
                <w:color w:val="auto"/>
                <w:sz w:val="18"/>
                <w:szCs w:val="18"/>
              </w:rPr>
              <w:t>货物名称</w:t>
            </w:r>
          </w:p>
        </w:tc>
        <w:tc>
          <w:tcPr>
            <w:tcW w:w="946" w:type="dxa"/>
            <w:tcBorders>
              <w:top w:val="single" w:color="auto" w:sz="4" w:space="0"/>
              <w:left w:val="nil"/>
              <w:bottom w:val="single" w:color="auto" w:sz="4" w:space="0"/>
              <w:right w:val="single" w:color="auto" w:sz="4" w:space="0"/>
            </w:tcBorders>
            <w:vAlign w:val="center"/>
          </w:tcPr>
          <w:p>
            <w:pPr>
              <w:widowControl/>
              <w:spacing w:line="400" w:lineRule="exact"/>
              <w:jc w:val="center"/>
              <w:rPr>
                <w:rFonts w:hint="eastAsia" w:ascii="宋体" w:hAnsi="宋体" w:eastAsia="宋体" w:cs="宋体"/>
                <w:color w:val="auto"/>
                <w:sz w:val="18"/>
                <w:szCs w:val="18"/>
              </w:rPr>
            </w:pPr>
            <w:r>
              <w:rPr>
                <w:rFonts w:hint="eastAsia" w:ascii="宋体" w:hAnsi="宋体" w:eastAsia="宋体" w:cs="宋体"/>
                <w:color w:val="auto"/>
                <w:sz w:val="18"/>
                <w:szCs w:val="18"/>
              </w:rPr>
              <w:t>单位</w:t>
            </w:r>
          </w:p>
        </w:tc>
        <w:tc>
          <w:tcPr>
            <w:tcW w:w="912" w:type="dxa"/>
            <w:tcBorders>
              <w:top w:val="single" w:color="auto" w:sz="4" w:space="0"/>
              <w:left w:val="nil"/>
              <w:bottom w:val="single" w:color="auto" w:sz="4" w:space="0"/>
              <w:right w:val="single" w:color="auto" w:sz="4" w:space="0"/>
            </w:tcBorders>
            <w:vAlign w:val="center"/>
          </w:tcPr>
          <w:p>
            <w:pPr>
              <w:widowControl/>
              <w:spacing w:line="400" w:lineRule="exact"/>
              <w:jc w:val="center"/>
              <w:rPr>
                <w:rFonts w:hint="eastAsia" w:ascii="宋体" w:hAnsi="宋体" w:eastAsia="宋体" w:cs="宋体"/>
                <w:color w:val="auto"/>
                <w:sz w:val="18"/>
                <w:szCs w:val="18"/>
              </w:rPr>
            </w:pPr>
            <w:r>
              <w:rPr>
                <w:rFonts w:hint="eastAsia" w:ascii="宋体" w:hAnsi="宋体" w:eastAsia="宋体" w:cs="宋体"/>
                <w:color w:val="auto"/>
                <w:sz w:val="18"/>
                <w:szCs w:val="18"/>
              </w:rPr>
              <w:t>数量</w:t>
            </w:r>
          </w:p>
        </w:tc>
        <w:tc>
          <w:tcPr>
            <w:tcW w:w="3159" w:type="dxa"/>
            <w:tcBorders>
              <w:top w:val="single" w:color="auto" w:sz="4" w:space="0"/>
              <w:left w:val="nil"/>
              <w:bottom w:val="single" w:color="auto" w:sz="4" w:space="0"/>
              <w:right w:val="single" w:color="auto" w:sz="4" w:space="0"/>
            </w:tcBorders>
            <w:vAlign w:val="center"/>
          </w:tcPr>
          <w:p>
            <w:pPr>
              <w:widowControl/>
              <w:spacing w:line="400" w:lineRule="exact"/>
              <w:jc w:val="center"/>
              <w:rPr>
                <w:rFonts w:hint="eastAsia" w:ascii="宋体" w:hAnsi="宋体" w:eastAsia="宋体" w:cs="宋体"/>
                <w:color w:val="auto"/>
                <w:sz w:val="18"/>
                <w:szCs w:val="18"/>
              </w:rPr>
            </w:pPr>
            <w:r>
              <w:rPr>
                <w:rFonts w:hint="eastAsia" w:ascii="宋体" w:hAnsi="宋体" w:eastAsia="宋体" w:cs="宋体"/>
                <w:color w:val="auto"/>
                <w:sz w:val="18"/>
                <w:szCs w:val="18"/>
              </w:rPr>
              <w:t>交货时间</w:t>
            </w:r>
          </w:p>
        </w:tc>
      </w:tr>
      <w:tr>
        <w:tblPrEx>
          <w:tblLayout w:type="fixed"/>
          <w:tblCellMar>
            <w:top w:w="0" w:type="dxa"/>
            <w:left w:w="108" w:type="dxa"/>
            <w:bottom w:w="0" w:type="dxa"/>
            <w:right w:w="108" w:type="dxa"/>
          </w:tblCellMar>
        </w:tblPrEx>
        <w:trPr>
          <w:trHeight w:val="435" w:hRule="atLeast"/>
          <w:jc w:val="center"/>
        </w:trPr>
        <w:tc>
          <w:tcPr>
            <w:tcW w:w="720" w:type="dxa"/>
            <w:tcBorders>
              <w:top w:val="nil"/>
              <w:left w:val="single" w:color="auto" w:sz="4" w:space="0"/>
              <w:bottom w:val="single" w:color="auto" w:sz="4" w:space="0"/>
              <w:right w:val="single" w:color="auto" w:sz="4" w:space="0"/>
            </w:tcBorders>
            <w:vAlign w:val="center"/>
          </w:tcPr>
          <w:p>
            <w:pPr>
              <w:widowControl/>
              <w:spacing w:line="400" w:lineRule="exact"/>
              <w:jc w:val="center"/>
              <w:rPr>
                <w:rFonts w:hint="eastAsia" w:ascii="宋体" w:hAnsi="宋体" w:eastAsia="宋体" w:cs="宋体"/>
                <w:color w:val="auto"/>
                <w:sz w:val="18"/>
                <w:szCs w:val="18"/>
              </w:rPr>
            </w:pPr>
            <w:r>
              <w:rPr>
                <w:rFonts w:hint="eastAsia" w:ascii="宋体" w:hAnsi="宋体" w:eastAsia="宋体" w:cs="宋体"/>
                <w:color w:val="auto"/>
                <w:sz w:val="18"/>
                <w:szCs w:val="18"/>
              </w:rPr>
              <w:t>1</w:t>
            </w:r>
          </w:p>
        </w:tc>
        <w:tc>
          <w:tcPr>
            <w:tcW w:w="2833" w:type="dxa"/>
            <w:tcBorders>
              <w:top w:val="nil"/>
              <w:left w:val="nil"/>
              <w:bottom w:val="single" w:color="auto" w:sz="4" w:space="0"/>
              <w:right w:val="single" w:color="auto" w:sz="4" w:space="0"/>
            </w:tcBorders>
            <w:vAlign w:val="center"/>
          </w:tcPr>
          <w:p>
            <w:pPr>
              <w:spacing w:line="400" w:lineRule="exact"/>
              <w:jc w:val="center"/>
              <w:rPr>
                <w:rFonts w:hint="eastAsia" w:ascii="宋体" w:hAnsi="宋体" w:eastAsia="宋体" w:cs="宋体"/>
                <w:bCs/>
                <w:color w:val="auto"/>
                <w:sz w:val="18"/>
                <w:szCs w:val="18"/>
              </w:rPr>
            </w:pPr>
            <w:r>
              <w:rPr>
                <w:rFonts w:hint="eastAsia" w:ascii="宋体" w:hAnsi="宋体" w:eastAsia="宋体" w:cs="宋体"/>
                <w:bCs/>
                <w:color w:val="auto"/>
                <w:sz w:val="18"/>
                <w:szCs w:val="18"/>
              </w:rPr>
              <w:t>到发线防溜装置</w:t>
            </w:r>
          </w:p>
        </w:tc>
        <w:tc>
          <w:tcPr>
            <w:tcW w:w="946" w:type="dxa"/>
            <w:tcBorders>
              <w:top w:val="nil"/>
              <w:left w:val="nil"/>
              <w:bottom w:val="single" w:color="auto" w:sz="4" w:space="0"/>
              <w:right w:val="single" w:color="auto" w:sz="4" w:space="0"/>
            </w:tcBorders>
            <w:vAlign w:val="center"/>
          </w:tcPr>
          <w:p>
            <w:pPr>
              <w:widowControl/>
              <w:spacing w:line="400" w:lineRule="exact"/>
              <w:jc w:val="center"/>
              <w:rPr>
                <w:rFonts w:hint="eastAsia" w:ascii="宋体" w:hAnsi="宋体" w:eastAsia="宋体" w:cs="宋体"/>
                <w:color w:val="auto"/>
                <w:sz w:val="18"/>
                <w:szCs w:val="18"/>
              </w:rPr>
            </w:pPr>
            <w:r>
              <w:rPr>
                <w:rFonts w:hint="eastAsia" w:ascii="宋体" w:hAnsi="宋体" w:eastAsia="宋体" w:cs="宋体"/>
                <w:color w:val="auto"/>
                <w:sz w:val="18"/>
                <w:szCs w:val="18"/>
              </w:rPr>
              <w:t>套</w:t>
            </w:r>
          </w:p>
        </w:tc>
        <w:tc>
          <w:tcPr>
            <w:tcW w:w="912" w:type="dxa"/>
            <w:tcBorders>
              <w:top w:val="nil"/>
              <w:left w:val="nil"/>
              <w:bottom w:val="single" w:color="auto" w:sz="4" w:space="0"/>
              <w:right w:val="single" w:color="auto" w:sz="4" w:space="0"/>
            </w:tcBorders>
            <w:vAlign w:val="center"/>
          </w:tcPr>
          <w:p>
            <w:pPr>
              <w:pStyle w:val="4"/>
              <w:spacing w:line="400" w:lineRule="exact"/>
              <w:jc w:val="center"/>
              <w:rPr>
                <w:rFonts w:hint="eastAsia" w:ascii="宋体" w:hAnsi="宋体" w:eastAsia="宋体" w:cs="宋体"/>
                <w:color w:val="auto"/>
                <w:sz w:val="18"/>
                <w:szCs w:val="18"/>
              </w:rPr>
            </w:pPr>
            <w:r>
              <w:rPr>
                <w:rFonts w:hint="eastAsia" w:ascii="宋体" w:hAnsi="宋体" w:eastAsia="宋体" w:cs="宋体"/>
                <w:color w:val="auto"/>
                <w:sz w:val="18"/>
                <w:szCs w:val="18"/>
              </w:rPr>
              <w:t>1</w:t>
            </w:r>
          </w:p>
        </w:tc>
        <w:tc>
          <w:tcPr>
            <w:tcW w:w="3159" w:type="dxa"/>
            <w:tcBorders>
              <w:top w:val="nil"/>
              <w:left w:val="nil"/>
              <w:bottom w:val="single" w:color="auto" w:sz="4" w:space="0"/>
              <w:right w:val="single" w:color="auto" w:sz="4" w:space="0"/>
            </w:tcBorders>
            <w:vAlign w:val="center"/>
          </w:tcPr>
          <w:p>
            <w:pPr>
              <w:widowControl/>
              <w:spacing w:line="400" w:lineRule="exact"/>
              <w:jc w:val="center"/>
              <w:rPr>
                <w:rFonts w:hint="eastAsia" w:ascii="宋体" w:hAnsi="宋体" w:eastAsia="宋体" w:cs="宋体"/>
                <w:color w:val="auto"/>
                <w:sz w:val="18"/>
                <w:szCs w:val="18"/>
              </w:rPr>
            </w:pPr>
            <w:r>
              <w:rPr>
                <w:rFonts w:hint="eastAsia" w:ascii="宋体" w:hAnsi="宋体" w:eastAsia="宋体" w:cs="宋体"/>
                <w:color w:val="auto"/>
                <w:sz w:val="18"/>
                <w:szCs w:val="18"/>
              </w:rPr>
              <w:t>自合同生效起2个月内</w:t>
            </w:r>
          </w:p>
        </w:tc>
      </w:tr>
    </w:tbl>
    <w:p>
      <w:pPr>
        <w:spacing w:line="360" w:lineRule="auto"/>
        <w:rPr>
          <w:rFonts w:hint="eastAsia" w:ascii="宋体" w:hAnsi="宋体" w:eastAsia="宋体" w:cs="宋体"/>
          <w:bCs/>
          <w:color w:val="auto"/>
          <w:sz w:val="21"/>
          <w:szCs w:val="21"/>
        </w:rPr>
      </w:pPr>
      <w:r>
        <w:rPr>
          <w:rFonts w:hint="eastAsia" w:ascii="宋体" w:hAnsi="宋体" w:eastAsia="宋体" w:cs="宋体"/>
          <w:bCs/>
          <w:color w:val="auto"/>
          <w:sz w:val="21"/>
          <w:szCs w:val="21"/>
        </w:rPr>
        <w:t>1.2交货地点:</w:t>
      </w:r>
      <w:r>
        <w:rPr>
          <w:rFonts w:hint="eastAsia" w:ascii="宋体" w:hAnsi="宋体" w:eastAsia="宋体" w:cs="宋体"/>
          <w:color w:val="auto"/>
          <w:sz w:val="21"/>
          <w:szCs w:val="21"/>
        </w:rPr>
        <w:t>神华准能大准铁路公司车务段南坪车站</w:t>
      </w:r>
      <w:r>
        <w:rPr>
          <w:rFonts w:hint="eastAsia" w:ascii="宋体" w:hAnsi="宋体" w:eastAsia="宋体" w:cs="宋体"/>
          <w:bCs/>
          <w:color w:val="auto"/>
          <w:sz w:val="21"/>
          <w:szCs w:val="21"/>
        </w:rPr>
        <w:t>。</w:t>
      </w:r>
    </w:p>
    <w:p>
      <w:pPr>
        <w:tabs>
          <w:tab w:val="left" w:pos="900"/>
        </w:tabs>
        <w:spacing w:line="360" w:lineRule="auto"/>
        <w:rPr>
          <w:rFonts w:hint="eastAsia" w:ascii="宋体" w:hAnsi="宋体" w:eastAsia="宋体" w:cs="宋体"/>
          <w:b/>
          <w:bCs w:val="0"/>
          <w:color w:val="auto"/>
          <w:sz w:val="21"/>
          <w:szCs w:val="21"/>
        </w:rPr>
      </w:pPr>
      <w:r>
        <w:rPr>
          <w:rFonts w:hint="eastAsia" w:ascii="宋体" w:hAnsi="宋体" w:eastAsia="宋体" w:cs="宋体"/>
          <w:b/>
          <w:bCs w:val="0"/>
          <w:color w:val="auto"/>
          <w:sz w:val="21"/>
          <w:szCs w:val="21"/>
        </w:rPr>
        <w:t>2.设备规格及使用条件</w:t>
      </w:r>
    </w:p>
    <w:p>
      <w:pPr>
        <w:tabs>
          <w:tab w:val="left" w:pos="900"/>
        </w:tabs>
        <w:spacing w:line="360" w:lineRule="auto"/>
        <w:rPr>
          <w:rFonts w:hint="eastAsia" w:ascii="宋体" w:hAnsi="宋体" w:eastAsia="宋体" w:cs="宋体"/>
          <w:bCs/>
          <w:color w:val="auto"/>
          <w:sz w:val="21"/>
          <w:szCs w:val="21"/>
        </w:rPr>
      </w:pPr>
      <w:r>
        <w:rPr>
          <w:rFonts w:hint="eastAsia" w:ascii="宋体" w:hAnsi="宋体" w:eastAsia="宋体" w:cs="宋体"/>
          <w:bCs/>
          <w:color w:val="auto"/>
          <w:sz w:val="21"/>
          <w:szCs w:val="21"/>
        </w:rPr>
        <w:t>2.1设备名称及型号</w:t>
      </w:r>
    </w:p>
    <w:p>
      <w:pPr>
        <w:tabs>
          <w:tab w:val="left" w:pos="900"/>
        </w:tabs>
        <w:spacing w:line="360" w:lineRule="auto"/>
        <w:rPr>
          <w:rFonts w:hint="eastAsia" w:ascii="宋体" w:hAnsi="宋体" w:eastAsia="宋体" w:cs="宋体"/>
          <w:bCs/>
          <w:color w:val="auto"/>
          <w:sz w:val="21"/>
          <w:szCs w:val="21"/>
        </w:rPr>
      </w:pPr>
      <w:r>
        <w:rPr>
          <w:rFonts w:hint="eastAsia" w:ascii="宋体" w:hAnsi="宋体" w:eastAsia="宋体" w:cs="宋体"/>
          <w:bCs/>
          <w:color w:val="auto"/>
          <w:sz w:val="21"/>
          <w:szCs w:val="21"/>
        </w:rPr>
        <w:t>2.1.1设备名称：到发线防溜装置</w:t>
      </w:r>
    </w:p>
    <w:p>
      <w:pPr>
        <w:tabs>
          <w:tab w:val="left" w:pos="900"/>
        </w:tabs>
        <w:spacing w:line="360" w:lineRule="auto"/>
        <w:rPr>
          <w:rFonts w:hint="eastAsia" w:ascii="宋体" w:hAnsi="宋体" w:eastAsia="宋体" w:cs="宋体"/>
          <w:bCs/>
          <w:color w:val="auto"/>
          <w:sz w:val="21"/>
          <w:szCs w:val="21"/>
        </w:rPr>
      </w:pPr>
      <w:r>
        <w:rPr>
          <w:rFonts w:hint="eastAsia" w:ascii="宋体" w:hAnsi="宋体" w:eastAsia="宋体" w:cs="宋体"/>
          <w:bCs/>
          <w:color w:val="auto"/>
          <w:sz w:val="21"/>
          <w:szCs w:val="21"/>
        </w:rPr>
        <w:t>2.1.2生产厂家及型号：</w:t>
      </w:r>
    </w:p>
    <w:p>
      <w:pPr>
        <w:tabs>
          <w:tab w:val="left" w:pos="900"/>
        </w:tabs>
        <w:spacing w:line="360" w:lineRule="auto"/>
        <w:rPr>
          <w:rFonts w:hint="eastAsia" w:ascii="宋体" w:hAnsi="宋体" w:eastAsia="宋体" w:cs="宋体"/>
          <w:bCs/>
          <w:color w:val="auto"/>
          <w:sz w:val="21"/>
          <w:szCs w:val="21"/>
        </w:rPr>
      </w:pPr>
      <w:r>
        <w:rPr>
          <w:rFonts w:hint="eastAsia" w:ascii="宋体" w:hAnsi="宋体" w:eastAsia="宋体" w:cs="宋体"/>
          <w:bCs/>
          <w:color w:val="auto"/>
          <w:sz w:val="21"/>
          <w:szCs w:val="21"/>
        </w:rPr>
        <w:t>2.2设备使用条件：</w:t>
      </w:r>
    </w:p>
    <w:p>
      <w:pPr>
        <w:tabs>
          <w:tab w:val="left" w:pos="425"/>
          <w:tab w:val="left" w:pos="1080"/>
        </w:tabs>
        <w:spacing w:line="360" w:lineRule="auto"/>
        <w:ind w:firstLine="420" w:firstLineChars="200"/>
        <w:rPr>
          <w:rFonts w:hint="eastAsia" w:ascii="宋体" w:hAnsi="宋体" w:eastAsia="宋体" w:cs="宋体"/>
          <w:bCs/>
          <w:color w:val="auto"/>
          <w:sz w:val="21"/>
          <w:szCs w:val="21"/>
        </w:rPr>
      </w:pPr>
      <w:r>
        <w:rPr>
          <w:rFonts w:hint="eastAsia" w:ascii="宋体" w:hAnsi="宋体" w:eastAsia="宋体" w:cs="宋体"/>
          <w:bCs/>
          <w:color w:val="auto"/>
          <w:sz w:val="21"/>
          <w:szCs w:val="21"/>
        </w:rPr>
        <w:t>到发线防溜装置安装在既有标准轨距线路上，满足50Kg/m或60Kg/m安装要求，年平均温度</w:t>
      </w:r>
      <w:r>
        <w:rPr>
          <w:rFonts w:hint="eastAsia" w:ascii="宋体" w:hAnsi="宋体" w:eastAsia="宋体" w:cs="宋体"/>
          <w:bCs/>
          <w:color w:val="auto"/>
          <w:sz w:val="21"/>
          <w:szCs w:val="21"/>
          <w:u w:val="single"/>
        </w:rPr>
        <w:t>5.3～7.6℃</w:t>
      </w:r>
      <w:r>
        <w:rPr>
          <w:rFonts w:hint="eastAsia" w:ascii="宋体" w:hAnsi="宋体" w:eastAsia="宋体" w:cs="宋体"/>
          <w:bCs/>
          <w:color w:val="auto"/>
          <w:sz w:val="21"/>
          <w:szCs w:val="21"/>
        </w:rPr>
        <w:t>；最高气温达</w:t>
      </w:r>
      <w:r>
        <w:rPr>
          <w:rFonts w:hint="eastAsia" w:ascii="宋体" w:hAnsi="宋体" w:eastAsia="宋体" w:cs="宋体"/>
          <w:bCs/>
          <w:color w:val="auto"/>
          <w:sz w:val="21"/>
          <w:szCs w:val="21"/>
          <w:u w:val="single"/>
        </w:rPr>
        <w:t>39.4℃</w:t>
      </w:r>
      <w:r>
        <w:rPr>
          <w:rFonts w:hint="eastAsia" w:ascii="宋体" w:hAnsi="宋体" w:eastAsia="宋体" w:cs="宋体"/>
          <w:bCs/>
          <w:color w:val="auto"/>
          <w:sz w:val="21"/>
          <w:szCs w:val="21"/>
        </w:rPr>
        <w:t>，最低气温为</w:t>
      </w:r>
      <w:r>
        <w:rPr>
          <w:rFonts w:hint="eastAsia" w:ascii="宋体" w:hAnsi="宋体" w:eastAsia="宋体" w:cs="宋体"/>
          <w:bCs/>
          <w:color w:val="auto"/>
          <w:sz w:val="21"/>
          <w:szCs w:val="21"/>
          <w:u w:val="single"/>
        </w:rPr>
        <w:t>-34℃</w:t>
      </w:r>
      <w:r>
        <w:rPr>
          <w:rFonts w:hint="eastAsia" w:ascii="宋体" w:hAnsi="宋体" w:eastAsia="宋体" w:cs="宋体"/>
          <w:bCs/>
          <w:color w:val="auto"/>
          <w:sz w:val="21"/>
          <w:szCs w:val="21"/>
        </w:rPr>
        <w:t>；年降水量为</w:t>
      </w:r>
      <w:r>
        <w:rPr>
          <w:rFonts w:hint="eastAsia" w:ascii="宋体" w:hAnsi="宋体" w:eastAsia="宋体" w:cs="宋体"/>
          <w:bCs/>
          <w:color w:val="auto"/>
          <w:sz w:val="21"/>
          <w:szCs w:val="21"/>
          <w:u w:val="single"/>
        </w:rPr>
        <w:t>231～459.5mm</w:t>
      </w:r>
      <w:r>
        <w:rPr>
          <w:rFonts w:hint="eastAsia" w:ascii="宋体" w:hAnsi="宋体" w:eastAsia="宋体" w:cs="宋体"/>
          <w:bCs/>
          <w:color w:val="auto"/>
          <w:sz w:val="21"/>
          <w:szCs w:val="21"/>
        </w:rPr>
        <w:t>；年蒸发量为</w:t>
      </w:r>
      <w:r>
        <w:rPr>
          <w:rFonts w:hint="eastAsia" w:ascii="宋体" w:hAnsi="宋体" w:eastAsia="宋体" w:cs="宋体"/>
          <w:bCs/>
          <w:color w:val="auto"/>
          <w:sz w:val="21"/>
          <w:szCs w:val="21"/>
          <w:u w:val="single"/>
        </w:rPr>
        <w:t>1824.7～2896.1mm</w:t>
      </w:r>
      <w:r>
        <w:rPr>
          <w:rFonts w:hint="eastAsia" w:ascii="宋体" w:hAnsi="宋体" w:eastAsia="宋体" w:cs="宋体"/>
          <w:bCs/>
          <w:color w:val="auto"/>
          <w:sz w:val="21"/>
          <w:szCs w:val="21"/>
        </w:rPr>
        <w:t>；海拔高度为</w:t>
      </w:r>
      <w:r>
        <w:rPr>
          <w:rFonts w:hint="eastAsia" w:ascii="宋体" w:hAnsi="宋体" w:eastAsia="宋体" w:cs="宋体"/>
          <w:bCs/>
          <w:color w:val="auto"/>
          <w:sz w:val="21"/>
          <w:szCs w:val="21"/>
          <w:u w:val="single"/>
        </w:rPr>
        <w:t>1300m</w:t>
      </w:r>
      <w:r>
        <w:rPr>
          <w:rFonts w:hint="eastAsia" w:ascii="宋体" w:hAnsi="宋体" w:eastAsia="宋体" w:cs="宋体"/>
          <w:bCs/>
          <w:color w:val="auto"/>
          <w:sz w:val="21"/>
          <w:szCs w:val="21"/>
        </w:rPr>
        <w:t>；该地区的地震等级为</w:t>
      </w:r>
      <w:r>
        <w:rPr>
          <w:rFonts w:hint="eastAsia" w:ascii="宋体" w:hAnsi="宋体" w:eastAsia="宋体" w:cs="宋体"/>
          <w:bCs/>
          <w:color w:val="auto"/>
          <w:sz w:val="21"/>
          <w:szCs w:val="21"/>
          <w:u w:val="single"/>
        </w:rPr>
        <w:t>7级</w:t>
      </w:r>
      <w:r>
        <w:rPr>
          <w:rFonts w:hint="eastAsia" w:ascii="宋体" w:hAnsi="宋体" w:eastAsia="宋体" w:cs="宋体"/>
          <w:bCs/>
          <w:color w:val="auto"/>
          <w:sz w:val="21"/>
          <w:szCs w:val="21"/>
        </w:rPr>
        <w:t xml:space="preserve">；空气最大相对湿度：当地平均相对湿度 </w:t>
      </w:r>
      <w:r>
        <w:rPr>
          <w:rFonts w:hint="eastAsia" w:ascii="宋体" w:hAnsi="宋体" w:eastAsia="宋体" w:cs="宋体"/>
          <w:bCs/>
          <w:color w:val="auto"/>
          <w:sz w:val="21"/>
          <w:szCs w:val="21"/>
          <w:u w:val="single"/>
        </w:rPr>
        <w:t>54%</w:t>
      </w:r>
      <w:r>
        <w:rPr>
          <w:rFonts w:hint="eastAsia" w:ascii="宋体" w:hAnsi="宋体" w:eastAsia="宋体" w:cs="宋体"/>
          <w:bCs/>
          <w:color w:val="auto"/>
          <w:sz w:val="21"/>
          <w:szCs w:val="21"/>
        </w:rPr>
        <w:t>，在﹢25℃时相对湿度不大于90%；</w:t>
      </w:r>
      <w:r>
        <w:rPr>
          <w:rFonts w:hint="eastAsia" w:ascii="宋体" w:hAnsi="宋体" w:eastAsia="宋体" w:cs="宋体"/>
          <w:color w:val="auto"/>
          <w:sz w:val="21"/>
          <w:szCs w:val="21"/>
          <w:lang w:val="zh-CN"/>
        </w:rPr>
        <w:t>工作场所灰尘、煤尘大，露天作业。</w:t>
      </w:r>
      <w:r>
        <w:rPr>
          <w:rFonts w:hint="eastAsia" w:ascii="宋体" w:hAnsi="宋体" w:eastAsia="宋体" w:cs="宋体"/>
          <w:bCs/>
          <w:color w:val="auto"/>
          <w:sz w:val="21"/>
          <w:szCs w:val="21"/>
        </w:rPr>
        <w:t>投标方提供的设备保证能在上述气候条件及环境下正常运行。</w:t>
      </w:r>
    </w:p>
    <w:p>
      <w:pPr>
        <w:spacing w:line="360" w:lineRule="auto"/>
        <w:rPr>
          <w:rFonts w:hint="eastAsia" w:ascii="宋体" w:hAnsi="宋体" w:eastAsia="宋体" w:cs="宋体"/>
          <w:bCs/>
          <w:color w:val="auto"/>
          <w:sz w:val="21"/>
          <w:szCs w:val="21"/>
        </w:rPr>
      </w:pPr>
      <w:r>
        <w:rPr>
          <w:rFonts w:hint="eastAsia" w:ascii="宋体" w:hAnsi="宋体" w:eastAsia="宋体" w:cs="宋体"/>
          <w:bCs/>
          <w:color w:val="auto"/>
          <w:sz w:val="21"/>
          <w:szCs w:val="21"/>
        </w:rPr>
        <w:t>2.3供电电源条件</w:t>
      </w:r>
    </w:p>
    <w:p>
      <w:pPr>
        <w:spacing w:line="360" w:lineRule="auto"/>
        <w:ind w:firstLine="420" w:firstLineChars="200"/>
        <w:rPr>
          <w:rFonts w:hint="eastAsia" w:ascii="宋体" w:hAnsi="宋体" w:eastAsia="宋体" w:cs="宋体"/>
          <w:color w:val="auto"/>
          <w:sz w:val="21"/>
          <w:szCs w:val="21"/>
          <w:lang w:val="zh-CN"/>
        </w:rPr>
      </w:pPr>
      <w:r>
        <w:rPr>
          <w:rFonts w:hint="eastAsia" w:ascii="宋体" w:hAnsi="宋体" w:eastAsia="宋体" w:cs="宋体"/>
          <w:color w:val="auto"/>
          <w:sz w:val="21"/>
          <w:szCs w:val="21"/>
          <w:highlight w:val="none"/>
          <w:lang w:val="zh-CN"/>
        </w:rPr>
        <w:t>招标方提供</w:t>
      </w:r>
      <w:r>
        <w:rPr>
          <w:rFonts w:hint="eastAsia" w:ascii="宋体" w:hAnsi="宋体" w:eastAsia="宋体" w:cs="宋体"/>
          <w:color w:val="auto"/>
          <w:sz w:val="21"/>
          <w:szCs w:val="21"/>
          <w:highlight w:val="none"/>
          <w:u w:val="single"/>
          <w:lang w:val="en-US" w:eastAsia="zh-CN"/>
        </w:rPr>
        <w:t>AC 380V</w:t>
      </w:r>
      <w:r>
        <w:rPr>
          <w:rFonts w:hint="eastAsia" w:ascii="宋体" w:hAnsi="宋体" w:eastAsia="宋体" w:cs="宋体"/>
          <w:color w:val="auto"/>
          <w:sz w:val="21"/>
          <w:szCs w:val="21"/>
          <w:highlight w:val="none"/>
          <w:lang w:val="zh-CN"/>
        </w:rPr>
        <w:t>电源</w:t>
      </w:r>
      <w:r>
        <w:rPr>
          <w:rFonts w:hint="eastAsia" w:ascii="宋体" w:hAnsi="宋体" w:eastAsia="宋体" w:cs="宋体"/>
          <w:color w:val="auto"/>
          <w:sz w:val="21"/>
          <w:szCs w:val="21"/>
          <w:lang w:val="zh-CN"/>
        </w:rPr>
        <w:t>，</w:t>
      </w:r>
      <w:r>
        <w:rPr>
          <w:rFonts w:hint="eastAsia" w:ascii="宋体" w:hAnsi="宋体" w:eastAsia="宋体" w:cs="宋体"/>
          <w:bCs/>
          <w:color w:val="auto"/>
          <w:sz w:val="21"/>
          <w:szCs w:val="21"/>
        </w:rPr>
        <w:t>电压变化范围</w:t>
      </w:r>
      <w:r>
        <w:rPr>
          <w:rFonts w:hint="eastAsia" w:ascii="宋体" w:hAnsi="宋体" w:eastAsia="宋体" w:cs="宋体"/>
          <w:bCs/>
          <w:color w:val="auto"/>
          <w:sz w:val="21"/>
          <w:szCs w:val="21"/>
          <w:u w:val="single"/>
        </w:rPr>
        <w:t>-15%～+10%</w:t>
      </w:r>
      <w:r>
        <w:rPr>
          <w:rFonts w:hint="eastAsia" w:ascii="宋体" w:hAnsi="宋体" w:eastAsia="宋体" w:cs="宋体"/>
          <w:bCs/>
          <w:color w:val="auto"/>
          <w:sz w:val="21"/>
          <w:szCs w:val="21"/>
        </w:rPr>
        <w:t>，频率变化范围</w:t>
      </w:r>
      <w:r>
        <w:rPr>
          <w:rFonts w:hint="eastAsia" w:ascii="宋体" w:hAnsi="宋体" w:eastAsia="宋体" w:cs="宋体"/>
          <w:bCs/>
          <w:color w:val="auto"/>
          <w:sz w:val="21"/>
          <w:szCs w:val="21"/>
          <w:u w:val="single"/>
        </w:rPr>
        <w:t>50HZ±1%</w:t>
      </w:r>
      <w:r>
        <w:rPr>
          <w:rFonts w:hint="eastAsia" w:ascii="宋体" w:hAnsi="宋体" w:eastAsia="宋体" w:cs="宋体"/>
          <w:bCs/>
          <w:color w:val="auto"/>
          <w:sz w:val="21"/>
          <w:szCs w:val="21"/>
        </w:rPr>
        <w:t>。</w:t>
      </w:r>
      <w:r>
        <w:rPr>
          <w:rFonts w:hint="eastAsia" w:ascii="宋体" w:hAnsi="宋体" w:eastAsia="宋体" w:cs="宋体"/>
          <w:color w:val="auto"/>
          <w:sz w:val="21"/>
          <w:szCs w:val="21"/>
          <w:lang w:val="zh-CN"/>
        </w:rPr>
        <w:t>投标人保证提供的设备能在上述条件及环境下正常运行。</w:t>
      </w:r>
    </w:p>
    <w:p>
      <w:pPr>
        <w:spacing w:line="360" w:lineRule="auto"/>
        <w:rPr>
          <w:rFonts w:hint="eastAsia" w:ascii="宋体" w:hAnsi="宋体" w:eastAsia="宋体" w:cs="宋体"/>
          <w:color w:val="auto"/>
          <w:sz w:val="21"/>
          <w:szCs w:val="21"/>
          <w:lang w:val="zh-CN"/>
        </w:rPr>
      </w:pPr>
      <w:r>
        <w:rPr>
          <w:rFonts w:hint="eastAsia" w:ascii="宋体" w:hAnsi="宋体" w:eastAsia="宋体" w:cs="宋体"/>
          <w:bCs/>
          <w:color w:val="auto"/>
          <w:sz w:val="21"/>
          <w:szCs w:val="21"/>
        </w:rPr>
        <w:t>2.4设备用途：到发线防溜装置安装在大准铁路南坪站到发线上，是一种以电机为动力，内撑式双轨头制动，弹簧施压，机械传动，具有升降自锁闭功能的静态防溜装置。</w:t>
      </w:r>
    </w:p>
    <w:p>
      <w:pPr>
        <w:tabs>
          <w:tab w:val="left" w:pos="900"/>
        </w:tabs>
        <w:spacing w:line="360" w:lineRule="auto"/>
        <w:rPr>
          <w:rFonts w:hint="eastAsia" w:ascii="宋体" w:hAnsi="宋体" w:eastAsia="宋体" w:cs="宋体"/>
          <w:b/>
          <w:bCs w:val="0"/>
          <w:color w:val="auto"/>
          <w:sz w:val="21"/>
          <w:szCs w:val="21"/>
        </w:rPr>
      </w:pPr>
      <w:r>
        <w:rPr>
          <w:rFonts w:hint="eastAsia" w:ascii="宋体" w:hAnsi="宋体" w:eastAsia="宋体" w:cs="宋体"/>
          <w:b/>
          <w:bCs w:val="0"/>
          <w:color w:val="auto"/>
          <w:sz w:val="21"/>
          <w:szCs w:val="21"/>
        </w:rPr>
        <w:t>3.设备结构性能及技术要求</w:t>
      </w:r>
    </w:p>
    <w:p>
      <w:pPr>
        <w:spacing w:line="360" w:lineRule="auto"/>
        <w:rPr>
          <w:rFonts w:hint="eastAsia" w:ascii="宋体" w:hAnsi="宋体" w:eastAsia="宋体" w:cs="宋体"/>
          <w:bCs/>
          <w:color w:val="auto"/>
          <w:sz w:val="21"/>
          <w:szCs w:val="21"/>
          <w:highlight w:val="yellow"/>
          <w:lang w:eastAsia="zh-CN"/>
        </w:rPr>
      </w:pPr>
      <w:r>
        <w:rPr>
          <w:rFonts w:hint="eastAsia" w:ascii="宋体" w:hAnsi="宋体" w:eastAsia="宋体" w:cs="宋体"/>
          <w:bCs/>
          <w:color w:val="auto"/>
          <w:sz w:val="21"/>
          <w:szCs w:val="21"/>
        </w:rPr>
        <w:t>3.1技术要求</w:t>
      </w:r>
    </w:p>
    <w:p>
      <w:pPr>
        <w:spacing w:line="360" w:lineRule="auto"/>
        <w:rPr>
          <w:rFonts w:hint="eastAsia" w:ascii="宋体" w:hAnsi="宋体" w:eastAsia="宋体" w:cs="宋体"/>
          <w:bCs/>
          <w:color w:val="auto"/>
          <w:sz w:val="21"/>
          <w:szCs w:val="21"/>
        </w:rPr>
      </w:pPr>
      <w:r>
        <w:rPr>
          <w:rFonts w:hint="eastAsia" w:ascii="宋体" w:hAnsi="宋体" w:eastAsia="宋体" w:cs="宋体"/>
          <w:bCs/>
          <w:color w:val="auto"/>
          <w:sz w:val="21"/>
          <w:szCs w:val="21"/>
        </w:rPr>
        <w:t>3.1.1主要技术参数</w:t>
      </w:r>
    </w:p>
    <w:p>
      <w:pPr>
        <w:numPr>
          <w:ilvl w:val="0"/>
          <w:numId w:val="0"/>
        </w:numPr>
        <w:spacing w:line="360" w:lineRule="auto"/>
        <w:ind w:leftChars="0"/>
        <w:rPr>
          <w:rFonts w:hint="eastAsia" w:ascii="宋体" w:hAnsi="宋体" w:eastAsia="宋体" w:cs="宋体"/>
          <w:bCs/>
          <w:color w:val="auto"/>
          <w:sz w:val="21"/>
          <w:szCs w:val="21"/>
        </w:rPr>
      </w:pPr>
      <w:r>
        <w:rPr>
          <w:rFonts w:hint="eastAsia" w:ascii="宋体" w:hAnsi="宋体" w:eastAsia="宋体" w:cs="宋体"/>
          <w:bCs/>
          <w:color w:val="auto"/>
          <w:sz w:val="21"/>
          <w:szCs w:val="21"/>
          <w:lang w:val="en-US" w:eastAsia="zh-CN"/>
        </w:rPr>
        <w:t>3.1.1.1</w:t>
      </w:r>
      <w:r>
        <w:rPr>
          <w:rFonts w:hint="eastAsia" w:ascii="宋体" w:hAnsi="宋体" w:eastAsia="宋体" w:cs="宋体"/>
          <w:bCs/>
          <w:color w:val="auto"/>
          <w:sz w:val="21"/>
          <w:szCs w:val="21"/>
        </w:rPr>
        <w:t>制动轨全长：Lq＝7700mm 有效长：Ly＝7000mm；</w:t>
      </w:r>
    </w:p>
    <w:p>
      <w:pPr>
        <w:numPr>
          <w:ilvl w:val="0"/>
          <w:numId w:val="0"/>
        </w:numPr>
        <w:spacing w:line="360" w:lineRule="auto"/>
        <w:ind w:leftChars="0"/>
        <w:rPr>
          <w:rFonts w:hint="eastAsia" w:ascii="宋体" w:hAnsi="宋体" w:eastAsia="宋体" w:cs="宋体"/>
          <w:bCs/>
          <w:color w:val="auto"/>
          <w:sz w:val="21"/>
          <w:szCs w:val="21"/>
        </w:rPr>
      </w:pPr>
      <w:r>
        <w:rPr>
          <w:rFonts w:hint="eastAsia" w:ascii="宋体" w:hAnsi="宋体" w:eastAsia="宋体" w:cs="宋体"/>
          <w:bCs/>
          <w:color w:val="auto"/>
          <w:sz w:val="21"/>
          <w:szCs w:val="21"/>
          <w:lang w:val="en-US" w:eastAsia="zh-CN"/>
        </w:rPr>
        <w:t>3.1.1.2</w:t>
      </w:r>
      <w:r>
        <w:rPr>
          <w:rFonts w:hint="eastAsia" w:ascii="宋体" w:hAnsi="宋体" w:eastAsia="宋体" w:cs="宋体"/>
          <w:bCs/>
          <w:color w:val="auto"/>
          <w:sz w:val="21"/>
          <w:szCs w:val="21"/>
        </w:rPr>
        <w:t>两根制动轨作用面间距：制动位：Lz＝1365±2mm；缓解位：Lz≤1320mm；</w:t>
      </w:r>
    </w:p>
    <w:p>
      <w:pPr>
        <w:numPr>
          <w:ilvl w:val="0"/>
          <w:numId w:val="0"/>
        </w:numPr>
        <w:spacing w:line="360" w:lineRule="auto"/>
        <w:ind w:leftChars="0"/>
        <w:rPr>
          <w:rFonts w:hint="eastAsia" w:ascii="宋体" w:hAnsi="宋体" w:eastAsia="宋体" w:cs="宋体"/>
          <w:bCs/>
          <w:color w:val="auto"/>
          <w:sz w:val="21"/>
          <w:szCs w:val="21"/>
        </w:rPr>
      </w:pPr>
      <w:r>
        <w:rPr>
          <w:rFonts w:hint="eastAsia" w:ascii="宋体" w:hAnsi="宋体" w:eastAsia="宋体" w:cs="宋体"/>
          <w:bCs/>
          <w:color w:val="auto"/>
          <w:sz w:val="21"/>
          <w:szCs w:val="21"/>
          <w:lang w:val="en-US" w:eastAsia="zh-CN"/>
        </w:rPr>
        <w:t>*3.1.1.3</w:t>
      </w:r>
      <w:r>
        <w:rPr>
          <w:rFonts w:hint="eastAsia" w:ascii="宋体" w:hAnsi="宋体" w:eastAsia="宋体" w:cs="宋体"/>
          <w:bCs/>
          <w:color w:val="auto"/>
          <w:sz w:val="21"/>
          <w:szCs w:val="21"/>
        </w:rPr>
        <w:t>限界高度：制动位：hz≤60mm；缓解位：hh＜25mm；</w:t>
      </w:r>
    </w:p>
    <w:p>
      <w:pPr>
        <w:numPr>
          <w:ilvl w:val="0"/>
          <w:numId w:val="0"/>
        </w:numPr>
        <w:spacing w:line="360" w:lineRule="auto"/>
        <w:ind w:leftChars="0"/>
        <w:rPr>
          <w:rFonts w:hint="eastAsia" w:ascii="宋体" w:hAnsi="宋体" w:eastAsia="宋体" w:cs="宋体"/>
          <w:bCs/>
          <w:color w:val="auto"/>
          <w:sz w:val="21"/>
          <w:szCs w:val="21"/>
        </w:rPr>
      </w:pPr>
      <w:r>
        <w:rPr>
          <w:rFonts w:hint="eastAsia" w:ascii="宋体" w:hAnsi="宋体" w:eastAsia="宋体" w:cs="宋体"/>
          <w:bCs/>
          <w:color w:val="auto"/>
          <w:sz w:val="21"/>
          <w:szCs w:val="21"/>
          <w:lang w:val="en-US" w:eastAsia="zh-CN"/>
        </w:rPr>
        <w:t>*3.1.1.4</w:t>
      </w:r>
      <w:r>
        <w:rPr>
          <w:rFonts w:hint="eastAsia" w:ascii="宋体" w:hAnsi="宋体" w:eastAsia="宋体" w:cs="宋体"/>
          <w:bCs/>
          <w:color w:val="auto"/>
          <w:sz w:val="21"/>
          <w:szCs w:val="21"/>
        </w:rPr>
        <w:t>动作时间：制动时间：tz≤30s；缓解时间：th≤30s；</w:t>
      </w:r>
    </w:p>
    <w:p>
      <w:pPr>
        <w:numPr>
          <w:ilvl w:val="0"/>
          <w:numId w:val="0"/>
        </w:numPr>
        <w:spacing w:line="360" w:lineRule="auto"/>
        <w:ind w:leftChars="0"/>
        <w:rPr>
          <w:rFonts w:hint="eastAsia" w:ascii="宋体" w:hAnsi="宋体" w:eastAsia="宋体" w:cs="宋体"/>
          <w:bCs/>
          <w:color w:val="auto"/>
          <w:sz w:val="21"/>
          <w:szCs w:val="21"/>
        </w:rPr>
      </w:pPr>
      <w:r>
        <w:rPr>
          <w:rFonts w:hint="eastAsia" w:ascii="宋体" w:hAnsi="宋体" w:eastAsia="宋体" w:cs="宋体"/>
          <w:bCs/>
          <w:color w:val="auto"/>
          <w:sz w:val="21"/>
          <w:szCs w:val="21"/>
          <w:lang w:val="en-US" w:eastAsia="zh-CN"/>
        </w:rPr>
        <w:t>3.1.1.5</w:t>
      </w:r>
      <w:r>
        <w:rPr>
          <w:rFonts w:hint="eastAsia" w:ascii="宋体" w:hAnsi="宋体" w:eastAsia="宋体" w:cs="宋体"/>
          <w:bCs/>
          <w:color w:val="auto"/>
          <w:sz w:val="21"/>
          <w:szCs w:val="21"/>
        </w:rPr>
        <w:t>制动轨引导口引导角度：α≤5º；</w:t>
      </w:r>
    </w:p>
    <w:p>
      <w:pPr>
        <w:numPr>
          <w:ilvl w:val="0"/>
          <w:numId w:val="0"/>
        </w:numPr>
        <w:spacing w:line="360" w:lineRule="auto"/>
        <w:ind w:leftChars="0"/>
        <w:rPr>
          <w:rFonts w:hint="eastAsia" w:ascii="宋体" w:hAnsi="宋体" w:eastAsia="宋体" w:cs="宋体"/>
          <w:bCs/>
          <w:color w:val="auto"/>
          <w:sz w:val="21"/>
          <w:szCs w:val="21"/>
        </w:rPr>
      </w:pPr>
      <w:r>
        <w:rPr>
          <w:rFonts w:hint="eastAsia" w:ascii="宋体" w:hAnsi="宋体" w:eastAsia="宋体" w:cs="宋体"/>
          <w:bCs/>
          <w:color w:val="auto"/>
          <w:sz w:val="21"/>
          <w:szCs w:val="21"/>
          <w:lang w:val="en-US" w:eastAsia="zh-CN"/>
        </w:rPr>
        <w:t>3.1.1.6</w:t>
      </w:r>
      <w:r>
        <w:rPr>
          <w:rFonts w:hint="eastAsia" w:ascii="宋体" w:hAnsi="宋体" w:eastAsia="宋体" w:cs="宋体"/>
          <w:bCs/>
          <w:color w:val="auto"/>
          <w:sz w:val="21"/>
          <w:szCs w:val="21"/>
        </w:rPr>
        <w:t>单台制动能高：Hz=0.25M～0.35m，可调；</w:t>
      </w:r>
    </w:p>
    <w:p>
      <w:pPr>
        <w:numPr>
          <w:ilvl w:val="0"/>
          <w:numId w:val="0"/>
        </w:numPr>
        <w:spacing w:line="360" w:lineRule="auto"/>
        <w:ind w:leftChars="0"/>
        <w:rPr>
          <w:rFonts w:hint="eastAsia" w:ascii="宋体" w:hAnsi="宋体" w:eastAsia="宋体" w:cs="宋体"/>
          <w:bCs/>
          <w:color w:val="auto"/>
          <w:sz w:val="21"/>
          <w:szCs w:val="21"/>
        </w:rPr>
      </w:pPr>
      <w:r>
        <w:rPr>
          <w:rFonts w:hint="eastAsia" w:ascii="宋体" w:hAnsi="宋体" w:eastAsia="宋体" w:cs="宋体"/>
          <w:bCs/>
          <w:color w:val="auto"/>
          <w:sz w:val="21"/>
          <w:szCs w:val="21"/>
          <w:lang w:val="en-US" w:eastAsia="zh-CN"/>
        </w:rPr>
        <w:t>3.1.1.7</w:t>
      </w:r>
      <w:r>
        <w:rPr>
          <w:rFonts w:hint="eastAsia" w:ascii="宋体" w:hAnsi="宋体" w:eastAsia="宋体" w:cs="宋体"/>
          <w:bCs/>
          <w:color w:val="auto"/>
          <w:sz w:val="21"/>
          <w:szCs w:val="21"/>
        </w:rPr>
        <w:t>电动机功率：1.5Kw电压，三相交流：380V，电流：3.4A；</w:t>
      </w:r>
    </w:p>
    <w:p>
      <w:pPr>
        <w:numPr>
          <w:ilvl w:val="0"/>
          <w:numId w:val="0"/>
        </w:numPr>
        <w:spacing w:line="360" w:lineRule="auto"/>
        <w:ind w:leftChars="0"/>
        <w:rPr>
          <w:rFonts w:hint="eastAsia" w:ascii="宋体" w:hAnsi="宋体" w:eastAsia="宋体" w:cs="宋体"/>
          <w:bCs/>
          <w:color w:val="auto"/>
          <w:sz w:val="21"/>
          <w:szCs w:val="21"/>
        </w:rPr>
      </w:pPr>
      <w:r>
        <w:rPr>
          <w:rFonts w:hint="eastAsia" w:ascii="宋体" w:hAnsi="宋体" w:eastAsia="宋体" w:cs="宋体"/>
          <w:bCs/>
          <w:color w:val="auto"/>
          <w:sz w:val="21"/>
          <w:szCs w:val="21"/>
          <w:lang w:val="en-US" w:eastAsia="zh-CN"/>
        </w:rPr>
        <w:t>3.1.1.8</w:t>
      </w:r>
      <w:r>
        <w:rPr>
          <w:rFonts w:hint="eastAsia" w:ascii="宋体" w:hAnsi="宋体" w:eastAsia="宋体" w:cs="宋体"/>
          <w:bCs/>
          <w:color w:val="auto"/>
          <w:sz w:val="21"/>
          <w:szCs w:val="21"/>
        </w:rPr>
        <w:t>防溜装置设有手动解锁；</w:t>
      </w:r>
    </w:p>
    <w:p>
      <w:pPr>
        <w:numPr>
          <w:ilvl w:val="0"/>
          <w:numId w:val="0"/>
        </w:numPr>
        <w:spacing w:line="360" w:lineRule="auto"/>
        <w:ind w:leftChars="0"/>
        <w:rPr>
          <w:rFonts w:hint="eastAsia" w:ascii="宋体" w:hAnsi="宋体" w:eastAsia="宋体" w:cs="宋体"/>
          <w:bCs/>
          <w:color w:val="auto"/>
          <w:sz w:val="21"/>
          <w:szCs w:val="21"/>
          <w:highlight w:val="yellow"/>
          <w:lang w:val="en-US"/>
        </w:rPr>
      </w:pPr>
      <w:r>
        <w:rPr>
          <w:rFonts w:hint="eastAsia" w:ascii="宋体" w:hAnsi="宋体" w:eastAsia="宋体" w:cs="宋体"/>
          <w:bCs/>
          <w:color w:val="auto"/>
          <w:sz w:val="21"/>
          <w:szCs w:val="21"/>
          <w:lang w:val="en-US" w:eastAsia="zh-CN"/>
        </w:rPr>
        <w:t>3.1.1.9</w:t>
      </w:r>
      <w:r>
        <w:rPr>
          <w:rFonts w:hint="eastAsia" w:ascii="宋体" w:hAnsi="宋体" w:eastAsia="宋体" w:cs="宋体"/>
          <w:bCs/>
          <w:color w:val="auto"/>
          <w:sz w:val="21"/>
          <w:szCs w:val="21"/>
          <w:highlight w:val="none"/>
          <w:lang w:val="en-US" w:eastAsia="zh-CN"/>
        </w:rPr>
        <w:t>应配备华北工控机，配置</w:t>
      </w:r>
      <w:r>
        <w:rPr>
          <w:rFonts w:hint="eastAsia" w:ascii="宋体" w:hAnsi="宋体" w:eastAsia="宋体" w:cs="宋体"/>
          <w:bCs/>
          <w:color w:val="auto"/>
          <w:sz w:val="21"/>
          <w:szCs w:val="21"/>
          <w:highlight w:val="none"/>
        </w:rPr>
        <w:t>处理器为i7</w:t>
      </w:r>
      <w:r>
        <w:rPr>
          <w:rFonts w:hint="eastAsia" w:ascii="宋体" w:hAnsi="宋体" w:eastAsia="宋体" w:cs="宋体"/>
          <w:bCs/>
          <w:color w:val="auto"/>
          <w:sz w:val="21"/>
          <w:szCs w:val="21"/>
          <w:highlight w:val="none"/>
          <w:lang w:val="en-US" w:eastAsia="zh-CN"/>
        </w:rPr>
        <w:t>-2600</w:t>
      </w:r>
      <w:r>
        <w:rPr>
          <w:rFonts w:hint="eastAsia" w:ascii="宋体" w:hAnsi="宋体" w:eastAsia="宋体" w:cs="宋体"/>
          <w:bCs/>
          <w:color w:val="auto"/>
          <w:sz w:val="21"/>
          <w:szCs w:val="21"/>
          <w:highlight w:val="none"/>
        </w:rPr>
        <w:t>及以上、内存</w:t>
      </w:r>
      <w:r>
        <w:rPr>
          <w:rFonts w:hint="eastAsia" w:ascii="宋体" w:hAnsi="宋体" w:eastAsia="宋体" w:cs="宋体"/>
          <w:bCs/>
          <w:color w:val="auto"/>
          <w:sz w:val="21"/>
          <w:szCs w:val="21"/>
          <w:highlight w:val="none"/>
          <w:lang w:val="en-US" w:eastAsia="zh-CN"/>
        </w:rPr>
        <w:t>DDR4 16</w:t>
      </w:r>
      <w:r>
        <w:rPr>
          <w:rFonts w:hint="eastAsia" w:ascii="宋体" w:hAnsi="宋体" w:eastAsia="宋体" w:cs="宋体"/>
          <w:bCs/>
          <w:color w:val="auto"/>
          <w:sz w:val="21"/>
          <w:szCs w:val="21"/>
          <w:highlight w:val="none"/>
        </w:rPr>
        <w:t>G及以上、 硬盘</w:t>
      </w:r>
      <w:r>
        <w:rPr>
          <w:rFonts w:hint="eastAsia" w:ascii="宋体" w:hAnsi="宋体" w:eastAsia="宋体" w:cs="宋体"/>
          <w:bCs/>
          <w:color w:val="auto"/>
          <w:sz w:val="21"/>
          <w:szCs w:val="21"/>
          <w:highlight w:val="none"/>
          <w:lang w:val="en-US" w:eastAsia="zh-CN"/>
        </w:rPr>
        <w:t>1T</w:t>
      </w:r>
      <w:r>
        <w:rPr>
          <w:rFonts w:hint="eastAsia" w:ascii="宋体" w:hAnsi="宋体" w:eastAsia="宋体" w:cs="宋体"/>
          <w:bCs/>
          <w:color w:val="auto"/>
          <w:sz w:val="21"/>
          <w:szCs w:val="21"/>
          <w:highlight w:val="none"/>
        </w:rPr>
        <w:t>及以上、独显；</w:t>
      </w:r>
      <w:r>
        <w:rPr>
          <w:rFonts w:hint="eastAsia" w:ascii="宋体" w:hAnsi="宋体" w:eastAsia="宋体" w:cs="宋体"/>
          <w:bCs/>
          <w:color w:val="auto"/>
          <w:sz w:val="21"/>
          <w:szCs w:val="21"/>
          <w:highlight w:val="none"/>
          <w:lang w:val="en-US" w:eastAsia="zh-CN"/>
        </w:rPr>
        <w:t>显示器为27寸黑色平面液晶显示器。</w:t>
      </w:r>
    </w:p>
    <w:p>
      <w:pPr>
        <w:numPr>
          <w:ilvl w:val="0"/>
          <w:numId w:val="0"/>
        </w:numPr>
        <w:spacing w:line="360" w:lineRule="auto"/>
        <w:ind w:leftChars="0"/>
        <w:rPr>
          <w:rFonts w:hint="eastAsia" w:ascii="宋体" w:hAnsi="宋体" w:eastAsia="宋体" w:cs="宋体"/>
          <w:bCs/>
          <w:color w:val="auto"/>
          <w:sz w:val="21"/>
          <w:szCs w:val="21"/>
        </w:rPr>
      </w:pPr>
      <w:r>
        <w:rPr>
          <w:rFonts w:hint="eastAsia" w:ascii="宋体" w:hAnsi="宋体" w:eastAsia="宋体" w:cs="宋体"/>
          <w:bCs/>
          <w:color w:val="auto"/>
          <w:sz w:val="21"/>
          <w:szCs w:val="21"/>
          <w:lang w:val="en-US" w:eastAsia="zh-CN"/>
        </w:rPr>
        <w:t>3.1.1.10</w:t>
      </w:r>
      <w:r>
        <w:rPr>
          <w:rFonts w:hint="eastAsia" w:ascii="宋体" w:hAnsi="宋体" w:eastAsia="宋体" w:cs="宋体"/>
          <w:bCs/>
          <w:color w:val="auto"/>
          <w:sz w:val="21"/>
          <w:szCs w:val="21"/>
          <w:highlight w:val="none"/>
          <w:lang w:val="en-US" w:eastAsia="zh-CN"/>
        </w:rPr>
        <w:t>工控机机柜为图腾品牌，工控机</w:t>
      </w:r>
      <w:r>
        <w:rPr>
          <w:rFonts w:hint="eastAsia" w:ascii="宋体" w:hAnsi="宋体" w:eastAsia="宋体" w:cs="宋体"/>
          <w:bCs/>
          <w:color w:val="auto"/>
          <w:sz w:val="21"/>
          <w:szCs w:val="21"/>
          <w:highlight w:val="none"/>
        </w:rPr>
        <w:t>机柜用电负荷：2千瓦</w:t>
      </w:r>
      <w:r>
        <w:rPr>
          <w:rFonts w:hint="eastAsia" w:ascii="宋体" w:hAnsi="宋体" w:eastAsia="宋体" w:cs="宋体"/>
          <w:bCs/>
          <w:color w:val="auto"/>
          <w:sz w:val="21"/>
          <w:szCs w:val="21"/>
          <w:highlight w:val="none"/>
          <w:lang w:eastAsia="zh-CN"/>
        </w:rPr>
        <w:t>；</w:t>
      </w:r>
      <w:r>
        <w:rPr>
          <w:rFonts w:hint="eastAsia" w:ascii="宋体" w:hAnsi="宋体" w:eastAsia="宋体" w:cs="宋体"/>
          <w:bCs/>
          <w:color w:val="auto"/>
          <w:sz w:val="21"/>
          <w:szCs w:val="21"/>
          <w:highlight w:val="none"/>
          <w:lang w:val="en-US" w:eastAsia="zh-CN"/>
        </w:rPr>
        <w:t>尺寸为600mm*600mm*1166mm。</w:t>
      </w:r>
    </w:p>
    <w:p>
      <w:pPr>
        <w:spacing w:line="360" w:lineRule="auto"/>
        <w:rPr>
          <w:rFonts w:hint="eastAsia" w:ascii="宋体" w:hAnsi="宋体" w:eastAsia="宋体" w:cs="宋体"/>
          <w:bCs/>
          <w:color w:val="auto"/>
          <w:sz w:val="21"/>
          <w:szCs w:val="21"/>
        </w:rPr>
      </w:pPr>
      <w:r>
        <w:rPr>
          <w:rFonts w:hint="eastAsia" w:ascii="宋体" w:hAnsi="宋体" w:eastAsia="宋体" w:cs="宋体"/>
          <w:bCs/>
          <w:color w:val="auto"/>
          <w:sz w:val="21"/>
          <w:szCs w:val="21"/>
          <w:lang w:val="en-US" w:eastAsia="zh-CN"/>
        </w:rPr>
        <w:t>*</w:t>
      </w:r>
      <w:r>
        <w:rPr>
          <w:rFonts w:hint="eastAsia" w:ascii="宋体" w:hAnsi="宋体" w:eastAsia="宋体" w:cs="宋体"/>
          <w:bCs/>
          <w:color w:val="auto"/>
          <w:sz w:val="21"/>
          <w:szCs w:val="21"/>
        </w:rPr>
        <w:t>3.1.</w:t>
      </w:r>
      <w:r>
        <w:rPr>
          <w:rFonts w:hint="eastAsia" w:ascii="宋体" w:hAnsi="宋体" w:eastAsia="宋体" w:cs="宋体"/>
          <w:bCs/>
          <w:color w:val="auto"/>
          <w:sz w:val="21"/>
          <w:szCs w:val="21"/>
          <w:lang w:val="en-US" w:eastAsia="zh-CN"/>
        </w:rPr>
        <w:t>2</w:t>
      </w:r>
      <w:r>
        <w:rPr>
          <w:rFonts w:hint="eastAsia" w:ascii="宋体" w:hAnsi="宋体" w:eastAsia="宋体" w:cs="宋体"/>
          <w:bCs/>
          <w:color w:val="auto"/>
          <w:sz w:val="21"/>
          <w:szCs w:val="21"/>
        </w:rPr>
        <w:t xml:space="preserve"> 产品制动能力：产品对车辆做功须保证不造成脱轨，单台产品制动功不小于</w:t>
      </w:r>
      <w:r>
        <w:rPr>
          <w:rFonts w:hint="eastAsia" w:ascii="宋体" w:hAnsi="宋体" w:eastAsia="宋体" w:cs="宋体"/>
          <w:bCs/>
          <w:color w:val="auto"/>
          <w:sz w:val="21"/>
          <w:szCs w:val="21"/>
          <w:highlight w:val="none"/>
        </w:rPr>
        <w:t>235×10</w:t>
      </w:r>
      <w:r>
        <w:rPr>
          <w:rFonts w:hint="eastAsia" w:ascii="宋体" w:hAnsi="宋体" w:eastAsia="宋体" w:cs="宋体"/>
          <w:bCs/>
          <w:color w:val="auto"/>
          <w:sz w:val="21"/>
          <w:szCs w:val="21"/>
          <w:highlight w:val="none"/>
          <w:vertAlign w:val="superscript"/>
        </w:rPr>
        <w:t>3</w:t>
      </w:r>
      <w:r>
        <w:rPr>
          <w:rFonts w:hint="eastAsia" w:ascii="宋体" w:hAnsi="宋体" w:eastAsia="宋体" w:cs="宋体"/>
          <w:bCs/>
          <w:color w:val="auto"/>
          <w:sz w:val="21"/>
          <w:szCs w:val="21"/>
          <w:highlight w:val="none"/>
        </w:rPr>
        <w:t>J</w:t>
      </w:r>
      <w:r>
        <w:rPr>
          <w:rFonts w:hint="eastAsia" w:ascii="宋体" w:hAnsi="宋体" w:eastAsia="宋体" w:cs="宋体"/>
          <w:bCs/>
          <w:color w:val="auto"/>
          <w:sz w:val="21"/>
          <w:szCs w:val="21"/>
        </w:rPr>
        <w:t>，制动能高不小于0.25m。</w:t>
      </w:r>
    </w:p>
    <w:p>
      <w:pPr>
        <w:spacing w:line="360" w:lineRule="auto"/>
        <w:rPr>
          <w:rFonts w:hint="eastAsia" w:ascii="宋体" w:hAnsi="宋体" w:eastAsia="宋体" w:cs="宋体"/>
          <w:bCs/>
          <w:color w:val="auto"/>
          <w:sz w:val="21"/>
          <w:szCs w:val="21"/>
        </w:rPr>
      </w:pPr>
      <w:r>
        <w:rPr>
          <w:rFonts w:hint="eastAsia" w:ascii="宋体" w:hAnsi="宋体" w:eastAsia="宋体" w:cs="宋体"/>
          <w:bCs/>
          <w:color w:val="auto"/>
          <w:sz w:val="21"/>
          <w:szCs w:val="21"/>
        </w:rPr>
        <w:t>3.1.</w:t>
      </w:r>
      <w:r>
        <w:rPr>
          <w:rFonts w:hint="eastAsia" w:ascii="宋体" w:hAnsi="宋体" w:eastAsia="宋体" w:cs="宋体"/>
          <w:bCs/>
          <w:color w:val="auto"/>
          <w:sz w:val="21"/>
          <w:szCs w:val="21"/>
          <w:lang w:val="en-US" w:eastAsia="zh-CN"/>
        </w:rPr>
        <w:t>3</w:t>
      </w:r>
      <w:r>
        <w:rPr>
          <w:rFonts w:hint="eastAsia" w:ascii="宋体" w:hAnsi="宋体" w:eastAsia="宋体" w:cs="宋体"/>
          <w:bCs/>
          <w:color w:val="auto"/>
          <w:sz w:val="21"/>
          <w:szCs w:val="21"/>
        </w:rPr>
        <w:t xml:space="preserve"> 产品稳定性要求，对车辆轮对实施制动时，制动力应稳定可靠。</w:t>
      </w:r>
    </w:p>
    <w:p>
      <w:pPr>
        <w:spacing w:line="360" w:lineRule="auto"/>
        <w:rPr>
          <w:rFonts w:hint="eastAsia" w:ascii="宋体" w:hAnsi="宋体" w:eastAsia="宋体" w:cs="宋体"/>
          <w:bCs/>
          <w:color w:val="auto"/>
          <w:sz w:val="21"/>
          <w:szCs w:val="21"/>
        </w:rPr>
      </w:pPr>
      <w:r>
        <w:rPr>
          <w:rFonts w:hint="eastAsia" w:ascii="宋体" w:hAnsi="宋体" w:eastAsia="宋体" w:cs="宋体"/>
          <w:bCs/>
          <w:color w:val="auto"/>
          <w:sz w:val="21"/>
          <w:szCs w:val="21"/>
        </w:rPr>
        <w:t>3.1.</w:t>
      </w:r>
      <w:r>
        <w:rPr>
          <w:rFonts w:hint="eastAsia" w:ascii="宋体" w:hAnsi="宋体" w:eastAsia="宋体" w:cs="宋体"/>
          <w:bCs/>
          <w:color w:val="auto"/>
          <w:sz w:val="21"/>
          <w:szCs w:val="21"/>
          <w:lang w:val="en-US" w:eastAsia="zh-CN"/>
        </w:rPr>
        <w:t>4</w:t>
      </w:r>
      <w:r>
        <w:rPr>
          <w:rFonts w:hint="eastAsia" w:ascii="宋体" w:hAnsi="宋体" w:eastAsia="宋体" w:cs="宋体"/>
          <w:bCs/>
          <w:color w:val="auto"/>
          <w:sz w:val="21"/>
          <w:szCs w:val="21"/>
        </w:rPr>
        <w:t xml:space="preserve"> 产品安装后不得影响到发线接发列车、调车作业。</w:t>
      </w:r>
    </w:p>
    <w:p>
      <w:pPr>
        <w:spacing w:line="360" w:lineRule="auto"/>
        <w:rPr>
          <w:rFonts w:hint="eastAsia" w:ascii="宋体" w:hAnsi="宋体" w:eastAsia="宋体" w:cs="宋体"/>
          <w:bCs/>
          <w:color w:val="auto"/>
          <w:sz w:val="21"/>
          <w:szCs w:val="21"/>
        </w:rPr>
      </w:pPr>
      <w:r>
        <w:rPr>
          <w:rFonts w:hint="eastAsia" w:ascii="宋体" w:hAnsi="宋体" w:eastAsia="宋体" w:cs="宋体"/>
          <w:bCs/>
          <w:color w:val="auto"/>
          <w:sz w:val="21"/>
          <w:szCs w:val="21"/>
        </w:rPr>
        <w:t>3.1.</w:t>
      </w:r>
      <w:r>
        <w:rPr>
          <w:rFonts w:hint="eastAsia" w:ascii="宋体" w:hAnsi="宋体" w:eastAsia="宋体" w:cs="宋体"/>
          <w:bCs/>
          <w:color w:val="auto"/>
          <w:sz w:val="21"/>
          <w:szCs w:val="21"/>
          <w:lang w:val="en-US" w:eastAsia="zh-CN"/>
        </w:rPr>
        <w:t>5</w:t>
      </w:r>
      <w:r>
        <w:rPr>
          <w:rFonts w:hint="eastAsia" w:ascii="宋体" w:hAnsi="宋体" w:eastAsia="宋体" w:cs="宋体"/>
          <w:bCs/>
          <w:color w:val="auto"/>
          <w:sz w:val="21"/>
          <w:szCs w:val="21"/>
        </w:rPr>
        <w:t xml:space="preserve"> 产品须满足到发线停留车辆防溜制动的最大需要。</w:t>
      </w:r>
    </w:p>
    <w:p>
      <w:pPr>
        <w:spacing w:line="360" w:lineRule="auto"/>
        <w:rPr>
          <w:rFonts w:hint="eastAsia" w:ascii="宋体" w:hAnsi="宋体" w:eastAsia="宋体" w:cs="宋体"/>
          <w:bCs/>
          <w:color w:val="auto"/>
          <w:sz w:val="21"/>
          <w:szCs w:val="21"/>
        </w:rPr>
      </w:pPr>
      <w:r>
        <w:rPr>
          <w:rFonts w:hint="eastAsia" w:ascii="宋体" w:hAnsi="宋体" w:eastAsia="宋体" w:cs="宋体"/>
          <w:bCs/>
          <w:color w:val="auto"/>
          <w:sz w:val="21"/>
          <w:szCs w:val="21"/>
        </w:rPr>
        <w:t>3.1.</w:t>
      </w:r>
      <w:r>
        <w:rPr>
          <w:rFonts w:hint="eastAsia" w:ascii="宋体" w:hAnsi="宋体" w:eastAsia="宋体" w:cs="宋体"/>
          <w:bCs/>
          <w:color w:val="auto"/>
          <w:sz w:val="21"/>
          <w:szCs w:val="21"/>
          <w:lang w:val="en-US" w:eastAsia="zh-CN"/>
        </w:rPr>
        <w:t>6</w:t>
      </w:r>
      <w:r>
        <w:rPr>
          <w:rFonts w:hint="eastAsia" w:ascii="宋体" w:hAnsi="宋体" w:eastAsia="宋体" w:cs="宋体"/>
          <w:bCs/>
          <w:color w:val="auto"/>
          <w:sz w:val="21"/>
          <w:szCs w:val="21"/>
        </w:rPr>
        <w:t xml:space="preserve"> 产品须满足380伏双路电源转换供电要求。</w:t>
      </w:r>
    </w:p>
    <w:p>
      <w:pPr>
        <w:spacing w:line="360" w:lineRule="auto"/>
        <w:rPr>
          <w:rFonts w:hint="eastAsia" w:ascii="宋体" w:hAnsi="宋体" w:eastAsia="宋体" w:cs="宋体"/>
          <w:bCs/>
          <w:color w:val="auto"/>
          <w:sz w:val="21"/>
          <w:szCs w:val="21"/>
        </w:rPr>
      </w:pPr>
      <w:r>
        <w:rPr>
          <w:rFonts w:hint="eastAsia" w:ascii="宋体" w:hAnsi="宋体" w:eastAsia="宋体" w:cs="宋体"/>
          <w:bCs/>
          <w:color w:val="auto"/>
          <w:sz w:val="21"/>
          <w:szCs w:val="21"/>
        </w:rPr>
        <w:t>3.1.</w:t>
      </w:r>
      <w:r>
        <w:rPr>
          <w:rFonts w:hint="eastAsia" w:ascii="宋体" w:hAnsi="宋体" w:eastAsia="宋体" w:cs="宋体"/>
          <w:bCs/>
          <w:color w:val="auto"/>
          <w:sz w:val="21"/>
          <w:szCs w:val="21"/>
          <w:lang w:val="en-US" w:eastAsia="zh-CN"/>
        </w:rPr>
        <w:t>7</w:t>
      </w:r>
      <w:r>
        <w:rPr>
          <w:rFonts w:hint="eastAsia" w:ascii="宋体" w:hAnsi="宋体" w:eastAsia="宋体" w:cs="宋体"/>
          <w:bCs/>
          <w:color w:val="auto"/>
          <w:sz w:val="21"/>
          <w:szCs w:val="21"/>
        </w:rPr>
        <w:t>产品不得因雨水原因导致产品故障或损坏，如因防水功能未达标或失效导致产品损坏、故障，在规定的质保期内供应商须免费维修或更换。</w:t>
      </w:r>
    </w:p>
    <w:p>
      <w:pPr>
        <w:spacing w:line="360" w:lineRule="auto"/>
        <w:rPr>
          <w:rFonts w:hint="eastAsia" w:ascii="宋体" w:hAnsi="宋体" w:eastAsia="宋体" w:cs="宋体"/>
          <w:bCs/>
          <w:color w:val="auto"/>
          <w:sz w:val="21"/>
          <w:szCs w:val="21"/>
        </w:rPr>
      </w:pPr>
      <w:r>
        <w:rPr>
          <w:rFonts w:hint="eastAsia" w:ascii="宋体" w:hAnsi="宋体" w:eastAsia="宋体" w:cs="宋体"/>
          <w:bCs/>
          <w:color w:val="auto"/>
          <w:sz w:val="21"/>
          <w:szCs w:val="21"/>
        </w:rPr>
        <w:t>3.1.</w:t>
      </w:r>
      <w:r>
        <w:rPr>
          <w:rFonts w:hint="eastAsia" w:ascii="宋体" w:hAnsi="宋体" w:eastAsia="宋体" w:cs="宋体"/>
          <w:bCs/>
          <w:color w:val="auto"/>
          <w:sz w:val="21"/>
          <w:szCs w:val="21"/>
          <w:lang w:val="en-US" w:eastAsia="zh-CN"/>
        </w:rPr>
        <w:t>8</w:t>
      </w:r>
      <w:r>
        <w:rPr>
          <w:rFonts w:hint="eastAsia" w:ascii="宋体" w:hAnsi="宋体" w:eastAsia="宋体" w:cs="宋体"/>
          <w:bCs/>
          <w:color w:val="auto"/>
          <w:sz w:val="21"/>
          <w:szCs w:val="21"/>
        </w:rPr>
        <w:t>产品不论在制动位还是在缓解位均须性能稳定，不得出现产品自动转换工况的现象。遇停电或故障时，产品须具备手动操作功能，可手动进行转换。</w:t>
      </w:r>
    </w:p>
    <w:p>
      <w:pPr>
        <w:spacing w:line="360" w:lineRule="auto"/>
        <w:rPr>
          <w:rFonts w:hint="eastAsia" w:ascii="宋体" w:hAnsi="宋体" w:eastAsia="宋体" w:cs="宋体"/>
          <w:bCs/>
          <w:color w:val="auto"/>
          <w:sz w:val="21"/>
          <w:szCs w:val="21"/>
        </w:rPr>
      </w:pPr>
      <w:r>
        <w:rPr>
          <w:rFonts w:hint="eastAsia" w:ascii="宋体" w:hAnsi="宋体" w:eastAsia="宋体" w:cs="宋体"/>
          <w:bCs/>
          <w:color w:val="auto"/>
          <w:sz w:val="21"/>
          <w:szCs w:val="21"/>
        </w:rPr>
        <w:t>3.1.</w:t>
      </w:r>
      <w:r>
        <w:rPr>
          <w:rFonts w:hint="eastAsia" w:ascii="宋体" w:hAnsi="宋体" w:eastAsia="宋体" w:cs="宋体"/>
          <w:bCs/>
          <w:color w:val="auto"/>
          <w:sz w:val="21"/>
          <w:szCs w:val="21"/>
          <w:lang w:val="en-US" w:eastAsia="zh-CN"/>
        </w:rPr>
        <w:t>9</w:t>
      </w:r>
      <w:r>
        <w:rPr>
          <w:rFonts w:hint="eastAsia" w:ascii="宋体" w:hAnsi="宋体" w:eastAsia="宋体" w:cs="宋体"/>
          <w:bCs/>
          <w:color w:val="auto"/>
          <w:sz w:val="21"/>
          <w:szCs w:val="21"/>
        </w:rPr>
        <w:t>产品的安装不应受既有线路条件限制，产品在日常巡视、检查及故障处理应简单、方便。</w:t>
      </w:r>
    </w:p>
    <w:p>
      <w:pPr>
        <w:spacing w:line="360" w:lineRule="auto"/>
        <w:rPr>
          <w:rFonts w:hint="eastAsia" w:ascii="宋体" w:hAnsi="宋体" w:eastAsia="宋体" w:cs="宋体"/>
          <w:bCs/>
          <w:color w:val="auto"/>
          <w:sz w:val="21"/>
          <w:szCs w:val="21"/>
        </w:rPr>
      </w:pPr>
      <w:r>
        <w:rPr>
          <w:rFonts w:hint="eastAsia" w:ascii="宋体" w:hAnsi="宋体" w:eastAsia="宋体" w:cs="宋体"/>
          <w:bCs/>
          <w:color w:val="auto"/>
          <w:sz w:val="21"/>
          <w:szCs w:val="21"/>
        </w:rPr>
        <w:t>3.1.1</w:t>
      </w:r>
      <w:r>
        <w:rPr>
          <w:rFonts w:hint="eastAsia" w:ascii="宋体" w:hAnsi="宋体" w:eastAsia="宋体" w:cs="宋体"/>
          <w:bCs/>
          <w:color w:val="auto"/>
          <w:sz w:val="21"/>
          <w:szCs w:val="21"/>
          <w:lang w:val="en-US" w:eastAsia="zh-CN"/>
        </w:rPr>
        <w:t>0</w:t>
      </w:r>
      <w:r>
        <w:rPr>
          <w:rFonts w:hint="eastAsia" w:ascii="宋体" w:hAnsi="宋体" w:eastAsia="宋体" w:cs="宋体"/>
          <w:bCs/>
          <w:color w:val="auto"/>
          <w:sz w:val="21"/>
          <w:szCs w:val="21"/>
        </w:rPr>
        <w:t>产品出现卡滞或工作载荷超过设定值时，应有过载保护、超时报警功能，确保在此情形下产品的电机及其它部件不被损坏。</w:t>
      </w:r>
    </w:p>
    <w:p>
      <w:pPr>
        <w:spacing w:line="360" w:lineRule="auto"/>
        <w:rPr>
          <w:rFonts w:hint="eastAsia" w:ascii="宋体" w:hAnsi="宋体" w:eastAsia="宋体" w:cs="宋体"/>
          <w:bCs/>
          <w:color w:val="auto"/>
          <w:sz w:val="21"/>
          <w:szCs w:val="21"/>
        </w:rPr>
      </w:pPr>
      <w:r>
        <w:rPr>
          <w:rFonts w:hint="eastAsia" w:ascii="宋体" w:hAnsi="宋体" w:eastAsia="宋体" w:cs="宋体"/>
          <w:bCs/>
          <w:color w:val="auto"/>
          <w:sz w:val="21"/>
          <w:szCs w:val="21"/>
          <w:lang w:val="en-US" w:eastAsia="zh-CN"/>
        </w:rPr>
        <w:t>*</w:t>
      </w:r>
      <w:r>
        <w:rPr>
          <w:rFonts w:hint="eastAsia" w:ascii="宋体" w:hAnsi="宋体" w:eastAsia="宋体" w:cs="宋体"/>
          <w:bCs/>
          <w:color w:val="auto"/>
          <w:sz w:val="21"/>
          <w:szCs w:val="21"/>
        </w:rPr>
        <w:t>3.1.1</w:t>
      </w:r>
      <w:r>
        <w:rPr>
          <w:rFonts w:hint="eastAsia" w:ascii="宋体" w:hAnsi="宋体" w:eastAsia="宋体" w:cs="宋体"/>
          <w:bCs/>
          <w:color w:val="auto"/>
          <w:sz w:val="21"/>
          <w:szCs w:val="21"/>
          <w:lang w:val="en-US" w:eastAsia="zh-CN"/>
        </w:rPr>
        <w:t>1</w:t>
      </w:r>
      <w:r>
        <w:rPr>
          <w:rFonts w:hint="eastAsia" w:ascii="宋体" w:hAnsi="宋体" w:eastAsia="宋体" w:cs="宋体"/>
          <w:bCs/>
          <w:color w:val="auto"/>
          <w:sz w:val="21"/>
          <w:szCs w:val="21"/>
        </w:rPr>
        <w:t>产品故障处于制动位无法缓解时，能够在不超过20km/h速度下强行牵车，须能保证强行动车时的安全且不损坏产品。</w:t>
      </w:r>
    </w:p>
    <w:p>
      <w:pPr>
        <w:spacing w:line="360" w:lineRule="auto"/>
        <w:rPr>
          <w:rFonts w:hint="eastAsia" w:ascii="宋体" w:hAnsi="宋体" w:eastAsia="宋体" w:cs="宋体"/>
          <w:bCs/>
          <w:color w:val="auto"/>
          <w:sz w:val="21"/>
          <w:szCs w:val="21"/>
        </w:rPr>
      </w:pPr>
      <w:r>
        <w:rPr>
          <w:rFonts w:hint="eastAsia" w:ascii="宋体" w:hAnsi="宋体" w:eastAsia="宋体" w:cs="宋体"/>
          <w:bCs/>
          <w:color w:val="auto"/>
          <w:sz w:val="21"/>
          <w:szCs w:val="21"/>
          <w:lang w:val="en-US" w:eastAsia="zh-CN"/>
        </w:rPr>
        <w:t>*</w:t>
      </w:r>
      <w:r>
        <w:rPr>
          <w:rFonts w:hint="eastAsia" w:ascii="宋体" w:hAnsi="宋体" w:eastAsia="宋体" w:cs="宋体"/>
          <w:bCs/>
          <w:color w:val="auto"/>
          <w:sz w:val="21"/>
          <w:szCs w:val="21"/>
        </w:rPr>
        <w:t>3.1.1</w:t>
      </w:r>
      <w:r>
        <w:rPr>
          <w:rFonts w:hint="eastAsia" w:ascii="宋体" w:hAnsi="宋体" w:eastAsia="宋体" w:cs="宋体"/>
          <w:bCs/>
          <w:color w:val="auto"/>
          <w:sz w:val="21"/>
          <w:szCs w:val="21"/>
          <w:lang w:val="en-US" w:eastAsia="zh-CN"/>
        </w:rPr>
        <w:t>2</w:t>
      </w:r>
      <w:r>
        <w:rPr>
          <w:rFonts w:hint="eastAsia" w:ascii="宋体" w:hAnsi="宋体" w:eastAsia="宋体" w:cs="宋体"/>
          <w:bCs/>
          <w:color w:val="auto"/>
          <w:sz w:val="21"/>
          <w:szCs w:val="21"/>
        </w:rPr>
        <w:t>产品须为电机驱动机械升降防溜装置。</w:t>
      </w:r>
    </w:p>
    <w:p>
      <w:pPr>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3.2投标人按如下要求对投标设备的结构、性能进行详细描述。</w:t>
      </w:r>
    </w:p>
    <w:p>
      <w:pPr>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*3.2.1到发线防溜装置的构造；</w:t>
      </w:r>
    </w:p>
    <w:p>
      <w:pPr>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*3.2.2各部件的规格型号、生产厂家、技术参数；</w:t>
      </w:r>
    </w:p>
    <w:p>
      <w:pPr>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*3.2.3到发线防溜装置的主要技术指标；</w:t>
      </w:r>
    </w:p>
    <w:p>
      <w:pPr>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3.2.4其它技术描述。</w:t>
      </w:r>
    </w:p>
    <w:p>
      <w:pPr>
        <w:spacing w:line="360" w:lineRule="auto"/>
        <w:rPr>
          <w:rFonts w:hint="eastAsia" w:ascii="宋体" w:hAnsi="宋体" w:eastAsia="宋体" w:cs="宋体"/>
          <w:bCs/>
          <w:color w:val="auto"/>
          <w:sz w:val="21"/>
          <w:szCs w:val="21"/>
        </w:rPr>
      </w:pPr>
      <w:r>
        <w:rPr>
          <w:rFonts w:hint="eastAsia" w:ascii="宋体" w:hAnsi="宋体" w:eastAsia="宋体" w:cs="宋体"/>
          <w:bCs/>
          <w:color w:val="auto"/>
          <w:sz w:val="21"/>
          <w:szCs w:val="21"/>
        </w:rPr>
        <w:t>3.3 标准</w:t>
      </w:r>
    </w:p>
    <w:p>
      <w:pPr>
        <w:spacing w:line="360" w:lineRule="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lang w:val="en-US" w:eastAsia="zh-CN"/>
        </w:rPr>
        <w:t>*</w:t>
      </w:r>
      <w:r>
        <w:rPr>
          <w:rFonts w:hint="eastAsia" w:ascii="宋体" w:hAnsi="宋体" w:eastAsia="宋体" w:cs="宋体"/>
          <w:bCs/>
          <w:color w:val="auto"/>
          <w:sz w:val="21"/>
          <w:szCs w:val="21"/>
          <w:highlight w:val="none"/>
        </w:rPr>
        <w:t>3.</w:t>
      </w:r>
      <w:r>
        <w:rPr>
          <w:rFonts w:hint="eastAsia" w:ascii="宋体" w:hAnsi="宋体" w:eastAsia="宋体" w:cs="宋体"/>
          <w:bCs/>
          <w:color w:val="auto"/>
          <w:sz w:val="21"/>
          <w:szCs w:val="21"/>
          <w:highlight w:val="none"/>
          <w:lang w:val="en-US" w:eastAsia="zh-CN"/>
        </w:rPr>
        <w:t>3</w:t>
      </w:r>
      <w:r>
        <w:rPr>
          <w:rFonts w:hint="eastAsia" w:ascii="宋体" w:hAnsi="宋体" w:eastAsia="宋体" w:cs="宋体"/>
          <w:bCs/>
          <w:color w:val="auto"/>
          <w:sz w:val="21"/>
          <w:szCs w:val="21"/>
          <w:highlight w:val="none"/>
        </w:rPr>
        <w:t>.</w:t>
      </w:r>
      <w:r>
        <w:rPr>
          <w:rFonts w:hint="eastAsia" w:ascii="宋体" w:hAnsi="宋体" w:eastAsia="宋体" w:cs="宋体"/>
          <w:bCs/>
          <w:color w:val="auto"/>
          <w:sz w:val="21"/>
          <w:szCs w:val="21"/>
          <w:highlight w:val="none"/>
          <w:lang w:val="en-US" w:eastAsia="zh-CN"/>
        </w:rPr>
        <w:t>1</w:t>
      </w:r>
      <w:r>
        <w:rPr>
          <w:rFonts w:hint="eastAsia" w:ascii="宋体" w:hAnsi="宋体" w:eastAsia="宋体" w:cs="宋体"/>
          <w:bCs/>
          <w:color w:val="auto"/>
          <w:sz w:val="21"/>
          <w:szCs w:val="21"/>
          <w:highlight w:val="none"/>
        </w:rPr>
        <w:t xml:space="preserve"> 产品须符合TB/T3162.1-2007《铁道车辆停车防溜装置-第1部分：内撑式停车防溜器》铁道行业标准。</w:t>
      </w:r>
    </w:p>
    <w:p>
      <w:pPr>
        <w:spacing w:line="360" w:lineRule="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lang w:val="en-US" w:eastAsia="zh-CN"/>
        </w:rPr>
        <w:t>*</w:t>
      </w:r>
      <w:r>
        <w:rPr>
          <w:rFonts w:hint="eastAsia" w:ascii="宋体" w:hAnsi="宋体" w:eastAsia="宋体" w:cs="宋体"/>
          <w:bCs/>
          <w:color w:val="auto"/>
          <w:sz w:val="21"/>
          <w:szCs w:val="21"/>
          <w:highlight w:val="none"/>
        </w:rPr>
        <w:t>3.</w:t>
      </w:r>
      <w:r>
        <w:rPr>
          <w:rFonts w:hint="eastAsia" w:ascii="宋体" w:hAnsi="宋体" w:eastAsia="宋体" w:cs="宋体"/>
          <w:bCs/>
          <w:color w:val="auto"/>
          <w:sz w:val="21"/>
          <w:szCs w:val="21"/>
          <w:highlight w:val="none"/>
          <w:lang w:val="en-US" w:eastAsia="zh-CN"/>
        </w:rPr>
        <w:t>3</w:t>
      </w:r>
      <w:r>
        <w:rPr>
          <w:rFonts w:hint="eastAsia" w:ascii="宋体" w:hAnsi="宋体" w:eastAsia="宋体" w:cs="宋体"/>
          <w:bCs/>
          <w:color w:val="auto"/>
          <w:sz w:val="21"/>
          <w:szCs w:val="21"/>
          <w:highlight w:val="none"/>
        </w:rPr>
        <w:t>.</w:t>
      </w:r>
      <w:r>
        <w:rPr>
          <w:rFonts w:hint="eastAsia" w:ascii="宋体" w:hAnsi="宋体" w:eastAsia="宋体" w:cs="宋体"/>
          <w:bCs/>
          <w:color w:val="auto"/>
          <w:sz w:val="21"/>
          <w:szCs w:val="21"/>
          <w:highlight w:val="none"/>
          <w:lang w:val="en-US" w:eastAsia="zh-CN"/>
        </w:rPr>
        <w:t>2</w:t>
      </w:r>
      <w:r>
        <w:rPr>
          <w:rFonts w:hint="eastAsia" w:ascii="宋体" w:hAnsi="宋体" w:eastAsia="宋体" w:cs="宋体"/>
          <w:bCs/>
          <w:color w:val="auto"/>
          <w:sz w:val="21"/>
          <w:szCs w:val="21"/>
          <w:highlight w:val="none"/>
        </w:rPr>
        <w:t xml:space="preserve"> 产品须符合《铁路技术管理规程》附图2机车车辆限界1。</w:t>
      </w:r>
    </w:p>
    <w:p>
      <w:pPr>
        <w:spacing w:line="360" w:lineRule="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lang w:val="en-US" w:eastAsia="zh-CN"/>
        </w:rPr>
        <w:t>*</w:t>
      </w:r>
      <w:r>
        <w:rPr>
          <w:rFonts w:hint="eastAsia" w:ascii="宋体" w:hAnsi="宋体" w:eastAsia="宋体" w:cs="宋体"/>
          <w:bCs/>
          <w:color w:val="auto"/>
          <w:sz w:val="21"/>
          <w:szCs w:val="21"/>
          <w:highlight w:val="none"/>
        </w:rPr>
        <w:t>3.</w:t>
      </w:r>
      <w:r>
        <w:rPr>
          <w:rFonts w:hint="eastAsia" w:ascii="宋体" w:hAnsi="宋体" w:eastAsia="宋体" w:cs="宋体"/>
          <w:bCs/>
          <w:color w:val="auto"/>
          <w:sz w:val="21"/>
          <w:szCs w:val="21"/>
          <w:highlight w:val="none"/>
          <w:lang w:val="en-US" w:eastAsia="zh-CN"/>
        </w:rPr>
        <w:t>3</w:t>
      </w:r>
      <w:r>
        <w:rPr>
          <w:rFonts w:hint="eastAsia" w:ascii="宋体" w:hAnsi="宋体" w:eastAsia="宋体" w:cs="宋体"/>
          <w:bCs/>
          <w:color w:val="auto"/>
          <w:sz w:val="21"/>
          <w:szCs w:val="21"/>
          <w:highlight w:val="none"/>
        </w:rPr>
        <w:t>.</w:t>
      </w:r>
      <w:r>
        <w:rPr>
          <w:rFonts w:hint="eastAsia" w:ascii="宋体" w:hAnsi="宋体" w:eastAsia="宋体" w:cs="宋体"/>
          <w:bCs/>
          <w:color w:val="auto"/>
          <w:sz w:val="21"/>
          <w:szCs w:val="21"/>
          <w:highlight w:val="none"/>
          <w:lang w:val="en-US" w:eastAsia="zh-CN"/>
        </w:rPr>
        <w:t>3</w:t>
      </w:r>
      <w:r>
        <w:rPr>
          <w:rFonts w:hint="eastAsia" w:ascii="宋体" w:hAnsi="宋体" w:eastAsia="宋体" w:cs="宋体"/>
          <w:bCs/>
          <w:color w:val="auto"/>
          <w:sz w:val="21"/>
          <w:szCs w:val="21"/>
          <w:highlight w:val="none"/>
        </w:rPr>
        <w:t xml:space="preserve"> 产品缓解位时须符合《铁路技术管理规程》建筑限界对应等级基本建筑限界。</w:t>
      </w:r>
    </w:p>
    <w:p>
      <w:pPr>
        <w:spacing w:line="360" w:lineRule="auto"/>
        <w:rPr>
          <w:rFonts w:hint="eastAsia" w:ascii="宋体" w:hAnsi="宋体" w:eastAsia="宋体" w:cs="宋体"/>
          <w:bCs/>
          <w:color w:val="auto"/>
          <w:sz w:val="21"/>
          <w:szCs w:val="21"/>
        </w:rPr>
      </w:pPr>
      <w:r>
        <w:rPr>
          <w:rFonts w:hint="eastAsia" w:ascii="宋体" w:hAnsi="宋体" w:eastAsia="宋体" w:cs="宋体"/>
          <w:bCs/>
          <w:color w:val="auto"/>
          <w:sz w:val="21"/>
          <w:szCs w:val="21"/>
        </w:rPr>
        <w:t>3.4 设计和制造要求</w:t>
      </w:r>
    </w:p>
    <w:p>
      <w:pPr>
        <w:spacing w:line="360" w:lineRule="auto"/>
        <w:ind w:firstLine="420" w:firstLineChars="200"/>
        <w:rPr>
          <w:rFonts w:hint="eastAsia" w:ascii="宋体" w:hAnsi="宋体" w:eastAsia="宋体" w:cs="宋体"/>
          <w:bCs/>
          <w:color w:val="auto"/>
          <w:sz w:val="21"/>
          <w:szCs w:val="21"/>
        </w:rPr>
      </w:pPr>
      <w:r>
        <w:rPr>
          <w:rFonts w:hint="eastAsia" w:ascii="宋体" w:hAnsi="宋体" w:eastAsia="宋体" w:cs="宋体"/>
          <w:bCs/>
          <w:color w:val="auto"/>
          <w:sz w:val="21"/>
          <w:szCs w:val="21"/>
        </w:rPr>
        <w:t>在设计制造中，零部件尽量采用同一标准，尽可能提高零部件之间的互换性。零部件必须易于拆装，便于维修。</w:t>
      </w:r>
    </w:p>
    <w:p>
      <w:pPr>
        <w:spacing w:line="360" w:lineRule="auto"/>
        <w:rPr>
          <w:rFonts w:hint="eastAsia" w:ascii="宋体" w:hAnsi="宋体" w:eastAsia="宋体" w:cs="宋体"/>
          <w:bCs/>
          <w:color w:val="auto"/>
          <w:sz w:val="21"/>
          <w:szCs w:val="21"/>
        </w:rPr>
      </w:pPr>
      <w:r>
        <w:rPr>
          <w:rFonts w:hint="eastAsia" w:ascii="宋体" w:hAnsi="宋体" w:eastAsia="宋体" w:cs="宋体"/>
          <w:bCs/>
          <w:color w:val="auto"/>
          <w:sz w:val="21"/>
          <w:szCs w:val="21"/>
        </w:rPr>
        <w:t>3.5标牌</w:t>
      </w:r>
    </w:p>
    <w:p>
      <w:pPr>
        <w:spacing w:line="360" w:lineRule="auto"/>
        <w:ind w:firstLine="420" w:firstLineChars="200"/>
        <w:rPr>
          <w:rFonts w:hint="eastAsia" w:ascii="宋体" w:hAnsi="宋体" w:eastAsia="宋体" w:cs="宋体"/>
          <w:bCs/>
          <w:color w:val="auto"/>
          <w:sz w:val="21"/>
          <w:szCs w:val="21"/>
        </w:rPr>
      </w:pPr>
      <w:r>
        <w:rPr>
          <w:rFonts w:hint="eastAsia" w:ascii="宋体" w:hAnsi="宋体" w:eastAsia="宋体" w:cs="宋体"/>
          <w:bCs/>
          <w:color w:val="auto"/>
          <w:sz w:val="21"/>
          <w:szCs w:val="21"/>
        </w:rPr>
        <w:t>所有总成部件必须装有铭牌，铭牌应标有该总成件主要技术规格参数。配套的总成件铭牌要完好保留，便于察看。</w:t>
      </w:r>
    </w:p>
    <w:p>
      <w:pPr>
        <w:tabs>
          <w:tab w:val="left" w:pos="900"/>
        </w:tabs>
        <w:spacing w:line="360" w:lineRule="auto"/>
        <w:rPr>
          <w:rFonts w:hint="eastAsia" w:ascii="宋体" w:hAnsi="宋体" w:eastAsia="宋体" w:cs="宋体"/>
          <w:b/>
          <w:bCs w:val="0"/>
          <w:color w:val="auto"/>
          <w:sz w:val="21"/>
          <w:szCs w:val="21"/>
        </w:rPr>
      </w:pPr>
      <w:r>
        <w:rPr>
          <w:rFonts w:hint="eastAsia" w:ascii="宋体" w:hAnsi="宋体" w:eastAsia="宋体" w:cs="宋体"/>
          <w:b/>
          <w:bCs w:val="0"/>
          <w:color w:val="auto"/>
          <w:sz w:val="21"/>
          <w:szCs w:val="21"/>
        </w:rPr>
        <w:t>4.供货范围</w:t>
      </w:r>
    </w:p>
    <w:p>
      <w:pPr>
        <w:tabs>
          <w:tab w:val="left" w:pos="545"/>
          <w:tab w:val="left" w:pos="1079"/>
        </w:tabs>
        <w:spacing w:line="360" w:lineRule="auto"/>
        <w:rPr>
          <w:rFonts w:hint="eastAsia" w:ascii="宋体" w:hAnsi="宋体" w:eastAsia="宋体" w:cs="宋体"/>
          <w:color w:val="auto"/>
          <w:sz w:val="21"/>
          <w:szCs w:val="21"/>
          <w:u w:val="single"/>
        </w:rPr>
      </w:pPr>
      <w:r>
        <w:rPr>
          <w:rFonts w:hint="eastAsia" w:ascii="宋体" w:hAnsi="宋体" w:eastAsia="宋体" w:cs="宋体"/>
          <w:color w:val="auto"/>
          <w:sz w:val="21"/>
          <w:szCs w:val="21"/>
        </w:rPr>
        <w:t>4.1主要设备及材料如下（但不限于此；包含在本次报价内）：</w:t>
      </w:r>
    </w:p>
    <w:tbl>
      <w:tblPr>
        <w:tblStyle w:val="6"/>
        <w:tblW w:w="874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3141"/>
        <w:gridCol w:w="812"/>
        <w:gridCol w:w="750"/>
        <w:gridCol w:w="3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2" w:hRule="atLeast"/>
          <w:jc w:val="center"/>
        </w:trPr>
        <w:tc>
          <w:tcPr>
            <w:tcW w:w="720" w:type="dxa"/>
            <w:vAlign w:val="center"/>
          </w:tcPr>
          <w:p>
            <w:pPr>
              <w:spacing w:line="360" w:lineRule="auto"/>
              <w:jc w:val="center"/>
              <w:rPr>
                <w:rFonts w:hint="eastAsia" w:ascii="宋体" w:hAnsi="宋体" w:eastAsia="宋体" w:cs="宋体"/>
                <w:color w:val="auto"/>
                <w:sz w:val="21"/>
                <w:szCs w:val="21"/>
              </w:rPr>
            </w:pPr>
            <w:r>
              <w:rPr>
                <w:rFonts w:hint="eastAsia" w:ascii="宋体" w:hAnsi="宋体" w:eastAsia="宋体" w:cs="宋体"/>
                <w:color w:val="auto"/>
                <w:sz w:val="21"/>
                <w:szCs w:val="21"/>
              </w:rPr>
              <w:t>序号</w:t>
            </w:r>
          </w:p>
        </w:tc>
        <w:tc>
          <w:tcPr>
            <w:tcW w:w="3141" w:type="dxa"/>
            <w:vAlign w:val="center"/>
          </w:tcPr>
          <w:p>
            <w:pPr>
              <w:spacing w:line="360" w:lineRule="auto"/>
              <w:jc w:val="center"/>
              <w:rPr>
                <w:rFonts w:hint="eastAsia" w:ascii="宋体" w:hAnsi="宋体" w:eastAsia="宋体" w:cs="宋体"/>
                <w:color w:val="auto"/>
                <w:sz w:val="21"/>
                <w:szCs w:val="21"/>
              </w:rPr>
            </w:pPr>
            <w:r>
              <w:rPr>
                <w:rFonts w:hint="eastAsia" w:ascii="宋体" w:hAnsi="宋体" w:eastAsia="宋体" w:cs="宋体"/>
                <w:color w:val="auto"/>
                <w:sz w:val="21"/>
                <w:szCs w:val="21"/>
              </w:rPr>
              <w:t>货物名称</w:t>
            </w:r>
          </w:p>
        </w:tc>
        <w:tc>
          <w:tcPr>
            <w:tcW w:w="812" w:type="dxa"/>
            <w:vAlign w:val="center"/>
          </w:tcPr>
          <w:p>
            <w:pPr>
              <w:widowControl/>
              <w:spacing w:line="360" w:lineRule="auto"/>
              <w:jc w:val="center"/>
              <w:rPr>
                <w:rFonts w:hint="eastAsia" w:ascii="宋体" w:hAnsi="宋体" w:eastAsia="宋体" w:cs="宋体"/>
                <w:color w:val="auto"/>
                <w:sz w:val="21"/>
                <w:szCs w:val="21"/>
              </w:rPr>
            </w:pPr>
            <w:r>
              <w:rPr>
                <w:rFonts w:hint="eastAsia" w:ascii="宋体" w:hAnsi="宋体" w:eastAsia="宋体" w:cs="宋体"/>
                <w:color w:val="auto"/>
                <w:sz w:val="21"/>
                <w:szCs w:val="21"/>
              </w:rPr>
              <w:t>单位</w:t>
            </w:r>
          </w:p>
        </w:tc>
        <w:tc>
          <w:tcPr>
            <w:tcW w:w="750" w:type="dxa"/>
            <w:vAlign w:val="center"/>
          </w:tcPr>
          <w:p>
            <w:pPr>
              <w:widowControl/>
              <w:spacing w:line="360" w:lineRule="auto"/>
              <w:jc w:val="center"/>
              <w:rPr>
                <w:rFonts w:hint="eastAsia" w:ascii="宋体" w:hAnsi="宋体" w:eastAsia="宋体" w:cs="宋体"/>
                <w:color w:val="auto"/>
                <w:sz w:val="21"/>
                <w:szCs w:val="21"/>
              </w:rPr>
            </w:pPr>
            <w:r>
              <w:rPr>
                <w:rFonts w:hint="eastAsia" w:ascii="宋体" w:hAnsi="宋体" w:eastAsia="宋体" w:cs="宋体"/>
                <w:color w:val="auto"/>
                <w:sz w:val="21"/>
                <w:szCs w:val="21"/>
              </w:rPr>
              <w:t>数量</w:t>
            </w:r>
          </w:p>
        </w:tc>
        <w:tc>
          <w:tcPr>
            <w:tcW w:w="3322" w:type="dxa"/>
            <w:vAlign w:val="center"/>
          </w:tcPr>
          <w:p>
            <w:pPr>
              <w:widowControl/>
              <w:spacing w:line="360" w:lineRule="auto"/>
              <w:jc w:val="center"/>
              <w:rPr>
                <w:rFonts w:hint="eastAsia" w:ascii="宋体" w:hAnsi="宋体" w:eastAsia="宋体" w:cs="宋体"/>
                <w:color w:val="auto"/>
                <w:sz w:val="21"/>
                <w:szCs w:val="21"/>
              </w:rPr>
            </w:pPr>
            <w:r>
              <w:rPr>
                <w:rFonts w:hint="eastAsia" w:ascii="宋体" w:hAnsi="宋体" w:eastAsia="宋体" w:cs="宋体"/>
                <w:color w:val="auto"/>
                <w:sz w:val="21"/>
                <w:szCs w:val="21"/>
              </w:rPr>
              <w:t>交货时间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6" w:hRule="atLeast"/>
          <w:jc w:val="center"/>
        </w:trPr>
        <w:tc>
          <w:tcPr>
            <w:tcW w:w="720" w:type="dxa"/>
            <w:vAlign w:val="center"/>
          </w:tcPr>
          <w:p>
            <w:pPr>
              <w:widowControl/>
              <w:spacing w:line="360" w:lineRule="auto"/>
              <w:jc w:val="center"/>
              <w:rPr>
                <w:rFonts w:hint="eastAsia" w:ascii="宋体" w:hAnsi="宋体" w:eastAsia="宋体" w:cs="宋体"/>
                <w:color w:val="auto"/>
                <w:sz w:val="21"/>
                <w:szCs w:val="21"/>
              </w:rPr>
            </w:pPr>
            <w:r>
              <w:rPr>
                <w:rFonts w:hint="eastAsia" w:ascii="宋体" w:hAnsi="宋体" w:eastAsia="宋体" w:cs="宋体"/>
                <w:color w:val="auto"/>
                <w:sz w:val="21"/>
                <w:szCs w:val="21"/>
              </w:rPr>
              <w:t>1</w:t>
            </w:r>
          </w:p>
        </w:tc>
        <w:tc>
          <w:tcPr>
            <w:tcW w:w="3141" w:type="dxa"/>
            <w:vAlign w:val="center"/>
          </w:tcPr>
          <w:p>
            <w:pPr>
              <w:spacing w:line="360" w:lineRule="auto"/>
              <w:jc w:val="left"/>
              <w:rPr>
                <w:rFonts w:hint="eastAsia" w:ascii="宋体" w:hAnsi="宋体" w:eastAsia="宋体" w:cs="宋体"/>
                <w:bCs/>
                <w:color w:val="auto"/>
                <w:sz w:val="21"/>
                <w:szCs w:val="21"/>
              </w:rPr>
            </w:pPr>
            <w:r>
              <w:rPr>
                <w:rFonts w:hint="eastAsia" w:ascii="宋体" w:hAnsi="宋体" w:eastAsia="宋体" w:cs="宋体"/>
                <w:bCs/>
                <w:color w:val="auto"/>
                <w:sz w:val="21"/>
                <w:szCs w:val="21"/>
              </w:rPr>
              <w:t>到发线防溜装置</w:t>
            </w:r>
          </w:p>
        </w:tc>
        <w:tc>
          <w:tcPr>
            <w:tcW w:w="812" w:type="dxa"/>
            <w:vAlign w:val="center"/>
          </w:tcPr>
          <w:p>
            <w:pPr>
              <w:widowControl/>
              <w:spacing w:line="360" w:lineRule="auto"/>
              <w:jc w:val="center"/>
              <w:rPr>
                <w:rFonts w:hint="eastAsia" w:ascii="宋体" w:hAnsi="宋体" w:eastAsia="宋体" w:cs="宋体"/>
                <w:color w:val="auto"/>
                <w:sz w:val="21"/>
                <w:szCs w:val="21"/>
              </w:rPr>
            </w:pPr>
            <w:r>
              <w:rPr>
                <w:rFonts w:hint="eastAsia" w:ascii="宋体" w:hAnsi="宋体" w:eastAsia="宋体" w:cs="宋体"/>
                <w:color w:val="auto"/>
                <w:sz w:val="21"/>
                <w:szCs w:val="21"/>
              </w:rPr>
              <w:t>台</w:t>
            </w:r>
          </w:p>
        </w:tc>
        <w:tc>
          <w:tcPr>
            <w:tcW w:w="750" w:type="dxa"/>
            <w:vAlign w:val="center"/>
          </w:tcPr>
          <w:p>
            <w:pPr>
              <w:widowControl/>
              <w:spacing w:line="360" w:lineRule="auto"/>
              <w:jc w:val="center"/>
              <w:rPr>
                <w:rFonts w:hint="eastAsia" w:ascii="宋体" w:hAnsi="宋体" w:eastAsia="宋体" w:cs="宋体"/>
                <w:color w:val="auto"/>
                <w:sz w:val="21"/>
                <w:szCs w:val="21"/>
              </w:rPr>
            </w:pPr>
            <w:r>
              <w:rPr>
                <w:rFonts w:hint="eastAsia" w:ascii="宋体" w:hAnsi="宋体" w:eastAsia="宋体" w:cs="宋体"/>
                <w:color w:val="auto"/>
                <w:sz w:val="21"/>
                <w:szCs w:val="21"/>
              </w:rPr>
              <w:t>40</w:t>
            </w:r>
          </w:p>
        </w:tc>
        <w:tc>
          <w:tcPr>
            <w:tcW w:w="3322" w:type="dxa"/>
            <w:vAlign w:val="center"/>
          </w:tcPr>
          <w:p>
            <w:pPr>
              <w:widowControl/>
              <w:spacing w:line="360" w:lineRule="auto"/>
              <w:jc w:val="center"/>
              <w:rPr>
                <w:rFonts w:hint="eastAsia" w:ascii="宋体" w:hAnsi="宋体" w:eastAsia="宋体" w:cs="宋体"/>
                <w:color w:val="auto"/>
                <w:sz w:val="21"/>
                <w:szCs w:val="21"/>
              </w:rPr>
            </w:pPr>
            <w:r>
              <w:rPr>
                <w:rFonts w:hint="eastAsia" w:ascii="宋体" w:hAnsi="宋体" w:eastAsia="宋体" w:cs="宋体"/>
                <w:color w:val="auto"/>
                <w:sz w:val="21"/>
                <w:szCs w:val="21"/>
              </w:rPr>
              <w:t>自合同生效起</w:t>
            </w:r>
            <w:r>
              <w:rPr>
                <w:rFonts w:hint="eastAsia" w:ascii="宋体" w:hAnsi="宋体" w:eastAsia="宋体" w:cs="宋体"/>
                <w:color w:val="auto"/>
                <w:sz w:val="21"/>
                <w:szCs w:val="21"/>
                <w:lang w:val="en-US" w:eastAsia="zh-CN"/>
              </w:rPr>
              <w:t>2</w:t>
            </w:r>
            <w:r>
              <w:rPr>
                <w:rFonts w:hint="eastAsia" w:ascii="宋体" w:hAnsi="宋体" w:eastAsia="宋体" w:cs="宋体"/>
                <w:color w:val="auto"/>
                <w:sz w:val="21"/>
                <w:szCs w:val="21"/>
              </w:rPr>
              <w:t>个月内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6" w:hRule="atLeast"/>
          <w:jc w:val="center"/>
        </w:trPr>
        <w:tc>
          <w:tcPr>
            <w:tcW w:w="720" w:type="dxa"/>
            <w:vAlign w:val="center"/>
          </w:tcPr>
          <w:p>
            <w:pPr>
              <w:widowControl/>
              <w:spacing w:line="360" w:lineRule="auto"/>
              <w:jc w:val="center"/>
              <w:rPr>
                <w:rFonts w:hint="eastAsia" w:ascii="宋体" w:hAnsi="宋体" w:eastAsia="宋体" w:cs="宋体"/>
                <w:color w:val="auto"/>
                <w:sz w:val="21"/>
                <w:szCs w:val="21"/>
              </w:rPr>
            </w:pPr>
            <w:r>
              <w:rPr>
                <w:rFonts w:hint="eastAsia" w:ascii="宋体" w:hAnsi="宋体" w:eastAsia="宋体" w:cs="宋体"/>
                <w:color w:val="auto"/>
                <w:sz w:val="21"/>
                <w:szCs w:val="21"/>
              </w:rPr>
              <w:t>2</w:t>
            </w:r>
          </w:p>
        </w:tc>
        <w:tc>
          <w:tcPr>
            <w:tcW w:w="3141" w:type="dxa"/>
            <w:vAlign w:val="center"/>
          </w:tcPr>
          <w:p>
            <w:pPr>
              <w:spacing w:line="360" w:lineRule="auto"/>
              <w:jc w:val="left"/>
              <w:rPr>
                <w:rFonts w:hint="eastAsia" w:ascii="宋体" w:hAnsi="宋体" w:eastAsia="宋体" w:cs="宋体"/>
                <w:bCs/>
                <w:color w:val="auto"/>
                <w:sz w:val="21"/>
                <w:szCs w:val="21"/>
                <w:lang w:eastAsia="zh-CN"/>
              </w:rPr>
            </w:pPr>
            <w:r>
              <w:rPr>
                <w:rFonts w:hint="eastAsia" w:ascii="宋体" w:hAnsi="宋体" w:eastAsia="宋体" w:cs="宋体"/>
                <w:bCs/>
                <w:color w:val="auto"/>
                <w:sz w:val="21"/>
                <w:szCs w:val="21"/>
                <w:lang w:val="en-US" w:eastAsia="zh-CN"/>
              </w:rPr>
              <w:t>工控机</w:t>
            </w:r>
          </w:p>
        </w:tc>
        <w:tc>
          <w:tcPr>
            <w:tcW w:w="812" w:type="dxa"/>
            <w:vAlign w:val="center"/>
          </w:tcPr>
          <w:p>
            <w:pPr>
              <w:widowControl/>
              <w:spacing w:line="360" w:lineRule="auto"/>
              <w:jc w:val="center"/>
              <w:rPr>
                <w:rFonts w:hint="eastAsia" w:ascii="宋体" w:hAnsi="宋体" w:eastAsia="宋体" w:cs="宋体"/>
                <w:color w:val="auto"/>
                <w:sz w:val="21"/>
                <w:szCs w:val="21"/>
              </w:rPr>
            </w:pPr>
            <w:r>
              <w:rPr>
                <w:rFonts w:hint="eastAsia" w:ascii="宋体" w:hAnsi="宋体" w:eastAsia="宋体" w:cs="宋体"/>
                <w:color w:val="auto"/>
                <w:sz w:val="21"/>
                <w:szCs w:val="21"/>
              </w:rPr>
              <w:t>台</w:t>
            </w:r>
          </w:p>
        </w:tc>
        <w:tc>
          <w:tcPr>
            <w:tcW w:w="750" w:type="dxa"/>
            <w:vAlign w:val="center"/>
          </w:tcPr>
          <w:p>
            <w:pPr>
              <w:widowControl/>
              <w:spacing w:line="360" w:lineRule="auto"/>
              <w:jc w:val="center"/>
              <w:rPr>
                <w:rFonts w:hint="eastAsia" w:ascii="宋体" w:hAnsi="宋体" w:eastAsia="宋体" w:cs="宋体"/>
                <w:color w:val="auto"/>
                <w:sz w:val="21"/>
                <w:szCs w:val="21"/>
              </w:rPr>
            </w:pPr>
            <w:r>
              <w:rPr>
                <w:rFonts w:hint="eastAsia" w:ascii="宋体" w:hAnsi="宋体" w:eastAsia="宋体" w:cs="宋体"/>
                <w:color w:val="auto"/>
                <w:sz w:val="21"/>
                <w:szCs w:val="21"/>
              </w:rPr>
              <w:t>2</w:t>
            </w:r>
          </w:p>
        </w:tc>
        <w:tc>
          <w:tcPr>
            <w:tcW w:w="3322" w:type="dxa"/>
            <w:vAlign w:val="center"/>
          </w:tcPr>
          <w:p>
            <w:pPr>
              <w:widowControl/>
              <w:spacing w:line="360" w:lineRule="auto"/>
              <w:jc w:val="center"/>
              <w:rPr>
                <w:rFonts w:hint="eastAsia" w:ascii="宋体" w:hAnsi="宋体" w:eastAsia="宋体" w:cs="宋体"/>
                <w:color w:val="auto"/>
                <w:sz w:val="21"/>
                <w:szCs w:val="21"/>
              </w:rPr>
            </w:pPr>
            <w:r>
              <w:rPr>
                <w:rFonts w:hint="eastAsia" w:ascii="宋体" w:hAnsi="宋体" w:eastAsia="宋体" w:cs="宋体"/>
                <w:color w:val="auto"/>
                <w:sz w:val="21"/>
                <w:szCs w:val="21"/>
              </w:rPr>
              <w:t>自合同生效起</w:t>
            </w:r>
            <w:r>
              <w:rPr>
                <w:rFonts w:hint="eastAsia" w:ascii="宋体" w:hAnsi="宋体" w:eastAsia="宋体" w:cs="宋体"/>
                <w:color w:val="auto"/>
                <w:sz w:val="21"/>
                <w:szCs w:val="21"/>
                <w:lang w:val="en-US" w:eastAsia="zh-CN"/>
              </w:rPr>
              <w:t>2</w:t>
            </w:r>
            <w:r>
              <w:rPr>
                <w:rFonts w:hint="eastAsia" w:ascii="宋体" w:hAnsi="宋体" w:eastAsia="宋体" w:cs="宋体"/>
                <w:color w:val="auto"/>
                <w:sz w:val="21"/>
                <w:szCs w:val="21"/>
              </w:rPr>
              <w:t>个月内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6" w:hRule="atLeast"/>
          <w:jc w:val="center"/>
        </w:trPr>
        <w:tc>
          <w:tcPr>
            <w:tcW w:w="720" w:type="dxa"/>
            <w:vAlign w:val="center"/>
          </w:tcPr>
          <w:p>
            <w:pPr>
              <w:widowControl/>
              <w:spacing w:line="360" w:lineRule="auto"/>
              <w:jc w:val="center"/>
              <w:rPr>
                <w:rFonts w:hint="eastAsia" w:ascii="宋体" w:hAnsi="宋体" w:eastAsia="宋体" w:cs="宋体"/>
                <w:color w:val="auto"/>
                <w:sz w:val="21"/>
                <w:szCs w:val="21"/>
              </w:rPr>
            </w:pPr>
            <w:r>
              <w:rPr>
                <w:rFonts w:hint="eastAsia" w:ascii="宋体" w:hAnsi="宋体" w:eastAsia="宋体" w:cs="宋体"/>
                <w:color w:val="auto"/>
                <w:sz w:val="21"/>
                <w:szCs w:val="21"/>
              </w:rPr>
              <w:t>3</w:t>
            </w:r>
          </w:p>
        </w:tc>
        <w:tc>
          <w:tcPr>
            <w:tcW w:w="3141" w:type="dxa"/>
            <w:vAlign w:val="center"/>
          </w:tcPr>
          <w:p>
            <w:pPr>
              <w:spacing w:line="360" w:lineRule="auto"/>
              <w:jc w:val="left"/>
              <w:rPr>
                <w:rFonts w:hint="eastAsia" w:ascii="宋体" w:hAnsi="宋体" w:eastAsia="宋体" w:cs="宋体"/>
                <w:bCs/>
                <w:color w:val="auto"/>
                <w:sz w:val="21"/>
                <w:szCs w:val="21"/>
              </w:rPr>
            </w:pPr>
            <w:r>
              <w:rPr>
                <w:rFonts w:hint="eastAsia" w:ascii="宋体" w:hAnsi="宋体" w:eastAsia="宋体" w:cs="宋体"/>
                <w:bCs/>
                <w:color w:val="auto"/>
                <w:sz w:val="21"/>
                <w:szCs w:val="21"/>
              </w:rPr>
              <w:t>机柜</w:t>
            </w:r>
          </w:p>
        </w:tc>
        <w:tc>
          <w:tcPr>
            <w:tcW w:w="812" w:type="dxa"/>
            <w:vAlign w:val="center"/>
          </w:tcPr>
          <w:p>
            <w:pPr>
              <w:widowControl/>
              <w:spacing w:line="360" w:lineRule="auto"/>
              <w:jc w:val="center"/>
              <w:rPr>
                <w:rFonts w:hint="eastAsia" w:ascii="宋体" w:hAnsi="宋体" w:eastAsia="宋体" w:cs="宋体"/>
                <w:color w:val="auto"/>
                <w:sz w:val="21"/>
                <w:szCs w:val="21"/>
              </w:rPr>
            </w:pPr>
            <w:r>
              <w:rPr>
                <w:rFonts w:hint="eastAsia" w:ascii="宋体" w:hAnsi="宋体" w:eastAsia="宋体" w:cs="宋体"/>
                <w:color w:val="auto"/>
                <w:sz w:val="21"/>
                <w:szCs w:val="21"/>
              </w:rPr>
              <w:t>套</w:t>
            </w:r>
          </w:p>
        </w:tc>
        <w:tc>
          <w:tcPr>
            <w:tcW w:w="750" w:type="dxa"/>
            <w:vAlign w:val="center"/>
          </w:tcPr>
          <w:p>
            <w:pPr>
              <w:widowControl/>
              <w:spacing w:line="360" w:lineRule="auto"/>
              <w:jc w:val="center"/>
              <w:rPr>
                <w:rFonts w:hint="eastAsia" w:ascii="宋体" w:hAnsi="宋体" w:eastAsia="宋体" w:cs="宋体"/>
                <w:color w:val="auto"/>
                <w:sz w:val="21"/>
                <w:szCs w:val="21"/>
              </w:rPr>
            </w:pPr>
            <w:r>
              <w:rPr>
                <w:rFonts w:hint="eastAsia" w:ascii="宋体" w:hAnsi="宋体" w:eastAsia="宋体" w:cs="宋体"/>
                <w:color w:val="auto"/>
                <w:sz w:val="21"/>
                <w:szCs w:val="21"/>
              </w:rPr>
              <w:t>1</w:t>
            </w:r>
          </w:p>
        </w:tc>
        <w:tc>
          <w:tcPr>
            <w:tcW w:w="3322" w:type="dxa"/>
            <w:vAlign w:val="center"/>
          </w:tcPr>
          <w:p>
            <w:pPr>
              <w:widowControl/>
              <w:spacing w:line="360" w:lineRule="auto"/>
              <w:jc w:val="center"/>
              <w:rPr>
                <w:rFonts w:hint="eastAsia" w:ascii="宋体" w:hAnsi="宋体" w:eastAsia="宋体" w:cs="宋体"/>
                <w:color w:val="auto"/>
                <w:sz w:val="21"/>
                <w:szCs w:val="21"/>
              </w:rPr>
            </w:pPr>
            <w:r>
              <w:rPr>
                <w:rFonts w:hint="eastAsia" w:ascii="宋体" w:hAnsi="宋体" w:eastAsia="宋体" w:cs="宋体"/>
                <w:color w:val="auto"/>
                <w:sz w:val="21"/>
                <w:szCs w:val="21"/>
              </w:rPr>
              <w:t>自合同生效起</w:t>
            </w:r>
            <w:r>
              <w:rPr>
                <w:rFonts w:hint="eastAsia" w:ascii="宋体" w:hAnsi="宋体" w:eastAsia="宋体" w:cs="宋体"/>
                <w:color w:val="auto"/>
                <w:sz w:val="21"/>
                <w:szCs w:val="21"/>
                <w:lang w:val="en-US" w:eastAsia="zh-CN"/>
              </w:rPr>
              <w:t>2</w:t>
            </w:r>
            <w:r>
              <w:rPr>
                <w:rFonts w:hint="eastAsia" w:ascii="宋体" w:hAnsi="宋体" w:eastAsia="宋体" w:cs="宋体"/>
                <w:color w:val="auto"/>
                <w:sz w:val="21"/>
                <w:szCs w:val="21"/>
              </w:rPr>
              <w:t>个月内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6" w:hRule="atLeast"/>
          <w:jc w:val="center"/>
        </w:trPr>
        <w:tc>
          <w:tcPr>
            <w:tcW w:w="720" w:type="dxa"/>
            <w:vAlign w:val="center"/>
          </w:tcPr>
          <w:p>
            <w:pPr>
              <w:widowControl/>
              <w:spacing w:line="360" w:lineRule="auto"/>
              <w:jc w:val="center"/>
              <w:rPr>
                <w:rFonts w:hint="eastAsia" w:ascii="宋体" w:hAnsi="宋体" w:eastAsia="宋体" w:cs="宋体"/>
                <w:color w:val="auto"/>
                <w:sz w:val="21"/>
                <w:szCs w:val="21"/>
              </w:rPr>
            </w:pPr>
            <w:r>
              <w:rPr>
                <w:rFonts w:hint="eastAsia" w:ascii="宋体" w:hAnsi="宋体" w:eastAsia="宋体" w:cs="宋体"/>
                <w:color w:val="auto"/>
                <w:sz w:val="21"/>
                <w:szCs w:val="21"/>
              </w:rPr>
              <w:t>4</w:t>
            </w:r>
          </w:p>
        </w:tc>
        <w:tc>
          <w:tcPr>
            <w:tcW w:w="3141" w:type="dxa"/>
            <w:vAlign w:val="center"/>
          </w:tcPr>
          <w:p>
            <w:pPr>
              <w:spacing w:line="360" w:lineRule="auto"/>
              <w:jc w:val="left"/>
              <w:rPr>
                <w:rFonts w:hint="eastAsia" w:ascii="宋体" w:hAnsi="宋体" w:eastAsia="宋体" w:cs="宋体"/>
                <w:bCs/>
                <w:color w:val="auto"/>
                <w:sz w:val="21"/>
                <w:szCs w:val="21"/>
              </w:rPr>
            </w:pPr>
            <w:r>
              <w:rPr>
                <w:rFonts w:hint="eastAsia" w:ascii="宋体" w:hAnsi="宋体" w:eastAsia="宋体" w:cs="宋体"/>
                <w:bCs/>
                <w:color w:val="auto"/>
                <w:sz w:val="21"/>
                <w:szCs w:val="21"/>
                <w:lang w:val="en-US" w:eastAsia="zh-CN"/>
              </w:rPr>
              <w:t>到发线防溜装置系统</w:t>
            </w:r>
            <w:r>
              <w:rPr>
                <w:rFonts w:hint="eastAsia" w:ascii="宋体" w:hAnsi="宋体" w:eastAsia="宋体" w:cs="宋体"/>
                <w:bCs/>
                <w:color w:val="auto"/>
                <w:sz w:val="21"/>
                <w:szCs w:val="21"/>
              </w:rPr>
              <w:t>操作软件</w:t>
            </w:r>
          </w:p>
        </w:tc>
        <w:tc>
          <w:tcPr>
            <w:tcW w:w="812" w:type="dxa"/>
            <w:vAlign w:val="center"/>
          </w:tcPr>
          <w:p>
            <w:pPr>
              <w:widowControl/>
              <w:spacing w:line="360" w:lineRule="auto"/>
              <w:jc w:val="center"/>
              <w:rPr>
                <w:rFonts w:hint="eastAsia" w:ascii="宋体" w:hAnsi="宋体" w:eastAsia="宋体" w:cs="宋体"/>
                <w:color w:val="auto"/>
                <w:sz w:val="21"/>
                <w:szCs w:val="21"/>
              </w:rPr>
            </w:pPr>
            <w:r>
              <w:rPr>
                <w:rFonts w:hint="eastAsia" w:ascii="宋体" w:hAnsi="宋体" w:eastAsia="宋体" w:cs="宋体"/>
                <w:color w:val="auto"/>
                <w:sz w:val="21"/>
                <w:szCs w:val="21"/>
              </w:rPr>
              <w:t>套</w:t>
            </w:r>
          </w:p>
        </w:tc>
        <w:tc>
          <w:tcPr>
            <w:tcW w:w="750" w:type="dxa"/>
            <w:vAlign w:val="center"/>
          </w:tcPr>
          <w:p>
            <w:pPr>
              <w:widowControl/>
              <w:spacing w:line="360" w:lineRule="auto"/>
              <w:jc w:val="center"/>
              <w:rPr>
                <w:rFonts w:hint="eastAsia" w:ascii="宋体" w:hAnsi="宋体" w:eastAsia="宋体" w:cs="宋体"/>
                <w:color w:val="auto"/>
                <w:sz w:val="21"/>
                <w:szCs w:val="21"/>
              </w:rPr>
            </w:pPr>
            <w:r>
              <w:rPr>
                <w:rFonts w:hint="eastAsia" w:ascii="宋体" w:hAnsi="宋体" w:eastAsia="宋体" w:cs="宋体"/>
                <w:color w:val="auto"/>
                <w:sz w:val="21"/>
                <w:szCs w:val="21"/>
              </w:rPr>
              <w:t>1</w:t>
            </w:r>
          </w:p>
        </w:tc>
        <w:tc>
          <w:tcPr>
            <w:tcW w:w="3322" w:type="dxa"/>
            <w:vAlign w:val="center"/>
          </w:tcPr>
          <w:p>
            <w:pPr>
              <w:widowControl/>
              <w:spacing w:line="360" w:lineRule="auto"/>
              <w:jc w:val="center"/>
              <w:rPr>
                <w:rFonts w:hint="eastAsia" w:ascii="宋体" w:hAnsi="宋体" w:eastAsia="宋体" w:cs="宋体"/>
                <w:color w:val="auto"/>
                <w:sz w:val="21"/>
                <w:szCs w:val="21"/>
              </w:rPr>
            </w:pPr>
            <w:r>
              <w:rPr>
                <w:rFonts w:hint="eastAsia" w:ascii="宋体" w:hAnsi="宋体" w:eastAsia="宋体" w:cs="宋体"/>
                <w:color w:val="auto"/>
                <w:sz w:val="21"/>
                <w:szCs w:val="21"/>
              </w:rPr>
              <w:t>自合同生效起</w:t>
            </w:r>
            <w:r>
              <w:rPr>
                <w:rFonts w:hint="eastAsia" w:ascii="宋体" w:hAnsi="宋体" w:eastAsia="宋体" w:cs="宋体"/>
                <w:color w:val="auto"/>
                <w:sz w:val="21"/>
                <w:szCs w:val="21"/>
                <w:lang w:val="en-US" w:eastAsia="zh-CN"/>
              </w:rPr>
              <w:t>2</w:t>
            </w:r>
            <w:r>
              <w:rPr>
                <w:rFonts w:hint="eastAsia" w:ascii="宋体" w:hAnsi="宋体" w:eastAsia="宋体" w:cs="宋体"/>
                <w:color w:val="auto"/>
                <w:sz w:val="21"/>
                <w:szCs w:val="21"/>
              </w:rPr>
              <w:t>个月内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6" w:hRule="atLeast"/>
          <w:jc w:val="center"/>
        </w:trPr>
        <w:tc>
          <w:tcPr>
            <w:tcW w:w="720" w:type="dxa"/>
            <w:vAlign w:val="center"/>
          </w:tcPr>
          <w:p>
            <w:pPr>
              <w:widowControl/>
              <w:spacing w:line="360" w:lineRule="auto"/>
              <w:jc w:val="center"/>
              <w:rPr>
                <w:rFonts w:hint="eastAsia" w:ascii="宋体" w:hAnsi="宋体" w:eastAsia="宋体" w:cs="宋体"/>
                <w:color w:val="auto"/>
                <w:sz w:val="21"/>
                <w:szCs w:val="21"/>
              </w:rPr>
            </w:pPr>
            <w:r>
              <w:rPr>
                <w:rFonts w:hint="eastAsia" w:ascii="宋体" w:hAnsi="宋体" w:eastAsia="宋体" w:cs="宋体"/>
                <w:color w:val="auto"/>
                <w:sz w:val="21"/>
                <w:szCs w:val="21"/>
              </w:rPr>
              <w:t>5</w:t>
            </w:r>
          </w:p>
        </w:tc>
        <w:tc>
          <w:tcPr>
            <w:tcW w:w="3141" w:type="dxa"/>
            <w:vAlign w:val="center"/>
          </w:tcPr>
          <w:p>
            <w:pPr>
              <w:spacing w:line="360" w:lineRule="auto"/>
              <w:jc w:val="left"/>
              <w:rPr>
                <w:rFonts w:hint="eastAsia" w:ascii="宋体" w:hAnsi="宋体" w:eastAsia="宋体" w:cs="宋体"/>
                <w:bCs/>
                <w:color w:val="auto"/>
                <w:sz w:val="21"/>
                <w:szCs w:val="21"/>
              </w:rPr>
            </w:pPr>
            <w:r>
              <w:rPr>
                <w:rFonts w:hint="eastAsia" w:ascii="宋体" w:hAnsi="宋体" w:eastAsia="宋体" w:cs="宋体"/>
                <w:bCs/>
                <w:color w:val="auto"/>
                <w:sz w:val="21"/>
                <w:szCs w:val="21"/>
              </w:rPr>
              <w:t>显示器</w:t>
            </w:r>
          </w:p>
        </w:tc>
        <w:tc>
          <w:tcPr>
            <w:tcW w:w="812" w:type="dxa"/>
            <w:vAlign w:val="center"/>
          </w:tcPr>
          <w:p>
            <w:pPr>
              <w:widowControl/>
              <w:spacing w:line="360" w:lineRule="auto"/>
              <w:jc w:val="center"/>
              <w:rPr>
                <w:rFonts w:hint="eastAsia" w:ascii="宋体" w:hAnsi="宋体" w:eastAsia="宋体" w:cs="宋体"/>
                <w:color w:val="auto"/>
                <w:sz w:val="21"/>
                <w:szCs w:val="21"/>
              </w:rPr>
            </w:pPr>
            <w:r>
              <w:rPr>
                <w:rFonts w:hint="eastAsia" w:ascii="宋体" w:hAnsi="宋体" w:eastAsia="宋体" w:cs="宋体"/>
                <w:color w:val="auto"/>
                <w:sz w:val="21"/>
                <w:szCs w:val="21"/>
              </w:rPr>
              <w:t>台</w:t>
            </w:r>
          </w:p>
        </w:tc>
        <w:tc>
          <w:tcPr>
            <w:tcW w:w="750" w:type="dxa"/>
            <w:vAlign w:val="center"/>
          </w:tcPr>
          <w:p>
            <w:pPr>
              <w:widowControl/>
              <w:spacing w:line="360" w:lineRule="auto"/>
              <w:jc w:val="center"/>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en-US" w:eastAsia="zh-CN"/>
              </w:rPr>
              <w:t>1</w:t>
            </w:r>
          </w:p>
        </w:tc>
        <w:tc>
          <w:tcPr>
            <w:tcW w:w="3322" w:type="dxa"/>
            <w:vAlign w:val="center"/>
          </w:tcPr>
          <w:p>
            <w:pPr>
              <w:widowControl/>
              <w:spacing w:line="360" w:lineRule="auto"/>
              <w:jc w:val="center"/>
              <w:rPr>
                <w:rFonts w:hint="eastAsia" w:ascii="宋体" w:hAnsi="宋体" w:eastAsia="宋体" w:cs="宋体"/>
                <w:color w:val="auto"/>
                <w:sz w:val="21"/>
                <w:szCs w:val="21"/>
              </w:rPr>
            </w:pPr>
            <w:r>
              <w:rPr>
                <w:rFonts w:hint="eastAsia" w:ascii="宋体" w:hAnsi="宋体" w:eastAsia="宋体" w:cs="宋体"/>
                <w:color w:val="auto"/>
                <w:sz w:val="21"/>
                <w:szCs w:val="21"/>
              </w:rPr>
              <w:t>自合同生效起</w:t>
            </w:r>
            <w:r>
              <w:rPr>
                <w:rFonts w:hint="eastAsia" w:ascii="宋体" w:hAnsi="宋体" w:eastAsia="宋体" w:cs="宋体"/>
                <w:color w:val="auto"/>
                <w:sz w:val="21"/>
                <w:szCs w:val="21"/>
                <w:lang w:val="en-US" w:eastAsia="zh-CN"/>
              </w:rPr>
              <w:t>2</w:t>
            </w:r>
            <w:r>
              <w:rPr>
                <w:rFonts w:hint="eastAsia" w:ascii="宋体" w:hAnsi="宋体" w:eastAsia="宋体" w:cs="宋体"/>
                <w:color w:val="auto"/>
                <w:sz w:val="21"/>
                <w:szCs w:val="21"/>
              </w:rPr>
              <w:t>个月内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6" w:hRule="atLeast"/>
          <w:jc w:val="center"/>
        </w:trPr>
        <w:tc>
          <w:tcPr>
            <w:tcW w:w="720" w:type="dxa"/>
            <w:vAlign w:val="center"/>
          </w:tcPr>
          <w:p>
            <w:pPr>
              <w:widowControl/>
              <w:spacing w:line="360" w:lineRule="auto"/>
              <w:jc w:val="center"/>
              <w:rPr>
                <w:rFonts w:hint="eastAsia" w:ascii="宋体" w:hAnsi="宋体" w:eastAsia="宋体" w:cs="宋体"/>
                <w:color w:val="auto"/>
                <w:sz w:val="21"/>
                <w:szCs w:val="21"/>
              </w:rPr>
            </w:pPr>
            <w:r>
              <w:rPr>
                <w:rFonts w:hint="eastAsia" w:ascii="宋体" w:hAnsi="宋体" w:eastAsia="宋体" w:cs="宋体"/>
                <w:color w:val="auto"/>
                <w:sz w:val="21"/>
                <w:szCs w:val="21"/>
              </w:rPr>
              <w:t>6</w:t>
            </w:r>
          </w:p>
        </w:tc>
        <w:tc>
          <w:tcPr>
            <w:tcW w:w="3141" w:type="dxa"/>
            <w:vAlign w:val="center"/>
          </w:tcPr>
          <w:p>
            <w:pPr>
              <w:spacing w:line="360" w:lineRule="auto"/>
              <w:jc w:val="left"/>
              <w:rPr>
                <w:rFonts w:hint="eastAsia" w:ascii="宋体" w:hAnsi="宋体" w:eastAsia="宋体" w:cs="宋体"/>
                <w:bCs/>
                <w:color w:val="auto"/>
                <w:sz w:val="21"/>
                <w:szCs w:val="21"/>
              </w:rPr>
            </w:pPr>
            <w:r>
              <w:rPr>
                <w:rFonts w:hint="eastAsia" w:ascii="宋体" w:hAnsi="宋体" w:eastAsia="宋体" w:cs="宋体"/>
                <w:bCs/>
                <w:color w:val="auto"/>
                <w:sz w:val="21"/>
                <w:szCs w:val="21"/>
                <w:lang w:val="en-US" w:eastAsia="zh-CN"/>
              </w:rPr>
              <w:t>维修</w:t>
            </w:r>
            <w:r>
              <w:rPr>
                <w:rFonts w:hint="eastAsia" w:ascii="宋体" w:hAnsi="宋体" w:eastAsia="宋体" w:cs="宋体"/>
                <w:bCs/>
                <w:color w:val="auto"/>
                <w:sz w:val="21"/>
                <w:szCs w:val="21"/>
              </w:rPr>
              <w:t>工具</w:t>
            </w:r>
          </w:p>
        </w:tc>
        <w:tc>
          <w:tcPr>
            <w:tcW w:w="812" w:type="dxa"/>
            <w:vAlign w:val="center"/>
          </w:tcPr>
          <w:p>
            <w:pPr>
              <w:widowControl/>
              <w:spacing w:line="360" w:lineRule="auto"/>
              <w:jc w:val="center"/>
              <w:rPr>
                <w:rFonts w:hint="eastAsia" w:ascii="宋体" w:hAnsi="宋体" w:eastAsia="宋体" w:cs="宋体"/>
                <w:color w:val="auto"/>
                <w:sz w:val="21"/>
                <w:szCs w:val="21"/>
              </w:rPr>
            </w:pPr>
            <w:r>
              <w:rPr>
                <w:rFonts w:hint="eastAsia" w:ascii="宋体" w:hAnsi="宋体" w:eastAsia="宋体" w:cs="宋体"/>
                <w:color w:val="auto"/>
                <w:sz w:val="21"/>
                <w:szCs w:val="21"/>
              </w:rPr>
              <w:t>套</w:t>
            </w:r>
          </w:p>
        </w:tc>
        <w:tc>
          <w:tcPr>
            <w:tcW w:w="750" w:type="dxa"/>
            <w:vAlign w:val="center"/>
          </w:tcPr>
          <w:p>
            <w:pPr>
              <w:widowControl/>
              <w:spacing w:line="360" w:lineRule="auto"/>
              <w:jc w:val="center"/>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en-US" w:eastAsia="zh-CN"/>
              </w:rPr>
              <w:t>2</w:t>
            </w:r>
          </w:p>
        </w:tc>
        <w:tc>
          <w:tcPr>
            <w:tcW w:w="3322" w:type="dxa"/>
            <w:vAlign w:val="center"/>
          </w:tcPr>
          <w:p>
            <w:pPr>
              <w:widowControl/>
              <w:spacing w:line="360" w:lineRule="auto"/>
              <w:jc w:val="center"/>
              <w:rPr>
                <w:rFonts w:hint="eastAsia" w:ascii="宋体" w:hAnsi="宋体" w:eastAsia="宋体" w:cs="宋体"/>
                <w:color w:val="auto"/>
                <w:sz w:val="21"/>
                <w:szCs w:val="21"/>
              </w:rPr>
            </w:pPr>
            <w:r>
              <w:rPr>
                <w:rFonts w:hint="eastAsia" w:ascii="宋体" w:hAnsi="宋体" w:eastAsia="宋体" w:cs="宋体"/>
                <w:color w:val="auto"/>
                <w:sz w:val="21"/>
                <w:szCs w:val="21"/>
              </w:rPr>
              <w:t>自合同生效起</w:t>
            </w:r>
            <w:r>
              <w:rPr>
                <w:rFonts w:hint="eastAsia" w:ascii="宋体" w:hAnsi="宋体" w:eastAsia="宋体" w:cs="宋体"/>
                <w:color w:val="auto"/>
                <w:sz w:val="21"/>
                <w:szCs w:val="21"/>
                <w:lang w:val="en-US" w:eastAsia="zh-CN"/>
              </w:rPr>
              <w:t>2</w:t>
            </w:r>
            <w:r>
              <w:rPr>
                <w:rFonts w:hint="eastAsia" w:ascii="宋体" w:hAnsi="宋体" w:eastAsia="宋体" w:cs="宋体"/>
                <w:color w:val="auto"/>
                <w:sz w:val="21"/>
                <w:szCs w:val="21"/>
              </w:rPr>
              <w:t>个月内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6" w:hRule="atLeast"/>
          <w:jc w:val="center"/>
        </w:trPr>
        <w:tc>
          <w:tcPr>
            <w:tcW w:w="720" w:type="dxa"/>
            <w:vAlign w:val="center"/>
          </w:tcPr>
          <w:p>
            <w:pPr>
              <w:widowControl/>
              <w:spacing w:line="360" w:lineRule="auto"/>
              <w:jc w:val="center"/>
              <w:rPr>
                <w:rFonts w:hint="eastAsia" w:ascii="宋体" w:hAnsi="宋体" w:eastAsia="宋体" w:cs="宋体"/>
                <w:color w:val="auto"/>
                <w:sz w:val="21"/>
                <w:szCs w:val="21"/>
              </w:rPr>
            </w:pPr>
            <w:r>
              <w:rPr>
                <w:rFonts w:hint="eastAsia" w:ascii="宋体" w:hAnsi="宋体" w:eastAsia="宋体" w:cs="宋体"/>
                <w:color w:val="auto"/>
                <w:sz w:val="21"/>
                <w:szCs w:val="21"/>
              </w:rPr>
              <w:t>7</w:t>
            </w:r>
          </w:p>
        </w:tc>
        <w:tc>
          <w:tcPr>
            <w:tcW w:w="3141" w:type="dxa"/>
            <w:vAlign w:val="center"/>
          </w:tcPr>
          <w:p>
            <w:pPr>
              <w:spacing w:line="360" w:lineRule="auto"/>
              <w:jc w:val="left"/>
              <w:rPr>
                <w:rFonts w:hint="eastAsia" w:ascii="宋体" w:hAnsi="宋体" w:eastAsia="宋体" w:cs="宋体"/>
                <w:bCs/>
                <w:color w:val="auto"/>
                <w:sz w:val="21"/>
                <w:szCs w:val="21"/>
              </w:rPr>
            </w:pPr>
            <w:r>
              <w:rPr>
                <w:rFonts w:hint="eastAsia" w:ascii="宋体" w:hAnsi="宋体" w:eastAsia="宋体" w:cs="宋体"/>
                <w:bCs/>
                <w:color w:val="auto"/>
                <w:sz w:val="21"/>
                <w:szCs w:val="21"/>
              </w:rPr>
              <w:t>380伏双路电源转换箱</w:t>
            </w:r>
          </w:p>
        </w:tc>
        <w:tc>
          <w:tcPr>
            <w:tcW w:w="812" w:type="dxa"/>
            <w:vAlign w:val="center"/>
          </w:tcPr>
          <w:p>
            <w:pPr>
              <w:widowControl/>
              <w:spacing w:line="360" w:lineRule="auto"/>
              <w:jc w:val="center"/>
              <w:rPr>
                <w:rFonts w:hint="eastAsia" w:ascii="宋体" w:hAnsi="宋体" w:eastAsia="宋体" w:cs="宋体"/>
                <w:color w:val="auto"/>
                <w:sz w:val="21"/>
                <w:szCs w:val="21"/>
              </w:rPr>
            </w:pPr>
            <w:r>
              <w:rPr>
                <w:rFonts w:hint="eastAsia" w:ascii="宋体" w:hAnsi="宋体" w:eastAsia="宋体" w:cs="宋体"/>
                <w:color w:val="auto"/>
                <w:sz w:val="21"/>
                <w:szCs w:val="21"/>
              </w:rPr>
              <w:t>台</w:t>
            </w:r>
          </w:p>
        </w:tc>
        <w:tc>
          <w:tcPr>
            <w:tcW w:w="750" w:type="dxa"/>
            <w:vAlign w:val="center"/>
          </w:tcPr>
          <w:p>
            <w:pPr>
              <w:widowControl/>
              <w:spacing w:line="360" w:lineRule="auto"/>
              <w:jc w:val="center"/>
              <w:rPr>
                <w:rFonts w:hint="eastAsia" w:ascii="宋体" w:hAnsi="宋体" w:eastAsia="宋体" w:cs="宋体"/>
                <w:color w:val="auto"/>
                <w:sz w:val="21"/>
                <w:szCs w:val="21"/>
              </w:rPr>
            </w:pPr>
            <w:r>
              <w:rPr>
                <w:rFonts w:hint="eastAsia" w:ascii="宋体" w:hAnsi="宋体" w:eastAsia="宋体" w:cs="宋体"/>
                <w:color w:val="auto"/>
                <w:sz w:val="21"/>
                <w:szCs w:val="21"/>
              </w:rPr>
              <w:t>1</w:t>
            </w:r>
          </w:p>
        </w:tc>
        <w:tc>
          <w:tcPr>
            <w:tcW w:w="3322" w:type="dxa"/>
            <w:vAlign w:val="center"/>
          </w:tcPr>
          <w:p>
            <w:pPr>
              <w:widowControl/>
              <w:spacing w:line="360" w:lineRule="auto"/>
              <w:jc w:val="center"/>
              <w:rPr>
                <w:rFonts w:hint="eastAsia" w:ascii="宋体" w:hAnsi="宋体" w:eastAsia="宋体" w:cs="宋体"/>
                <w:color w:val="auto"/>
                <w:sz w:val="21"/>
                <w:szCs w:val="21"/>
              </w:rPr>
            </w:pPr>
            <w:r>
              <w:rPr>
                <w:rFonts w:hint="eastAsia" w:ascii="宋体" w:hAnsi="宋体" w:eastAsia="宋体" w:cs="宋体"/>
                <w:color w:val="auto"/>
                <w:sz w:val="21"/>
                <w:szCs w:val="21"/>
              </w:rPr>
              <w:t>自合同生效起</w:t>
            </w:r>
            <w:r>
              <w:rPr>
                <w:rFonts w:hint="eastAsia" w:ascii="宋体" w:hAnsi="宋体" w:eastAsia="宋体" w:cs="宋体"/>
                <w:color w:val="auto"/>
                <w:sz w:val="21"/>
                <w:szCs w:val="21"/>
                <w:lang w:val="en-US" w:eastAsia="zh-CN"/>
              </w:rPr>
              <w:t>2</w:t>
            </w:r>
            <w:r>
              <w:rPr>
                <w:rFonts w:hint="eastAsia" w:ascii="宋体" w:hAnsi="宋体" w:eastAsia="宋体" w:cs="宋体"/>
                <w:color w:val="auto"/>
                <w:sz w:val="21"/>
                <w:szCs w:val="21"/>
              </w:rPr>
              <w:t>个月内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6" w:hRule="atLeast"/>
          <w:jc w:val="center"/>
        </w:trPr>
        <w:tc>
          <w:tcPr>
            <w:tcW w:w="720" w:type="dxa"/>
            <w:vAlign w:val="center"/>
          </w:tcPr>
          <w:p>
            <w:pPr>
              <w:widowControl/>
              <w:spacing w:line="360" w:lineRule="auto"/>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8</w:t>
            </w:r>
          </w:p>
        </w:tc>
        <w:tc>
          <w:tcPr>
            <w:tcW w:w="3141" w:type="dxa"/>
            <w:vAlign w:val="center"/>
          </w:tcPr>
          <w:p>
            <w:pPr>
              <w:widowControl/>
              <w:jc w:val="left"/>
              <w:rPr>
                <w:rFonts w:hint="eastAsia" w:ascii="宋体" w:hAnsi="宋体" w:eastAsia="宋体" w:cs="宋体"/>
                <w:bCs/>
                <w:color w:val="auto"/>
                <w:sz w:val="21"/>
                <w:szCs w:val="21"/>
                <w:highlight w:val="green"/>
              </w:rPr>
            </w:pPr>
            <w:r>
              <w:rPr>
                <w:rFonts w:hint="eastAsia" w:ascii="宋体" w:hAnsi="宋体" w:cs="宋体"/>
                <w:b w:val="0"/>
                <w:bCs w:val="0"/>
                <w:color w:val="auto"/>
                <w:sz w:val="21"/>
                <w:szCs w:val="21"/>
                <w:lang w:val="en-US" w:eastAsia="zh-CN"/>
              </w:rPr>
              <w:t>GYTA53-12B</w:t>
            </w:r>
            <w:r>
              <w:rPr>
                <w:rFonts w:hint="eastAsia" w:ascii="宋体" w:hAnsi="宋体" w:eastAsia="宋体" w:cs="宋体"/>
                <w:bCs/>
                <w:color w:val="auto"/>
                <w:sz w:val="21"/>
                <w:szCs w:val="21"/>
                <w:highlight w:val="none"/>
                <w:lang w:val="en-US" w:eastAsia="zh-CN"/>
              </w:rPr>
              <w:t>通信</w:t>
            </w:r>
            <w:r>
              <w:rPr>
                <w:rFonts w:hint="eastAsia"/>
                <w:color w:val="auto"/>
                <w:sz w:val="21"/>
                <w:szCs w:val="21"/>
                <w:lang w:val="en-US" w:eastAsia="zh-CN"/>
              </w:rPr>
              <w:t>光缆</w:t>
            </w:r>
          </w:p>
        </w:tc>
        <w:tc>
          <w:tcPr>
            <w:tcW w:w="812" w:type="dxa"/>
            <w:vAlign w:val="center"/>
          </w:tcPr>
          <w:p>
            <w:pPr>
              <w:widowControl/>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套</w:t>
            </w:r>
          </w:p>
        </w:tc>
        <w:tc>
          <w:tcPr>
            <w:tcW w:w="750" w:type="dxa"/>
            <w:vAlign w:val="center"/>
          </w:tcPr>
          <w:p>
            <w:pPr>
              <w:widowControl/>
              <w:spacing w:line="360" w:lineRule="auto"/>
              <w:jc w:val="center"/>
              <w:rPr>
                <w:rFonts w:hint="eastAsia" w:ascii="宋体" w:hAnsi="宋体" w:eastAsia="宋体" w:cs="宋体"/>
                <w:color w:val="auto"/>
                <w:sz w:val="21"/>
                <w:szCs w:val="21"/>
                <w:lang w:val="en-US"/>
              </w:rPr>
            </w:pPr>
            <w:r>
              <w:rPr>
                <w:rFonts w:hint="eastAsia" w:ascii="宋体" w:hAnsi="宋体" w:eastAsia="宋体" w:cs="宋体"/>
                <w:color w:val="auto"/>
                <w:sz w:val="21"/>
                <w:szCs w:val="21"/>
                <w:lang w:val="en-US" w:eastAsia="zh-CN"/>
              </w:rPr>
              <w:t>7000</w:t>
            </w:r>
          </w:p>
        </w:tc>
        <w:tc>
          <w:tcPr>
            <w:tcW w:w="3322" w:type="dxa"/>
            <w:vAlign w:val="center"/>
          </w:tcPr>
          <w:p>
            <w:pPr>
              <w:widowControl/>
              <w:spacing w:line="360" w:lineRule="auto"/>
              <w:jc w:val="center"/>
              <w:rPr>
                <w:rFonts w:hint="eastAsia" w:ascii="宋体" w:hAnsi="宋体" w:eastAsia="宋体" w:cs="宋体"/>
                <w:color w:val="auto"/>
                <w:sz w:val="21"/>
                <w:szCs w:val="21"/>
              </w:rPr>
            </w:pPr>
            <w:r>
              <w:rPr>
                <w:rFonts w:hint="eastAsia" w:ascii="宋体" w:hAnsi="宋体" w:eastAsia="宋体" w:cs="宋体"/>
                <w:color w:val="auto"/>
                <w:sz w:val="21"/>
                <w:szCs w:val="21"/>
              </w:rPr>
              <w:t>自合同生效起</w:t>
            </w:r>
            <w:r>
              <w:rPr>
                <w:rFonts w:hint="eastAsia" w:ascii="宋体" w:hAnsi="宋体" w:eastAsia="宋体" w:cs="宋体"/>
                <w:color w:val="auto"/>
                <w:sz w:val="21"/>
                <w:szCs w:val="21"/>
                <w:lang w:val="en-US" w:eastAsia="zh-CN"/>
              </w:rPr>
              <w:t>2</w:t>
            </w:r>
            <w:r>
              <w:rPr>
                <w:rFonts w:hint="eastAsia" w:ascii="宋体" w:hAnsi="宋体" w:eastAsia="宋体" w:cs="宋体"/>
                <w:color w:val="auto"/>
                <w:sz w:val="21"/>
                <w:szCs w:val="21"/>
              </w:rPr>
              <w:t>个月内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6" w:hRule="atLeast"/>
          <w:jc w:val="center"/>
        </w:trPr>
        <w:tc>
          <w:tcPr>
            <w:tcW w:w="720" w:type="dxa"/>
            <w:vAlign w:val="center"/>
          </w:tcPr>
          <w:p>
            <w:pPr>
              <w:widowControl/>
              <w:spacing w:line="360" w:lineRule="auto"/>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9</w:t>
            </w:r>
          </w:p>
        </w:tc>
        <w:tc>
          <w:tcPr>
            <w:tcW w:w="3141" w:type="dxa"/>
            <w:vAlign w:val="center"/>
          </w:tcPr>
          <w:p>
            <w:pPr>
              <w:widowControl/>
              <w:jc w:val="left"/>
              <w:rPr>
                <w:rFonts w:hint="eastAsia" w:ascii="宋体" w:hAnsi="宋体" w:eastAsia="宋体" w:cs="宋体"/>
                <w:bCs/>
                <w:color w:val="auto"/>
                <w:sz w:val="21"/>
                <w:szCs w:val="21"/>
                <w:highlight w:val="green"/>
                <w:lang w:val="en-US" w:eastAsia="zh-CN"/>
              </w:rPr>
            </w:pPr>
            <w:r>
              <w:rPr>
                <w:rFonts w:hint="eastAsia" w:ascii="宋体" w:hAnsi="宋体" w:cs="宋体"/>
                <w:b w:val="0"/>
                <w:bCs w:val="0"/>
                <w:color w:val="auto"/>
                <w:sz w:val="21"/>
                <w:szCs w:val="21"/>
                <w:lang w:val="en-US" w:eastAsia="zh-CN"/>
              </w:rPr>
              <w:t>VJV22-13×35低压</w:t>
            </w:r>
            <w:r>
              <w:rPr>
                <w:rFonts w:hint="eastAsia" w:ascii="宋体" w:hAnsi="宋体" w:eastAsia="宋体" w:cs="宋体"/>
                <w:bCs/>
                <w:color w:val="auto"/>
                <w:sz w:val="21"/>
                <w:szCs w:val="21"/>
                <w:highlight w:val="none"/>
                <w:lang w:val="en-US" w:eastAsia="zh-CN"/>
              </w:rPr>
              <w:t>铠装</w:t>
            </w:r>
            <w:r>
              <w:rPr>
                <w:rFonts w:hint="eastAsia" w:ascii="宋体" w:hAnsi="宋体" w:cs="宋体"/>
                <w:b w:val="0"/>
                <w:bCs w:val="0"/>
                <w:color w:val="auto"/>
                <w:sz w:val="21"/>
                <w:szCs w:val="21"/>
                <w:lang w:val="en-US" w:eastAsia="zh-CN"/>
              </w:rPr>
              <w:t>电缆</w:t>
            </w:r>
          </w:p>
        </w:tc>
        <w:tc>
          <w:tcPr>
            <w:tcW w:w="812" w:type="dxa"/>
            <w:vAlign w:val="center"/>
          </w:tcPr>
          <w:p>
            <w:pPr>
              <w:widowControl/>
              <w:jc w:val="center"/>
              <w:rPr>
                <w:rFonts w:hint="eastAsia" w:ascii="宋体" w:hAnsi="宋体" w:eastAsia="宋体" w:cs="宋体"/>
                <w:color w:val="auto"/>
                <w:kern w:val="0"/>
                <w:sz w:val="21"/>
                <w:szCs w:val="21"/>
                <w:lang w:val="en-US" w:eastAsia="zh-CN"/>
              </w:rPr>
            </w:pPr>
            <w:r>
              <w:rPr>
                <w:rFonts w:hint="eastAsia" w:ascii="宋体" w:hAnsi="宋体" w:eastAsia="宋体" w:cs="宋体"/>
                <w:color w:val="auto"/>
                <w:sz w:val="21"/>
                <w:szCs w:val="21"/>
                <w:lang w:val="en-US" w:eastAsia="zh-CN"/>
              </w:rPr>
              <w:t>套</w:t>
            </w:r>
          </w:p>
        </w:tc>
        <w:tc>
          <w:tcPr>
            <w:tcW w:w="750" w:type="dxa"/>
            <w:vAlign w:val="center"/>
          </w:tcPr>
          <w:p>
            <w:pPr>
              <w:widowControl/>
              <w:spacing w:line="360" w:lineRule="auto"/>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7000</w:t>
            </w:r>
          </w:p>
        </w:tc>
        <w:tc>
          <w:tcPr>
            <w:tcW w:w="3322" w:type="dxa"/>
            <w:vAlign w:val="center"/>
          </w:tcPr>
          <w:p>
            <w:pPr>
              <w:widowControl/>
              <w:spacing w:line="360" w:lineRule="auto"/>
              <w:jc w:val="center"/>
              <w:rPr>
                <w:rFonts w:hint="eastAsia" w:ascii="宋体" w:hAnsi="宋体" w:eastAsia="宋体" w:cs="宋体"/>
                <w:color w:val="auto"/>
                <w:sz w:val="21"/>
                <w:szCs w:val="21"/>
              </w:rPr>
            </w:pPr>
            <w:r>
              <w:rPr>
                <w:rFonts w:hint="eastAsia" w:ascii="宋体" w:hAnsi="宋体" w:eastAsia="宋体" w:cs="宋体"/>
                <w:color w:val="auto"/>
                <w:sz w:val="21"/>
                <w:szCs w:val="21"/>
              </w:rPr>
              <w:t>自合同生效起</w:t>
            </w:r>
            <w:r>
              <w:rPr>
                <w:rFonts w:hint="eastAsia" w:ascii="宋体" w:hAnsi="宋体" w:eastAsia="宋体" w:cs="宋体"/>
                <w:color w:val="auto"/>
                <w:sz w:val="21"/>
                <w:szCs w:val="21"/>
                <w:lang w:val="en-US" w:eastAsia="zh-CN"/>
              </w:rPr>
              <w:t>2</w:t>
            </w:r>
            <w:r>
              <w:rPr>
                <w:rFonts w:hint="eastAsia" w:ascii="宋体" w:hAnsi="宋体" w:eastAsia="宋体" w:cs="宋体"/>
                <w:color w:val="auto"/>
                <w:sz w:val="21"/>
                <w:szCs w:val="21"/>
              </w:rPr>
              <w:t>个月内</w:t>
            </w:r>
          </w:p>
        </w:tc>
      </w:tr>
    </w:tbl>
    <w:p>
      <w:pPr>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Cs/>
          <w:color w:val="auto"/>
          <w:sz w:val="21"/>
          <w:szCs w:val="21"/>
        </w:rPr>
      </w:pPr>
      <w:r>
        <w:rPr>
          <w:rFonts w:hint="eastAsia" w:ascii="宋体" w:hAnsi="宋体" w:eastAsia="宋体" w:cs="宋体"/>
          <w:bCs/>
          <w:color w:val="auto"/>
          <w:sz w:val="21"/>
          <w:szCs w:val="21"/>
        </w:rPr>
        <w:t>4.2 配件</w:t>
      </w:r>
    </w:p>
    <w:p>
      <w:pPr>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Cs/>
          <w:color w:val="auto"/>
          <w:sz w:val="21"/>
          <w:szCs w:val="21"/>
        </w:rPr>
      </w:pPr>
      <w:r>
        <w:rPr>
          <w:rFonts w:hint="eastAsia" w:ascii="宋体" w:hAnsi="宋体" w:eastAsia="宋体" w:cs="宋体"/>
          <w:bCs/>
          <w:color w:val="auto"/>
          <w:sz w:val="21"/>
          <w:szCs w:val="21"/>
        </w:rPr>
        <w:t>4.2.1列出易损件清单，清单中可在推荐两年的消耗量（不含在本次报价内）</w:t>
      </w:r>
    </w:p>
    <w:p>
      <w:pPr>
        <w:pageBreakBefore w:val="0"/>
        <w:widowControl w:val="0"/>
        <w:tabs>
          <w:tab w:val="left" w:pos="525"/>
        </w:tabs>
        <w:kinsoku/>
        <w:wordWrap/>
        <w:overflowPunct/>
        <w:topLinePunct w:val="0"/>
        <w:autoSpaceDE/>
        <w:autoSpaceDN/>
        <w:bidi w:val="0"/>
        <w:adjustRightInd w:val="0"/>
        <w:snapToGrid w:val="0"/>
        <w:spacing w:line="360" w:lineRule="auto"/>
        <w:textAlignment w:val="auto"/>
        <w:rPr>
          <w:rFonts w:hint="eastAsia"/>
          <w:b/>
          <w:bCs/>
          <w:color w:val="auto"/>
          <w:sz w:val="21"/>
          <w:szCs w:val="21"/>
          <w:highlight w:val="none"/>
        </w:rPr>
      </w:pPr>
      <w:r>
        <w:rPr>
          <w:rFonts w:hint="eastAsia"/>
          <w:b/>
          <w:bCs/>
          <w:color w:val="auto"/>
          <w:sz w:val="21"/>
          <w:szCs w:val="21"/>
          <w:highlight w:val="none"/>
        </w:rPr>
        <w:t>5.技术资料</w:t>
      </w:r>
    </w:p>
    <w:p>
      <w:pPr>
        <w:tabs>
          <w:tab w:val="left" w:pos="525"/>
        </w:tabs>
        <w:adjustRightInd w:val="0"/>
        <w:snapToGrid w:val="0"/>
        <w:spacing w:line="360" w:lineRule="auto"/>
        <w:rPr>
          <w:rFonts w:hint="eastAsia"/>
          <w:color w:val="auto"/>
          <w:sz w:val="21"/>
          <w:szCs w:val="21"/>
          <w:highlight w:val="none"/>
        </w:rPr>
      </w:pPr>
      <w:r>
        <w:rPr>
          <w:rFonts w:hint="eastAsia"/>
          <w:color w:val="auto"/>
          <w:sz w:val="21"/>
          <w:szCs w:val="21"/>
          <w:highlight w:val="none"/>
        </w:rPr>
        <w:t>5.1投标方必随设备交付的技术资料有：基础资料（包括出厂测试报告）、原产地证明1套，《操作手册》、《配件图册》、《保养维修手册》各</w:t>
      </w:r>
      <w:r>
        <w:rPr>
          <w:rFonts w:hint="eastAsia"/>
          <w:color w:val="auto"/>
          <w:sz w:val="21"/>
          <w:szCs w:val="21"/>
          <w:highlight w:val="none"/>
          <w:lang w:val="en-US" w:eastAsia="zh-CN"/>
        </w:rPr>
        <w:t>4</w:t>
      </w:r>
      <w:r>
        <w:rPr>
          <w:rFonts w:hint="eastAsia"/>
          <w:color w:val="auto"/>
          <w:sz w:val="21"/>
          <w:szCs w:val="21"/>
          <w:highlight w:val="none"/>
        </w:rPr>
        <w:t>套，产品合格证</w:t>
      </w:r>
      <w:r>
        <w:rPr>
          <w:rFonts w:hint="eastAsia"/>
          <w:color w:val="auto"/>
          <w:sz w:val="21"/>
          <w:szCs w:val="21"/>
          <w:highlight w:val="none"/>
          <w:lang w:val="en-US" w:eastAsia="zh-CN"/>
        </w:rPr>
        <w:t>4</w:t>
      </w:r>
      <w:r>
        <w:rPr>
          <w:rFonts w:hint="eastAsia"/>
          <w:color w:val="auto"/>
          <w:sz w:val="21"/>
          <w:szCs w:val="21"/>
          <w:highlight w:val="none"/>
        </w:rPr>
        <w:t>套，电子版的设备操作规程及作业指导书</w:t>
      </w:r>
      <w:r>
        <w:rPr>
          <w:rFonts w:hint="eastAsia"/>
          <w:color w:val="auto"/>
          <w:sz w:val="21"/>
          <w:szCs w:val="21"/>
          <w:highlight w:val="none"/>
          <w:lang w:eastAsia="zh-CN"/>
        </w:rPr>
        <w:t>。设备验收合格，在结算前投标人需提供设备竣工档案4套（招投标文件、中标通知书、评标报告、合同、技术协议、验收纪要、验收报告、产品合格证等）及电子U盘2套。</w:t>
      </w:r>
    </w:p>
    <w:p>
      <w:pPr>
        <w:pageBreakBefore w:val="0"/>
        <w:widowControl w:val="0"/>
        <w:tabs>
          <w:tab w:val="left" w:pos="525"/>
        </w:tabs>
        <w:kinsoku/>
        <w:wordWrap/>
        <w:overflowPunct/>
        <w:topLinePunct w:val="0"/>
        <w:autoSpaceDE/>
        <w:autoSpaceDN/>
        <w:bidi w:val="0"/>
        <w:adjustRightInd w:val="0"/>
        <w:snapToGrid w:val="0"/>
        <w:spacing w:line="360" w:lineRule="auto"/>
        <w:textAlignment w:val="auto"/>
        <w:rPr>
          <w:rFonts w:hint="eastAsia"/>
          <w:color w:val="auto"/>
          <w:sz w:val="21"/>
          <w:szCs w:val="21"/>
          <w:highlight w:val="none"/>
        </w:rPr>
      </w:pPr>
      <w:r>
        <w:rPr>
          <w:rFonts w:hint="eastAsia"/>
          <w:color w:val="auto"/>
          <w:sz w:val="21"/>
          <w:szCs w:val="21"/>
          <w:highlight w:val="none"/>
        </w:rPr>
        <w:t>5.1.1《配件图册》的内容不仅要涵盖投标方制造厂生产的零部件，而且要涵盖外购零部件，外购总成件的资料，投标方应全部提供给招标方。《配件图册》中设备上所有的总成件应有详尽的可拆分零件简图，件号；外购主要零部件应列出品牌、型号、原厂配件号、原厂定货号、厂家名称等信息。</w:t>
      </w:r>
    </w:p>
    <w:p>
      <w:pPr>
        <w:pageBreakBefore w:val="0"/>
        <w:widowControl w:val="0"/>
        <w:tabs>
          <w:tab w:val="left" w:pos="525"/>
        </w:tabs>
        <w:kinsoku/>
        <w:wordWrap/>
        <w:overflowPunct/>
        <w:topLinePunct w:val="0"/>
        <w:autoSpaceDE/>
        <w:autoSpaceDN/>
        <w:bidi w:val="0"/>
        <w:adjustRightInd w:val="0"/>
        <w:snapToGrid w:val="0"/>
        <w:spacing w:line="360" w:lineRule="auto"/>
        <w:textAlignment w:val="auto"/>
        <w:rPr>
          <w:rFonts w:hint="eastAsia"/>
          <w:color w:val="auto"/>
          <w:sz w:val="21"/>
          <w:szCs w:val="21"/>
          <w:highlight w:val="none"/>
        </w:rPr>
      </w:pPr>
      <w:r>
        <w:rPr>
          <w:rFonts w:hint="eastAsia"/>
          <w:color w:val="auto"/>
          <w:sz w:val="21"/>
          <w:szCs w:val="21"/>
          <w:highlight w:val="none"/>
        </w:rPr>
        <w:t xml:space="preserve">5.1.2《保养维修手册》中要求详列有关检修方法及技术标准；详列设备的日常点检、安全注意事项。 </w:t>
      </w:r>
    </w:p>
    <w:p>
      <w:pPr>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1"/>
          <w:szCs w:val="21"/>
        </w:rPr>
      </w:pPr>
      <w:r>
        <w:rPr>
          <w:rFonts w:hint="eastAsia"/>
          <w:color w:val="auto"/>
          <w:sz w:val="21"/>
          <w:szCs w:val="21"/>
          <w:highlight w:val="none"/>
        </w:rPr>
        <w:t>5.2投标方必须交付全新的、完整的、与提供设备相符的、招标方认可的技术资料和图纸（包括纸质版本与电子版本）。对于缺失损坏、不符合要求的技术资料和图纸，投标方在30日内，补齐、更换。投标方将1套电子版文件，分别存储于U盘中与纸质版本一并交付。招标方出于培训目的，有权复制交付的技术资料和图纸。</w:t>
      </w:r>
    </w:p>
    <w:p>
      <w:pPr>
        <w:pageBreakBefore w:val="0"/>
        <w:widowControl w:val="0"/>
        <w:tabs>
          <w:tab w:val="left" w:pos="900"/>
        </w:tabs>
        <w:kinsoku/>
        <w:wordWrap/>
        <w:overflowPunct/>
        <w:topLinePunct w:val="0"/>
        <w:autoSpaceDE/>
        <w:autoSpaceDN/>
        <w:bidi w:val="0"/>
        <w:adjustRightInd w:val="0"/>
        <w:snapToGrid w:val="0"/>
        <w:spacing w:line="360" w:lineRule="auto"/>
        <w:textAlignment w:val="auto"/>
        <w:rPr>
          <w:rFonts w:hint="eastAsia" w:ascii="宋体" w:hAnsi="宋体" w:eastAsia="宋体" w:cs="宋体"/>
          <w:b/>
          <w:bCs w:val="0"/>
          <w:color w:val="auto"/>
          <w:sz w:val="21"/>
          <w:szCs w:val="21"/>
        </w:rPr>
      </w:pPr>
      <w:r>
        <w:rPr>
          <w:rFonts w:hint="eastAsia" w:ascii="宋体" w:hAnsi="宋体" w:eastAsia="宋体" w:cs="宋体"/>
          <w:b/>
          <w:bCs w:val="0"/>
          <w:color w:val="auto"/>
          <w:sz w:val="21"/>
          <w:szCs w:val="21"/>
        </w:rPr>
        <w:t>6.技术服务及培训</w:t>
      </w:r>
    </w:p>
    <w:p>
      <w:pPr>
        <w:pageBreakBefore w:val="0"/>
        <w:widowControl w:val="0"/>
        <w:tabs>
          <w:tab w:val="left" w:pos="900"/>
        </w:tabs>
        <w:kinsoku/>
        <w:wordWrap/>
        <w:overflowPunct/>
        <w:topLinePunct w:val="0"/>
        <w:autoSpaceDE/>
        <w:autoSpaceDN/>
        <w:bidi w:val="0"/>
        <w:adjustRightInd w:val="0"/>
        <w:snapToGrid w:val="0"/>
        <w:spacing w:line="360" w:lineRule="auto"/>
        <w:textAlignment w:val="auto"/>
        <w:rPr>
          <w:rFonts w:hint="eastAsia" w:ascii="宋体" w:hAnsi="宋体" w:eastAsia="宋体" w:cs="宋体"/>
          <w:bCs/>
          <w:color w:val="auto"/>
          <w:sz w:val="21"/>
          <w:szCs w:val="21"/>
        </w:rPr>
      </w:pPr>
      <w:bookmarkStart w:id="0" w:name="_Toc469982821"/>
      <w:r>
        <w:rPr>
          <w:rFonts w:hint="eastAsia" w:ascii="宋体" w:hAnsi="宋体" w:eastAsia="宋体" w:cs="宋体"/>
          <w:bCs/>
          <w:color w:val="auto"/>
          <w:sz w:val="21"/>
          <w:szCs w:val="21"/>
        </w:rPr>
        <w:t>6.1技术服务</w:t>
      </w:r>
      <w:bookmarkEnd w:id="0"/>
    </w:p>
    <w:p>
      <w:pPr>
        <w:pageBreakBefore w:val="0"/>
        <w:widowControl w:val="0"/>
        <w:tabs>
          <w:tab w:val="left" w:pos="525"/>
        </w:tabs>
        <w:kinsoku/>
        <w:wordWrap/>
        <w:overflowPunct/>
        <w:topLinePunct w:val="0"/>
        <w:autoSpaceDE/>
        <w:autoSpaceDN/>
        <w:bidi w:val="0"/>
        <w:adjustRightInd w:val="0"/>
        <w:snapToGrid w:val="0"/>
        <w:spacing w:line="360" w:lineRule="auto"/>
        <w:textAlignment w:val="auto"/>
        <w:rPr>
          <w:rFonts w:hint="eastAsia" w:ascii="宋体" w:hAnsi="宋体" w:eastAsia="宋体" w:cs="宋体"/>
          <w:bCs/>
          <w:color w:val="auto"/>
          <w:sz w:val="21"/>
          <w:szCs w:val="21"/>
        </w:rPr>
      </w:pPr>
      <w:r>
        <w:rPr>
          <w:rFonts w:hint="eastAsia" w:ascii="宋体" w:hAnsi="宋体" w:eastAsia="宋体" w:cs="宋体"/>
          <w:bCs/>
          <w:color w:val="auto"/>
          <w:sz w:val="21"/>
          <w:szCs w:val="21"/>
        </w:rPr>
        <w:tab/>
      </w:r>
      <w:r>
        <w:rPr>
          <w:rFonts w:hint="eastAsia" w:ascii="宋体" w:hAnsi="宋体" w:eastAsia="宋体" w:cs="宋体"/>
          <w:bCs/>
          <w:color w:val="auto"/>
          <w:sz w:val="21"/>
          <w:szCs w:val="21"/>
        </w:rPr>
        <w:t>在设备组装、调试、试运转以及整机质量保证内。投标方应派遣必要数量的有资格、有经验、有技术、健康、能胜任工作的技术人员到招标方现场从事技术服务工作，在正确安装维修、故障排除及操作使用等方面为招标方提供技术上的帮助和支持，以保证设备投入。</w:t>
      </w:r>
    </w:p>
    <w:p>
      <w:pPr>
        <w:pageBreakBefore w:val="0"/>
        <w:widowControl w:val="0"/>
        <w:tabs>
          <w:tab w:val="left" w:pos="900"/>
        </w:tabs>
        <w:kinsoku/>
        <w:wordWrap/>
        <w:overflowPunct/>
        <w:topLinePunct w:val="0"/>
        <w:autoSpaceDE/>
        <w:autoSpaceDN/>
        <w:bidi w:val="0"/>
        <w:adjustRightInd w:val="0"/>
        <w:snapToGrid w:val="0"/>
        <w:spacing w:line="360" w:lineRule="auto"/>
        <w:textAlignment w:val="auto"/>
        <w:rPr>
          <w:rFonts w:hint="eastAsia" w:ascii="宋体" w:hAnsi="宋体" w:eastAsia="宋体" w:cs="宋体"/>
          <w:bCs/>
          <w:color w:val="auto"/>
          <w:sz w:val="21"/>
          <w:szCs w:val="21"/>
        </w:rPr>
      </w:pPr>
      <w:bookmarkStart w:id="1" w:name="_Toc469982822"/>
      <w:r>
        <w:rPr>
          <w:rFonts w:hint="eastAsia" w:ascii="宋体" w:hAnsi="宋体" w:eastAsia="宋体" w:cs="宋体"/>
          <w:bCs/>
          <w:color w:val="auto"/>
          <w:sz w:val="21"/>
          <w:szCs w:val="21"/>
        </w:rPr>
        <w:t>6.2技术培训</w:t>
      </w:r>
      <w:bookmarkEnd w:id="1"/>
    </w:p>
    <w:p>
      <w:pPr>
        <w:pageBreakBefore w:val="0"/>
        <w:widowControl w:val="0"/>
        <w:tabs>
          <w:tab w:val="left" w:pos="1000"/>
        </w:tabs>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bCs/>
          <w:color w:val="auto"/>
          <w:sz w:val="21"/>
          <w:szCs w:val="21"/>
        </w:rPr>
      </w:pPr>
      <w:r>
        <w:rPr>
          <w:rFonts w:hint="eastAsia" w:ascii="宋体" w:hAnsi="宋体" w:eastAsia="宋体" w:cs="宋体"/>
          <w:bCs/>
          <w:color w:val="auto"/>
          <w:sz w:val="21"/>
          <w:szCs w:val="21"/>
        </w:rPr>
        <w:t>购货合同生效后投标方在技术服务期间要为招标方人员进行10人次不少于7日的免费现场技术培训和厂家技术培训。</w:t>
      </w:r>
    </w:p>
    <w:p>
      <w:pPr>
        <w:pageBreakBefore w:val="0"/>
        <w:widowControl w:val="0"/>
        <w:tabs>
          <w:tab w:val="left" w:pos="900"/>
        </w:tabs>
        <w:kinsoku/>
        <w:wordWrap/>
        <w:overflowPunct/>
        <w:topLinePunct w:val="0"/>
        <w:autoSpaceDE/>
        <w:autoSpaceDN/>
        <w:bidi w:val="0"/>
        <w:adjustRightInd w:val="0"/>
        <w:snapToGrid w:val="0"/>
        <w:spacing w:line="360" w:lineRule="auto"/>
        <w:textAlignment w:val="auto"/>
        <w:rPr>
          <w:rFonts w:hint="eastAsia" w:ascii="宋体" w:hAnsi="宋体" w:eastAsia="宋体" w:cs="宋体"/>
          <w:b/>
          <w:bCs w:val="0"/>
          <w:color w:val="auto"/>
          <w:sz w:val="21"/>
          <w:szCs w:val="21"/>
        </w:rPr>
      </w:pPr>
      <w:r>
        <w:rPr>
          <w:rFonts w:hint="eastAsia" w:ascii="宋体" w:hAnsi="宋体" w:eastAsia="宋体" w:cs="宋体"/>
          <w:b/>
          <w:bCs w:val="0"/>
          <w:color w:val="auto"/>
          <w:sz w:val="21"/>
          <w:szCs w:val="21"/>
        </w:rPr>
        <w:t>7.安装调试及考核验收</w:t>
      </w:r>
    </w:p>
    <w:p>
      <w:pPr>
        <w:pageBreakBefore w:val="0"/>
        <w:widowControl w:val="0"/>
        <w:tabs>
          <w:tab w:val="left" w:pos="900"/>
        </w:tabs>
        <w:kinsoku/>
        <w:wordWrap/>
        <w:overflowPunct/>
        <w:topLinePunct w:val="0"/>
        <w:autoSpaceDE/>
        <w:autoSpaceDN/>
        <w:bidi w:val="0"/>
        <w:adjustRightInd w:val="0"/>
        <w:snapToGrid w:val="0"/>
        <w:spacing w:line="360" w:lineRule="auto"/>
        <w:textAlignment w:val="auto"/>
        <w:rPr>
          <w:rFonts w:hint="eastAsia" w:ascii="宋体" w:hAnsi="宋体" w:eastAsia="宋体" w:cs="宋体"/>
          <w:bCs/>
          <w:color w:val="auto"/>
          <w:sz w:val="21"/>
          <w:szCs w:val="21"/>
        </w:rPr>
      </w:pPr>
      <w:r>
        <w:rPr>
          <w:rFonts w:hint="eastAsia" w:ascii="宋体" w:hAnsi="宋体" w:eastAsia="宋体" w:cs="宋体"/>
          <w:bCs/>
          <w:color w:val="auto"/>
          <w:sz w:val="21"/>
          <w:szCs w:val="21"/>
        </w:rPr>
        <w:t>7.1安装调试</w:t>
      </w:r>
    </w:p>
    <w:p>
      <w:pPr>
        <w:pageBreakBefore w:val="0"/>
        <w:widowControl w:val="0"/>
        <w:tabs>
          <w:tab w:val="left" w:pos="900"/>
        </w:tabs>
        <w:kinsoku/>
        <w:wordWrap/>
        <w:overflowPunct/>
        <w:topLinePunct w:val="0"/>
        <w:autoSpaceDE/>
        <w:autoSpaceDN/>
        <w:bidi w:val="0"/>
        <w:adjustRightInd w:val="0"/>
        <w:snapToGrid w:val="0"/>
        <w:spacing w:line="360" w:lineRule="auto"/>
        <w:textAlignment w:val="auto"/>
        <w:rPr>
          <w:rFonts w:hint="eastAsia" w:ascii="宋体" w:hAnsi="宋体" w:eastAsia="宋体" w:cs="宋体"/>
          <w:bCs/>
          <w:color w:val="auto"/>
          <w:sz w:val="21"/>
          <w:szCs w:val="21"/>
        </w:rPr>
      </w:pPr>
      <w:r>
        <w:rPr>
          <w:rFonts w:hint="eastAsia" w:ascii="宋体" w:hAnsi="宋体" w:eastAsia="宋体" w:cs="宋体"/>
          <w:bCs/>
          <w:color w:val="auto"/>
          <w:sz w:val="21"/>
          <w:szCs w:val="21"/>
        </w:rPr>
        <w:t>*7.1.1设备安装、调试全部由投标方负责，</w:t>
      </w:r>
      <w:r>
        <w:rPr>
          <w:rFonts w:hint="eastAsia" w:ascii="宋体" w:hAnsi="宋体" w:eastAsia="宋体" w:cs="宋体"/>
          <w:bCs/>
          <w:color w:val="auto"/>
          <w:sz w:val="21"/>
          <w:szCs w:val="21"/>
          <w:lang w:eastAsia="zh-CN"/>
        </w:rPr>
        <w:t>设备到货后</w:t>
      </w:r>
      <w:r>
        <w:rPr>
          <w:rFonts w:hint="eastAsia" w:ascii="宋体" w:hAnsi="宋体" w:eastAsia="宋体" w:cs="宋体"/>
          <w:bCs/>
          <w:color w:val="auto"/>
          <w:sz w:val="21"/>
          <w:szCs w:val="21"/>
          <w:lang w:val="en-US" w:eastAsia="zh-CN"/>
        </w:rPr>
        <w:t>2个月内完成安装，</w:t>
      </w:r>
      <w:r>
        <w:rPr>
          <w:rFonts w:hint="eastAsia" w:ascii="宋体" w:hAnsi="宋体" w:eastAsia="宋体" w:cs="宋体"/>
          <w:bCs/>
          <w:color w:val="auto"/>
          <w:sz w:val="21"/>
          <w:szCs w:val="21"/>
        </w:rPr>
        <w:t>设备运行48小时内出现的故障由投标方负责。</w:t>
      </w:r>
    </w:p>
    <w:p>
      <w:pPr>
        <w:pageBreakBefore w:val="0"/>
        <w:widowControl w:val="0"/>
        <w:tabs>
          <w:tab w:val="left" w:pos="900"/>
        </w:tabs>
        <w:kinsoku/>
        <w:wordWrap/>
        <w:overflowPunct/>
        <w:topLinePunct w:val="0"/>
        <w:autoSpaceDE/>
        <w:autoSpaceDN/>
        <w:bidi w:val="0"/>
        <w:adjustRightInd w:val="0"/>
        <w:snapToGrid w:val="0"/>
        <w:spacing w:line="360" w:lineRule="auto"/>
        <w:textAlignment w:val="auto"/>
        <w:rPr>
          <w:rFonts w:hint="eastAsia" w:ascii="宋体" w:hAnsi="宋体" w:eastAsia="宋体" w:cs="宋体"/>
          <w:bCs/>
          <w:color w:val="auto"/>
          <w:sz w:val="21"/>
          <w:szCs w:val="21"/>
        </w:rPr>
      </w:pPr>
      <w:r>
        <w:rPr>
          <w:rFonts w:hint="eastAsia" w:ascii="宋体" w:hAnsi="宋体" w:eastAsia="宋体" w:cs="宋体"/>
          <w:bCs/>
          <w:color w:val="auto"/>
          <w:sz w:val="21"/>
          <w:szCs w:val="21"/>
        </w:rPr>
        <w:t>7.1.2设备调试完成后，进行试运行，试运行由招标方操作人员在投标方技术人员的密切、具体指导下进行。</w:t>
      </w:r>
    </w:p>
    <w:p>
      <w:pPr>
        <w:pageBreakBefore w:val="0"/>
        <w:widowControl w:val="0"/>
        <w:numPr>
          <w:ilvl w:val="0"/>
          <w:numId w:val="0"/>
        </w:numPr>
        <w:kinsoku/>
        <w:wordWrap/>
        <w:overflowPunct/>
        <w:topLinePunct w:val="0"/>
        <w:autoSpaceDE/>
        <w:autoSpaceDN/>
        <w:bidi w:val="0"/>
        <w:adjustRightInd w:val="0"/>
        <w:snapToGrid w:val="0"/>
        <w:spacing w:line="360" w:lineRule="auto"/>
        <w:ind w:leftChars="0"/>
        <w:textAlignment w:val="auto"/>
        <w:rPr>
          <w:rFonts w:hint="eastAsia" w:ascii="宋体" w:hAnsi="宋体" w:cs="宋体"/>
          <w:bCs/>
          <w:color w:val="auto"/>
          <w:sz w:val="21"/>
          <w:szCs w:val="21"/>
          <w:highlight w:val="yellow"/>
        </w:rPr>
      </w:pPr>
      <w:r>
        <w:rPr>
          <w:rFonts w:hint="eastAsia" w:ascii="宋体" w:hAnsi="宋体" w:cs="宋体"/>
          <w:bCs/>
          <w:color w:val="auto"/>
          <w:sz w:val="21"/>
          <w:szCs w:val="21"/>
        </w:rPr>
        <w:t>*7.1.3</w:t>
      </w:r>
      <w:r>
        <w:rPr>
          <w:rFonts w:hint="eastAsia" w:ascii="宋体" w:hAnsi="宋体" w:cs="宋体"/>
          <w:color w:val="auto"/>
          <w:sz w:val="21"/>
          <w:szCs w:val="21"/>
        </w:rPr>
        <w:t>投标方负责光电缆的接入、铺设以及布线、装饰等相关事宜。</w:t>
      </w:r>
    </w:p>
    <w:p>
      <w:pPr>
        <w:pageBreakBefore w:val="0"/>
        <w:widowControl w:val="0"/>
        <w:tabs>
          <w:tab w:val="left" w:pos="900"/>
        </w:tabs>
        <w:kinsoku/>
        <w:wordWrap/>
        <w:overflowPunct/>
        <w:topLinePunct w:val="0"/>
        <w:autoSpaceDE/>
        <w:autoSpaceDN/>
        <w:bidi w:val="0"/>
        <w:adjustRightInd w:val="0"/>
        <w:snapToGrid w:val="0"/>
        <w:spacing w:line="360" w:lineRule="auto"/>
        <w:textAlignment w:val="auto"/>
        <w:rPr>
          <w:rFonts w:hint="eastAsia" w:ascii="宋体" w:hAnsi="宋体" w:eastAsia="宋体" w:cs="宋体"/>
          <w:bCs/>
          <w:color w:val="auto"/>
          <w:sz w:val="21"/>
          <w:szCs w:val="21"/>
        </w:rPr>
      </w:pPr>
      <w:r>
        <w:rPr>
          <w:rFonts w:hint="eastAsia" w:ascii="宋体" w:hAnsi="宋体" w:eastAsia="宋体" w:cs="宋体"/>
          <w:bCs/>
          <w:color w:val="auto"/>
          <w:sz w:val="21"/>
          <w:szCs w:val="21"/>
        </w:rPr>
        <w:t>7.2设备考核</w:t>
      </w:r>
    </w:p>
    <w:p>
      <w:pPr>
        <w:pageBreakBefore w:val="0"/>
        <w:widowControl w:val="0"/>
        <w:tabs>
          <w:tab w:val="left" w:pos="900"/>
        </w:tabs>
        <w:kinsoku/>
        <w:wordWrap/>
        <w:overflowPunct/>
        <w:topLinePunct w:val="0"/>
        <w:autoSpaceDE/>
        <w:autoSpaceDN/>
        <w:bidi w:val="0"/>
        <w:adjustRightInd w:val="0"/>
        <w:snapToGrid w:val="0"/>
        <w:spacing w:line="360" w:lineRule="auto"/>
        <w:textAlignment w:val="auto"/>
        <w:rPr>
          <w:rFonts w:hint="eastAsia" w:ascii="宋体" w:hAnsi="宋体" w:eastAsia="宋体" w:cs="宋体"/>
          <w:bCs/>
          <w:color w:val="auto"/>
          <w:sz w:val="21"/>
          <w:szCs w:val="21"/>
        </w:rPr>
      </w:pPr>
      <w:r>
        <w:rPr>
          <w:rFonts w:hint="eastAsia" w:ascii="宋体" w:hAnsi="宋体" w:eastAsia="宋体" w:cs="宋体"/>
          <w:bCs/>
          <w:color w:val="auto"/>
          <w:sz w:val="21"/>
          <w:szCs w:val="21"/>
        </w:rPr>
        <w:t>7.2.1设备考核期为1个月，设备发生影响行车的故障由投标方承担责任。</w:t>
      </w:r>
    </w:p>
    <w:p>
      <w:pPr>
        <w:pageBreakBefore w:val="0"/>
        <w:widowControl w:val="0"/>
        <w:tabs>
          <w:tab w:val="left" w:pos="900"/>
        </w:tabs>
        <w:kinsoku/>
        <w:wordWrap/>
        <w:overflowPunct/>
        <w:topLinePunct w:val="0"/>
        <w:autoSpaceDE/>
        <w:autoSpaceDN/>
        <w:bidi w:val="0"/>
        <w:adjustRightInd w:val="0"/>
        <w:snapToGrid w:val="0"/>
        <w:spacing w:line="360" w:lineRule="auto"/>
        <w:textAlignment w:val="auto"/>
        <w:rPr>
          <w:rFonts w:hint="eastAsia" w:ascii="宋体" w:hAnsi="宋体" w:eastAsia="宋体" w:cs="宋体"/>
          <w:bCs/>
          <w:color w:val="auto"/>
          <w:sz w:val="21"/>
          <w:szCs w:val="21"/>
        </w:rPr>
      </w:pPr>
      <w:r>
        <w:rPr>
          <w:rFonts w:hint="eastAsia" w:ascii="宋体" w:hAnsi="宋体" w:eastAsia="宋体" w:cs="宋体"/>
          <w:bCs/>
          <w:color w:val="auto"/>
          <w:sz w:val="21"/>
          <w:szCs w:val="21"/>
        </w:rPr>
        <w:t>7.2.2设备在首次考核未能通过，再经过更换部件或其他方法处理后，在1个月内仍未达到考核要求，不能通过考核，则视该设备为不合格产品。1个月的期限是从首次考核试运行开始的第一天计算。设备不符合招标文件规定的要求及相关标准和规范的设备同样被视为不合格设备。</w:t>
      </w:r>
    </w:p>
    <w:p>
      <w:pPr>
        <w:pageBreakBefore w:val="0"/>
        <w:widowControl w:val="0"/>
        <w:tabs>
          <w:tab w:val="left" w:pos="900"/>
        </w:tabs>
        <w:kinsoku/>
        <w:wordWrap/>
        <w:overflowPunct/>
        <w:topLinePunct w:val="0"/>
        <w:autoSpaceDE/>
        <w:autoSpaceDN/>
        <w:bidi w:val="0"/>
        <w:adjustRightInd w:val="0"/>
        <w:snapToGrid w:val="0"/>
        <w:spacing w:line="360" w:lineRule="auto"/>
        <w:textAlignment w:val="auto"/>
        <w:rPr>
          <w:rFonts w:hint="eastAsia" w:ascii="宋体" w:hAnsi="宋体" w:eastAsia="宋体" w:cs="宋体"/>
          <w:bCs/>
          <w:color w:val="auto"/>
          <w:sz w:val="21"/>
          <w:szCs w:val="21"/>
        </w:rPr>
      </w:pPr>
      <w:r>
        <w:rPr>
          <w:rFonts w:hint="eastAsia" w:ascii="宋体" w:hAnsi="宋体" w:eastAsia="宋体" w:cs="宋体"/>
          <w:bCs/>
          <w:color w:val="auto"/>
          <w:sz w:val="21"/>
          <w:szCs w:val="21"/>
        </w:rPr>
        <w:t>7.2.3如考核属于不合格设备，不能进行设备验收，投标方无偿更换设备。在双方同意的期限内将新设备运抵招标方现场，由此产生的一切费用由投标方承担。在新设备安装之前，原设备继续由招标方使用。</w:t>
      </w:r>
    </w:p>
    <w:p>
      <w:pPr>
        <w:pageBreakBefore w:val="0"/>
        <w:widowControl w:val="0"/>
        <w:tabs>
          <w:tab w:val="left" w:pos="900"/>
        </w:tabs>
        <w:kinsoku/>
        <w:wordWrap/>
        <w:overflowPunct/>
        <w:topLinePunct w:val="0"/>
        <w:autoSpaceDE/>
        <w:autoSpaceDN/>
        <w:bidi w:val="0"/>
        <w:adjustRightInd w:val="0"/>
        <w:snapToGrid w:val="0"/>
        <w:spacing w:line="360" w:lineRule="auto"/>
        <w:textAlignment w:val="auto"/>
        <w:rPr>
          <w:rFonts w:hint="eastAsia" w:ascii="宋体" w:hAnsi="宋体" w:eastAsia="宋体" w:cs="宋体"/>
          <w:bCs/>
          <w:color w:val="auto"/>
          <w:sz w:val="21"/>
          <w:szCs w:val="21"/>
        </w:rPr>
      </w:pPr>
      <w:r>
        <w:rPr>
          <w:rFonts w:hint="eastAsia" w:ascii="宋体" w:hAnsi="宋体" w:eastAsia="宋体" w:cs="宋体"/>
          <w:bCs/>
          <w:color w:val="auto"/>
          <w:sz w:val="21"/>
          <w:szCs w:val="21"/>
        </w:rPr>
        <w:t>7.3设备验收</w:t>
      </w:r>
    </w:p>
    <w:p>
      <w:pPr>
        <w:pageBreakBefore w:val="0"/>
        <w:widowControl w:val="0"/>
        <w:tabs>
          <w:tab w:val="left" w:pos="900"/>
        </w:tabs>
        <w:kinsoku/>
        <w:wordWrap/>
        <w:overflowPunct/>
        <w:topLinePunct w:val="0"/>
        <w:autoSpaceDE/>
        <w:autoSpaceDN/>
        <w:bidi w:val="0"/>
        <w:adjustRightInd w:val="0"/>
        <w:snapToGrid w:val="0"/>
        <w:spacing w:line="360" w:lineRule="auto"/>
        <w:textAlignment w:val="auto"/>
        <w:rPr>
          <w:rFonts w:hint="eastAsia" w:ascii="宋体" w:hAnsi="宋体" w:eastAsia="宋体" w:cs="宋体"/>
          <w:bCs/>
          <w:color w:val="auto"/>
          <w:sz w:val="21"/>
          <w:szCs w:val="21"/>
        </w:rPr>
      </w:pPr>
      <w:r>
        <w:rPr>
          <w:rFonts w:hint="eastAsia" w:ascii="宋体" w:hAnsi="宋体" w:eastAsia="宋体" w:cs="宋体"/>
          <w:bCs/>
          <w:color w:val="auto"/>
          <w:sz w:val="21"/>
          <w:szCs w:val="21"/>
        </w:rPr>
        <w:t>考核完成后，双方对设备进行验收。验收标准为本规范书所规定的要求和相关标准、规范。</w:t>
      </w:r>
    </w:p>
    <w:p>
      <w:pPr>
        <w:pageBreakBefore w:val="0"/>
        <w:widowControl w:val="0"/>
        <w:tabs>
          <w:tab w:val="left" w:pos="900"/>
        </w:tabs>
        <w:kinsoku/>
        <w:wordWrap/>
        <w:overflowPunct/>
        <w:topLinePunct w:val="0"/>
        <w:autoSpaceDE/>
        <w:autoSpaceDN/>
        <w:bidi w:val="0"/>
        <w:adjustRightInd w:val="0"/>
        <w:snapToGrid w:val="0"/>
        <w:spacing w:line="360" w:lineRule="auto"/>
        <w:textAlignment w:val="auto"/>
        <w:rPr>
          <w:rFonts w:hint="eastAsia" w:ascii="宋体" w:hAnsi="宋体" w:eastAsia="宋体" w:cs="宋体"/>
          <w:b/>
          <w:bCs w:val="0"/>
          <w:color w:val="auto"/>
          <w:sz w:val="21"/>
          <w:szCs w:val="21"/>
        </w:rPr>
      </w:pPr>
      <w:r>
        <w:rPr>
          <w:rFonts w:hint="eastAsia" w:ascii="宋体" w:hAnsi="宋体" w:eastAsia="宋体" w:cs="宋体"/>
          <w:b/>
          <w:bCs w:val="0"/>
          <w:color w:val="auto"/>
          <w:sz w:val="21"/>
          <w:szCs w:val="21"/>
        </w:rPr>
        <w:t>8.质量保证</w:t>
      </w:r>
    </w:p>
    <w:p>
      <w:pPr>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整机质量保证期为24个月。从签订完设备验收报告之日起进入质保期，在质量保证期内，因产品设计或制造质量原因造成的问题，由投标方负责免费维修或更换。</w:t>
      </w:r>
    </w:p>
    <w:p>
      <w:pPr>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color w:val="auto"/>
          <w:sz w:val="21"/>
          <w:szCs w:val="21"/>
        </w:rPr>
      </w:pPr>
      <w:r>
        <w:rPr>
          <w:rFonts w:hint="eastAsia" w:ascii="宋体" w:hAnsi="宋体" w:eastAsia="宋体" w:cs="宋体"/>
          <w:b/>
          <w:bCs/>
          <w:color w:val="auto"/>
          <w:sz w:val="21"/>
          <w:szCs w:val="21"/>
        </w:rPr>
        <w:t>9.售后支持</w:t>
      </w:r>
    </w:p>
    <w:p>
      <w:pPr>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9.1 技术支持</w:t>
      </w:r>
    </w:p>
    <w:p>
      <w:pPr>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投标方质保期满后终身为该设备提供技术支持和维修服务。每季度可定期派人到招标方现场对设备作全面检查，根据检查结果向招标方提出合理的维修建议。当设备出现严重故障时，能保证24小时内到达招标方现场。</w:t>
      </w:r>
    </w:p>
    <w:p>
      <w:pPr>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9.2 配件支持</w:t>
      </w:r>
    </w:p>
    <w:p>
      <w:pPr>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投标方应在设备投入运行后，招标方向投标方正常订购配件时，投标方能给招标方低于中标价采购清单的优惠，并优先供货。如果招标方遇有配件急需时，投标方可采用空运或者专车以最快的速度给予支持。</w:t>
      </w:r>
    </w:p>
    <w:p>
      <w:pPr>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9.3 维修支持</w:t>
      </w:r>
    </w:p>
    <w:p>
      <w:r>
        <w:rPr>
          <w:rFonts w:hint="eastAsia" w:ascii="宋体" w:hAnsi="宋体" w:eastAsia="宋体" w:cs="宋体"/>
          <w:color w:val="auto"/>
          <w:sz w:val="21"/>
          <w:szCs w:val="21"/>
        </w:rPr>
        <w:t>投标方在设备质保期</w:t>
      </w:r>
      <w:r>
        <w:rPr>
          <w:rFonts w:hint="eastAsia" w:ascii="宋体" w:hAnsi="宋体" w:eastAsia="宋体" w:cs="宋体"/>
          <w:color w:val="auto"/>
          <w:sz w:val="21"/>
          <w:szCs w:val="21"/>
          <w:highlight w:val="none"/>
        </w:rPr>
        <w:t>满后，投标方在设备维修方面能第一时间响应，及时给招标方提供售后服务支持。对于招标方遇到的紧急故障需要投标方帮助处理时，投标方</w:t>
      </w:r>
      <w:r>
        <w:rPr>
          <w:rFonts w:hint="eastAsia" w:ascii="宋体" w:hAnsi="宋体" w:eastAsia="宋体" w:cs="宋体"/>
          <w:color w:val="auto"/>
          <w:sz w:val="21"/>
          <w:szCs w:val="21"/>
          <w:highlight w:val="none"/>
          <w:lang w:val="en-US" w:eastAsia="zh-CN"/>
        </w:rPr>
        <w:t>在8小时之内</w:t>
      </w:r>
      <w:r>
        <w:rPr>
          <w:rFonts w:hint="eastAsia" w:ascii="宋体" w:hAnsi="宋体" w:eastAsia="宋体" w:cs="宋体"/>
          <w:color w:val="auto"/>
          <w:sz w:val="21"/>
          <w:szCs w:val="21"/>
          <w:highlight w:val="none"/>
        </w:rPr>
        <w:t>给予支持。</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0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428418A"/>
    <w:rsid w:val="642841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1"/>
    <w:pPr>
      <w:keepNext/>
      <w:keepLines/>
      <w:widowControl w:val="0"/>
      <w:spacing w:before="260" w:after="260" w:line="412" w:lineRule="auto"/>
      <w:outlineLvl w:val="1"/>
    </w:pPr>
    <w:rPr>
      <w:rFonts w:ascii="Arial" w:hAnsi="Arial" w:eastAsia="黑体"/>
      <w:b/>
      <w:bCs/>
      <w:sz w:val="32"/>
      <w:szCs w:val="32"/>
    </w:rPr>
  </w:style>
  <w:style w:type="character" w:default="1" w:styleId="5">
    <w:name w:val="Default Paragraph Font"/>
    <w:semiHidden/>
    <w:uiPriority w:val="0"/>
  </w:style>
  <w:style w:type="table" w:default="1" w:styleId="6">
    <w:name w:val="Normal Table"/>
    <w:semiHidden/>
    <w:uiPriority w:val="0"/>
    <w:tblPr>
      <w:tblLayout w:type="fixed"/>
      <w:tblCellMar>
        <w:top w:w="0" w:type="dxa"/>
        <w:left w:w="108" w:type="dxa"/>
        <w:bottom w:w="0" w:type="dxa"/>
        <w:right w:w="108" w:type="dxa"/>
      </w:tblCellMar>
    </w:tblPr>
  </w:style>
  <w:style w:type="paragraph" w:styleId="3">
    <w:name w:val="annotation subject"/>
    <w:basedOn w:val="4"/>
    <w:next w:val="4"/>
    <w:qFormat/>
    <w:uiPriority w:val="0"/>
    <w:pPr>
      <w:adjustRightInd/>
      <w:spacing w:line="240" w:lineRule="auto"/>
      <w:textAlignment w:val="auto"/>
    </w:pPr>
    <w:rPr>
      <w:b/>
      <w:bCs/>
      <w:kern w:val="2"/>
      <w:sz w:val="21"/>
      <w:szCs w:val="24"/>
    </w:rPr>
  </w:style>
  <w:style w:type="paragraph" w:styleId="4">
    <w:name w:val="annotation text"/>
    <w:basedOn w:val="1"/>
    <w:next w:val="3"/>
    <w:qFormat/>
    <w:uiPriority w:val="0"/>
    <w:pPr>
      <w:adjustRightInd w:val="0"/>
      <w:spacing w:line="360" w:lineRule="atLeast"/>
      <w:jc w:val="left"/>
      <w:textAlignment w:val="baseline"/>
    </w:pPr>
    <w:rPr>
      <w:kern w:val="0"/>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中国神华国际广场有限公司</Company>
  <Pages>1</Pages>
  <Words>0</Words>
  <Characters>0</Characters>
  <Lines>0</Lines>
  <Paragraphs>0</Paragraphs>
  <TotalTime>0</TotalTime>
  <ScaleCrop>false</ScaleCrop>
  <LinksUpToDate>false</LinksUpToDate>
  <CharactersWithSpaces>0</CharactersWithSpaces>
  <Application>WPS Office_10.8.2.6784_F1E327BC-269C-435d-A152-05C5408002CA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2019-07-19T02:41:00Z</dcterms:created>
  <dc:creator>Administrator</dc:creator>
  <cp:lastModifiedBy>Administrator</cp:lastModifiedBy>
  <dcterms:modified xsi:type="dcterms:W3CDTF">2019-07-19T02:42:12Z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2052-10.8.2.6784</vt:lpwstr>
  </property>
</Properties>
</file>