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b/>
          <w:bCs/>
          <w:w w:val="90"/>
          <w:sz w:val="21"/>
          <w:szCs w:val="21"/>
        </w:rPr>
      </w:pPr>
    </w:p>
    <w:p>
      <w:pPr>
        <w:pStyle w:val="3"/>
        <w:adjustRightInd w:val="0"/>
        <w:snapToGrid w:val="0"/>
        <w:spacing w:before="0" w:after="0" w:line="360" w:lineRule="auto"/>
        <w:jc w:val="center"/>
        <w:rPr>
          <w:rFonts w:hint="eastAsia" w:ascii="宋体" w:hAnsi="宋体" w:eastAsia="宋体" w:cs="宋体"/>
          <w:bCs/>
          <w:color w:val="auto"/>
          <w:sz w:val="21"/>
          <w:szCs w:val="21"/>
          <w:lang w:val="en-US" w:eastAsia="zh-CN"/>
        </w:rPr>
      </w:pPr>
      <w:r>
        <w:rPr>
          <w:rFonts w:hint="eastAsia" w:ascii="宋体"/>
          <w:b/>
          <w:bCs/>
          <w:sz w:val="21"/>
          <w:szCs w:val="21"/>
        </w:rPr>
        <w:t xml:space="preserve"> </w:t>
      </w:r>
      <w:bookmarkStart w:id="8" w:name="_GoBack"/>
      <w:bookmarkStart w:id="0" w:name="_Toc7660"/>
      <w:r>
        <w:rPr>
          <w:rFonts w:hint="eastAsia" w:ascii="宋体" w:hAnsi="宋体" w:cs="宋体"/>
          <w:color w:val="auto"/>
          <w:sz w:val="21"/>
          <w:szCs w:val="21"/>
          <w:lang w:val="en-US" w:eastAsia="zh-CN"/>
        </w:rPr>
        <w:t>不断轨自动轨道衡</w:t>
      </w:r>
      <w:r>
        <w:rPr>
          <w:rFonts w:hint="eastAsia" w:ascii="宋体" w:hAnsi="宋体" w:cs="宋体"/>
          <w:color w:val="auto"/>
          <w:sz w:val="21"/>
          <w:szCs w:val="21"/>
        </w:rPr>
        <w:t>招标技术</w:t>
      </w:r>
      <w:r>
        <w:rPr>
          <w:rFonts w:hint="eastAsia" w:ascii="宋体" w:hAnsi="宋体" w:cs="宋体"/>
          <w:color w:val="auto"/>
          <w:sz w:val="21"/>
          <w:szCs w:val="21"/>
          <w:lang w:eastAsia="zh-CN"/>
        </w:rPr>
        <w:t>要求</w:t>
      </w:r>
      <w:bookmarkEnd w:id="8"/>
      <w:bookmarkEnd w:id="0"/>
    </w:p>
    <w:p>
      <w:pPr>
        <w:spacing w:line="360" w:lineRule="auto"/>
        <w:rPr>
          <w:rFonts w:hint="eastAsia" w:ascii="宋体" w:hAnsi="宋体" w:cs="宋体"/>
          <w:b/>
          <w:bCs w:val="0"/>
          <w:color w:val="auto"/>
          <w:sz w:val="21"/>
          <w:szCs w:val="21"/>
        </w:rPr>
      </w:pPr>
      <w:r>
        <w:rPr>
          <w:rFonts w:hint="eastAsia" w:ascii="宋体" w:hAnsi="宋体" w:cs="宋体"/>
          <w:b/>
          <w:bCs w:val="0"/>
          <w:color w:val="auto"/>
          <w:sz w:val="21"/>
          <w:szCs w:val="21"/>
        </w:rPr>
        <w:t>1.货物需求</w:t>
      </w:r>
    </w:p>
    <w:p>
      <w:pPr>
        <w:spacing w:line="360" w:lineRule="auto"/>
        <w:rPr>
          <w:rFonts w:hint="eastAsia" w:ascii="宋体" w:hAnsi="宋体" w:cs="宋体"/>
          <w:bCs/>
          <w:color w:val="auto"/>
          <w:sz w:val="21"/>
          <w:szCs w:val="21"/>
        </w:rPr>
      </w:pPr>
      <w:r>
        <w:rPr>
          <w:rFonts w:hint="eastAsia" w:ascii="宋体" w:hAnsi="宋体" w:cs="宋体"/>
          <w:bCs/>
          <w:color w:val="auto"/>
          <w:sz w:val="21"/>
          <w:szCs w:val="21"/>
        </w:rPr>
        <w:t>1.1货物需求一览表</w:t>
      </w:r>
    </w:p>
    <w:tbl>
      <w:tblPr>
        <w:tblStyle w:val="6"/>
        <w:tblpPr w:leftFromText="180" w:rightFromText="180" w:vertAnchor="text" w:horzAnchor="page" w:tblpX="1806" w:tblpY="54"/>
        <w:tblOverlap w:val="never"/>
        <w:tblW w:w="835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37"/>
        <w:gridCol w:w="2443"/>
        <w:gridCol w:w="870"/>
        <w:gridCol w:w="818"/>
        <w:gridCol w:w="34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trPr>
        <w:tc>
          <w:tcPr>
            <w:tcW w:w="737" w:type="dxa"/>
            <w:tcBorders>
              <w:top w:val="single" w:color="000000" w:sz="4" w:space="0"/>
              <w:left w:val="single" w:color="000000" w:sz="4" w:space="0"/>
              <w:bottom w:val="single" w:color="000000" w:sz="4" w:space="0"/>
              <w:right w:val="single" w:color="000000" w:sz="4" w:space="0"/>
            </w:tcBorders>
            <w:vAlign w:val="bottom"/>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cs="宋体"/>
                <w:color w:val="auto"/>
                <w:sz w:val="21"/>
                <w:szCs w:val="21"/>
              </w:rPr>
            </w:pPr>
            <w:r>
              <w:rPr>
                <w:rFonts w:hint="eastAsia" w:ascii="宋体" w:hAnsi="宋体" w:cs="宋体"/>
                <w:color w:val="auto"/>
                <w:sz w:val="21"/>
                <w:szCs w:val="21"/>
              </w:rPr>
              <w:t>序号</w:t>
            </w:r>
          </w:p>
        </w:tc>
        <w:tc>
          <w:tcPr>
            <w:tcW w:w="2443" w:type="dxa"/>
            <w:tcBorders>
              <w:top w:val="single" w:color="000000" w:sz="4" w:space="0"/>
              <w:left w:val="single" w:color="000000" w:sz="4" w:space="0"/>
              <w:bottom w:val="single" w:color="000000" w:sz="4" w:space="0"/>
              <w:right w:val="single" w:color="000000" w:sz="4" w:space="0"/>
            </w:tcBorders>
            <w:vAlign w:val="bottom"/>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cs="宋体"/>
                <w:color w:val="auto"/>
                <w:sz w:val="21"/>
                <w:szCs w:val="21"/>
              </w:rPr>
            </w:pPr>
            <w:r>
              <w:rPr>
                <w:rFonts w:hint="eastAsia" w:ascii="宋体" w:hAnsi="宋体" w:cs="宋体"/>
                <w:color w:val="auto"/>
                <w:sz w:val="21"/>
                <w:szCs w:val="21"/>
              </w:rPr>
              <w:t>货物名称</w:t>
            </w:r>
          </w:p>
        </w:tc>
        <w:tc>
          <w:tcPr>
            <w:tcW w:w="870" w:type="dxa"/>
            <w:tcBorders>
              <w:top w:val="single" w:color="000000" w:sz="4" w:space="0"/>
              <w:left w:val="single" w:color="000000" w:sz="4" w:space="0"/>
              <w:bottom w:val="single" w:color="000000" w:sz="4" w:space="0"/>
              <w:right w:val="single" w:color="000000" w:sz="4" w:space="0"/>
            </w:tcBorders>
            <w:vAlign w:val="bottom"/>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cs="宋体"/>
                <w:color w:val="auto"/>
                <w:sz w:val="21"/>
                <w:szCs w:val="21"/>
              </w:rPr>
            </w:pPr>
            <w:r>
              <w:rPr>
                <w:rFonts w:hint="eastAsia" w:ascii="宋体" w:hAnsi="宋体" w:cs="宋体"/>
                <w:color w:val="auto"/>
                <w:sz w:val="21"/>
                <w:szCs w:val="21"/>
              </w:rPr>
              <w:t>单位</w:t>
            </w:r>
          </w:p>
        </w:tc>
        <w:tc>
          <w:tcPr>
            <w:tcW w:w="818" w:type="dxa"/>
            <w:tcBorders>
              <w:top w:val="single" w:color="000000" w:sz="4" w:space="0"/>
              <w:left w:val="single" w:color="000000" w:sz="4" w:space="0"/>
              <w:bottom w:val="single" w:color="000000" w:sz="4" w:space="0"/>
              <w:right w:val="single" w:color="000000" w:sz="4" w:space="0"/>
            </w:tcBorders>
            <w:vAlign w:val="bottom"/>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cs="宋体"/>
                <w:color w:val="auto"/>
                <w:sz w:val="21"/>
                <w:szCs w:val="21"/>
              </w:rPr>
            </w:pPr>
            <w:r>
              <w:rPr>
                <w:rFonts w:hint="eastAsia" w:ascii="宋体" w:hAnsi="宋体" w:cs="宋体"/>
                <w:color w:val="auto"/>
                <w:sz w:val="21"/>
                <w:szCs w:val="21"/>
              </w:rPr>
              <w:t>数量</w:t>
            </w:r>
          </w:p>
        </w:tc>
        <w:tc>
          <w:tcPr>
            <w:tcW w:w="3491" w:type="dxa"/>
            <w:tcBorders>
              <w:top w:val="single" w:color="000000" w:sz="4" w:space="0"/>
              <w:left w:val="single" w:color="000000" w:sz="4" w:space="0"/>
              <w:bottom w:val="single" w:color="000000" w:sz="4" w:space="0"/>
              <w:right w:val="single" w:color="000000" w:sz="4" w:space="0"/>
            </w:tcBorders>
            <w:vAlign w:val="bottom"/>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cs="宋体"/>
                <w:color w:val="auto"/>
                <w:sz w:val="21"/>
                <w:szCs w:val="21"/>
              </w:rPr>
            </w:pPr>
            <w:r>
              <w:rPr>
                <w:rFonts w:hint="eastAsia" w:ascii="宋体" w:hAnsi="宋体" w:cs="宋体"/>
                <w:color w:val="auto"/>
                <w:sz w:val="21"/>
                <w:szCs w:val="21"/>
              </w:rPr>
              <w:t>交货期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trPr>
        <w:tc>
          <w:tcPr>
            <w:tcW w:w="737" w:type="dxa"/>
            <w:tcBorders>
              <w:top w:val="single" w:color="000000" w:sz="4" w:space="0"/>
              <w:left w:val="single" w:color="000000" w:sz="4" w:space="0"/>
              <w:bottom w:val="single" w:color="000000" w:sz="4" w:space="0"/>
              <w:right w:val="single" w:color="000000" w:sz="4" w:space="0"/>
            </w:tcBorders>
            <w:vAlign w:val="bottom"/>
          </w:tcPr>
          <w:p>
            <w:pPr>
              <w:adjustRightInd w:val="0"/>
              <w:snapToGrid w:val="0"/>
              <w:spacing w:line="360" w:lineRule="auto"/>
              <w:jc w:val="center"/>
              <w:rPr>
                <w:rFonts w:hint="eastAsia" w:ascii="宋体" w:hAnsi="宋体" w:cs="宋体"/>
                <w:color w:val="auto"/>
                <w:sz w:val="21"/>
                <w:szCs w:val="21"/>
              </w:rPr>
            </w:pPr>
            <w:r>
              <w:rPr>
                <w:rFonts w:hint="eastAsia" w:ascii="宋体" w:hAnsi="宋体" w:cs="宋体"/>
                <w:color w:val="auto"/>
                <w:sz w:val="21"/>
                <w:szCs w:val="21"/>
              </w:rPr>
              <w:t>1</w:t>
            </w:r>
          </w:p>
        </w:tc>
        <w:tc>
          <w:tcPr>
            <w:tcW w:w="2443" w:type="dxa"/>
            <w:tcBorders>
              <w:top w:val="single" w:color="000000" w:sz="4" w:space="0"/>
              <w:left w:val="single" w:color="000000" w:sz="4" w:space="0"/>
              <w:bottom w:val="single" w:color="000000" w:sz="4" w:space="0"/>
              <w:right w:val="single" w:color="000000" w:sz="4" w:space="0"/>
            </w:tcBorders>
            <w:vAlign w:val="bottom"/>
          </w:tcPr>
          <w:p>
            <w:pPr>
              <w:adjustRightInd w:val="0"/>
              <w:snapToGrid w:val="0"/>
              <w:spacing w:line="360" w:lineRule="auto"/>
              <w:jc w:val="center"/>
              <w:rPr>
                <w:rFonts w:hint="eastAsia" w:ascii="宋体" w:hAnsi="宋体" w:cs="宋体"/>
                <w:color w:val="auto"/>
                <w:sz w:val="21"/>
                <w:szCs w:val="21"/>
                <w:shd w:val="clear" w:color="auto" w:fill="auto"/>
              </w:rPr>
            </w:pPr>
            <w:r>
              <w:rPr>
                <w:rFonts w:hint="eastAsia" w:ascii="宋体" w:hAnsi="宋体" w:cs="宋体"/>
                <w:color w:val="auto"/>
                <w:sz w:val="21"/>
                <w:szCs w:val="21"/>
                <w:shd w:val="clear" w:color="auto" w:fill="auto"/>
              </w:rPr>
              <w:t>不断轨自动轨道衡</w:t>
            </w:r>
          </w:p>
        </w:tc>
        <w:tc>
          <w:tcPr>
            <w:tcW w:w="870" w:type="dxa"/>
            <w:tcBorders>
              <w:top w:val="single" w:color="000000" w:sz="4" w:space="0"/>
              <w:left w:val="single" w:color="000000" w:sz="4" w:space="0"/>
              <w:bottom w:val="single" w:color="000000" w:sz="4" w:space="0"/>
              <w:right w:val="single" w:color="000000" w:sz="4" w:space="0"/>
            </w:tcBorders>
            <w:vAlign w:val="bottom"/>
          </w:tcPr>
          <w:p>
            <w:pPr>
              <w:adjustRightInd w:val="0"/>
              <w:snapToGrid w:val="0"/>
              <w:spacing w:line="360" w:lineRule="auto"/>
              <w:jc w:val="center"/>
              <w:rPr>
                <w:rFonts w:hint="eastAsia" w:ascii="宋体" w:hAnsi="宋体" w:eastAsia="宋体" w:cs="宋体"/>
                <w:color w:val="auto"/>
                <w:sz w:val="21"/>
                <w:szCs w:val="21"/>
                <w:shd w:val="clear" w:color="auto" w:fill="auto"/>
                <w:lang w:eastAsia="zh-CN"/>
              </w:rPr>
            </w:pPr>
            <w:r>
              <w:rPr>
                <w:rFonts w:hint="eastAsia" w:ascii="宋体" w:hAnsi="宋体" w:cs="宋体"/>
                <w:color w:val="auto"/>
                <w:sz w:val="21"/>
                <w:szCs w:val="21"/>
                <w:shd w:val="clear" w:color="auto" w:fill="auto"/>
                <w:lang w:eastAsia="zh-CN"/>
              </w:rPr>
              <w:t>套</w:t>
            </w:r>
          </w:p>
        </w:tc>
        <w:tc>
          <w:tcPr>
            <w:tcW w:w="818" w:type="dxa"/>
            <w:tcBorders>
              <w:top w:val="single" w:color="000000" w:sz="4" w:space="0"/>
              <w:left w:val="single" w:color="000000" w:sz="4" w:space="0"/>
              <w:bottom w:val="single" w:color="000000" w:sz="4" w:space="0"/>
              <w:right w:val="single" w:color="000000" w:sz="4" w:space="0"/>
            </w:tcBorders>
            <w:vAlign w:val="bottom"/>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color w:val="auto"/>
                <w:sz w:val="21"/>
                <w:szCs w:val="21"/>
                <w:shd w:val="clear" w:color="auto" w:fill="auto"/>
                <w:lang w:val="en-US" w:eastAsia="zh-CN"/>
              </w:rPr>
            </w:pPr>
            <w:r>
              <w:rPr>
                <w:rFonts w:hint="eastAsia" w:ascii="宋体" w:hAnsi="宋体" w:cs="宋体"/>
                <w:color w:val="auto"/>
                <w:sz w:val="21"/>
                <w:szCs w:val="21"/>
                <w:shd w:val="clear" w:color="auto" w:fill="auto"/>
                <w:lang w:val="en-US" w:eastAsia="zh-CN"/>
              </w:rPr>
              <w:t>2</w:t>
            </w:r>
          </w:p>
        </w:tc>
        <w:tc>
          <w:tcPr>
            <w:tcW w:w="3491" w:type="dxa"/>
            <w:tcBorders>
              <w:top w:val="single" w:color="000000" w:sz="4" w:space="0"/>
              <w:left w:val="single" w:color="000000" w:sz="4" w:space="0"/>
              <w:bottom w:val="single" w:color="000000" w:sz="4" w:space="0"/>
              <w:right w:val="single" w:color="000000" w:sz="4" w:space="0"/>
            </w:tcBorders>
            <w:vAlign w:val="bottom"/>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color w:val="auto"/>
                <w:sz w:val="21"/>
                <w:szCs w:val="21"/>
                <w:shd w:val="clear" w:color="auto" w:fill="auto"/>
                <w:lang w:eastAsia="zh-CN"/>
              </w:rPr>
            </w:pPr>
            <w:r>
              <w:rPr>
                <w:rFonts w:hint="eastAsia" w:ascii="宋体" w:hAnsi="宋体" w:eastAsia="宋体" w:cs="宋体"/>
                <w:color w:val="auto"/>
                <w:sz w:val="21"/>
                <w:szCs w:val="21"/>
              </w:rPr>
              <w:t>自合同生效起</w:t>
            </w:r>
            <w:r>
              <w:rPr>
                <w:rFonts w:hint="eastAsia" w:ascii="宋体" w:hAnsi="宋体" w:eastAsia="宋体" w:cs="宋体"/>
                <w:color w:val="auto"/>
                <w:sz w:val="21"/>
                <w:szCs w:val="21"/>
                <w:highlight w:val="none"/>
              </w:rPr>
              <w:t>2个月</w:t>
            </w:r>
            <w:r>
              <w:rPr>
                <w:rFonts w:hint="eastAsia" w:ascii="宋体" w:hAnsi="宋体" w:eastAsia="宋体" w:cs="宋体"/>
                <w:color w:val="auto"/>
                <w:sz w:val="21"/>
                <w:szCs w:val="21"/>
                <w:highlight w:val="none"/>
                <w:lang w:eastAsia="zh-CN"/>
              </w:rPr>
              <w:t>内</w:t>
            </w:r>
          </w:p>
        </w:tc>
      </w:tr>
    </w:tbl>
    <w:p>
      <w:pPr>
        <w:spacing w:line="360" w:lineRule="auto"/>
        <w:rPr>
          <w:rStyle w:val="5"/>
          <w:rFonts w:hint="eastAsia" w:ascii="宋体" w:hAnsi="宋体" w:cs="宋体"/>
          <w:color w:val="auto"/>
          <w:sz w:val="21"/>
          <w:szCs w:val="21"/>
        </w:rPr>
      </w:pPr>
      <w:r>
        <w:rPr>
          <w:rFonts w:hint="eastAsia" w:ascii="宋体" w:hAnsi="宋体" w:cs="宋体"/>
          <w:bCs/>
          <w:color w:val="auto"/>
          <w:sz w:val="21"/>
          <w:szCs w:val="21"/>
        </w:rPr>
        <w:t>1.2交货地点：</w:t>
      </w:r>
      <w:r>
        <w:rPr>
          <w:rFonts w:hint="eastAsia" w:ascii="宋体" w:cs="新宋体"/>
          <w:color w:val="auto"/>
          <w:sz w:val="21"/>
          <w:szCs w:val="21"/>
        </w:rPr>
        <w:t>神华准能大准铁路公司薛家湾站、丹洲营站</w:t>
      </w:r>
      <w:r>
        <w:rPr>
          <w:rFonts w:hint="eastAsia" w:ascii="宋体" w:cs="新宋体"/>
          <w:bCs/>
          <w:color w:val="auto"/>
          <w:sz w:val="21"/>
          <w:szCs w:val="21"/>
        </w:rPr>
        <w:t>。</w:t>
      </w:r>
    </w:p>
    <w:p>
      <w:pPr>
        <w:spacing w:line="360" w:lineRule="auto"/>
        <w:rPr>
          <w:rFonts w:hint="eastAsia" w:ascii="宋体" w:hAnsi="宋体" w:cs="宋体"/>
          <w:b/>
          <w:bCs w:val="0"/>
          <w:color w:val="auto"/>
          <w:sz w:val="21"/>
          <w:szCs w:val="21"/>
        </w:rPr>
      </w:pPr>
      <w:r>
        <w:rPr>
          <w:rFonts w:hint="eastAsia" w:ascii="宋体" w:hAnsi="宋体" w:cs="宋体"/>
          <w:b/>
          <w:bCs w:val="0"/>
          <w:color w:val="auto"/>
          <w:sz w:val="21"/>
          <w:szCs w:val="21"/>
        </w:rPr>
        <w:t>2.设备规格及使用条件</w:t>
      </w:r>
    </w:p>
    <w:p>
      <w:pPr>
        <w:spacing w:line="360" w:lineRule="auto"/>
        <w:rPr>
          <w:rFonts w:hint="eastAsia" w:ascii="宋体" w:hAnsi="宋体" w:cs="宋体"/>
          <w:b/>
          <w:bCs w:val="0"/>
          <w:color w:val="auto"/>
          <w:sz w:val="21"/>
          <w:szCs w:val="21"/>
        </w:rPr>
      </w:pPr>
      <w:r>
        <w:rPr>
          <w:rFonts w:hint="eastAsia" w:ascii="宋体" w:hAnsi="宋体" w:cs="宋体"/>
          <w:b/>
          <w:bCs w:val="0"/>
          <w:color w:val="auto"/>
          <w:sz w:val="21"/>
          <w:szCs w:val="21"/>
        </w:rPr>
        <w:t>2.1设备名称及型号</w:t>
      </w:r>
    </w:p>
    <w:p>
      <w:pPr>
        <w:spacing w:line="360" w:lineRule="auto"/>
        <w:rPr>
          <w:rFonts w:hint="eastAsia" w:ascii="宋体" w:hAnsi="宋体" w:cs="宋体"/>
          <w:bCs/>
          <w:color w:val="auto"/>
          <w:sz w:val="21"/>
          <w:szCs w:val="21"/>
        </w:rPr>
      </w:pPr>
      <w:r>
        <w:rPr>
          <w:rFonts w:hint="eastAsia" w:ascii="宋体" w:hAnsi="宋体" w:cs="宋体"/>
          <w:bCs/>
          <w:color w:val="auto"/>
          <w:sz w:val="21"/>
          <w:szCs w:val="21"/>
        </w:rPr>
        <w:t>2.1.1设备名称：</w:t>
      </w:r>
      <w:r>
        <w:rPr>
          <w:rFonts w:hint="eastAsia" w:ascii="宋体" w:hAnsi="宋体" w:cs="宋体"/>
          <w:bCs/>
          <w:color w:val="auto"/>
          <w:sz w:val="21"/>
          <w:szCs w:val="21"/>
          <w:lang w:eastAsia="zh-CN"/>
        </w:rPr>
        <w:t>不断轨自动轨道衡</w:t>
      </w:r>
    </w:p>
    <w:p>
      <w:pPr>
        <w:spacing w:line="360" w:lineRule="auto"/>
        <w:rPr>
          <w:rFonts w:hint="eastAsia" w:ascii="宋体" w:hAnsi="宋体" w:cs="宋体"/>
          <w:bCs/>
          <w:color w:val="auto"/>
          <w:sz w:val="21"/>
          <w:szCs w:val="21"/>
        </w:rPr>
      </w:pPr>
      <w:r>
        <w:rPr>
          <w:rFonts w:hint="eastAsia" w:ascii="宋体" w:hAnsi="宋体" w:cs="宋体"/>
          <w:bCs/>
          <w:color w:val="auto"/>
          <w:sz w:val="21"/>
          <w:szCs w:val="21"/>
        </w:rPr>
        <w:t>2.1.2生产厂家及型号：</w:t>
      </w:r>
    </w:p>
    <w:p>
      <w:pPr>
        <w:spacing w:line="360" w:lineRule="auto"/>
        <w:rPr>
          <w:rFonts w:hint="eastAsia" w:ascii="宋体" w:hAnsi="宋体" w:cs="宋体"/>
          <w:b/>
          <w:bCs w:val="0"/>
          <w:color w:val="auto"/>
          <w:sz w:val="21"/>
          <w:szCs w:val="21"/>
        </w:rPr>
      </w:pPr>
      <w:r>
        <w:rPr>
          <w:rFonts w:hint="eastAsia" w:ascii="宋体" w:hAnsi="宋体" w:cs="宋体"/>
          <w:b/>
          <w:bCs w:val="0"/>
          <w:color w:val="auto"/>
          <w:sz w:val="21"/>
          <w:szCs w:val="21"/>
        </w:rPr>
        <w:t>2.2气候条件及工作环境</w:t>
      </w:r>
    </w:p>
    <w:p>
      <w:pPr>
        <w:tabs>
          <w:tab w:val="left" w:pos="425"/>
          <w:tab w:val="left" w:pos="1080"/>
        </w:tabs>
        <w:spacing w:line="360" w:lineRule="auto"/>
        <w:ind w:firstLine="420" w:firstLineChars="200"/>
        <w:rPr>
          <w:rFonts w:hint="eastAsia" w:ascii="宋体" w:hAnsi="宋体" w:cs="宋体"/>
          <w:color w:val="auto"/>
          <w:sz w:val="21"/>
          <w:szCs w:val="21"/>
        </w:rPr>
      </w:pPr>
      <w:r>
        <w:rPr>
          <w:rFonts w:hint="eastAsia" w:ascii="宋体" w:hAnsi="宋体" w:cs="宋体"/>
          <w:bCs/>
          <w:color w:val="auto"/>
          <w:sz w:val="21"/>
          <w:szCs w:val="21"/>
        </w:rPr>
        <w:t>年平均温度</w:t>
      </w:r>
      <w:r>
        <w:rPr>
          <w:rFonts w:hint="eastAsia" w:ascii="宋体" w:hAnsi="宋体" w:cs="宋体"/>
          <w:bCs/>
          <w:color w:val="auto"/>
          <w:sz w:val="21"/>
          <w:szCs w:val="21"/>
          <w:u w:val="single"/>
        </w:rPr>
        <w:t>5.3～7.6℃</w:t>
      </w:r>
      <w:r>
        <w:rPr>
          <w:rFonts w:hint="eastAsia" w:ascii="宋体" w:hAnsi="宋体" w:cs="宋体"/>
          <w:bCs/>
          <w:color w:val="auto"/>
          <w:sz w:val="21"/>
          <w:szCs w:val="21"/>
        </w:rPr>
        <w:t>；最高气温达</w:t>
      </w:r>
      <w:r>
        <w:rPr>
          <w:rFonts w:hint="eastAsia" w:ascii="宋体" w:hAnsi="宋体" w:cs="宋体"/>
          <w:bCs/>
          <w:color w:val="auto"/>
          <w:sz w:val="21"/>
          <w:szCs w:val="21"/>
          <w:u w:val="single"/>
        </w:rPr>
        <w:t>39.4℃</w:t>
      </w:r>
      <w:r>
        <w:rPr>
          <w:rFonts w:hint="eastAsia" w:ascii="宋体" w:hAnsi="宋体" w:cs="宋体"/>
          <w:bCs/>
          <w:color w:val="auto"/>
          <w:sz w:val="21"/>
          <w:szCs w:val="21"/>
        </w:rPr>
        <w:t>，最低气温为</w:t>
      </w:r>
      <w:r>
        <w:rPr>
          <w:rFonts w:hint="eastAsia" w:ascii="宋体" w:hAnsi="宋体" w:cs="宋体"/>
          <w:bCs/>
          <w:color w:val="auto"/>
          <w:sz w:val="21"/>
          <w:szCs w:val="21"/>
          <w:u w:val="single"/>
        </w:rPr>
        <w:t>-34℃</w:t>
      </w:r>
      <w:r>
        <w:rPr>
          <w:rFonts w:hint="eastAsia" w:ascii="宋体" w:hAnsi="宋体" w:cs="宋体"/>
          <w:bCs/>
          <w:color w:val="auto"/>
          <w:sz w:val="21"/>
          <w:szCs w:val="21"/>
        </w:rPr>
        <w:t>；年降水量为</w:t>
      </w:r>
      <w:r>
        <w:rPr>
          <w:rFonts w:hint="eastAsia" w:ascii="宋体" w:hAnsi="宋体" w:cs="宋体"/>
          <w:bCs/>
          <w:color w:val="auto"/>
          <w:sz w:val="21"/>
          <w:szCs w:val="21"/>
          <w:u w:val="single"/>
        </w:rPr>
        <w:t>231～459.5mm</w:t>
      </w:r>
      <w:r>
        <w:rPr>
          <w:rFonts w:hint="eastAsia" w:ascii="宋体" w:hAnsi="宋体" w:cs="宋体"/>
          <w:bCs/>
          <w:color w:val="auto"/>
          <w:sz w:val="21"/>
          <w:szCs w:val="21"/>
        </w:rPr>
        <w:t>；年蒸发量为</w:t>
      </w:r>
      <w:r>
        <w:rPr>
          <w:rFonts w:hint="eastAsia" w:ascii="宋体" w:hAnsi="宋体" w:cs="宋体"/>
          <w:bCs/>
          <w:color w:val="auto"/>
          <w:sz w:val="21"/>
          <w:szCs w:val="21"/>
          <w:u w:val="single"/>
        </w:rPr>
        <w:t>1824.7～2896.1mm</w:t>
      </w:r>
      <w:r>
        <w:rPr>
          <w:rFonts w:hint="eastAsia" w:ascii="宋体" w:hAnsi="宋体" w:cs="宋体"/>
          <w:bCs/>
          <w:color w:val="auto"/>
          <w:sz w:val="21"/>
          <w:szCs w:val="21"/>
        </w:rPr>
        <w:t>；海拔高度为</w:t>
      </w:r>
      <w:r>
        <w:rPr>
          <w:rFonts w:hint="eastAsia" w:ascii="宋体" w:hAnsi="宋体" w:cs="宋体"/>
          <w:bCs/>
          <w:color w:val="auto"/>
          <w:sz w:val="21"/>
          <w:szCs w:val="21"/>
          <w:u w:val="single"/>
        </w:rPr>
        <w:t>1300m</w:t>
      </w:r>
      <w:r>
        <w:rPr>
          <w:rFonts w:hint="eastAsia" w:ascii="宋体" w:hAnsi="宋体" w:cs="宋体"/>
          <w:bCs/>
          <w:color w:val="auto"/>
          <w:sz w:val="21"/>
          <w:szCs w:val="21"/>
        </w:rPr>
        <w:t>；该地区的地震等级为</w:t>
      </w:r>
      <w:r>
        <w:rPr>
          <w:rFonts w:hint="eastAsia" w:ascii="宋体" w:hAnsi="宋体" w:cs="宋体"/>
          <w:bCs/>
          <w:color w:val="auto"/>
          <w:sz w:val="21"/>
          <w:szCs w:val="21"/>
          <w:u w:val="single"/>
        </w:rPr>
        <w:t>7级</w:t>
      </w:r>
      <w:r>
        <w:rPr>
          <w:rFonts w:hint="eastAsia" w:ascii="宋体" w:hAnsi="宋体" w:cs="宋体"/>
          <w:bCs/>
          <w:color w:val="auto"/>
          <w:sz w:val="21"/>
          <w:szCs w:val="21"/>
        </w:rPr>
        <w:t xml:space="preserve">；空气最大相对湿度：当地平均相对湿度 </w:t>
      </w:r>
      <w:r>
        <w:rPr>
          <w:rFonts w:hint="eastAsia" w:ascii="宋体" w:hAnsi="宋体" w:cs="宋体"/>
          <w:bCs/>
          <w:color w:val="auto"/>
          <w:sz w:val="21"/>
          <w:szCs w:val="21"/>
          <w:u w:val="single"/>
        </w:rPr>
        <w:t>54%</w:t>
      </w:r>
      <w:r>
        <w:rPr>
          <w:rFonts w:hint="eastAsia" w:ascii="宋体" w:hAnsi="宋体" w:cs="宋体"/>
          <w:bCs/>
          <w:color w:val="auto"/>
          <w:sz w:val="21"/>
          <w:szCs w:val="21"/>
        </w:rPr>
        <w:t>，在﹢25℃时相对湿度不大于90%；</w:t>
      </w:r>
      <w:r>
        <w:rPr>
          <w:rFonts w:hint="eastAsia" w:ascii="宋体" w:hAnsi="宋体" w:cs="宋体"/>
          <w:color w:val="auto"/>
          <w:sz w:val="21"/>
          <w:szCs w:val="21"/>
          <w:lang w:val="zh-CN"/>
        </w:rPr>
        <w:t>工作场所灰尘、煤尘大，露天作业。</w:t>
      </w:r>
      <w:r>
        <w:rPr>
          <w:rFonts w:hint="eastAsia" w:ascii="宋体" w:hAnsi="宋体" w:cs="宋体"/>
          <w:bCs/>
          <w:color w:val="auto"/>
          <w:sz w:val="21"/>
          <w:szCs w:val="21"/>
        </w:rPr>
        <w:t>投标方提供的设备保证能在上述气候条件及环境下正常运行。</w:t>
      </w:r>
    </w:p>
    <w:p>
      <w:pPr>
        <w:spacing w:line="360" w:lineRule="auto"/>
        <w:rPr>
          <w:rFonts w:hint="eastAsia" w:ascii="宋体" w:hAnsi="宋体" w:cs="宋体"/>
          <w:b/>
          <w:bCs w:val="0"/>
          <w:color w:val="auto"/>
          <w:sz w:val="21"/>
          <w:szCs w:val="21"/>
        </w:rPr>
      </w:pPr>
      <w:r>
        <w:rPr>
          <w:rFonts w:hint="eastAsia" w:ascii="宋体" w:hAnsi="宋体" w:cs="宋体"/>
          <w:b/>
          <w:bCs w:val="0"/>
          <w:color w:val="auto"/>
          <w:sz w:val="21"/>
          <w:szCs w:val="21"/>
        </w:rPr>
        <w:t>2.3供电电源条件</w:t>
      </w:r>
    </w:p>
    <w:p>
      <w:pPr>
        <w:spacing w:line="360" w:lineRule="auto"/>
        <w:ind w:firstLine="420" w:firstLineChars="200"/>
        <w:rPr>
          <w:rFonts w:hint="eastAsia" w:ascii="宋体" w:hAnsi="宋体" w:cs="宋体"/>
          <w:color w:val="auto"/>
          <w:sz w:val="21"/>
          <w:szCs w:val="21"/>
          <w:highlight w:val="none"/>
          <w:lang w:val="zh-CN"/>
        </w:rPr>
      </w:pPr>
      <w:r>
        <w:rPr>
          <w:rFonts w:hint="eastAsia" w:ascii="宋体" w:hAnsi="宋体" w:cs="宋体"/>
          <w:color w:val="auto"/>
          <w:sz w:val="21"/>
          <w:szCs w:val="21"/>
          <w:highlight w:val="none"/>
          <w:lang w:val="zh-CN"/>
        </w:rPr>
        <w:t>招标方提供</w:t>
      </w:r>
      <w:r>
        <w:rPr>
          <w:rFonts w:hint="eastAsia" w:ascii="宋体" w:hAnsi="宋体" w:cs="宋体"/>
          <w:color w:val="auto"/>
          <w:sz w:val="21"/>
          <w:szCs w:val="21"/>
          <w:highlight w:val="none"/>
          <w:u w:val="single"/>
          <w:lang w:val="zh-CN"/>
        </w:rPr>
        <w:t>AC 220V</w:t>
      </w:r>
      <w:r>
        <w:rPr>
          <w:rFonts w:hint="eastAsia" w:ascii="宋体" w:hAnsi="宋体" w:cs="宋体"/>
          <w:color w:val="auto"/>
          <w:sz w:val="21"/>
          <w:szCs w:val="21"/>
          <w:highlight w:val="none"/>
          <w:lang w:val="zh-CN"/>
        </w:rPr>
        <w:t>电源，</w:t>
      </w:r>
      <w:r>
        <w:rPr>
          <w:rFonts w:hint="eastAsia" w:ascii="宋体" w:hAnsi="宋体" w:cs="宋体"/>
          <w:bCs/>
          <w:color w:val="auto"/>
          <w:sz w:val="21"/>
          <w:szCs w:val="21"/>
          <w:highlight w:val="none"/>
        </w:rPr>
        <w:t>电压变化范围</w:t>
      </w:r>
      <w:r>
        <w:rPr>
          <w:rFonts w:hint="eastAsia" w:ascii="宋体" w:hAnsi="宋体" w:cs="宋体"/>
          <w:bCs/>
          <w:color w:val="auto"/>
          <w:sz w:val="21"/>
          <w:szCs w:val="21"/>
          <w:highlight w:val="none"/>
          <w:u w:val="single"/>
        </w:rPr>
        <w:t>-15%～+10%</w:t>
      </w:r>
      <w:r>
        <w:rPr>
          <w:rFonts w:hint="eastAsia" w:ascii="宋体" w:hAnsi="宋体" w:cs="宋体"/>
          <w:bCs/>
          <w:color w:val="auto"/>
          <w:sz w:val="21"/>
          <w:szCs w:val="21"/>
          <w:highlight w:val="none"/>
        </w:rPr>
        <w:t>，频率变化范围</w:t>
      </w:r>
      <w:r>
        <w:rPr>
          <w:rFonts w:hint="eastAsia" w:ascii="宋体" w:hAnsi="宋体" w:cs="宋体"/>
          <w:bCs/>
          <w:color w:val="auto"/>
          <w:sz w:val="21"/>
          <w:szCs w:val="21"/>
          <w:highlight w:val="none"/>
          <w:u w:val="single"/>
        </w:rPr>
        <w:t>50HZ±1%</w:t>
      </w:r>
      <w:r>
        <w:rPr>
          <w:rFonts w:hint="eastAsia" w:ascii="宋体" w:hAnsi="宋体" w:cs="宋体"/>
          <w:bCs/>
          <w:color w:val="auto"/>
          <w:sz w:val="21"/>
          <w:szCs w:val="21"/>
          <w:highlight w:val="none"/>
        </w:rPr>
        <w:t>。</w:t>
      </w:r>
      <w:r>
        <w:rPr>
          <w:rFonts w:hint="eastAsia" w:ascii="宋体" w:hAnsi="宋体" w:cs="宋体"/>
          <w:color w:val="auto"/>
          <w:sz w:val="21"/>
          <w:szCs w:val="21"/>
          <w:highlight w:val="none"/>
          <w:lang w:val="zh-CN"/>
        </w:rPr>
        <w:t>投标人保证提供的设备能在上述条件及环境下正常运行。</w:t>
      </w:r>
    </w:p>
    <w:p>
      <w:pPr>
        <w:spacing w:line="360" w:lineRule="auto"/>
        <w:rPr>
          <w:rFonts w:hint="eastAsia" w:ascii="宋体" w:hAnsi="宋体" w:cs="宋体"/>
          <w:bCs/>
          <w:color w:val="auto"/>
          <w:sz w:val="21"/>
          <w:szCs w:val="21"/>
        </w:rPr>
      </w:pPr>
      <w:r>
        <w:rPr>
          <w:rFonts w:hint="eastAsia" w:ascii="宋体" w:hAnsi="宋体" w:cs="宋体"/>
          <w:b/>
          <w:bCs w:val="0"/>
          <w:color w:val="auto"/>
          <w:sz w:val="21"/>
          <w:szCs w:val="21"/>
        </w:rPr>
        <w:t>2.4设备用途：</w:t>
      </w:r>
      <w:r>
        <w:rPr>
          <w:rFonts w:hint="eastAsia" w:ascii="宋体" w:hAnsi="宋体" w:cs="宋体"/>
          <w:bCs/>
          <w:color w:val="auto"/>
          <w:sz w:val="21"/>
          <w:szCs w:val="21"/>
          <w:lang w:eastAsia="zh-CN"/>
        </w:rPr>
        <w:t>不断轨自动轨道衡</w:t>
      </w:r>
      <w:r>
        <w:rPr>
          <w:rFonts w:hint="eastAsia" w:ascii="宋体" w:hAnsi="宋体" w:cs="宋体"/>
          <w:bCs/>
          <w:color w:val="auto"/>
          <w:sz w:val="21"/>
          <w:szCs w:val="21"/>
        </w:rPr>
        <w:t>安装在大准铁路</w:t>
      </w:r>
      <w:r>
        <w:rPr>
          <w:rFonts w:hint="eastAsia" w:ascii="宋体" w:hAnsi="宋体" w:cs="宋体"/>
          <w:b/>
          <w:bCs w:val="0"/>
          <w:color w:val="auto"/>
          <w:sz w:val="21"/>
          <w:szCs w:val="21"/>
        </w:rPr>
        <w:t>薛家湾站</w:t>
      </w:r>
      <w:r>
        <w:rPr>
          <w:rFonts w:hint="eastAsia" w:ascii="宋体" w:hAnsi="宋体" w:cs="宋体"/>
          <w:bCs/>
          <w:color w:val="auto"/>
          <w:sz w:val="21"/>
          <w:szCs w:val="21"/>
        </w:rPr>
        <w:t>和大准铁路</w:t>
      </w:r>
      <w:r>
        <w:rPr>
          <w:rFonts w:hint="eastAsia" w:ascii="宋体" w:hAnsi="宋体" w:cs="宋体"/>
          <w:b/>
          <w:bCs w:val="0"/>
          <w:color w:val="auto"/>
          <w:sz w:val="21"/>
          <w:szCs w:val="21"/>
        </w:rPr>
        <w:t>丹洲营站</w:t>
      </w:r>
      <w:r>
        <w:rPr>
          <w:rFonts w:hint="eastAsia" w:ascii="宋体" w:hAnsi="宋体" w:cs="宋体"/>
          <w:bCs/>
          <w:color w:val="auto"/>
          <w:sz w:val="21"/>
          <w:szCs w:val="21"/>
        </w:rPr>
        <w:t>，用于重车货物计量称重和超载卡控。现场采用室外机柜存放设备，通过光缆传输分别将检测数据送至薛家湾车站通讯机房和丹洲营车站通讯机房，薛家湾车站和丹洲营车站分别设置查看终端，然后通过大准铁路内网将轨道衡数据传输至大准铁路车务段</w:t>
      </w:r>
      <w:r>
        <w:rPr>
          <w:rFonts w:hint="eastAsia" w:ascii="宋体" w:hAnsi="宋体" w:cs="宋体"/>
          <w:bCs/>
          <w:color w:val="auto"/>
          <w:sz w:val="21"/>
          <w:szCs w:val="21"/>
          <w:lang w:val="en-US" w:eastAsia="zh-CN"/>
        </w:rPr>
        <w:t>和大准公司</w:t>
      </w:r>
      <w:r>
        <w:rPr>
          <w:rFonts w:hint="eastAsia" w:ascii="宋体" w:hAnsi="宋体" w:cs="宋体"/>
          <w:bCs/>
          <w:color w:val="auto"/>
          <w:sz w:val="21"/>
          <w:szCs w:val="21"/>
        </w:rPr>
        <w:t>，</w:t>
      </w:r>
      <w:r>
        <w:rPr>
          <w:rFonts w:hint="eastAsia" w:ascii="宋体" w:hAnsi="宋体" w:cs="宋体"/>
          <w:bCs/>
          <w:color w:val="auto"/>
          <w:sz w:val="21"/>
          <w:szCs w:val="21"/>
          <w:lang w:val="en-US" w:eastAsia="zh-CN"/>
        </w:rPr>
        <w:t>在大准铁路车务段设置查看终端，并在</w:t>
      </w:r>
      <w:r>
        <w:rPr>
          <w:rFonts w:hint="eastAsia" w:ascii="宋体" w:hAnsi="宋体" w:cs="宋体"/>
          <w:b/>
          <w:bCs w:val="0"/>
          <w:color w:val="auto"/>
          <w:sz w:val="21"/>
          <w:szCs w:val="21"/>
          <w:lang w:val="en-US" w:eastAsia="zh-CN"/>
        </w:rPr>
        <w:t>大准公司预留终端接口</w:t>
      </w:r>
      <w:r>
        <w:rPr>
          <w:rFonts w:hint="eastAsia" w:ascii="宋体" w:hAnsi="宋体" w:cs="宋体"/>
          <w:bCs/>
          <w:color w:val="auto"/>
          <w:sz w:val="21"/>
          <w:szCs w:val="21"/>
          <w:lang w:val="en-US" w:eastAsia="zh-CN"/>
        </w:rPr>
        <w:t>。</w:t>
      </w:r>
      <w:r>
        <w:rPr>
          <w:rFonts w:hint="eastAsia" w:ascii="宋体" w:hAnsi="宋体" w:cs="宋体"/>
          <w:bCs/>
          <w:color w:val="auto"/>
          <w:sz w:val="21"/>
          <w:szCs w:val="21"/>
        </w:rPr>
        <w:t>接入车务段既有大屏显示时要考虑与既有设备的软件兼容问题。轨道衡超吨时自带提示功能，发现故障车辆及时进行报警，段调人员通过终端查看，将故障信息及时通知相关车站进行处理。</w:t>
      </w:r>
    </w:p>
    <w:p>
      <w:pPr>
        <w:spacing w:line="360" w:lineRule="auto"/>
        <w:rPr>
          <w:rFonts w:hint="eastAsia" w:ascii="宋体" w:hAnsi="宋体" w:cs="宋体"/>
          <w:b/>
          <w:bCs/>
          <w:color w:val="auto"/>
          <w:sz w:val="21"/>
          <w:szCs w:val="21"/>
        </w:rPr>
      </w:pPr>
      <w:r>
        <w:rPr>
          <w:rFonts w:hint="eastAsia" w:ascii="宋体" w:hAnsi="宋体" w:cs="宋体"/>
          <w:b/>
          <w:bCs/>
          <w:color w:val="auto"/>
          <w:sz w:val="21"/>
          <w:szCs w:val="21"/>
          <w:lang w:val="en-US" w:eastAsia="zh-CN"/>
        </w:rPr>
        <w:t>3.</w:t>
      </w:r>
      <w:r>
        <w:rPr>
          <w:rFonts w:hint="eastAsia" w:ascii="宋体" w:hAnsi="宋体" w:cs="宋体"/>
          <w:b/>
          <w:bCs/>
          <w:color w:val="auto"/>
          <w:sz w:val="21"/>
          <w:szCs w:val="21"/>
        </w:rPr>
        <w:t>技术规格及要求</w:t>
      </w:r>
    </w:p>
    <w:p>
      <w:pPr>
        <w:spacing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3.1技术要求</w:t>
      </w:r>
    </w:p>
    <w:p>
      <w:pPr>
        <w:spacing w:line="360" w:lineRule="auto"/>
        <w:rPr>
          <w:rFonts w:ascii="宋体" w:hAnsi="宋体"/>
          <w:color w:val="auto"/>
          <w:sz w:val="21"/>
          <w:szCs w:val="21"/>
        </w:rPr>
      </w:pPr>
      <w:r>
        <w:rPr>
          <w:rFonts w:hint="eastAsia" w:ascii="宋体" w:hAnsi="宋体" w:cs="宋体"/>
          <w:color w:val="auto"/>
          <w:sz w:val="21"/>
          <w:szCs w:val="21"/>
          <w:lang w:eastAsia="zh-CN"/>
        </w:rPr>
        <w:t>3.1</w:t>
      </w:r>
      <w:r>
        <w:rPr>
          <w:rFonts w:hint="eastAsia" w:ascii="宋体" w:hAnsi="宋体" w:cs="宋体"/>
          <w:color w:val="auto"/>
          <w:sz w:val="21"/>
          <w:szCs w:val="21"/>
        </w:rPr>
        <w:t>.</w:t>
      </w:r>
      <w:r>
        <w:rPr>
          <w:rFonts w:hint="eastAsia" w:ascii="宋体" w:hAnsi="宋体"/>
          <w:color w:val="auto"/>
          <w:sz w:val="21"/>
          <w:szCs w:val="21"/>
          <w:lang w:val="en-US" w:eastAsia="zh-CN"/>
        </w:rPr>
        <w:t>1</w:t>
      </w:r>
      <w:r>
        <w:rPr>
          <w:rFonts w:hint="eastAsia" w:ascii="宋体" w:hAnsi="宋体"/>
          <w:color w:val="auto"/>
          <w:sz w:val="21"/>
          <w:szCs w:val="21"/>
        </w:rPr>
        <w:t>设计线路坡度：≤</w:t>
      </w:r>
      <w:r>
        <w:rPr>
          <w:rFonts w:ascii="宋体" w:hAnsi="宋体"/>
          <w:color w:val="auto"/>
          <w:sz w:val="21"/>
          <w:szCs w:val="21"/>
        </w:rPr>
        <w:t>0.3</w:t>
      </w:r>
      <w:r>
        <w:rPr>
          <w:rFonts w:hint="eastAsia" w:ascii="宋体" w:hAnsi="宋体"/>
          <w:color w:val="auto"/>
          <w:sz w:val="21"/>
          <w:szCs w:val="21"/>
        </w:rPr>
        <w:t xml:space="preserve">%； </w:t>
      </w:r>
    </w:p>
    <w:p>
      <w:pPr>
        <w:spacing w:line="360" w:lineRule="auto"/>
        <w:rPr>
          <w:rFonts w:hint="eastAsia" w:ascii="宋体" w:hAnsi="宋体" w:cs="宋体"/>
          <w:color w:val="auto"/>
          <w:sz w:val="21"/>
          <w:szCs w:val="21"/>
        </w:rPr>
      </w:pPr>
      <w:r>
        <w:rPr>
          <w:rFonts w:hint="eastAsia" w:ascii="宋体" w:hAnsi="宋体" w:cs="宋体"/>
          <w:color w:val="auto"/>
          <w:sz w:val="21"/>
          <w:szCs w:val="21"/>
          <w:lang w:eastAsia="zh-CN"/>
        </w:rPr>
        <w:t>3.1</w:t>
      </w:r>
      <w:r>
        <w:rPr>
          <w:rFonts w:hint="eastAsia" w:ascii="宋体" w:hAnsi="宋体" w:cs="宋体"/>
          <w:color w:val="auto"/>
          <w:sz w:val="21"/>
          <w:szCs w:val="21"/>
        </w:rPr>
        <w:t>.</w:t>
      </w:r>
      <w:r>
        <w:rPr>
          <w:rFonts w:hint="eastAsia" w:ascii="宋体" w:hAnsi="宋体"/>
          <w:color w:val="auto"/>
          <w:sz w:val="21"/>
          <w:szCs w:val="21"/>
          <w:lang w:val="en-US" w:eastAsia="zh-CN"/>
        </w:rPr>
        <w:t>2</w:t>
      </w:r>
      <w:r>
        <w:rPr>
          <w:rFonts w:hint="eastAsia" w:ascii="宋体" w:hAnsi="宋体"/>
          <w:color w:val="auto"/>
          <w:sz w:val="21"/>
          <w:szCs w:val="21"/>
        </w:rPr>
        <w:t>地耐力：≥12</w:t>
      </w:r>
      <w:r>
        <w:rPr>
          <w:rFonts w:ascii="宋体" w:hAnsi="宋体"/>
          <w:color w:val="auto"/>
          <w:sz w:val="21"/>
          <w:szCs w:val="21"/>
        </w:rPr>
        <w:t>t/m</w:t>
      </w:r>
      <w:r>
        <w:rPr>
          <w:rFonts w:hint="eastAsia" w:ascii="宋体" w:hAnsi="宋体"/>
          <w:color w:val="auto"/>
          <w:sz w:val="21"/>
          <w:szCs w:val="21"/>
          <w:vertAlign w:val="superscript"/>
        </w:rPr>
        <w:t xml:space="preserve">2 </w:t>
      </w:r>
      <w:r>
        <w:rPr>
          <w:rFonts w:hint="eastAsia" w:ascii="宋体" w:hAnsi="宋体"/>
          <w:color w:val="auto"/>
          <w:sz w:val="21"/>
          <w:szCs w:val="21"/>
        </w:rPr>
        <w:t>。</w:t>
      </w:r>
    </w:p>
    <w:p>
      <w:pPr>
        <w:spacing w:line="360" w:lineRule="auto"/>
        <w:rPr>
          <w:rFonts w:hint="eastAsia" w:ascii="宋体" w:hAnsi="宋体" w:cs="宋体"/>
          <w:color w:val="auto"/>
          <w:sz w:val="21"/>
          <w:szCs w:val="21"/>
        </w:rPr>
      </w:pPr>
      <w:r>
        <w:rPr>
          <w:rFonts w:hint="eastAsia" w:ascii="宋体" w:hAnsi="宋体" w:cs="宋体"/>
          <w:color w:val="auto"/>
          <w:sz w:val="21"/>
          <w:szCs w:val="21"/>
          <w:lang w:val="en-US" w:eastAsia="zh-CN"/>
        </w:rPr>
        <w:t>*</w:t>
      </w:r>
      <w:r>
        <w:rPr>
          <w:rFonts w:hint="eastAsia" w:ascii="宋体" w:hAnsi="宋体" w:cs="宋体"/>
          <w:color w:val="auto"/>
          <w:sz w:val="21"/>
          <w:szCs w:val="21"/>
          <w:lang w:eastAsia="zh-CN"/>
        </w:rPr>
        <w:t>3.1</w:t>
      </w:r>
      <w:r>
        <w:rPr>
          <w:rFonts w:hint="eastAsia" w:ascii="宋体" w:hAnsi="宋体" w:cs="宋体"/>
          <w:color w:val="auto"/>
          <w:sz w:val="21"/>
          <w:szCs w:val="21"/>
        </w:rPr>
        <w:t>.</w:t>
      </w:r>
      <w:r>
        <w:rPr>
          <w:rFonts w:hint="eastAsia" w:ascii="宋体" w:hAnsi="宋体" w:cs="宋体"/>
          <w:color w:val="auto"/>
          <w:sz w:val="21"/>
          <w:szCs w:val="21"/>
          <w:lang w:val="en-US" w:eastAsia="zh-CN"/>
        </w:rPr>
        <w:t>3</w:t>
      </w:r>
      <w:r>
        <w:rPr>
          <w:rFonts w:hint="eastAsia" w:ascii="宋体" w:hAnsi="宋体" w:cs="宋体"/>
          <w:color w:val="auto"/>
          <w:sz w:val="21"/>
          <w:szCs w:val="21"/>
        </w:rPr>
        <w:t>接口兼容：系统按照《铁路货检安全监控与管理系统设备设施配置要求和接口约定》的通知（运营货管函〔2014〕150号）文件提供接口，可与超偏载检测、预确报、车号等系统集成，从而提供关于每辆车辆的计量数据、对应车号信息等，便于故障处理和工作管理。</w:t>
      </w:r>
    </w:p>
    <w:p>
      <w:pPr>
        <w:spacing w:line="360" w:lineRule="auto"/>
        <w:rPr>
          <w:rFonts w:ascii="宋体" w:hAnsi="宋体"/>
          <w:color w:val="auto"/>
          <w:sz w:val="21"/>
          <w:szCs w:val="21"/>
        </w:rPr>
      </w:pPr>
      <w:r>
        <w:rPr>
          <w:rFonts w:hint="eastAsia" w:ascii="宋体" w:hAnsi="宋体" w:cs="宋体"/>
          <w:color w:val="auto"/>
          <w:sz w:val="21"/>
          <w:szCs w:val="21"/>
          <w:lang w:eastAsia="zh-CN"/>
        </w:rPr>
        <w:t>3.1</w:t>
      </w:r>
      <w:r>
        <w:rPr>
          <w:rFonts w:hint="eastAsia" w:ascii="宋体" w:hAnsi="宋体" w:cs="宋体"/>
          <w:color w:val="auto"/>
          <w:sz w:val="21"/>
          <w:szCs w:val="21"/>
        </w:rPr>
        <w:t>.</w:t>
      </w:r>
      <w:r>
        <w:rPr>
          <w:rFonts w:hint="eastAsia" w:ascii="宋体" w:hAnsi="宋体" w:cs="宋体"/>
          <w:color w:val="auto"/>
          <w:sz w:val="21"/>
          <w:szCs w:val="21"/>
          <w:lang w:val="en-US" w:eastAsia="zh-CN"/>
        </w:rPr>
        <w:t>4</w:t>
      </w:r>
      <w:r>
        <w:rPr>
          <w:rFonts w:hint="eastAsia" w:ascii="宋体" w:hAnsi="宋体"/>
          <w:color w:val="auto"/>
          <w:sz w:val="21"/>
          <w:szCs w:val="21"/>
        </w:rPr>
        <w:t>轨道衡结构形式为不断轨无梁式、无基坑、双向动态自动计量、动力牵引称重节数不限；</w:t>
      </w:r>
    </w:p>
    <w:p>
      <w:pPr>
        <w:spacing w:line="360" w:lineRule="auto"/>
        <w:rPr>
          <w:rFonts w:ascii="宋体" w:hAnsi="宋体"/>
          <w:color w:val="auto"/>
          <w:sz w:val="21"/>
          <w:szCs w:val="21"/>
        </w:rPr>
      </w:pPr>
      <w:r>
        <w:rPr>
          <w:rFonts w:hint="eastAsia" w:ascii="宋体" w:hAnsi="宋体" w:cs="宋体"/>
          <w:color w:val="auto"/>
          <w:sz w:val="21"/>
          <w:szCs w:val="21"/>
          <w:lang w:eastAsia="zh-CN"/>
        </w:rPr>
        <w:t>3.1</w:t>
      </w:r>
      <w:r>
        <w:rPr>
          <w:rFonts w:hint="eastAsia" w:ascii="宋体" w:hAnsi="宋体" w:cs="宋体"/>
          <w:color w:val="auto"/>
          <w:sz w:val="21"/>
          <w:szCs w:val="21"/>
        </w:rPr>
        <w:t>.</w:t>
      </w:r>
      <w:r>
        <w:rPr>
          <w:rFonts w:hint="eastAsia" w:ascii="宋体" w:hAnsi="宋体"/>
          <w:color w:val="auto"/>
          <w:sz w:val="21"/>
          <w:szCs w:val="21"/>
          <w:lang w:val="en-US" w:eastAsia="zh-CN"/>
        </w:rPr>
        <w:t>5</w:t>
      </w:r>
      <w:r>
        <w:rPr>
          <w:rFonts w:hint="eastAsia" w:ascii="宋体" w:hAnsi="宋体"/>
          <w:color w:val="auto"/>
          <w:sz w:val="21"/>
          <w:szCs w:val="21"/>
        </w:rPr>
        <w:t>轨道衡设计合理、技术先进、性能优良、安全可靠，操作性能好，易维修保养，使用寿命长，能使用连续称量作业的要求；</w:t>
      </w:r>
    </w:p>
    <w:p>
      <w:pPr>
        <w:spacing w:line="360" w:lineRule="auto"/>
        <w:rPr>
          <w:rFonts w:ascii="宋体" w:hAnsi="宋体"/>
          <w:color w:val="auto"/>
          <w:sz w:val="21"/>
          <w:szCs w:val="21"/>
        </w:rPr>
      </w:pPr>
      <w:r>
        <w:rPr>
          <w:rFonts w:hint="eastAsia" w:ascii="宋体" w:hAnsi="宋体" w:cs="宋体"/>
          <w:color w:val="auto"/>
          <w:sz w:val="21"/>
          <w:szCs w:val="21"/>
          <w:lang w:val="en-US" w:eastAsia="zh-CN"/>
        </w:rPr>
        <w:t>*</w:t>
      </w:r>
      <w:r>
        <w:rPr>
          <w:rFonts w:hint="eastAsia" w:ascii="宋体" w:hAnsi="宋体" w:cs="宋体"/>
          <w:color w:val="auto"/>
          <w:sz w:val="21"/>
          <w:szCs w:val="21"/>
          <w:lang w:eastAsia="zh-CN"/>
        </w:rPr>
        <w:t>3.1</w:t>
      </w:r>
      <w:r>
        <w:rPr>
          <w:rFonts w:hint="eastAsia" w:ascii="宋体" w:hAnsi="宋体" w:cs="宋体"/>
          <w:color w:val="auto"/>
          <w:sz w:val="21"/>
          <w:szCs w:val="21"/>
        </w:rPr>
        <w:t>.</w:t>
      </w:r>
      <w:r>
        <w:rPr>
          <w:rFonts w:hint="eastAsia" w:ascii="宋体" w:hAnsi="宋体"/>
          <w:color w:val="auto"/>
          <w:sz w:val="21"/>
          <w:szCs w:val="21"/>
          <w:lang w:val="en-US" w:eastAsia="zh-CN"/>
        </w:rPr>
        <w:t>6</w:t>
      </w:r>
      <w:r>
        <w:rPr>
          <w:rFonts w:hint="eastAsia" w:ascii="宋体" w:hAnsi="宋体"/>
          <w:color w:val="auto"/>
          <w:sz w:val="21"/>
          <w:szCs w:val="21"/>
        </w:rPr>
        <w:t>轨道衡具有以下主要特征：</w:t>
      </w:r>
    </w:p>
    <w:p>
      <w:pPr>
        <w:spacing w:line="360" w:lineRule="auto"/>
        <w:rPr>
          <w:rFonts w:ascii="宋体" w:hAnsi="宋体"/>
          <w:color w:val="auto"/>
          <w:sz w:val="21"/>
          <w:szCs w:val="21"/>
        </w:rPr>
      </w:pPr>
      <w:r>
        <w:rPr>
          <w:rFonts w:hint="eastAsia" w:ascii="宋体" w:hAnsi="宋体"/>
          <w:color w:val="auto"/>
          <w:sz w:val="21"/>
          <w:szCs w:val="21"/>
        </w:rPr>
        <w:t>1）属于国家批准生产的标准产品；</w:t>
      </w:r>
    </w:p>
    <w:p>
      <w:pPr>
        <w:spacing w:line="360" w:lineRule="auto"/>
        <w:rPr>
          <w:rFonts w:ascii="宋体" w:hAnsi="宋体"/>
          <w:color w:val="auto"/>
          <w:sz w:val="21"/>
          <w:szCs w:val="21"/>
        </w:rPr>
      </w:pPr>
      <w:r>
        <w:rPr>
          <w:rFonts w:hint="eastAsia" w:ascii="宋体" w:hAnsi="宋体"/>
          <w:color w:val="auto"/>
          <w:sz w:val="21"/>
          <w:szCs w:val="21"/>
        </w:rPr>
        <w:t>2）</w:t>
      </w:r>
      <w:r>
        <w:rPr>
          <w:rFonts w:hint="eastAsia" w:ascii="宋体" w:hAnsi="宋体"/>
          <w:color w:val="auto"/>
          <w:sz w:val="21"/>
          <w:szCs w:val="21"/>
          <w:lang w:eastAsia="zh-CN"/>
        </w:rPr>
        <w:t>投标方</w:t>
      </w:r>
      <w:r>
        <w:rPr>
          <w:rFonts w:hint="eastAsia" w:ascii="宋体" w:hAnsi="宋体"/>
          <w:color w:val="auto"/>
          <w:sz w:val="21"/>
          <w:szCs w:val="21"/>
        </w:rPr>
        <w:t>提供的全套设备均应是近六个月内制造的全新产品；</w:t>
      </w:r>
    </w:p>
    <w:p>
      <w:pPr>
        <w:spacing w:line="360" w:lineRule="auto"/>
        <w:rPr>
          <w:rFonts w:ascii="宋体" w:hAnsi="宋体"/>
          <w:color w:val="auto"/>
          <w:sz w:val="21"/>
          <w:szCs w:val="21"/>
        </w:rPr>
      </w:pPr>
      <w:r>
        <w:rPr>
          <w:rFonts w:hint="eastAsia" w:ascii="宋体" w:hAnsi="宋体"/>
          <w:color w:val="auto"/>
          <w:sz w:val="21"/>
          <w:szCs w:val="21"/>
        </w:rPr>
        <w:t>3）结构牢固，有足够的强度和刚度，能适应重载、超载和冲击载荷；</w:t>
      </w:r>
    </w:p>
    <w:p>
      <w:pPr>
        <w:spacing w:line="360" w:lineRule="auto"/>
        <w:rPr>
          <w:rFonts w:ascii="宋体" w:hAnsi="宋体"/>
          <w:color w:val="auto"/>
          <w:sz w:val="21"/>
          <w:szCs w:val="21"/>
        </w:rPr>
      </w:pPr>
      <w:r>
        <w:rPr>
          <w:rFonts w:hint="eastAsia" w:ascii="宋体" w:hAnsi="宋体"/>
          <w:color w:val="auto"/>
          <w:sz w:val="21"/>
          <w:szCs w:val="21"/>
        </w:rPr>
        <w:t>4）不称量时，不限速；</w:t>
      </w:r>
    </w:p>
    <w:p>
      <w:pPr>
        <w:spacing w:line="360" w:lineRule="auto"/>
        <w:rPr>
          <w:rFonts w:ascii="宋体" w:hAnsi="宋体"/>
          <w:color w:val="auto"/>
          <w:sz w:val="21"/>
          <w:szCs w:val="21"/>
        </w:rPr>
      </w:pPr>
      <w:r>
        <w:rPr>
          <w:rFonts w:hint="eastAsia" w:ascii="宋体" w:hAnsi="宋体"/>
          <w:color w:val="auto"/>
          <w:sz w:val="21"/>
          <w:szCs w:val="21"/>
        </w:rPr>
        <w:t>5）车辆过衡时无冲击现象；</w:t>
      </w:r>
    </w:p>
    <w:p>
      <w:pPr>
        <w:spacing w:line="360" w:lineRule="auto"/>
        <w:rPr>
          <w:rFonts w:ascii="宋体" w:hAnsi="宋体"/>
          <w:color w:val="auto"/>
          <w:sz w:val="21"/>
          <w:szCs w:val="21"/>
        </w:rPr>
      </w:pPr>
      <w:r>
        <w:rPr>
          <w:rFonts w:hint="eastAsia" w:ascii="宋体" w:hAnsi="宋体"/>
          <w:color w:val="auto"/>
          <w:sz w:val="21"/>
          <w:szCs w:val="21"/>
        </w:rPr>
        <w:t>6）台面结构设计长度科学，称量精度高；</w:t>
      </w:r>
    </w:p>
    <w:p>
      <w:pPr>
        <w:spacing w:line="360" w:lineRule="auto"/>
        <w:rPr>
          <w:rFonts w:ascii="宋体" w:hAnsi="宋体"/>
          <w:color w:val="auto"/>
          <w:sz w:val="21"/>
          <w:szCs w:val="21"/>
        </w:rPr>
      </w:pPr>
      <w:r>
        <w:rPr>
          <w:rFonts w:hint="eastAsia" w:ascii="宋体" w:hAnsi="宋体"/>
          <w:color w:val="auto"/>
          <w:sz w:val="21"/>
          <w:szCs w:val="21"/>
        </w:rPr>
        <w:t>7）软、硬件先进且运行可靠，长期稳定；</w:t>
      </w:r>
    </w:p>
    <w:p>
      <w:pPr>
        <w:spacing w:line="360" w:lineRule="auto"/>
        <w:rPr>
          <w:rFonts w:ascii="宋体" w:hAnsi="宋体"/>
          <w:color w:val="auto"/>
          <w:sz w:val="21"/>
          <w:szCs w:val="21"/>
        </w:rPr>
      </w:pPr>
      <w:r>
        <w:rPr>
          <w:rFonts w:hint="eastAsia" w:ascii="宋体" w:hAnsi="宋体"/>
          <w:color w:val="auto"/>
          <w:sz w:val="21"/>
          <w:szCs w:val="21"/>
        </w:rPr>
        <w:t>8）维护量极小；</w:t>
      </w:r>
    </w:p>
    <w:p>
      <w:pPr>
        <w:spacing w:line="360" w:lineRule="auto"/>
        <w:rPr>
          <w:rFonts w:hint="eastAsia" w:ascii="宋体" w:hAnsi="宋体"/>
          <w:color w:val="auto"/>
          <w:sz w:val="21"/>
          <w:szCs w:val="21"/>
        </w:rPr>
      </w:pPr>
      <w:r>
        <w:rPr>
          <w:rFonts w:hint="eastAsia" w:ascii="宋体" w:hAnsi="宋体"/>
          <w:color w:val="auto"/>
          <w:sz w:val="21"/>
          <w:szCs w:val="21"/>
        </w:rPr>
        <w:t>9）正常使用年限≥20年。</w:t>
      </w:r>
    </w:p>
    <w:p>
      <w:pPr>
        <w:spacing w:line="360" w:lineRule="auto"/>
        <w:rPr>
          <w:rFonts w:hint="eastAsia" w:ascii="宋体" w:hAnsi="宋体"/>
          <w:color w:val="auto"/>
          <w:sz w:val="21"/>
          <w:szCs w:val="21"/>
        </w:rPr>
      </w:pPr>
      <w:r>
        <w:rPr>
          <w:rFonts w:hint="eastAsia" w:ascii="宋体" w:hAnsi="宋体" w:cs="宋体"/>
          <w:color w:val="auto"/>
          <w:sz w:val="21"/>
          <w:szCs w:val="21"/>
          <w:lang w:val="en-US" w:eastAsia="zh-CN"/>
        </w:rPr>
        <w:t>3</w:t>
      </w:r>
      <w:r>
        <w:rPr>
          <w:rFonts w:hint="eastAsia" w:ascii="宋体" w:hAnsi="宋体" w:cs="宋体"/>
          <w:color w:val="auto"/>
          <w:sz w:val="21"/>
          <w:szCs w:val="21"/>
        </w:rPr>
        <w:t>.</w:t>
      </w:r>
      <w:r>
        <w:rPr>
          <w:rFonts w:hint="eastAsia" w:ascii="宋体" w:hAnsi="宋体" w:cs="宋体"/>
          <w:color w:val="auto"/>
          <w:sz w:val="21"/>
          <w:szCs w:val="21"/>
          <w:lang w:val="en-US" w:eastAsia="zh-CN"/>
        </w:rPr>
        <w:t>1</w:t>
      </w:r>
      <w:r>
        <w:rPr>
          <w:rFonts w:hint="eastAsia" w:ascii="宋体" w:hAnsi="宋体" w:cs="宋体"/>
          <w:color w:val="auto"/>
          <w:sz w:val="21"/>
          <w:szCs w:val="21"/>
        </w:rPr>
        <w:t>.</w:t>
      </w:r>
      <w:r>
        <w:rPr>
          <w:rFonts w:hint="eastAsia" w:ascii="宋体" w:hAnsi="宋体" w:cs="宋体"/>
          <w:color w:val="auto"/>
          <w:sz w:val="21"/>
          <w:szCs w:val="21"/>
          <w:lang w:val="en-US" w:eastAsia="zh-CN"/>
        </w:rPr>
        <w:t>7应配有车号识别系统，并</w:t>
      </w:r>
      <w:r>
        <w:rPr>
          <w:rFonts w:hint="eastAsia" w:ascii="宋体" w:hAnsi="宋体"/>
          <w:color w:val="auto"/>
          <w:sz w:val="21"/>
          <w:szCs w:val="21"/>
          <w:lang w:val="en-US" w:eastAsia="zh-CN"/>
        </w:rPr>
        <w:t>具</w:t>
      </w:r>
      <w:r>
        <w:rPr>
          <w:rFonts w:hint="eastAsia" w:ascii="宋体" w:hAnsi="宋体"/>
          <w:color w:val="auto"/>
          <w:sz w:val="21"/>
          <w:szCs w:val="21"/>
        </w:rPr>
        <w:t>有</w:t>
      </w:r>
      <w:r>
        <w:rPr>
          <w:rFonts w:hint="eastAsia" w:ascii="宋体" w:hAnsi="宋体"/>
          <w:color w:val="auto"/>
          <w:sz w:val="21"/>
          <w:szCs w:val="21"/>
          <w:lang w:eastAsia="zh-CN"/>
        </w:rPr>
        <w:t>以下功能：</w:t>
      </w:r>
    </w:p>
    <w:p>
      <w:pPr>
        <w:numPr>
          <w:ilvl w:val="0"/>
          <w:numId w:val="0"/>
        </w:numPr>
        <w:spacing w:line="360" w:lineRule="auto"/>
        <w:ind w:left="0" w:leftChars="0" w:firstLine="0" w:firstLineChars="0"/>
        <w:rPr>
          <w:rFonts w:ascii="宋体" w:hAnsi="宋体"/>
          <w:color w:val="auto"/>
          <w:sz w:val="21"/>
          <w:szCs w:val="21"/>
        </w:rPr>
      </w:pPr>
      <w:r>
        <w:rPr>
          <w:rFonts w:hint="eastAsia" w:ascii="宋体" w:hAnsi="宋体"/>
          <w:color w:val="auto"/>
          <w:sz w:val="21"/>
          <w:szCs w:val="21"/>
          <w:lang w:val="en-US" w:eastAsia="zh-CN"/>
        </w:rPr>
        <w:t>1）</w:t>
      </w:r>
      <w:r>
        <w:rPr>
          <w:rFonts w:hint="eastAsia" w:ascii="宋体" w:hAnsi="宋体"/>
          <w:color w:val="auto"/>
          <w:sz w:val="21"/>
          <w:szCs w:val="21"/>
        </w:rPr>
        <w:t>自动识别各种已装标签的机车、车辆、集装箱等；</w:t>
      </w:r>
    </w:p>
    <w:p>
      <w:pPr>
        <w:numPr>
          <w:ilvl w:val="0"/>
          <w:numId w:val="0"/>
        </w:numPr>
        <w:spacing w:line="360" w:lineRule="auto"/>
        <w:ind w:left="0" w:leftChars="0" w:firstLine="0" w:firstLineChars="0"/>
        <w:rPr>
          <w:rFonts w:ascii="宋体" w:hAnsi="宋体"/>
          <w:color w:val="auto"/>
          <w:sz w:val="21"/>
          <w:szCs w:val="21"/>
        </w:rPr>
      </w:pPr>
      <w:r>
        <w:rPr>
          <w:rFonts w:hint="eastAsia" w:ascii="宋体" w:hAnsi="宋体"/>
          <w:color w:val="auto"/>
          <w:sz w:val="21"/>
          <w:szCs w:val="21"/>
          <w:lang w:val="en-US" w:eastAsia="zh-CN"/>
        </w:rPr>
        <w:t>2）</w:t>
      </w:r>
      <w:r>
        <w:rPr>
          <w:rFonts w:hint="eastAsia" w:ascii="宋体" w:hAnsi="宋体"/>
          <w:color w:val="auto"/>
          <w:sz w:val="21"/>
          <w:szCs w:val="21"/>
        </w:rPr>
        <w:t>自动识别车次，自动识别客、货车；</w:t>
      </w:r>
    </w:p>
    <w:p>
      <w:pPr>
        <w:numPr>
          <w:ilvl w:val="0"/>
          <w:numId w:val="0"/>
        </w:numPr>
        <w:spacing w:line="360" w:lineRule="auto"/>
        <w:ind w:left="0" w:leftChars="0" w:firstLine="0" w:firstLineChars="0"/>
        <w:rPr>
          <w:rFonts w:ascii="宋体" w:hAnsi="宋体"/>
          <w:color w:val="auto"/>
          <w:sz w:val="21"/>
          <w:szCs w:val="21"/>
        </w:rPr>
      </w:pPr>
      <w:r>
        <w:rPr>
          <w:rFonts w:hint="eastAsia" w:ascii="宋体" w:hAnsi="宋体"/>
          <w:color w:val="auto"/>
          <w:sz w:val="21"/>
          <w:szCs w:val="21"/>
          <w:lang w:val="en-US" w:eastAsia="zh-CN"/>
        </w:rPr>
        <w:t>3）</w:t>
      </w:r>
      <w:r>
        <w:rPr>
          <w:rFonts w:hint="eastAsia" w:ascii="宋体" w:hAnsi="宋体"/>
          <w:color w:val="auto"/>
          <w:sz w:val="21"/>
          <w:szCs w:val="21"/>
        </w:rPr>
        <w:t>自动识别列车方向，自动计轴计辆，自动测速；</w:t>
      </w:r>
    </w:p>
    <w:p>
      <w:pPr>
        <w:numPr>
          <w:ilvl w:val="0"/>
          <w:numId w:val="0"/>
        </w:numPr>
        <w:spacing w:line="360" w:lineRule="auto"/>
        <w:ind w:left="0" w:leftChars="0" w:firstLine="0" w:firstLineChars="0"/>
        <w:rPr>
          <w:rFonts w:ascii="宋体" w:hAnsi="宋体"/>
          <w:color w:val="auto"/>
          <w:sz w:val="21"/>
          <w:szCs w:val="21"/>
        </w:rPr>
      </w:pPr>
      <w:r>
        <w:rPr>
          <w:rFonts w:hint="eastAsia" w:ascii="宋体" w:hAnsi="宋体"/>
          <w:color w:val="auto"/>
          <w:sz w:val="21"/>
          <w:szCs w:val="21"/>
          <w:lang w:val="en-US" w:eastAsia="zh-CN"/>
        </w:rPr>
        <w:t>4）</w:t>
      </w:r>
      <w:r>
        <w:rPr>
          <w:rFonts w:hint="eastAsia" w:ascii="宋体" w:hAnsi="宋体"/>
          <w:color w:val="auto"/>
          <w:sz w:val="21"/>
          <w:szCs w:val="21"/>
        </w:rPr>
        <w:t>自动提取标签信息（如车号、皮重、车型，以及预先写入的信息）；</w:t>
      </w:r>
    </w:p>
    <w:p>
      <w:pPr>
        <w:numPr>
          <w:ilvl w:val="0"/>
          <w:numId w:val="0"/>
        </w:numPr>
        <w:spacing w:line="360" w:lineRule="auto"/>
        <w:ind w:left="0" w:leftChars="0" w:firstLine="0" w:firstLineChars="0"/>
        <w:rPr>
          <w:rFonts w:ascii="宋体" w:hAnsi="宋体"/>
          <w:color w:val="auto"/>
          <w:sz w:val="21"/>
          <w:szCs w:val="21"/>
        </w:rPr>
      </w:pPr>
      <w:r>
        <w:rPr>
          <w:rFonts w:hint="eastAsia" w:ascii="宋体" w:hAnsi="宋体"/>
          <w:color w:val="auto"/>
          <w:sz w:val="21"/>
          <w:szCs w:val="21"/>
          <w:lang w:val="en-US" w:eastAsia="zh-CN"/>
        </w:rPr>
        <w:t>5）</w:t>
      </w:r>
      <w:r>
        <w:rPr>
          <w:rFonts w:hint="eastAsia" w:ascii="宋体" w:hAnsi="宋体"/>
          <w:color w:val="auto"/>
          <w:sz w:val="21"/>
          <w:szCs w:val="21"/>
        </w:rPr>
        <w:t>自动存储，标签内存采用EEPROM芯片，具有可读写功能；</w:t>
      </w:r>
    </w:p>
    <w:p>
      <w:pPr>
        <w:numPr>
          <w:ilvl w:val="0"/>
          <w:numId w:val="0"/>
        </w:numPr>
        <w:spacing w:line="360" w:lineRule="auto"/>
        <w:ind w:left="0" w:leftChars="0" w:firstLine="0" w:firstLineChars="0"/>
        <w:rPr>
          <w:rFonts w:ascii="宋体" w:hAnsi="宋体"/>
          <w:color w:val="auto"/>
          <w:sz w:val="21"/>
          <w:szCs w:val="21"/>
        </w:rPr>
      </w:pPr>
      <w:r>
        <w:rPr>
          <w:rFonts w:hint="eastAsia" w:ascii="宋体" w:hAnsi="宋体"/>
          <w:color w:val="auto"/>
          <w:sz w:val="21"/>
          <w:szCs w:val="21"/>
          <w:lang w:val="en-US" w:eastAsia="zh-CN"/>
        </w:rPr>
        <w:t>6）</w:t>
      </w:r>
      <w:r>
        <w:rPr>
          <w:rFonts w:hint="eastAsia" w:ascii="宋体" w:hAnsi="宋体"/>
          <w:color w:val="auto"/>
          <w:sz w:val="21"/>
          <w:szCs w:val="21"/>
        </w:rPr>
        <w:t>自动统计；</w:t>
      </w:r>
    </w:p>
    <w:p>
      <w:pPr>
        <w:numPr>
          <w:ilvl w:val="0"/>
          <w:numId w:val="0"/>
        </w:numPr>
        <w:spacing w:line="360" w:lineRule="auto"/>
        <w:ind w:left="0" w:leftChars="0" w:firstLine="0" w:firstLineChars="0"/>
        <w:rPr>
          <w:rFonts w:ascii="宋体" w:hAnsi="宋体"/>
          <w:color w:val="auto"/>
          <w:sz w:val="21"/>
          <w:szCs w:val="21"/>
        </w:rPr>
      </w:pPr>
      <w:r>
        <w:rPr>
          <w:rFonts w:hint="eastAsia" w:ascii="宋体" w:hAnsi="宋体"/>
          <w:color w:val="auto"/>
          <w:sz w:val="21"/>
          <w:szCs w:val="21"/>
          <w:lang w:val="en-US" w:eastAsia="zh-CN"/>
        </w:rPr>
        <w:t>7）</w:t>
      </w:r>
      <w:r>
        <w:rPr>
          <w:rFonts w:hint="eastAsia" w:ascii="宋体" w:hAnsi="宋体"/>
          <w:color w:val="auto"/>
          <w:sz w:val="21"/>
          <w:szCs w:val="21"/>
        </w:rPr>
        <w:t>系统自检；</w:t>
      </w:r>
    </w:p>
    <w:p>
      <w:pPr>
        <w:numPr>
          <w:ilvl w:val="0"/>
          <w:numId w:val="0"/>
        </w:numPr>
        <w:spacing w:line="360" w:lineRule="auto"/>
        <w:ind w:left="0" w:leftChars="0" w:firstLine="0" w:firstLineChars="0"/>
        <w:rPr>
          <w:rFonts w:ascii="宋体" w:hAnsi="宋体"/>
          <w:color w:val="auto"/>
          <w:sz w:val="21"/>
          <w:szCs w:val="21"/>
        </w:rPr>
      </w:pPr>
      <w:r>
        <w:rPr>
          <w:rFonts w:hint="eastAsia" w:ascii="宋体" w:hAnsi="宋体"/>
          <w:color w:val="auto"/>
          <w:sz w:val="21"/>
          <w:szCs w:val="21"/>
          <w:lang w:val="en-US" w:eastAsia="zh-CN"/>
        </w:rPr>
        <w:t>8）</w:t>
      </w:r>
      <w:r>
        <w:rPr>
          <w:rFonts w:hint="eastAsia" w:ascii="宋体" w:hAnsi="宋体"/>
          <w:color w:val="auto"/>
          <w:sz w:val="21"/>
          <w:szCs w:val="21"/>
        </w:rPr>
        <w:t>车辆标签是无源的，内部电路不含有任何微波器件，电路设计科学简单，标签外部封装牢固致密，防水防潮，标签寿命长，无需维护，可以在恶劣的环境下稳定工作，风、雪、冰、油、脏物、化学腐蚀、振动、冲击及电磁波等对其系统性能无影响；</w:t>
      </w:r>
    </w:p>
    <w:p>
      <w:pPr>
        <w:numPr>
          <w:ilvl w:val="0"/>
          <w:numId w:val="0"/>
        </w:numPr>
        <w:spacing w:line="360" w:lineRule="auto"/>
        <w:ind w:left="0" w:leftChars="0" w:firstLine="0" w:firstLineChars="0"/>
        <w:rPr>
          <w:rFonts w:ascii="宋体" w:hAnsi="宋体"/>
          <w:color w:val="auto"/>
          <w:sz w:val="21"/>
          <w:szCs w:val="21"/>
        </w:rPr>
      </w:pPr>
      <w:r>
        <w:rPr>
          <w:rFonts w:hint="eastAsia" w:ascii="宋体" w:hAnsi="宋体"/>
          <w:color w:val="auto"/>
          <w:sz w:val="21"/>
          <w:szCs w:val="21"/>
          <w:lang w:val="en-US" w:eastAsia="zh-CN"/>
        </w:rPr>
        <w:t>9）</w:t>
      </w:r>
      <w:r>
        <w:rPr>
          <w:rFonts w:hint="eastAsia" w:ascii="宋体" w:hAnsi="宋体"/>
          <w:color w:val="auto"/>
          <w:sz w:val="21"/>
          <w:szCs w:val="21"/>
        </w:rPr>
        <w:t>信息编码采用变频式</w:t>
      </w:r>
      <w:r>
        <w:rPr>
          <w:rFonts w:ascii="宋体" w:hAnsi="宋体"/>
          <w:color w:val="auto"/>
          <w:sz w:val="21"/>
          <w:szCs w:val="21"/>
        </w:rPr>
        <w:t>FSK</w:t>
      </w:r>
      <w:r>
        <w:rPr>
          <w:rFonts w:hint="eastAsia" w:ascii="宋体" w:hAnsi="宋体"/>
          <w:color w:val="auto"/>
          <w:sz w:val="21"/>
          <w:szCs w:val="21"/>
        </w:rPr>
        <w:t xml:space="preserve">方式，射频载波信号是连续发射的，具有较窄的发射接收带宽，抗干扰能力强； </w:t>
      </w:r>
    </w:p>
    <w:p>
      <w:pPr>
        <w:spacing w:line="360" w:lineRule="auto"/>
        <w:rPr>
          <w:rFonts w:hint="eastAsia" w:ascii="宋体" w:hAnsi="宋体"/>
          <w:color w:val="auto"/>
          <w:sz w:val="21"/>
          <w:szCs w:val="21"/>
        </w:rPr>
      </w:pPr>
      <w:r>
        <w:rPr>
          <w:rFonts w:hint="eastAsia" w:ascii="宋体" w:hAnsi="宋体"/>
          <w:color w:val="auto"/>
          <w:sz w:val="21"/>
          <w:szCs w:val="21"/>
          <w:lang w:val="en-US" w:eastAsia="zh-CN"/>
        </w:rPr>
        <w:t>10）</w:t>
      </w:r>
      <w:r>
        <w:rPr>
          <w:rFonts w:hint="eastAsia" w:ascii="宋体" w:hAnsi="宋体"/>
          <w:color w:val="auto"/>
          <w:sz w:val="21"/>
          <w:szCs w:val="21"/>
        </w:rPr>
        <w:t>地面读出器与标签之间的数据传输系统应适应较宽的车速范围。</w:t>
      </w:r>
    </w:p>
    <w:p>
      <w:pPr>
        <w:spacing w:line="360" w:lineRule="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*3.1.8</w:t>
      </w:r>
      <w:r>
        <w:rPr>
          <w:rFonts w:hint="eastAsia" w:ascii="宋体" w:hAnsi="宋体" w:cs="宋体"/>
          <w:color w:val="auto"/>
          <w:sz w:val="21"/>
          <w:szCs w:val="21"/>
          <w:highlight w:val="none"/>
        </w:rPr>
        <w:t>产品符合《铁道部关于印发铁路货运安全监控与管理系统总体技术规范》（铁运〔2013〕56号）的通知拟定的技术条件</w:t>
      </w:r>
      <w:r>
        <w:rPr>
          <w:rFonts w:hint="eastAsia" w:ascii="宋体" w:hAnsi="宋体" w:cs="宋体"/>
          <w:color w:val="auto"/>
          <w:sz w:val="21"/>
          <w:szCs w:val="21"/>
          <w:highlight w:val="none"/>
          <w:lang w:eastAsia="zh-CN"/>
        </w:rPr>
        <w:t>。</w:t>
      </w:r>
    </w:p>
    <w:p>
      <w:pPr>
        <w:spacing w:line="360" w:lineRule="auto"/>
        <w:rPr>
          <w:rFonts w:hint="eastAsia" w:ascii="宋体" w:hAnsi="宋体" w:cs="宋体"/>
          <w:color w:val="auto"/>
          <w:sz w:val="21"/>
          <w:szCs w:val="21"/>
        </w:rPr>
      </w:pPr>
      <w:r>
        <w:rPr>
          <w:rFonts w:hint="eastAsia" w:ascii="宋体" w:hAnsi="宋体" w:cs="宋体"/>
          <w:color w:val="auto"/>
          <w:sz w:val="21"/>
          <w:szCs w:val="21"/>
          <w:lang w:val="en-US" w:eastAsia="zh-CN"/>
        </w:rPr>
        <w:t>*3.1.9</w:t>
      </w:r>
      <w:r>
        <w:rPr>
          <w:rFonts w:hint="eastAsia" w:ascii="宋体" w:hAnsi="宋体" w:cs="宋体"/>
          <w:color w:val="auto"/>
          <w:sz w:val="21"/>
          <w:szCs w:val="21"/>
        </w:rPr>
        <w:t>该系统可实现与货检安全检测监控和管理平台及其子系统的信息互联接口，符合资源共享和整体功能发挥的要求。</w:t>
      </w:r>
    </w:p>
    <w:p>
      <w:pPr>
        <w:spacing w:line="360" w:lineRule="auto"/>
        <w:rPr>
          <w:rFonts w:hint="eastAsia" w:ascii="宋体" w:hAnsi="宋体" w:cs="宋体"/>
          <w:b w:val="0"/>
          <w:bCs w:val="0"/>
          <w:color w:val="auto"/>
          <w:sz w:val="21"/>
          <w:szCs w:val="21"/>
        </w:rPr>
      </w:pPr>
      <w:r>
        <w:rPr>
          <w:rFonts w:hint="eastAsia" w:ascii="宋体" w:hAnsi="宋体" w:cs="宋体"/>
          <w:b w:val="0"/>
          <w:bCs w:val="0"/>
          <w:color w:val="auto"/>
          <w:sz w:val="21"/>
          <w:szCs w:val="21"/>
          <w:lang w:val="en-US" w:eastAsia="zh-CN"/>
        </w:rPr>
        <w:t>3.2</w:t>
      </w:r>
      <w:r>
        <w:rPr>
          <w:rFonts w:hint="eastAsia" w:ascii="宋体" w:hAnsi="宋体" w:cs="宋体"/>
          <w:b w:val="0"/>
          <w:bCs w:val="0"/>
          <w:color w:val="auto"/>
          <w:sz w:val="21"/>
          <w:szCs w:val="21"/>
        </w:rPr>
        <w:t>主要</w:t>
      </w:r>
      <w:r>
        <w:rPr>
          <w:rFonts w:hint="eastAsia" w:ascii="宋体" w:hAnsi="宋体" w:cs="宋体"/>
          <w:b w:val="0"/>
          <w:bCs w:val="0"/>
          <w:color w:val="auto"/>
          <w:sz w:val="21"/>
          <w:szCs w:val="21"/>
          <w:lang w:eastAsia="zh-CN"/>
        </w:rPr>
        <w:t>设备</w:t>
      </w:r>
      <w:r>
        <w:rPr>
          <w:rFonts w:hint="eastAsia" w:ascii="宋体" w:hAnsi="宋体" w:cs="宋体"/>
          <w:b w:val="0"/>
          <w:bCs w:val="0"/>
          <w:color w:val="auto"/>
          <w:sz w:val="21"/>
          <w:szCs w:val="21"/>
        </w:rPr>
        <w:t>技术参数要求</w:t>
      </w:r>
    </w:p>
    <w:p>
      <w:pPr>
        <w:spacing w:line="360" w:lineRule="auto"/>
        <w:rPr>
          <w:rFonts w:hint="eastAsia" w:ascii="宋体" w:hAnsi="宋体" w:eastAsia="宋体"/>
          <w:color w:val="auto"/>
          <w:sz w:val="21"/>
          <w:szCs w:val="21"/>
          <w:lang w:eastAsia="zh-CN"/>
        </w:rPr>
      </w:pPr>
      <w:r>
        <w:rPr>
          <w:rFonts w:hint="eastAsia" w:ascii="宋体" w:hAnsi="宋体" w:cs="宋体"/>
          <w:color w:val="auto"/>
          <w:sz w:val="21"/>
          <w:szCs w:val="21"/>
          <w:lang w:eastAsia="zh-CN"/>
        </w:rPr>
        <w:t>3.2</w:t>
      </w:r>
      <w:r>
        <w:rPr>
          <w:rFonts w:hint="eastAsia" w:ascii="宋体" w:hAnsi="宋体"/>
          <w:color w:val="auto"/>
          <w:sz w:val="21"/>
          <w:szCs w:val="21"/>
        </w:rPr>
        <w:t>.1</w:t>
      </w:r>
      <w:r>
        <w:rPr>
          <w:rFonts w:hint="eastAsia" w:ascii="宋体" w:hAnsi="宋体"/>
          <w:color w:val="auto"/>
          <w:sz w:val="21"/>
          <w:szCs w:val="21"/>
          <w:lang w:eastAsia="zh-CN"/>
        </w:rPr>
        <w:t>称重台</w:t>
      </w:r>
    </w:p>
    <w:p>
      <w:pPr>
        <w:numPr>
          <w:ilvl w:val="0"/>
          <w:numId w:val="1"/>
        </w:numPr>
        <w:spacing w:line="360" w:lineRule="auto"/>
        <w:ind w:left="425" w:leftChars="0" w:hanging="425" w:firstLineChars="0"/>
        <w:rPr>
          <w:rFonts w:ascii="宋体" w:hAnsi="宋体"/>
          <w:color w:val="auto"/>
          <w:sz w:val="21"/>
          <w:szCs w:val="21"/>
        </w:rPr>
      </w:pPr>
      <w:r>
        <w:rPr>
          <w:rFonts w:hint="eastAsia" w:ascii="宋体" w:hAnsi="宋体"/>
          <w:color w:val="auto"/>
          <w:sz w:val="21"/>
          <w:szCs w:val="21"/>
        </w:rPr>
        <w:t>额定称量：</w:t>
      </w:r>
      <w:r>
        <w:rPr>
          <w:rFonts w:ascii="宋体" w:hAnsi="宋体"/>
          <w:color w:val="auto"/>
          <w:sz w:val="21"/>
          <w:szCs w:val="21"/>
        </w:rPr>
        <w:t>100t</w:t>
      </w:r>
      <w:r>
        <w:rPr>
          <w:rFonts w:hint="eastAsia" w:ascii="宋体" w:hAnsi="宋体"/>
          <w:color w:val="auto"/>
          <w:sz w:val="21"/>
          <w:szCs w:val="21"/>
        </w:rPr>
        <w:t>允许超载150</w:t>
      </w:r>
      <w:r>
        <w:rPr>
          <w:rFonts w:ascii="宋体" w:hAnsi="宋体"/>
          <w:color w:val="auto"/>
          <w:sz w:val="21"/>
          <w:szCs w:val="21"/>
        </w:rPr>
        <w:t xml:space="preserve">% </w:t>
      </w:r>
      <w:r>
        <w:rPr>
          <w:rFonts w:hint="eastAsia" w:ascii="宋体" w:hAnsi="宋体"/>
          <w:color w:val="auto"/>
          <w:sz w:val="21"/>
          <w:szCs w:val="21"/>
        </w:rPr>
        <w:t>。</w:t>
      </w:r>
    </w:p>
    <w:p>
      <w:pPr>
        <w:numPr>
          <w:ilvl w:val="0"/>
          <w:numId w:val="1"/>
        </w:numPr>
        <w:spacing w:line="360" w:lineRule="auto"/>
        <w:ind w:left="425" w:leftChars="0" w:hanging="425" w:firstLineChars="0"/>
        <w:rPr>
          <w:rFonts w:ascii="宋体" w:hAnsi="宋体"/>
          <w:color w:val="auto"/>
          <w:sz w:val="21"/>
          <w:szCs w:val="21"/>
        </w:rPr>
      </w:pPr>
      <w:r>
        <w:rPr>
          <w:rFonts w:hint="eastAsia" w:ascii="宋体" w:hAnsi="宋体"/>
          <w:color w:val="auto"/>
          <w:sz w:val="21"/>
          <w:szCs w:val="21"/>
        </w:rPr>
        <w:t>计量方式：双向全自动动态称量。</w:t>
      </w:r>
    </w:p>
    <w:p>
      <w:pPr>
        <w:numPr>
          <w:ilvl w:val="0"/>
          <w:numId w:val="1"/>
        </w:numPr>
        <w:spacing w:line="360" w:lineRule="auto"/>
        <w:ind w:left="425" w:leftChars="0" w:hanging="425" w:firstLineChars="0"/>
        <w:rPr>
          <w:rFonts w:ascii="宋体" w:hAnsi="宋体"/>
          <w:color w:val="auto"/>
          <w:sz w:val="21"/>
          <w:szCs w:val="21"/>
        </w:rPr>
      </w:pPr>
      <w:r>
        <w:rPr>
          <w:rFonts w:hint="eastAsia" w:ascii="宋体" w:hAnsi="宋体"/>
          <w:color w:val="auto"/>
          <w:sz w:val="21"/>
          <w:szCs w:val="21"/>
        </w:rPr>
        <w:t>称量速度：</w:t>
      </w:r>
      <w:r>
        <w:rPr>
          <w:rFonts w:hint="eastAsia" w:ascii="宋体" w:hAnsi="宋体"/>
          <w:color w:val="auto"/>
          <w:sz w:val="21"/>
          <w:szCs w:val="21"/>
          <w:lang w:val="en-US" w:eastAsia="zh-CN"/>
        </w:rPr>
        <w:t>5</w:t>
      </w:r>
      <w:r>
        <w:rPr>
          <w:rFonts w:ascii="宋体" w:hAnsi="宋体"/>
          <w:color w:val="auto"/>
          <w:sz w:val="21"/>
          <w:szCs w:val="21"/>
        </w:rPr>
        <w:t>--</w:t>
      </w:r>
      <w:r>
        <w:rPr>
          <w:rFonts w:hint="eastAsia" w:ascii="宋体" w:hAnsi="宋体"/>
          <w:color w:val="auto"/>
          <w:sz w:val="21"/>
          <w:szCs w:val="21"/>
        </w:rPr>
        <w:t>35</w:t>
      </w:r>
      <w:r>
        <w:rPr>
          <w:rFonts w:ascii="宋体" w:hAnsi="宋体"/>
          <w:color w:val="auto"/>
          <w:sz w:val="21"/>
          <w:szCs w:val="21"/>
        </w:rPr>
        <w:t>km/h</w:t>
      </w:r>
      <w:r>
        <w:rPr>
          <w:rFonts w:hint="eastAsia" w:ascii="宋体" w:hAnsi="宋体"/>
          <w:color w:val="auto"/>
          <w:sz w:val="21"/>
          <w:szCs w:val="21"/>
        </w:rPr>
        <w:t>，不计量时通过速度不限。</w:t>
      </w:r>
    </w:p>
    <w:p>
      <w:pPr>
        <w:numPr>
          <w:ilvl w:val="0"/>
          <w:numId w:val="1"/>
        </w:numPr>
        <w:spacing w:line="360" w:lineRule="auto"/>
        <w:ind w:left="425" w:leftChars="0" w:hanging="425" w:firstLineChars="0"/>
        <w:rPr>
          <w:rFonts w:ascii="宋体" w:hAnsi="宋体"/>
          <w:color w:val="auto"/>
          <w:sz w:val="21"/>
          <w:szCs w:val="21"/>
        </w:rPr>
      </w:pPr>
      <w:r>
        <w:rPr>
          <w:rFonts w:hint="eastAsia" w:ascii="宋体" w:hAnsi="宋体"/>
          <w:color w:val="auto"/>
          <w:sz w:val="21"/>
          <w:szCs w:val="21"/>
        </w:rPr>
        <w:t>准确度：优于</w:t>
      </w:r>
      <w:r>
        <w:rPr>
          <w:rFonts w:ascii="宋体" w:hAnsi="宋体"/>
          <w:color w:val="auto"/>
          <w:sz w:val="21"/>
          <w:szCs w:val="21"/>
        </w:rPr>
        <w:t>JJG234--</w:t>
      </w:r>
      <w:r>
        <w:rPr>
          <w:rFonts w:hint="eastAsia" w:ascii="宋体" w:hAnsi="宋体"/>
          <w:color w:val="auto"/>
          <w:sz w:val="21"/>
          <w:szCs w:val="21"/>
        </w:rPr>
        <w:t>2012</w:t>
      </w:r>
      <w:r>
        <w:rPr>
          <w:rFonts w:ascii="宋体" w:hAnsi="宋体"/>
          <w:color w:val="auto"/>
          <w:sz w:val="21"/>
          <w:szCs w:val="21"/>
        </w:rPr>
        <w:t xml:space="preserve"> </w:t>
      </w:r>
      <w:r>
        <w:rPr>
          <w:rFonts w:hint="eastAsia" w:ascii="宋体" w:hAnsi="宋体"/>
          <w:color w:val="auto"/>
          <w:sz w:val="21"/>
          <w:szCs w:val="21"/>
        </w:rPr>
        <w:t>《自动轨道衡检定规程》的允差规定。</w:t>
      </w:r>
    </w:p>
    <w:p>
      <w:pPr>
        <w:numPr>
          <w:ilvl w:val="0"/>
          <w:numId w:val="1"/>
        </w:numPr>
        <w:spacing w:line="360" w:lineRule="auto"/>
        <w:ind w:left="425" w:leftChars="0" w:hanging="425" w:firstLineChars="0"/>
        <w:rPr>
          <w:rFonts w:ascii="宋体" w:hAnsi="宋体"/>
          <w:color w:val="auto"/>
          <w:sz w:val="21"/>
          <w:szCs w:val="21"/>
        </w:rPr>
      </w:pPr>
      <w:r>
        <w:rPr>
          <w:rFonts w:hint="eastAsia" w:ascii="宋体" w:hAnsi="宋体"/>
          <w:color w:val="auto"/>
          <w:sz w:val="21"/>
          <w:szCs w:val="21"/>
        </w:rPr>
        <w:t>灵敏度：加减</w:t>
      </w:r>
      <w:r>
        <w:rPr>
          <w:rFonts w:ascii="宋体" w:hAnsi="宋体"/>
          <w:color w:val="auto"/>
          <w:sz w:val="21"/>
          <w:szCs w:val="21"/>
        </w:rPr>
        <w:t>20kg</w:t>
      </w:r>
      <w:r>
        <w:rPr>
          <w:rFonts w:hint="eastAsia" w:ascii="宋体" w:hAnsi="宋体"/>
          <w:color w:val="auto"/>
          <w:sz w:val="21"/>
          <w:szCs w:val="21"/>
        </w:rPr>
        <w:t>砝码有大于</w:t>
      </w:r>
      <w:r>
        <w:rPr>
          <w:rFonts w:ascii="宋体" w:hAnsi="宋体"/>
          <w:color w:val="auto"/>
          <w:sz w:val="21"/>
          <w:szCs w:val="21"/>
        </w:rPr>
        <w:t>10kg</w:t>
      </w:r>
      <w:r>
        <w:rPr>
          <w:rFonts w:hint="eastAsia" w:ascii="宋体" w:hAnsi="宋体"/>
          <w:color w:val="auto"/>
          <w:sz w:val="21"/>
          <w:szCs w:val="21"/>
        </w:rPr>
        <w:t>的变化。</w:t>
      </w:r>
    </w:p>
    <w:p>
      <w:pPr>
        <w:numPr>
          <w:ilvl w:val="0"/>
          <w:numId w:val="1"/>
        </w:numPr>
        <w:spacing w:line="360" w:lineRule="auto"/>
        <w:ind w:left="425" w:leftChars="0" w:hanging="425" w:firstLineChars="0"/>
        <w:rPr>
          <w:rFonts w:ascii="宋体" w:hAnsi="宋体"/>
          <w:color w:val="auto"/>
          <w:spacing w:val="-4"/>
          <w:sz w:val="21"/>
          <w:szCs w:val="21"/>
        </w:rPr>
      </w:pPr>
      <w:r>
        <w:rPr>
          <w:rFonts w:hint="eastAsia" w:ascii="宋体" w:hAnsi="宋体"/>
          <w:color w:val="auto"/>
          <w:spacing w:val="-4"/>
          <w:sz w:val="21"/>
          <w:szCs w:val="21"/>
        </w:rPr>
        <w:t>输出方式：</w:t>
      </w:r>
      <w:r>
        <w:rPr>
          <w:rFonts w:ascii="宋体" w:hAnsi="宋体"/>
          <w:color w:val="auto"/>
          <w:spacing w:val="-4"/>
          <w:sz w:val="21"/>
          <w:szCs w:val="21"/>
        </w:rPr>
        <w:t>CRT</w:t>
      </w:r>
      <w:r>
        <w:rPr>
          <w:rFonts w:hint="eastAsia" w:ascii="宋体" w:hAnsi="宋体"/>
          <w:color w:val="auto"/>
          <w:spacing w:val="-4"/>
          <w:sz w:val="21"/>
          <w:szCs w:val="21"/>
        </w:rPr>
        <w:t>显示序号、车号、车速、毛重、皮重、净重、票重、盈亏、累计、日期、操作员并有制表、查询、统计、计量结果长期保存等功能。</w:t>
      </w:r>
    </w:p>
    <w:p>
      <w:pPr>
        <w:numPr>
          <w:ilvl w:val="0"/>
          <w:numId w:val="1"/>
        </w:numPr>
        <w:spacing w:line="360" w:lineRule="auto"/>
        <w:ind w:left="425" w:leftChars="0" w:hanging="425" w:firstLineChars="0"/>
        <w:rPr>
          <w:rFonts w:ascii="宋体" w:hAnsi="宋体"/>
          <w:color w:val="auto"/>
          <w:sz w:val="21"/>
          <w:szCs w:val="21"/>
        </w:rPr>
      </w:pPr>
      <w:r>
        <w:rPr>
          <w:rFonts w:hint="eastAsia" w:ascii="宋体" w:hAnsi="宋体"/>
          <w:color w:val="auto"/>
          <w:spacing w:val="-4"/>
          <w:sz w:val="21"/>
          <w:szCs w:val="21"/>
        </w:rPr>
        <w:t>系统自检，零点自动跟踪，数据可远距离传输。</w:t>
      </w:r>
    </w:p>
    <w:p>
      <w:pPr>
        <w:numPr>
          <w:ilvl w:val="0"/>
          <w:numId w:val="1"/>
        </w:numPr>
        <w:spacing w:line="360" w:lineRule="auto"/>
        <w:ind w:left="425" w:leftChars="0" w:hanging="425" w:firstLineChars="0"/>
        <w:rPr>
          <w:rFonts w:ascii="宋体" w:hAnsi="宋体"/>
          <w:color w:val="auto"/>
          <w:sz w:val="21"/>
          <w:szCs w:val="21"/>
        </w:rPr>
      </w:pPr>
      <w:r>
        <w:rPr>
          <w:rFonts w:hint="eastAsia" w:ascii="宋体" w:hAnsi="宋体"/>
          <w:color w:val="auto"/>
          <w:sz w:val="21"/>
          <w:szCs w:val="21"/>
        </w:rPr>
        <w:t>适用电源条件：AC220v+10%（-15%），50H</w:t>
      </w:r>
      <w:r>
        <w:rPr>
          <w:rFonts w:hint="eastAsia" w:ascii="宋体" w:hAnsi="宋体"/>
          <w:color w:val="auto"/>
          <w:sz w:val="21"/>
          <w:szCs w:val="21"/>
          <w:vertAlign w:val="subscript"/>
        </w:rPr>
        <w:t>Z</w:t>
      </w:r>
      <w:r>
        <w:rPr>
          <w:rFonts w:hint="eastAsia" w:ascii="宋体" w:hAnsi="宋体"/>
          <w:color w:val="auto"/>
          <w:sz w:val="21"/>
          <w:szCs w:val="21"/>
        </w:rPr>
        <w:t>，系统电源功耗小于500VA。</w:t>
      </w:r>
    </w:p>
    <w:p>
      <w:pPr>
        <w:numPr>
          <w:ilvl w:val="0"/>
          <w:numId w:val="1"/>
        </w:numPr>
        <w:spacing w:line="360" w:lineRule="auto"/>
        <w:ind w:left="425" w:leftChars="0" w:hanging="425" w:firstLineChars="0"/>
        <w:rPr>
          <w:rFonts w:ascii="宋体" w:hAnsi="宋体"/>
          <w:color w:val="auto"/>
          <w:sz w:val="21"/>
          <w:szCs w:val="21"/>
        </w:rPr>
      </w:pPr>
      <w:r>
        <w:rPr>
          <w:rFonts w:hint="eastAsia" w:ascii="宋体" w:hAnsi="宋体"/>
          <w:color w:val="auto"/>
          <w:sz w:val="21"/>
          <w:szCs w:val="21"/>
        </w:rPr>
        <w:t>工作条件：温度</w:t>
      </w:r>
      <w:r>
        <w:rPr>
          <w:rFonts w:ascii="宋体" w:hAnsi="宋体"/>
          <w:color w:val="auto"/>
          <w:sz w:val="21"/>
          <w:szCs w:val="21"/>
        </w:rPr>
        <w:t>-45</w:t>
      </w:r>
      <w:r>
        <w:rPr>
          <w:rFonts w:hint="eastAsia" w:ascii="宋体" w:hAnsi="宋体"/>
          <w:color w:val="auto"/>
          <w:sz w:val="21"/>
          <w:szCs w:val="21"/>
        </w:rPr>
        <w:t>℃</w:t>
      </w:r>
      <w:r>
        <w:rPr>
          <w:rFonts w:ascii="宋体" w:hAnsi="宋体"/>
          <w:color w:val="auto"/>
          <w:sz w:val="21"/>
          <w:szCs w:val="21"/>
        </w:rPr>
        <w:t>-- +75</w:t>
      </w:r>
      <w:r>
        <w:rPr>
          <w:rFonts w:hint="eastAsia" w:ascii="宋体" w:hAnsi="宋体"/>
          <w:color w:val="auto"/>
          <w:sz w:val="21"/>
          <w:szCs w:val="21"/>
        </w:rPr>
        <w:t>℃。</w:t>
      </w:r>
    </w:p>
    <w:p>
      <w:pPr>
        <w:numPr>
          <w:ilvl w:val="0"/>
          <w:numId w:val="1"/>
        </w:numPr>
        <w:spacing w:line="360" w:lineRule="auto"/>
        <w:ind w:left="425" w:leftChars="0" w:hanging="425" w:firstLineChars="0"/>
        <w:rPr>
          <w:rFonts w:ascii="宋体" w:hAnsi="宋体"/>
          <w:color w:val="auto"/>
          <w:sz w:val="21"/>
          <w:szCs w:val="21"/>
        </w:rPr>
      </w:pPr>
      <w:r>
        <w:rPr>
          <w:rFonts w:hint="eastAsia" w:ascii="宋体" w:hAnsi="宋体"/>
          <w:color w:val="auto"/>
          <w:sz w:val="21"/>
          <w:szCs w:val="21"/>
        </w:rPr>
        <w:t>零点漂移：系统零点漂移</w:t>
      </w:r>
      <w:r>
        <w:rPr>
          <w:rFonts w:ascii="宋体" w:hAnsi="宋体"/>
          <w:color w:val="auto"/>
          <w:sz w:val="21"/>
          <w:szCs w:val="21"/>
        </w:rPr>
        <w:t>60min</w:t>
      </w:r>
      <w:r>
        <w:rPr>
          <w:rFonts w:hint="eastAsia" w:ascii="宋体" w:hAnsi="宋体"/>
          <w:color w:val="auto"/>
          <w:sz w:val="21"/>
          <w:szCs w:val="21"/>
        </w:rPr>
        <w:t>不大于</w:t>
      </w:r>
      <w:r>
        <w:rPr>
          <w:rFonts w:ascii="宋体" w:hAnsi="宋体"/>
          <w:color w:val="auto"/>
          <w:sz w:val="21"/>
          <w:szCs w:val="21"/>
        </w:rPr>
        <w:t>1d</w:t>
      </w:r>
      <w:r>
        <w:rPr>
          <w:rFonts w:hint="eastAsia" w:ascii="宋体" w:hAnsi="宋体"/>
          <w:color w:val="auto"/>
          <w:sz w:val="21"/>
          <w:szCs w:val="21"/>
        </w:rPr>
        <w:t>。</w:t>
      </w:r>
    </w:p>
    <w:p>
      <w:pPr>
        <w:numPr>
          <w:ilvl w:val="0"/>
          <w:numId w:val="1"/>
        </w:numPr>
        <w:spacing w:line="360" w:lineRule="auto"/>
        <w:ind w:left="425" w:leftChars="0" w:hanging="425" w:firstLineChars="0"/>
        <w:rPr>
          <w:rFonts w:ascii="宋体" w:hAnsi="宋体"/>
          <w:color w:val="auto"/>
          <w:sz w:val="21"/>
          <w:szCs w:val="21"/>
        </w:rPr>
      </w:pPr>
      <w:r>
        <w:rPr>
          <w:rFonts w:hint="eastAsia" w:ascii="宋体" w:hAnsi="宋体"/>
          <w:color w:val="auto"/>
          <w:sz w:val="21"/>
          <w:szCs w:val="21"/>
        </w:rPr>
        <w:t>识别方式：全模拟量无开关识别。</w:t>
      </w:r>
    </w:p>
    <w:p>
      <w:pPr>
        <w:numPr>
          <w:ilvl w:val="0"/>
          <w:numId w:val="1"/>
        </w:numPr>
        <w:spacing w:line="360" w:lineRule="auto"/>
        <w:ind w:left="425" w:leftChars="0" w:hanging="425" w:firstLineChars="0"/>
        <w:rPr>
          <w:rFonts w:ascii="宋体" w:hAnsi="宋体"/>
          <w:color w:val="auto"/>
          <w:sz w:val="21"/>
          <w:szCs w:val="21"/>
        </w:rPr>
      </w:pPr>
      <w:r>
        <w:rPr>
          <w:rFonts w:hint="eastAsia" w:ascii="宋体" w:hAnsi="宋体"/>
          <w:color w:val="auto"/>
          <w:sz w:val="21"/>
          <w:szCs w:val="21"/>
          <w:lang w:val="en-US" w:eastAsia="zh-CN"/>
        </w:rPr>
        <w:t>有安全生产许可证，具</w:t>
      </w:r>
      <w:r>
        <w:rPr>
          <w:rFonts w:hint="eastAsia" w:ascii="宋体" w:hAnsi="宋体"/>
          <w:color w:val="auto"/>
          <w:sz w:val="21"/>
          <w:szCs w:val="21"/>
        </w:rPr>
        <w:t>备轨道衡车号识别系统。</w:t>
      </w:r>
    </w:p>
    <w:p>
      <w:pPr>
        <w:numPr>
          <w:ilvl w:val="0"/>
          <w:numId w:val="1"/>
        </w:numPr>
        <w:spacing w:line="360" w:lineRule="auto"/>
        <w:ind w:left="425" w:leftChars="0" w:hanging="425" w:firstLineChars="0"/>
        <w:rPr>
          <w:rFonts w:ascii="宋体" w:hAnsi="宋体"/>
          <w:color w:val="auto"/>
          <w:sz w:val="21"/>
          <w:szCs w:val="21"/>
        </w:rPr>
      </w:pPr>
      <w:r>
        <w:rPr>
          <w:rFonts w:hint="eastAsia" w:ascii="宋体" w:hAnsi="宋体"/>
          <w:color w:val="auto"/>
          <w:sz w:val="21"/>
          <w:szCs w:val="21"/>
        </w:rPr>
        <w:t>具有数据远传及联网功能。</w:t>
      </w:r>
    </w:p>
    <w:p>
      <w:pPr>
        <w:numPr>
          <w:ilvl w:val="0"/>
          <w:numId w:val="1"/>
        </w:numPr>
        <w:spacing w:line="360" w:lineRule="auto"/>
        <w:ind w:left="425" w:leftChars="0" w:hanging="425" w:firstLineChars="0"/>
        <w:rPr>
          <w:rFonts w:ascii="宋体" w:hAnsi="宋体"/>
          <w:color w:val="auto"/>
          <w:sz w:val="21"/>
          <w:szCs w:val="21"/>
        </w:rPr>
      </w:pPr>
      <w:r>
        <w:rPr>
          <w:rFonts w:hint="eastAsia" w:ascii="宋体" w:hAnsi="宋体"/>
          <w:color w:val="auto"/>
          <w:sz w:val="21"/>
          <w:szCs w:val="21"/>
        </w:rPr>
        <w:t>操作方式：全汉字系统显示，计量时可无人操作也可人工值班操作。</w:t>
      </w:r>
    </w:p>
    <w:p>
      <w:pPr>
        <w:numPr>
          <w:ilvl w:val="0"/>
          <w:numId w:val="1"/>
        </w:numPr>
        <w:spacing w:line="360" w:lineRule="auto"/>
        <w:ind w:left="425" w:leftChars="0" w:hanging="425" w:firstLineChars="0"/>
        <w:rPr>
          <w:rFonts w:ascii="宋体" w:hAnsi="宋体"/>
          <w:color w:val="auto"/>
          <w:sz w:val="21"/>
          <w:szCs w:val="21"/>
        </w:rPr>
      </w:pPr>
      <w:r>
        <w:rPr>
          <w:rFonts w:hint="eastAsia" w:ascii="宋体" w:hAnsi="宋体"/>
          <w:color w:val="auto"/>
          <w:sz w:val="21"/>
          <w:szCs w:val="21"/>
        </w:rPr>
        <w:t>压力传感器：精度</w:t>
      </w:r>
      <w:r>
        <w:rPr>
          <w:rFonts w:ascii="宋体" w:hAnsi="宋体"/>
          <w:color w:val="auto"/>
          <w:sz w:val="21"/>
          <w:szCs w:val="21"/>
        </w:rPr>
        <w:t>0.3</w:t>
      </w:r>
      <w:r>
        <w:rPr>
          <w:rFonts w:hint="eastAsia" w:ascii="宋体" w:hAnsi="宋体"/>
          <w:color w:val="auto"/>
          <w:sz w:val="21"/>
          <w:szCs w:val="21"/>
        </w:rPr>
        <w:t>‰；防水、防磁、抗冲击、抗侧倾等能力强。</w:t>
      </w:r>
    </w:p>
    <w:p>
      <w:pPr>
        <w:numPr>
          <w:ilvl w:val="0"/>
          <w:numId w:val="1"/>
        </w:numPr>
        <w:spacing w:line="360" w:lineRule="auto"/>
        <w:ind w:left="425" w:leftChars="0" w:hanging="425" w:firstLineChars="0"/>
        <w:rPr>
          <w:rFonts w:ascii="宋体" w:hAnsi="宋体"/>
          <w:color w:val="auto"/>
          <w:sz w:val="21"/>
          <w:szCs w:val="21"/>
        </w:rPr>
      </w:pPr>
      <w:r>
        <w:rPr>
          <w:rFonts w:hint="eastAsia" w:ascii="宋体" w:hAnsi="宋体"/>
          <w:color w:val="auto"/>
          <w:sz w:val="21"/>
          <w:szCs w:val="21"/>
        </w:rPr>
        <w:t>设有防高压接地系统和屏蔽系统二组，计算机电源及通道皆采取了屏蔽措施。</w:t>
      </w:r>
    </w:p>
    <w:p>
      <w:pPr>
        <w:numPr>
          <w:ilvl w:val="0"/>
          <w:numId w:val="1"/>
        </w:numPr>
        <w:spacing w:line="360" w:lineRule="auto"/>
        <w:ind w:left="425" w:leftChars="0" w:hanging="425" w:firstLineChars="0"/>
        <w:rPr>
          <w:rFonts w:ascii="宋体" w:hAnsi="宋体"/>
          <w:color w:val="auto"/>
          <w:sz w:val="21"/>
          <w:szCs w:val="21"/>
        </w:rPr>
      </w:pPr>
      <w:r>
        <w:rPr>
          <w:rFonts w:hint="eastAsia" w:ascii="宋体" w:hAnsi="宋体"/>
          <w:color w:val="auto"/>
          <w:sz w:val="21"/>
          <w:szCs w:val="21"/>
        </w:rPr>
        <w:t>秤体与轨道电路有绝缘装置，传感器整体屏蔽在钢结构中。（按CCITT标准：10/200US波，幅值5KV冲击，残压小于20V-40V）</w:t>
      </w:r>
    </w:p>
    <w:p>
      <w:pPr>
        <w:numPr>
          <w:ilvl w:val="0"/>
          <w:numId w:val="1"/>
        </w:numPr>
        <w:spacing w:line="360" w:lineRule="auto"/>
        <w:ind w:left="425" w:leftChars="0" w:hanging="425" w:firstLineChars="0"/>
        <w:rPr>
          <w:rFonts w:ascii="宋体" w:hAnsi="宋体"/>
          <w:color w:val="auto"/>
          <w:sz w:val="21"/>
          <w:szCs w:val="21"/>
        </w:rPr>
      </w:pPr>
      <w:r>
        <w:rPr>
          <w:rFonts w:hint="eastAsia" w:ascii="宋体" w:hAnsi="宋体"/>
          <w:color w:val="auto"/>
          <w:sz w:val="21"/>
          <w:szCs w:val="21"/>
        </w:rPr>
        <w:t>具有自动诊断功能及防丢车措施，当设备一旦出现故障，能自动显示故障情况并自动将故障记录存盘，通过打印机输出。</w:t>
      </w:r>
    </w:p>
    <w:p>
      <w:pPr>
        <w:numPr>
          <w:ilvl w:val="0"/>
          <w:numId w:val="1"/>
        </w:numPr>
        <w:spacing w:line="360" w:lineRule="auto"/>
        <w:ind w:left="425" w:leftChars="0" w:hanging="425" w:firstLineChars="0"/>
        <w:rPr>
          <w:rFonts w:ascii="宋体" w:hAnsi="宋体"/>
          <w:color w:val="auto"/>
          <w:sz w:val="21"/>
          <w:szCs w:val="21"/>
        </w:rPr>
      </w:pPr>
      <w:r>
        <w:rPr>
          <w:rFonts w:hint="eastAsia" w:ascii="宋体" w:hAnsi="宋体"/>
          <w:color w:val="auto"/>
          <w:sz w:val="21"/>
          <w:szCs w:val="21"/>
        </w:rPr>
        <w:t>具有机车称重超速行驶时自动报警功能。</w:t>
      </w:r>
    </w:p>
    <w:p>
      <w:pPr>
        <w:spacing w:line="360" w:lineRule="auto"/>
        <w:rPr>
          <w:rFonts w:hint="eastAsia" w:ascii="宋体" w:hAnsi="宋体"/>
          <w:color w:val="auto"/>
          <w:sz w:val="21"/>
          <w:szCs w:val="21"/>
        </w:rPr>
      </w:pPr>
      <w:bookmarkStart w:id="1" w:name="_Toc396470482"/>
      <w:r>
        <w:rPr>
          <w:rFonts w:hint="eastAsia" w:ascii="宋体" w:hAnsi="宋体" w:cs="宋体"/>
          <w:color w:val="auto"/>
          <w:sz w:val="21"/>
          <w:szCs w:val="21"/>
          <w:lang w:eastAsia="zh-CN"/>
        </w:rPr>
        <w:t>3.2</w:t>
      </w:r>
      <w:r>
        <w:rPr>
          <w:rFonts w:hint="eastAsia" w:ascii="宋体" w:hAnsi="宋体"/>
          <w:color w:val="auto"/>
          <w:sz w:val="21"/>
          <w:szCs w:val="21"/>
        </w:rPr>
        <w:t>.2车号识别系统技术参数</w:t>
      </w:r>
      <w:bookmarkEnd w:id="1"/>
    </w:p>
    <w:p>
      <w:pPr>
        <w:numPr>
          <w:ilvl w:val="0"/>
          <w:numId w:val="0"/>
        </w:numPr>
        <w:spacing w:line="360" w:lineRule="auto"/>
        <w:ind w:left="0" w:leftChars="0" w:firstLine="0" w:firstLineChars="0"/>
        <w:rPr>
          <w:rFonts w:ascii="宋体" w:hAnsi="宋体"/>
          <w:color w:val="auto"/>
          <w:sz w:val="21"/>
          <w:szCs w:val="21"/>
        </w:rPr>
      </w:pPr>
      <w:r>
        <w:rPr>
          <w:rFonts w:hint="eastAsia" w:ascii="宋体" w:hAnsi="宋体"/>
          <w:color w:val="auto"/>
          <w:sz w:val="21"/>
          <w:szCs w:val="21"/>
          <w:lang w:val="en-US" w:eastAsia="zh-CN"/>
        </w:rPr>
        <w:t>1）</w:t>
      </w:r>
      <w:r>
        <w:rPr>
          <w:rFonts w:hint="eastAsia" w:ascii="宋体" w:hAnsi="宋体"/>
          <w:color w:val="auto"/>
          <w:sz w:val="21"/>
          <w:szCs w:val="21"/>
        </w:rPr>
        <w:t>车号识别系统工作频段：</w:t>
      </w:r>
      <w:r>
        <w:rPr>
          <w:rFonts w:ascii="宋体" w:hAnsi="宋体"/>
          <w:color w:val="auto"/>
          <w:sz w:val="21"/>
          <w:szCs w:val="21"/>
        </w:rPr>
        <w:t>910.10MHz</w:t>
      </w:r>
      <w:r>
        <w:rPr>
          <w:rFonts w:hint="eastAsia" w:ascii="宋体" w:hAnsi="宋体"/>
          <w:color w:val="auto"/>
          <w:sz w:val="21"/>
          <w:szCs w:val="21"/>
        </w:rPr>
        <w:t>，</w:t>
      </w:r>
      <w:r>
        <w:rPr>
          <w:rFonts w:ascii="宋体" w:hAnsi="宋体"/>
          <w:color w:val="auto"/>
          <w:sz w:val="21"/>
          <w:szCs w:val="21"/>
        </w:rPr>
        <w:t>912.10MHz</w:t>
      </w:r>
      <w:r>
        <w:rPr>
          <w:rFonts w:hint="eastAsia" w:ascii="宋体" w:hAnsi="宋体"/>
          <w:color w:val="auto"/>
          <w:sz w:val="21"/>
          <w:szCs w:val="21"/>
        </w:rPr>
        <w:t>，</w:t>
      </w:r>
      <w:r>
        <w:rPr>
          <w:rFonts w:ascii="宋体" w:hAnsi="宋体"/>
          <w:color w:val="auto"/>
          <w:sz w:val="21"/>
          <w:szCs w:val="21"/>
        </w:rPr>
        <w:t>914.14MHz</w:t>
      </w:r>
      <w:r>
        <w:rPr>
          <w:rFonts w:hint="eastAsia" w:ascii="宋体" w:hAnsi="宋体"/>
          <w:color w:val="auto"/>
          <w:sz w:val="21"/>
          <w:szCs w:val="21"/>
        </w:rPr>
        <w:t>；</w:t>
      </w:r>
    </w:p>
    <w:p>
      <w:pPr>
        <w:numPr>
          <w:ilvl w:val="0"/>
          <w:numId w:val="0"/>
        </w:numPr>
        <w:spacing w:line="360" w:lineRule="auto"/>
        <w:ind w:left="0" w:leftChars="0" w:firstLine="0" w:firstLineChars="0"/>
        <w:rPr>
          <w:rFonts w:ascii="宋体" w:hAnsi="宋体"/>
          <w:color w:val="auto"/>
          <w:sz w:val="21"/>
          <w:szCs w:val="21"/>
        </w:rPr>
      </w:pPr>
      <w:r>
        <w:rPr>
          <w:rFonts w:hint="eastAsia" w:ascii="宋体" w:hAnsi="宋体"/>
          <w:color w:val="auto"/>
          <w:sz w:val="21"/>
          <w:szCs w:val="21"/>
          <w:lang w:val="en-US" w:eastAsia="zh-CN"/>
        </w:rPr>
        <w:t>2）</w:t>
      </w:r>
      <w:r>
        <w:rPr>
          <w:rFonts w:hint="eastAsia" w:ascii="宋体" w:hAnsi="宋体"/>
          <w:color w:val="auto"/>
          <w:sz w:val="21"/>
          <w:szCs w:val="21"/>
        </w:rPr>
        <w:t>识别精度≥</w:t>
      </w:r>
      <w:r>
        <w:rPr>
          <w:rFonts w:ascii="宋体" w:hAnsi="宋体"/>
          <w:color w:val="auto"/>
          <w:sz w:val="21"/>
          <w:szCs w:val="21"/>
        </w:rPr>
        <w:t>99.9999%</w:t>
      </w:r>
      <w:r>
        <w:rPr>
          <w:rFonts w:hint="eastAsia" w:ascii="宋体" w:hAnsi="宋体"/>
          <w:color w:val="auto"/>
          <w:sz w:val="21"/>
          <w:szCs w:val="21"/>
        </w:rPr>
        <w:t>；</w:t>
      </w:r>
    </w:p>
    <w:p>
      <w:pPr>
        <w:numPr>
          <w:ilvl w:val="0"/>
          <w:numId w:val="0"/>
        </w:numPr>
        <w:spacing w:line="360" w:lineRule="auto"/>
        <w:ind w:left="0" w:leftChars="0" w:firstLine="0" w:firstLineChars="0"/>
        <w:rPr>
          <w:rFonts w:ascii="宋体" w:hAnsi="宋体"/>
          <w:color w:val="auto"/>
          <w:sz w:val="21"/>
          <w:szCs w:val="21"/>
        </w:rPr>
      </w:pPr>
      <w:r>
        <w:rPr>
          <w:rFonts w:hint="eastAsia" w:ascii="宋体" w:hAnsi="宋体"/>
          <w:color w:val="auto"/>
          <w:sz w:val="21"/>
          <w:szCs w:val="21"/>
          <w:lang w:val="en-US" w:eastAsia="zh-CN"/>
        </w:rPr>
        <w:t>3）</w:t>
      </w:r>
      <w:r>
        <w:rPr>
          <w:rFonts w:hint="eastAsia" w:ascii="宋体" w:hAnsi="宋体"/>
          <w:color w:val="auto"/>
          <w:sz w:val="21"/>
          <w:szCs w:val="21"/>
        </w:rPr>
        <w:t>工作方式：微波反射调制；</w:t>
      </w:r>
    </w:p>
    <w:p>
      <w:pPr>
        <w:numPr>
          <w:ilvl w:val="0"/>
          <w:numId w:val="0"/>
        </w:numPr>
        <w:spacing w:line="360" w:lineRule="auto"/>
        <w:ind w:left="0" w:leftChars="0" w:firstLine="0" w:firstLineChars="0"/>
        <w:rPr>
          <w:rFonts w:ascii="宋体" w:hAnsi="宋体"/>
          <w:color w:val="auto"/>
          <w:sz w:val="21"/>
          <w:szCs w:val="21"/>
        </w:rPr>
      </w:pPr>
      <w:r>
        <w:rPr>
          <w:rFonts w:hint="eastAsia" w:ascii="宋体" w:hAnsi="宋体"/>
          <w:color w:val="auto"/>
          <w:sz w:val="21"/>
          <w:szCs w:val="21"/>
          <w:lang w:val="en-US" w:eastAsia="zh-CN"/>
        </w:rPr>
        <w:t>4）</w:t>
      </w:r>
      <w:r>
        <w:rPr>
          <w:rFonts w:hint="eastAsia" w:ascii="宋体" w:hAnsi="宋体"/>
          <w:color w:val="auto"/>
          <w:sz w:val="21"/>
          <w:szCs w:val="21"/>
        </w:rPr>
        <w:t>编码方式：采用与ISO－</w:t>
      </w:r>
      <w:r>
        <w:rPr>
          <w:rFonts w:ascii="宋体" w:hAnsi="宋体"/>
          <w:color w:val="auto"/>
          <w:sz w:val="21"/>
          <w:szCs w:val="21"/>
        </w:rPr>
        <w:t>10374</w:t>
      </w:r>
      <w:r>
        <w:rPr>
          <w:rFonts w:hint="eastAsia" w:ascii="宋体" w:hAnsi="宋体"/>
          <w:color w:val="auto"/>
          <w:sz w:val="21"/>
          <w:szCs w:val="21"/>
        </w:rPr>
        <w:t>和</w:t>
      </w:r>
      <w:r>
        <w:rPr>
          <w:rFonts w:ascii="宋体" w:hAnsi="宋体"/>
          <w:color w:val="auto"/>
          <w:sz w:val="21"/>
          <w:szCs w:val="21"/>
        </w:rPr>
        <w:t>AAR918</w:t>
      </w:r>
      <w:r>
        <w:rPr>
          <w:rFonts w:hint="eastAsia" w:ascii="宋体" w:hAnsi="宋体"/>
          <w:color w:val="auto"/>
          <w:sz w:val="21"/>
          <w:szCs w:val="21"/>
        </w:rPr>
        <w:t>－</w:t>
      </w:r>
      <w:r>
        <w:rPr>
          <w:rFonts w:ascii="宋体" w:hAnsi="宋体"/>
          <w:color w:val="auto"/>
          <w:sz w:val="21"/>
          <w:szCs w:val="21"/>
        </w:rPr>
        <w:t>94</w:t>
      </w:r>
      <w:r>
        <w:rPr>
          <w:rFonts w:hint="eastAsia" w:ascii="宋体" w:hAnsi="宋体"/>
          <w:color w:val="auto"/>
          <w:sz w:val="21"/>
          <w:szCs w:val="21"/>
        </w:rPr>
        <w:t>兼容的变形</w:t>
      </w:r>
      <w:r>
        <w:rPr>
          <w:rFonts w:ascii="宋体" w:hAnsi="宋体"/>
          <w:color w:val="auto"/>
          <w:sz w:val="21"/>
          <w:szCs w:val="21"/>
        </w:rPr>
        <w:t>FSK</w:t>
      </w:r>
      <w:r>
        <w:rPr>
          <w:rFonts w:hint="eastAsia" w:ascii="宋体" w:hAnsi="宋体"/>
          <w:color w:val="auto"/>
          <w:sz w:val="21"/>
          <w:szCs w:val="21"/>
        </w:rPr>
        <w:t>；</w:t>
      </w:r>
    </w:p>
    <w:p>
      <w:pPr>
        <w:numPr>
          <w:ilvl w:val="0"/>
          <w:numId w:val="0"/>
        </w:numPr>
        <w:spacing w:line="360" w:lineRule="auto"/>
        <w:ind w:left="0" w:leftChars="0" w:firstLine="0" w:firstLineChars="0"/>
        <w:rPr>
          <w:rFonts w:ascii="宋体" w:hAnsi="宋体"/>
          <w:color w:val="auto"/>
          <w:sz w:val="21"/>
          <w:szCs w:val="21"/>
        </w:rPr>
      </w:pPr>
      <w:r>
        <w:rPr>
          <w:rFonts w:hint="eastAsia" w:ascii="宋体" w:hAnsi="宋体"/>
          <w:color w:val="auto"/>
          <w:sz w:val="21"/>
          <w:szCs w:val="21"/>
          <w:lang w:val="en-US" w:eastAsia="zh-CN"/>
        </w:rPr>
        <w:t>5）</w:t>
      </w:r>
      <w:r>
        <w:rPr>
          <w:rFonts w:hint="eastAsia" w:ascii="宋体" w:hAnsi="宋体"/>
          <w:color w:val="auto"/>
          <w:sz w:val="21"/>
          <w:szCs w:val="21"/>
        </w:rPr>
        <w:t>适应车速：0～1</w:t>
      </w:r>
      <w:r>
        <w:rPr>
          <w:rFonts w:ascii="宋体" w:hAnsi="宋体"/>
          <w:color w:val="auto"/>
          <w:sz w:val="21"/>
          <w:szCs w:val="21"/>
        </w:rPr>
        <w:t>00km</w:t>
      </w:r>
      <w:r>
        <w:rPr>
          <w:rFonts w:hint="eastAsia" w:ascii="宋体" w:hAnsi="宋体"/>
          <w:color w:val="auto"/>
          <w:sz w:val="21"/>
          <w:szCs w:val="21"/>
        </w:rPr>
        <w:t>／</w:t>
      </w:r>
      <w:r>
        <w:rPr>
          <w:rFonts w:ascii="宋体" w:hAnsi="宋体"/>
          <w:color w:val="auto"/>
          <w:sz w:val="21"/>
          <w:szCs w:val="21"/>
        </w:rPr>
        <w:t>h</w:t>
      </w:r>
      <w:r>
        <w:rPr>
          <w:rFonts w:hint="eastAsia" w:ascii="宋体" w:hAnsi="宋体"/>
          <w:color w:val="auto"/>
          <w:sz w:val="21"/>
          <w:szCs w:val="21"/>
        </w:rPr>
        <w:t>；</w:t>
      </w:r>
    </w:p>
    <w:p>
      <w:pPr>
        <w:numPr>
          <w:ilvl w:val="0"/>
          <w:numId w:val="0"/>
        </w:numPr>
        <w:spacing w:line="360" w:lineRule="auto"/>
        <w:ind w:left="0" w:leftChars="0" w:firstLine="0" w:firstLineChars="0"/>
        <w:rPr>
          <w:rFonts w:ascii="宋体" w:hAnsi="宋体"/>
          <w:color w:val="auto"/>
          <w:sz w:val="21"/>
          <w:szCs w:val="21"/>
        </w:rPr>
      </w:pPr>
      <w:r>
        <w:rPr>
          <w:rFonts w:hint="eastAsia" w:ascii="宋体" w:hAnsi="宋体"/>
          <w:color w:val="auto"/>
          <w:sz w:val="21"/>
          <w:szCs w:val="21"/>
          <w:lang w:val="en-US" w:eastAsia="zh-CN"/>
        </w:rPr>
        <w:t>6）</w:t>
      </w:r>
      <w:r>
        <w:rPr>
          <w:rFonts w:hint="eastAsia" w:ascii="宋体" w:hAnsi="宋体"/>
          <w:color w:val="auto"/>
          <w:sz w:val="21"/>
          <w:szCs w:val="21"/>
        </w:rPr>
        <w:t>工作距离：</w:t>
      </w:r>
      <w:r>
        <w:rPr>
          <w:rFonts w:ascii="宋体" w:hAnsi="宋体"/>
          <w:color w:val="auto"/>
          <w:sz w:val="21"/>
          <w:szCs w:val="21"/>
        </w:rPr>
        <w:t>0</w:t>
      </w:r>
      <w:r>
        <w:rPr>
          <w:rFonts w:hint="eastAsia" w:ascii="宋体" w:hAnsi="宋体"/>
          <w:color w:val="auto"/>
          <w:sz w:val="21"/>
          <w:szCs w:val="21"/>
        </w:rPr>
        <w:t>～</w:t>
      </w:r>
      <w:r>
        <w:rPr>
          <w:rFonts w:ascii="宋体" w:hAnsi="宋体"/>
          <w:color w:val="auto"/>
          <w:sz w:val="21"/>
          <w:szCs w:val="21"/>
        </w:rPr>
        <w:t>6m</w:t>
      </w:r>
      <w:r>
        <w:rPr>
          <w:rFonts w:hint="eastAsia" w:ascii="宋体" w:hAnsi="宋体"/>
          <w:color w:val="auto"/>
          <w:sz w:val="21"/>
          <w:szCs w:val="21"/>
        </w:rPr>
        <w:t>；</w:t>
      </w:r>
    </w:p>
    <w:p>
      <w:pPr>
        <w:numPr>
          <w:ilvl w:val="0"/>
          <w:numId w:val="0"/>
        </w:numPr>
        <w:spacing w:line="360" w:lineRule="auto"/>
        <w:ind w:left="0" w:leftChars="0" w:firstLine="0" w:firstLineChars="0"/>
        <w:rPr>
          <w:rFonts w:ascii="宋体" w:hAnsi="宋体"/>
          <w:color w:val="auto"/>
          <w:sz w:val="21"/>
          <w:szCs w:val="21"/>
        </w:rPr>
      </w:pPr>
      <w:r>
        <w:rPr>
          <w:rFonts w:hint="eastAsia" w:ascii="宋体" w:hAnsi="宋体"/>
          <w:color w:val="auto"/>
          <w:sz w:val="21"/>
          <w:szCs w:val="21"/>
          <w:lang w:val="en-US" w:eastAsia="zh-CN"/>
        </w:rPr>
        <w:t>7）</w:t>
      </w:r>
      <w:r>
        <w:rPr>
          <w:rFonts w:hint="eastAsia" w:ascii="宋体" w:hAnsi="宋体"/>
          <w:color w:val="auto"/>
          <w:sz w:val="21"/>
          <w:szCs w:val="21"/>
        </w:rPr>
        <w:t>适应环境：室外设备　　室内设备；</w:t>
      </w:r>
    </w:p>
    <w:p>
      <w:pPr>
        <w:spacing w:line="360" w:lineRule="auto"/>
        <w:ind w:left="0" w:leftChars="0" w:firstLine="0" w:firstLineChars="0"/>
        <w:rPr>
          <w:rFonts w:ascii="宋体" w:hAnsi="宋体"/>
          <w:color w:val="auto"/>
          <w:sz w:val="21"/>
          <w:szCs w:val="21"/>
        </w:rPr>
      </w:pPr>
      <w:r>
        <w:rPr>
          <w:rFonts w:hint="eastAsia" w:ascii="宋体" w:hAnsi="宋体"/>
          <w:color w:val="auto"/>
          <w:sz w:val="21"/>
          <w:szCs w:val="21"/>
          <w:lang w:val="en-US" w:eastAsia="zh-CN"/>
        </w:rPr>
        <w:t>8）</w:t>
      </w:r>
      <w:r>
        <w:rPr>
          <w:rFonts w:hint="eastAsia" w:ascii="宋体" w:hAnsi="宋体"/>
          <w:color w:val="auto"/>
          <w:sz w:val="21"/>
          <w:szCs w:val="21"/>
        </w:rPr>
        <w:t>温　　度：－</w:t>
      </w:r>
      <w:r>
        <w:rPr>
          <w:rFonts w:ascii="宋体" w:hAnsi="宋体"/>
          <w:color w:val="auto"/>
          <w:sz w:val="21"/>
          <w:szCs w:val="21"/>
        </w:rPr>
        <w:t>50</w:t>
      </w:r>
      <w:r>
        <w:rPr>
          <w:rFonts w:hint="eastAsia" w:ascii="宋体" w:hAnsi="宋体"/>
          <w:color w:val="auto"/>
          <w:sz w:val="21"/>
          <w:szCs w:val="21"/>
        </w:rPr>
        <w:t>℃—＋</w:t>
      </w:r>
      <w:r>
        <w:rPr>
          <w:rFonts w:ascii="宋体" w:hAnsi="宋体"/>
          <w:color w:val="auto"/>
          <w:sz w:val="21"/>
          <w:szCs w:val="21"/>
        </w:rPr>
        <w:t>85</w:t>
      </w:r>
      <w:r>
        <w:rPr>
          <w:rFonts w:hint="eastAsia" w:ascii="宋体" w:hAnsi="宋体"/>
          <w:color w:val="auto"/>
          <w:sz w:val="21"/>
          <w:szCs w:val="21"/>
        </w:rPr>
        <w:t>℃　　－</w:t>
      </w:r>
      <w:r>
        <w:rPr>
          <w:rFonts w:ascii="宋体" w:hAnsi="宋体"/>
          <w:color w:val="auto"/>
          <w:sz w:val="21"/>
          <w:szCs w:val="21"/>
        </w:rPr>
        <w:t>20</w:t>
      </w:r>
      <w:r>
        <w:rPr>
          <w:rFonts w:hint="eastAsia" w:ascii="宋体" w:hAnsi="宋体"/>
          <w:color w:val="auto"/>
          <w:sz w:val="21"/>
          <w:szCs w:val="21"/>
        </w:rPr>
        <w:t>℃—＋</w:t>
      </w:r>
      <w:r>
        <w:rPr>
          <w:rFonts w:ascii="宋体" w:hAnsi="宋体"/>
          <w:color w:val="auto"/>
          <w:sz w:val="21"/>
          <w:szCs w:val="21"/>
        </w:rPr>
        <w:t>75</w:t>
      </w:r>
      <w:r>
        <w:rPr>
          <w:rFonts w:hint="eastAsia" w:ascii="宋体" w:hAnsi="宋体"/>
          <w:color w:val="auto"/>
          <w:sz w:val="21"/>
          <w:szCs w:val="21"/>
        </w:rPr>
        <w:t>℃；</w:t>
      </w:r>
    </w:p>
    <w:p>
      <w:pPr>
        <w:spacing w:line="360" w:lineRule="auto"/>
        <w:ind w:left="0" w:leftChars="0" w:firstLine="0" w:firstLineChars="0"/>
        <w:rPr>
          <w:rFonts w:ascii="宋体" w:hAnsi="宋体"/>
          <w:color w:val="auto"/>
          <w:sz w:val="21"/>
          <w:szCs w:val="21"/>
        </w:rPr>
      </w:pPr>
      <w:r>
        <w:rPr>
          <w:rFonts w:hint="eastAsia" w:ascii="宋体" w:hAnsi="宋体"/>
          <w:color w:val="auto"/>
          <w:sz w:val="21"/>
          <w:szCs w:val="21"/>
          <w:lang w:val="en-US" w:eastAsia="zh-CN"/>
        </w:rPr>
        <w:t>9）</w:t>
      </w:r>
      <w:r>
        <w:rPr>
          <w:rFonts w:hint="eastAsia" w:ascii="宋体" w:hAnsi="宋体"/>
          <w:color w:val="auto"/>
          <w:sz w:val="21"/>
          <w:szCs w:val="21"/>
        </w:rPr>
        <w:t>相对温度：≤</w:t>
      </w:r>
      <w:r>
        <w:rPr>
          <w:rFonts w:ascii="宋体" w:hAnsi="宋体"/>
          <w:color w:val="auto"/>
          <w:sz w:val="21"/>
          <w:szCs w:val="21"/>
        </w:rPr>
        <w:t>95</w:t>
      </w:r>
      <w:r>
        <w:rPr>
          <w:rFonts w:hint="eastAsia" w:ascii="宋体" w:hAnsi="宋体"/>
          <w:color w:val="auto"/>
          <w:sz w:val="21"/>
          <w:szCs w:val="21"/>
        </w:rPr>
        <w:t>％　　　　　　　≤</w:t>
      </w:r>
      <w:r>
        <w:rPr>
          <w:rFonts w:ascii="宋体" w:hAnsi="宋体"/>
          <w:color w:val="auto"/>
          <w:sz w:val="21"/>
          <w:szCs w:val="21"/>
        </w:rPr>
        <w:t>85</w:t>
      </w:r>
      <w:r>
        <w:rPr>
          <w:rFonts w:hint="eastAsia" w:ascii="宋体" w:hAnsi="宋体"/>
          <w:color w:val="auto"/>
          <w:sz w:val="21"/>
          <w:szCs w:val="21"/>
        </w:rPr>
        <w:t>％；</w:t>
      </w:r>
    </w:p>
    <w:p>
      <w:pPr>
        <w:numPr>
          <w:ilvl w:val="0"/>
          <w:numId w:val="0"/>
        </w:numPr>
        <w:spacing w:line="360" w:lineRule="auto"/>
        <w:ind w:left="0" w:leftChars="0" w:firstLine="0" w:firstLineChars="0"/>
        <w:rPr>
          <w:rFonts w:ascii="宋体" w:hAnsi="宋体"/>
          <w:color w:val="auto"/>
          <w:sz w:val="21"/>
          <w:szCs w:val="21"/>
        </w:rPr>
      </w:pPr>
      <w:r>
        <w:rPr>
          <w:rFonts w:hint="eastAsia" w:ascii="宋体" w:hAnsi="宋体"/>
          <w:color w:val="auto"/>
          <w:sz w:val="21"/>
          <w:szCs w:val="21"/>
          <w:lang w:val="en-US" w:eastAsia="zh-CN"/>
        </w:rPr>
        <w:t>10）</w:t>
      </w:r>
      <w:r>
        <w:rPr>
          <w:rFonts w:hint="eastAsia" w:ascii="宋体" w:hAnsi="宋体"/>
          <w:color w:val="auto"/>
          <w:sz w:val="21"/>
          <w:szCs w:val="21"/>
        </w:rPr>
        <w:t>标签内存：</w:t>
      </w:r>
      <w:r>
        <w:rPr>
          <w:rFonts w:ascii="宋体" w:hAnsi="宋体"/>
          <w:color w:val="auto"/>
          <w:sz w:val="21"/>
          <w:szCs w:val="21"/>
        </w:rPr>
        <w:t>128bit</w:t>
      </w:r>
      <w:r>
        <w:rPr>
          <w:rFonts w:hint="eastAsia" w:ascii="宋体" w:hAnsi="宋体"/>
          <w:color w:val="auto"/>
          <w:sz w:val="21"/>
          <w:szCs w:val="21"/>
        </w:rPr>
        <w:t>；</w:t>
      </w:r>
    </w:p>
    <w:p>
      <w:pPr>
        <w:numPr>
          <w:ilvl w:val="0"/>
          <w:numId w:val="0"/>
        </w:numPr>
        <w:spacing w:line="360" w:lineRule="auto"/>
        <w:ind w:left="0" w:leftChars="0" w:firstLine="0" w:firstLineChars="0"/>
        <w:rPr>
          <w:rFonts w:ascii="宋体" w:hAnsi="宋体"/>
          <w:color w:val="auto"/>
          <w:sz w:val="21"/>
          <w:szCs w:val="21"/>
        </w:rPr>
      </w:pPr>
      <w:r>
        <w:rPr>
          <w:rFonts w:hint="eastAsia" w:ascii="宋体" w:hAnsi="宋体"/>
          <w:color w:val="auto"/>
          <w:sz w:val="21"/>
          <w:szCs w:val="21"/>
          <w:lang w:val="en-US" w:eastAsia="zh-CN"/>
        </w:rPr>
        <w:t>11）</w:t>
      </w:r>
      <w:r>
        <w:rPr>
          <w:rFonts w:hint="eastAsia" w:ascii="宋体" w:hAnsi="宋体"/>
          <w:color w:val="auto"/>
          <w:sz w:val="21"/>
          <w:szCs w:val="21"/>
        </w:rPr>
        <w:t>车辆标签：属性码、车种、车型、车号、换长、制造厂及制造日期。</w:t>
      </w:r>
    </w:p>
    <w:p>
      <w:pPr>
        <w:numPr>
          <w:ilvl w:val="0"/>
          <w:numId w:val="0"/>
        </w:numPr>
        <w:spacing w:line="360" w:lineRule="auto"/>
        <w:ind w:left="0" w:leftChars="0" w:firstLine="0" w:firstLineChars="0"/>
        <w:rPr>
          <w:rFonts w:ascii="宋体" w:hAnsi="宋体"/>
          <w:color w:val="auto"/>
          <w:spacing w:val="-4"/>
          <w:sz w:val="21"/>
          <w:szCs w:val="21"/>
        </w:rPr>
      </w:pPr>
      <w:r>
        <w:rPr>
          <w:rFonts w:hint="eastAsia" w:ascii="宋体" w:hAnsi="宋体"/>
          <w:color w:val="auto"/>
          <w:sz w:val="21"/>
          <w:szCs w:val="21"/>
          <w:lang w:val="en-US" w:eastAsia="zh-CN"/>
        </w:rPr>
        <w:t>12）</w:t>
      </w:r>
      <w:r>
        <w:rPr>
          <w:rFonts w:hint="eastAsia" w:ascii="宋体" w:hAnsi="宋体"/>
          <w:color w:val="auto"/>
          <w:spacing w:val="-4"/>
          <w:sz w:val="21"/>
          <w:szCs w:val="21"/>
        </w:rPr>
        <w:t>机车标签：属性码、任务性质、车次、机车型号、配属路局、配属段。</w:t>
      </w:r>
    </w:p>
    <w:p>
      <w:pPr>
        <w:numPr>
          <w:ilvl w:val="0"/>
          <w:numId w:val="0"/>
        </w:numPr>
        <w:spacing w:line="360" w:lineRule="auto"/>
        <w:ind w:left="0" w:leftChars="0" w:firstLine="0" w:firstLineChars="0"/>
        <w:rPr>
          <w:rFonts w:ascii="宋体" w:hAnsi="宋体"/>
          <w:color w:val="auto"/>
          <w:sz w:val="21"/>
          <w:szCs w:val="21"/>
        </w:rPr>
      </w:pPr>
      <w:r>
        <w:rPr>
          <w:rFonts w:hint="eastAsia" w:ascii="宋体" w:hAnsi="宋体"/>
          <w:color w:val="auto"/>
          <w:sz w:val="21"/>
          <w:szCs w:val="21"/>
          <w:lang w:val="en-US" w:eastAsia="zh-CN"/>
        </w:rPr>
        <w:t>13）</w:t>
      </w:r>
      <w:r>
        <w:rPr>
          <w:rFonts w:hint="eastAsia" w:ascii="宋体" w:hAnsi="宋体"/>
          <w:color w:val="auto"/>
          <w:sz w:val="21"/>
          <w:szCs w:val="21"/>
        </w:rPr>
        <w:t>外壳封装：密封、不受气候影响的非金属材料</w:t>
      </w:r>
    </w:p>
    <w:p>
      <w:pPr>
        <w:numPr>
          <w:ilvl w:val="0"/>
          <w:numId w:val="0"/>
        </w:numPr>
        <w:spacing w:line="360" w:lineRule="auto"/>
        <w:ind w:left="0" w:leftChars="0" w:firstLine="0" w:firstLineChars="0"/>
        <w:rPr>
          <w:rFonts w:ascii="宋体" w:hAnsi="宋体"/>
          <w:color w:val="auto"/>
          <w:spacing w:val="-4"/>
          <w:sz w:val="21"/>
          <w:szCs w:val="21"/>
        </w:rPr>
      </w:pPr>
      <w:r>
        <w:rPr>
          <w:rFonts w:hint="eastAsia" w:ascii="宋体" w:hAnsi="宋体"/>
          <w:color w:val="auto"/>
          <w:sz w:val="21"/>
          <w:szCs w:val="21"/>
          <w:lang w:val="en-US" w:eastAsia="zh-CN"/>
        </w:rPr>
        <w:t>14）</w:t>
      </w:r>
      <w:r>
        <w:rPr>
          <w:rFonts w:hint="eastAsia" w:ascii="宋体" w:hAnsi="宋体"/>
          <w:color w:val="auto"/>
          <w:spacing w:val="-4"/>
          <w:sz w:val="21"/>
          <w:szCs w:val="21"/>
        </w:rPr>
        <w:t>编程；标签具有由用编程并对写入标签的具有差错校验和检查功能。</w:t>
      </w:r>
    </w:p>
    <w:p>
      <w:pPr>
        <w:numPr>
          <w:ilvl w:val="0"/>
          <w:numId w:val="0"/>
        </w:numPr>
        <w:spacing w:line="360" w:lineRule="auto"/>
        <w:ind w:left="0" w:leftChars="0" w:firstLine="0" w:firstLineChars="0"/>
        <w:rPr>
          <w:rFonts w:ascii="宋体" w:hAnsi="宋体"/>
          <w:color w:val="auto"/>
          <w:sz w:val="21"/>
          <w:szCs w:val="21"/>
        </w:rPr>
      </w:pPr>
      <w:r>
        <w:rPr>
          <w:rFonts w:hint="eastAsia" w:ascii="宋体" w:hAnsi="宋体"/>
          <w:color w:val="auto"/>
          <w:sz w:val="21"/>
          <w:szCs w:val="21"/>
          <w:lang w:val="en-US" w:eastAsia="zh-CN"/>
        </w:rPr>
        <w:t>15）</w:t>
      </w:r>
      <w:r>
        <w:rPr>
          <w:rFonts w:hint="eastAsia" w:ascii="宋体" w:hAnsi="宋体"/>
          <w:color w:val="auto"/>
          <w:sz w:val="21"/>
          <w:szCs w:val="21"/>
        </w:rPr>
        <w:t>外壳封装：密封、不受气候影响的非金属材料。</w:t>
      </w:r>
    </w:p>
    <w:p>
      <w:pPr>
        <w:numPr>
          <w:ilvl w:val="0"/>
          <w:numId w:val="0"/>
        </w:numPr>
        <w:spacing w:line="360" w:lineRule="auto"/>
        <w:ind w:left="0" w:leftChars="0" w:firstLine="0" w:firstLineChars="0"/>
        <w:rPr>
          <w:rFonts w:ascii="宋体" w:hAnsi="宋体"/>
          <w:color w:val="auto"/>
          <w:sz w:val="21"/>
          <w:szCs w:val="21"/>
        </w:rPr>
      </w:pPr>
      <w:r>
        <w:rPr>
          <w:rFonts w:hint="eastAsia" w:ascii="宋体" w:hAnsi="宋体"/>
          <w:color w:val="auto"/>
          <w:sz w:val="21"/>
          <w:szCs w:val="21"/>
          <w:lang w:val="en-US" w:eastAsia="zh-CN"/>
        </w:rPr>
        <w:t>16）</w:t>
      </w:r>
      <w:r>
        <w:rPr>
          <w:rFonts w:hint="eastAsia" w:ascii="宋体" w:hAnsi="宋体"/>
          <w:color w:val="auto"/>
          <w:sz w:val="21"/>
          <w:szCs w:val="21"/>
        </w:rPr>
        <w:t>振动冲击应符合《</w:t>
      </w:r>
      <w:r>
        <w:rPr>
          <w:rFonts w:ascii="宋体" w:hAnsi="宋体"/>
          <w:color w:val="auto"/>
          <w:sz w:val="21"/>
          <w:szCs w:val="21"/>
        </w:rPr>
        <w:t>TB</w:t>
      </w:r>
      <w:r>
        <w:rPr>
          <w:rFonts w:hint="eastAsia" w:ascii="宋体" w:hAnsi="宋体"/>
          <w:color w:val="auto"/>
          <w:sz w:val="21"/>
          <w:szCs w:val="21"/>
        </w:rPr>
        <w:t>/</w:t>
      </w:r>
      <w:r>
        <w:rPr>
          <w:rFonts w:ascii="宋体" w:hAnsi="宋体"/>
          <w:color w:val="auto"/>
          <w:sz w:val="21"/>
          <w:szCs w:val="21"/>
        </w:rPr>
        <w:t>1394</w:t>
      </w:r>
      <w:r>
        <w:rPr>
          <w:rFonts w:hint="eastAsia" w:ascii="宋体" w:hAnsi="宋体"/>
          <w:color w:val="auto"/>
          <w:sz w:val="21"/>
          <w:szCs w:val="21"/>
        </w:rPr>
        <w:t>－</w:t>
      </w:r>
      <w:r>
        <w:rPr>
          <w:rFonts w:ascii="宋体" w:hAnsi="宋体"/>
          <w:color w:val="auto"/>
          <w:sz w:val="21"/>
          <w:szCs w:val="21"/>
        </w:rPr>
        <w:t>93</w:t>
      </w:r>
      <w:r>
        <w:rPr>
          <w:rFonts w:hint="eastAsia" w:ascii="宋体" w:hAnsi="宋体"/>
          <w:color w:val="auto"/>
          <w:sz w:val="21"/>
          <w:szCs w:val="21"/>
        </w:rPr>
        <w:t>》标准。</w:t>
      </w:r>
    </w:p>
    <w:p>
      <w:pPr>
        <w:numPr>
          <w:ilvl w:val="0"/>
          <w:numId w:val="0"/>
        </w:numPr>
        <w:spacing w:line="360" w:lineRule="auto"/>
        <w:ind w:left="0" w:leftChars="0" w:firstLine="0" w:firstLineChars="0"/>
        <w:rPr>
          <w:rFonts w:ascii="宋体" w:hAnsi="宋体"/>
          <w:color w:val="auto"/>
          <w:sz w:val="21"/>
          <w:szCs w:val="21"/>
        </w:rPr>
      </w:pPr>
      <w:r>
        <w:rPr>
          <w:rFonts w:hint="eastAsia" w:ascii="宋体" w:hAnsi="宋体"/>
          <w:color w:val="auto"/>
          <w:sz w:val="21"/>
          <w:szCs w:val="21"/>
          <w:lang w:val="en-US" w:eastAsia="zh-CN"/>
        </w:rPr>
        <w:t>17）</w:t>
      </w:r>
      <w:r>
        <w:rPr>
          <w:rFonts w:hint="eastAsia" w:ascii="宋体" w:hAnsi="宋体"/>
          <w:color w:val="auto"/>
          <w:sz w:val="21"/>
          <w:szCs w:val="21"/>
        </w:rPr>
        <w:t>存储温度：标签能在极限温度＋</w:t>
      </w:r>
      <w:r>
        <w:rPr>
          <w:rFonts w:ascii="宋体" w:hAnsi="宋体"/>
          <w:color w:val="auto"/>
          <w:sz w:val="21"/>
          <w:szCs w:val="21"/>
        </w:rPr>
        <w:t>85</w:t>
      </w:r>
      <w:r>
        <w:rPr>
          <w:rFonts w:hint="eastAsia" w:ascii="宋体" w:hAnsi="宋体"/>
          <w:color w:val="auto"/>
          <w:sz w:val="21"/>
          <w:szCs w:val="21"/>
        </w:rPr>
        <w:t>℃～＋</w:t>
      </w:r>
      <w:r>
        <w:rPr>
          <w:rFonts w:ascii="宋体" w:hAnsi="宋体"/>
          <w:color w:val="auto"/>
          <w:sz w:val="21"/>
          <w:szCs w:val="21"/>
        </w:rPr>
        <w:t>125</w:t>
      </w:r>
      <w:r>
        <w:rPr>
          <w:rFonts w:hint="eastAsia" w:ascii="宋体" w:hAnsi="宋体"/>
          <w:color w:val="auto"/>
          <w:sz w:val="21"/>
          <w:szCs w:val="21"/>
        </w:rPr>
        <w:t>℃和－</w:t>
      </w:r>
      <w:r>
        <w:rPr>
          <w:rFonts w:ascii="宋体" w:hAnsi="宋体"/>
          <w:color w:val="auto"/>
          <w:sz w:val="21"/>
          <w:szCs w:val="21"/>
        </w:rPr>
        <w:t>50</w:t>
      </w:r>
      <w:r>
        <w:rPr>
          <w:rFonts w:hint="eastAsia" w:ascii="宋体" w:hAnsi="宋体"/>
          <w:color w:val="auto"/>
          <w:sz w:val="21"/>
          <w:szCs w:val="21"/>
        </w:rPr>
        <w:t>℃～</w:t>
      </w:r>
      <w:r>
        <w:rPr>
          <w:rFonts w:ascii="宋体" w:hAnsi="宋体"/>
          <w:color w:val="auto"/>
          <w:sz w:val="21"/>
          <w:szCs w:val="21"/>
        </w:rPr>
        <w:t>60</w:t>
      </w:r>
      <w:r>
        <w:rPr>
          <w:rFonts w:hint="eastAsia" w:ascii="宋体" w:hAnsi="宋体"/>
          <w:color w:val="auto"/>
          <w:sz w:val="21"/>
          <w:szCs w:val="21"/>
        </w:rPr>
        <w:t>℃条件下，存储</w:t>
      </w:r>
      <w:r>
        <w:rPr>
          <w:rFonts w:ascii="宋体" w:hAnsi="宋体"/>
          <w:color w:val="auto"/>
          <w:sz w:val="21"/>
          <w:szCs w:val="21"/>
        </w:rPr>
        <w:t>3</w:t>
      </w:r>
      <w:r>
        <w:rPr>
          <w:rFonts w:hint="eastAsia" w:ascii="宋体" w:hAnsi="宋体"/>
          <w:color w:val="auto"/>
          <w:sz w:val="21"/>
          <w:szCs w:val="21"/>
        </w:rPr>
        <w:t>小时，并保证标签数据的完整性。</w:t>
      </w:r>
    </w:p>
    <w:p>
      <w:pPr>
        <w:numPr>
          <w:ilvl w:val="0"/>
          <w:numId w:val="0"/>
        </w:numPr>
        <w:spacing w:line="360" w:lineRule="auto"/>
        <w:ind w:left="0" w:leftChars="0" w:firstLine="0" w:firstLineChars="0"/>
        <w:rPr>
          <w:rFonts w:ascii="宋体" w:hAnsi="宋体"/>
          <w:color w:val="auto"/>
          <w:sz w:val="21"/>
          <w:szCs w:val="21"/>
        </w:rPr>
      </w:pPr>
      <w:r>
        <w:rPr>
          <w:rFonts w:hint="eastAsia" w:ascii="宋体" w:hAnsi="宋体"/>
          <w:color w:val="auto"/>
          <w:sz w:val="21"/>
          <w:szCs w:val="21"/>
          <w:lang w:val="en-US" w:eastAsia="zh-CN"/>
        </w:rPr>
        <w:t>18）</w:t>
      </w:r>
      <w:r>
        <w:rPr>
          <w:rFonts w:hint="eastAsia" w:ascii="宋体" w:hAnsi="宋体"/>
          <w:color w:val="auto"/>
          <w:sz w:val="21"/>
          <w:szCs w:val="21"/>
        </w:rPr>
        <w:t>半功率束宽：纵向</w:t>
      </w:r>
      <w:r>
        <w:rPr>
          <w:rFonts w:ascii="宋体" w:hAnsi="宋体"/>
          <w:color w:val="auto"/>
          <w:sz w:val="21"/>
          <w:szCs w:val="21"/>
        </w:rPr>
        <w:t>120</w:t>
      </w:r>
      <w:r>
        <w:rPr>
          <w:rFonts w:hint="eastAsia" w:ascii="宋体" w:hAnsi="宋体"/>
          <w:color w:val="auto"/>
          <w:sz w:val="21"/>
          <w:szCs w:val="21"/>
        </w:rPr>
        <w:t>°，横向</w:t>
      </w:r>
      <w:r>
        <w:rPr>
          <w:rFonts w:ascii="宋体" w:hAnsi="宋体"/>
          <w:color w:val="auto"/>
          <w:sz w:val="21"/>
          <w:szCs w:val="21"/>
        </w:rPr>
        <w:t>45</w:t>
      </w:r>
      <w:r>
        <w:rPr>
          <w:rFonts w:hint="eastAsia" w:ascii="宋体" w:hAnsi="宋体"/>
          <w:color w:val="auto"/>
          <w:sz w:val="21"/>
          <w:szCs w:val="21"/>
        </w:rPr>
        <w:t>°。</w:t>
      </w:r>
    </w:p>
    <w:p>
      <w:pPr>
        <w:numPr>
          <w:ilvl w:val="0"/>
          <w:numId w:val="0"/>
        </w:numPr>
        <w:spacing w:line="360" w:lineRule="auto"/>
        <w:ind w:left="0" w:leftChars="0" w:firstLine="0" w:firstLineChars="0"/>
        <w:rPr>
          <w:rFonts w:ascii="宋体" w:hAnsi="宋体"/>
          <w:color w:val="auto"/>
          <w:sz w:val="21"/>
          <w:szCs w:val="21"/>
        </w:rPr>
      </w:pPr>
      <w:r>
        <w:rPr>
          <w:rFonts w:hint="eastAsia" w:ascii="宋体" w:hAnsi="宋体"/>
          <w:color w:val="auto"/>
          <w:sz w:val="21"/>
          <w:szCs w:val="21"/>
          <w:lang w:val="en-US" w:eastAsia="zh-CN"/>
        </w:rPr>
        <w:t>19）</w:t>
      </w:r>
      <w:r>
        <w:rPr>
          <w:rFonts w:hint="eastAsia" w:ascii="宋体" w:hAnsi="宋体"/>
          <w:color w:val="auto"/>
          <w:sz w:val="21"/>
          <w:szCs w:val="21"/>
        </w:rPr>
        <w:t>RF射频装置。</w:t>
      </w:r>
    </w:p>
    <w:p>
      <w:pPr>
        <w:numPr>
          <w:ilvl w:val="0"/>
          <w:numId w:val="0"/>
        </w:numPr>
        <w:spacing w:line="360" w:lineRule="auto"/>
        <w:ind w:left="0" w:leftChars="0" w:firstLine="0" w:firstLineChars="0"/>
        <w:rPr>
          <w:rFonts w:ascii="宋体" w:hAnsi="宋体"/>
          <w:color w:val="auto"/>
          <w:sz w:val="21"/>
          <w:szCs w:val="21"/>
        </w:rPr>
      </w:pPr>
      <w:r>
        <w:rPr>
          <w:rFonts w:hint="eastAsia" w:ascii="宋体" w:hAnsi="宋体"/>
          <w:color w:val="auto"/>
          <w:sz w:val="21"/>
          <w:szCs w:val="21"/>
          <w:lang w:val="en-US" w:eastAsia="zh-CN"/>
        </w:rPr>
        <w:t>20）</w:t>
      </w:r>
      <w:r>
        <w:rPr>
          <w:rFonts w:hint="eastAsia" w:ascii="宋体" w:hAnsi="宋体"/>
          <w:color w:val="auto"/>
          <w:sz w:val="21"/>
          <w:szCs w:val="21"/>
        </w:rPr>
        <w:t>传输速度：≥</w:t>
      </w:r>
      <w:r>
        <w:rPr>
          <w:rFonts w:ascii="宋体" w:hAnsi="宋体"/>
          <w:color w:val="auto"/>
          <w:sz w:val="21"/>
          <w:szCs w:val="21"/>
        </w:rPr>
        <w:t xml:space="preserve"> 10k</w:t>
      </w:r>
      <w:r>
        <w:rPr>
          <w:rFonts w:hint="eastAsia" w:ascii="宋体" w:hAnsi="宋体"/>
          <w:color w:val="auto"/>
          <w:sz w:val="21"/>
          <w:szCs w:val="21"/>
        </w:rPr>
        <w:t>b</w:t>
      </w:r>
      <w:r>
        <w:rPr>
          <w:rFonts w:ascii="宋体" w:hAnsi="宋体"/>
          <w:color w:val="auto"/>
          <w:sz w:val="21"/>
          <w:szCs w:val="21"/>
        </w:rPr>
        <w:t>it</w:t>
      </w:r>
      <w:r>
        <w:rPr>
          <w:rFonts w:hint="eastAsia" w:ascii="宋体" w:hAnsi="宋体"/>
          <w:color w:val="auto"/>
          <w:sz w:val="21"/>
          <w:szCs w:val="21"/>
        </w:rPr>
        <w:t>／</w:t>
      </w:r>
      <w:r>
        <w:rPr>
          <w:rFonts w:ascii="宋体" w:hAnsi="宋体"/>
          <w:color w:val="auto"/>
          <w:sz w:val="21"/>
          <w:szCs w:val="21"/>
        </w:rPr>
        <w:t>s</w:t>
      </w:r>
      <w:r>
        <w:rPr>
          <w:rFonts w:hint="eastAsia" w:ascii="宋体" w:hAnsi="宋体"/>
          <w:color w:val="auto"/>
          <w:sz w:val="21"/>
          <w:szCs w:val="21"/>
        </w:rPr>
        <w:t>。</w:t>
      </w:r>
    </w:p>
    <w:p>
      <w:pPr>
        <w:numPr>
          <w:ilvl w:val="0"/>
          <w:numId w:val="0"/>
        </w:numPr>
        <w:spacing w:line="360" w:lineRule="auto"/>
        <w:ind w:left="0" w:leftChars="0" w:firstLine="0" w:firstLineChars="0"/>
        <w:rPr>
          <w:rFonts w:ascii="宋体" w:hAnsi="宋体"/>
          <w:color w:val="auto"/>
          <w:sz w:val="21"/>
          <w:szCs w:val="21"/>
        </w:rPr>
      </w:pPr>
      <w:r>
        <w:rPr>
          <w:rFonts w:hint="eastAsia" w:ascii="宋体" w:hAnsi="宋体"/>
          <w:color w:val="auto"/>
          <w:sz w:val="21"/>
          <w:szCs w:val="21"/>
          <w:lang w:val="en-US" w:eastAsia="zh-CN"/>
        </w:rPr>
        <w:t>21）</w:t>
      </w:r>
      <w:r>
        <w:rPr>
          <w:rFonts w:hint="eastAsia" w:ascii="宋体" w:hAnsi="宋体"/>
          <w:color w:val="auto"/>
          <w:sz w:val="21"/>
          <w:szCs w:val="21"/>
        </w:rPr>
        <w:t>发射带宽：5KHZ。</w:t>
      </w:r>
    </w:p>
    <w:p>
      <w:pPr>
        <w:numPr>
          <w:ilvl w:val="0"/>
          <w:numId w:val="0"/>
        </w:numPr>
        <w:spacing w:line="360" w:lineRule="auto"/>
        <w:ind w:left="0" w:leftChars="0" w:firstLine="0" w:firstLineChars="0"/>
        <w:rPr>
          <w:rFonts w:hint="eastAsia" w:ascii="宋体" w:hAnsi="宋体"/>
          <w:color w:val="auto"/>
          <w:sz w:val="21"/>
          <w:szCs w:val="21"/>
        </w:rPr>
      </w:pPr>
      <w:r>
        <w:rPr>
          <w:rFonts w:hint="eastAsia" w:ascii="宋体" w:hAnsi="宋体"/>
          <w:color w:val="auto"/>
          <w:sz w:val="21"/>
          <w:szCs w:val="21"/>
          <w:lang w:val="en-US" w:eastAsia="zh-CN"/>
        </w:rPr>
        <w:t>22）</w:t>
      </w:r>
      <w:r>
        <w:rPr>
          <w:rFonts w:hint="eastAsia" w:ascii="宋体" w:hAnsi="宋体"/>
          <w:color w:val="auto"/>
          <w:sz w:val="21"/>
          <w:szCs w:val="21"/>
        </w:rPr>
        <w:t>输出功率：≤1.6W。</w:t>
      </w:r>
    </w:p>
    <w:p>
      <w:pPr>
        <w:spacing w:line="560" w:lineRule="exact"/>
        <w:rPr>
          <w:rFonts w:hint="eastAsia" w:ascii="宋体" w:hAnsi="宋体"/>
          <w:color w:val="auto"/>
          <w:sz w:val="21"/>
          <w:szCs w:val="21"/>
        </w:rPr>
      </w:pPr>
      <w:r>
        <w:rPr>
          <w:rFonts w:hint="eastAsia" w:ascii="宋体" w:hAnsi="宋体"/>
          <w:color w:val="auto"/>
          <w:sz w:val="21"/>
          <w:szCs w:val="21"/>
          <w:lang w:val="en-US" w:eastAsia="zh-CN"/>
        </w:rPr>
        <w:t>3.2.3</w:t>
      </w:r>
      <w:r>
        <w:rPr>
          <w:rFonts w:hint="eastAsia" w:ascii="宋体" w:hAnsi="宋体"/>
          <w:color w:val="auto"/>
          <w:sz w:val="21"/>
          <w:szCs w:val="21"/>
          <w:lang w:eastAsia="zh-CN"/>
        </w:rPr>
        <w:t>防雷系统</w:t>
      </w:r>
      <w:r>
        <w:rPr>
          <w:rFonts w:hint="eastAsia" w:ascii="宋体" w:hAnsi="宋体"/>
          <w:color w:val="auto"/>
          <w:sz w:val="21"/>
          <w:szCs w:val="21"/>
        </w:rPr>
        <w:t>技术性能及参数</w:t>
      </w:r>
    </w:p>
    <w:p>
      <w:pPr>
        <w:spacing w:line="560" w:lineRule="exact"/>
        <w:outlineLvl w:val="0"/>
        <w:rPr>
          <w:rFonts w:hint="eastAsia" w:ascii="宋体" w:hAnsi="宋体"/>
          <w:color w:val="auto"/>
          <w:sz w:val="21"/>
          <w:szCs w:val="21"/>
        </w:rPr>
      </w:pPr>
      <w:bookmarkStart w:id="2" w:name="_Toc25395"/>
      <w:r>
        <w:rPr>
          <w:rFonts w:hint="eastAsia" w:ascii="宋体" w:hAnsi="宋体"/>
          <w:color w:val="auto"/>
          <w:sz w:val="21"/>
          <w:szCs w:val="21"/>
        </w:rPr>
        <w:t>1) 室外防雷</w:t>
      </w:r>
      <w:bookmarkEnd w:id="2"/>
    </w:p>
    <w:p>
      <w:pPr>
        <w:spacing w:line="560" w:lineRule="exact"/>
        <w:ind w:firstLine="420" w:firstLineChars="200"/>
        <w:rPr>
          <w:rFonts w:hint="eastAsia" w:ascii="宋体" w:hAnsi="宋体"/>
          <w:color w:val="auto"/>
          <w:sz w:val="21"/>
          <w:szCs w:val="21"/>
        </w:rPr>
      </w:pPr>
      <w:r>
        <w:rPr>
          <w:rFonts w:hint="eastAsia" w:ascii="宋体" w:hAnsi="宋体"/>
          <w:color w:val="auto"/>
          <w:sz w:val="21"/>
          <w:szCs w:val="21"/>
        </w:rPr>
        <w:t>由于钢轨具有良好的导电性，雷击时大电流经常通过钢轨传导到设备，造成设备被雷击，所以对钢轨引导的电流必须有效泄放，以杜绝传导到电气设备。具体如下：</w:t>
      </w:r>
    </w:p>
    <w:p>
      <w:pPr>
        <w:jc w:val="center"/>
        <w:rPr>
          <w:rFonts w:hint="eastAsia" w:ascii="黑体" w:eastAsia="黑体"/>
          <w:b/>
          <w:color w:val="auto"/>
          <w:sz w:val="21"/>
          <w:szCs w:val="21"/>
        </w:rPr>
      </w:pPr>
      <w:r>
        <w:rPr>
          <w:rFonts w:hint="eastAsia" w:ascii="黑体" w:eastAsia="黑体"/>
          <w:b/>
          <w:color w:val="auto"/>
          <w:sz w:val="21"/>
          <w:szCs w:val="21"/>
        </w:rPr>
        <w:drawing>
          <wp:inline distT="0" distB="0" distL="114300" distR="114300">
            <wp:extent cx="5179060" cy="2147570"/>
            <wp:effectExtent l="0" t="0" r="2540" b="5080"/>
            <wp:docPr id="5"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1"/>
                    <pic:cNvPicPr>
                      <a:picLocks noChangeAspect="1"/>
                    </pic:cNvPicPr>
                  </pic:nvPicPr>
                  <pic:blipFill>
                    <a:blip r:embed="rId4"/>
                    <a:srcRect l="4494" t="2307" r="2939" b="15565"/>
                    <a:stretch>
                      <a:fillRect/>
                    </a:stretch>
                  </pic:blipFill>
                  <pic:spPr>
                    <a:xfrm>
                      <a:off x="0" y="0"/>
                      <a:ext cx="5179060" cy="2147570"/>
                    </a:xfrm>
                    <a:prstGeom prst="rect">
                      <a:avLst/>
                    </a:prstGeom>
                    <a:noFill/>
                    <a:ln w="9525">
                      <a:noFill/>
                    </a:ln>
                  </pic:spPr>
                </pic:pic>
              </a:graphicData>
            </a:graphic>
          </wp:inline>
        </w:drawing>
      </w:r>
    </w:p>
    <w:p>
      <w:pPr>
        <w:spacing w:line="560" w:lineRule="exact"/>
        <w:rPr>
          <w:rFonts w:hint="eastAsia" w:ascii="宋体" w:hAnsi="宋体"/>
          <w:color w:val="auto"/>
          <w:sz w:val="21"/>
          <w:szCs w:val="21"/>
        </w:rPr>
      </w:pPr>
      <w:r>
        <w:rPr>
          <w:rFonts w:hint="eastAsia" w:ascii="宋体" w:hAnsi="宋体"/>
          <w:color w:val="auto"/>
          <w:sz w:val="21"/>
          <w:szCs w:val="21"/>
        </w:rPr>
        <w:t>2)、室内防雷</w:t>
      </w:r>
    </w:p>
    <w:p>
      <w:pPr>
        <w:spacing w:line="560" w:lineRule="exact"/>
        <w:ind w:firstLine="420" w:firstLineChars="200"/>
        <w:rPr>
          <w:rFonts w:hint="eastAsia" w:ascii="宋体" w:hAnsi="宋体"/>
          <w:color w:val="auto"/>
          <w:sz w:val="21"/>
          <w:szCs w:val="21"/>
        </w:rPr>
      </w:pPr>
      <w:r>
        <w:rPr>
          <w:rFonts w:hint="eastAsia" w:ascii="宋体" w:hAnsi="宋体"/>
          <w:color w:val="auto"/>
          <w:sz w:val="21"/>
          <w:szCs w:val="21"/>
        </w:rPr>
        <w:t>由于大部分雷击由室内电源引入，所以对电源采取加强防雷措施，具体如下：</w:t>
      </w:r>
    </w:p>
    <w:p>
      <w:pPr>
        <w:ind w:left="70" w:hanging="53" w:hangingChars="25"/>
        <w:rPr>
          <w:rFonts w:hint="eastAsia" w:ascii="黑体" w:eastAsia="黑体"/>
          <w:b/>
          <w:color w:val="auto"/>
          <w:sz w:val="21"/>
          <w:szCs w:val="21"/>
        </w:rPr>
      </w:pPr>
      <w:r>
        <w:rPr>
          <w:rFonts w:hint="eastAsia" w:ascii="黑体" w:eastAsia="黑体"/>
          <w:b/>
          <w:color w:val="auto"/>
          <w:sz w:val="21"/>
          <w:szCs w:val="21"/>
        </w:rPr>
        <w:drawing>
          <wp:inline distT="0" distB="0" distL="114300" distR="114300">
            <wp:extent cx="5594350" cy="3549650"/>
            <wp:effectExtent l="0" t="0" r="6350" b="12700"/>
            <wp:docPr id="2" name="图片 2"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
                    <pic:cNvPicPr>
                      <a:picLocks noChangeAspect="1"/>
                    </pic:cNvPicPr>
                  </pic:nvPicPr>
                  <pic:blipFill>
                    <a:blip r:embed="rId5"/>
                    <a:stretch>
                      <a:fillRect/>
                    </a:stretch>
                  </pic:blipFill>
                  <pic:spPr>
                    <a:xfrm>
                      <a:off x="0" y="0"/>
                      <a:ext cx="5594350" cy="3549650"/>
                    </a:xfrm>
                    <a:prstGeom prst="rect">
                      <a:avLst/>
                    </a:prstGeom>
                    <a:noFill/>
                    <a:ln w="9525">
                      <a:noFill/>
                    </a:ln>
                  </pic:spPr>
                </pic:pic>
              </a:graphicData>
            </a:graphic>
          </wp:inline>
        </w:drawing>
      </w:r>
    </w:p>
    <w:p>
      <w:pPr>
        <w:spacing w:line="560" w:lineRule="exact"/>
        <w:outlineLvl w:val="0"/>
        <w:rPr>
          <w:rFonts w:hint="eastAsia" w:ascii="宋体" w:hAnsi="宋体"/>
          <w:color w:val="auto"/>
          <w:sz w:val="21"/>
          <w:szCs w:val="21"/>
        </w:rPr>
      </w:pPr>
      <w:bookmarkStart w:id="3" w:name="_Toc1661"/>
      <w:r>
        <w:rPr>
          <w:rFonts w:hint="eastAsia" w:ascii="宋体" w:hAnsi="宋体"/>
          <w:color w:val="auto"/>
          <w:sz w:val="21"/>
          <w:szCs w:val="21"/>
        </w:rPr>
        <w:t>3) 信号防雷</w:t>
      </w:r>
      <w:bookmarkEnd w:id="3"/>
    </w:p>
    <w:p>
      <w:pPr>
        <w:spacing w:line="560" w:lineRule="exact"/>
        <w:ind w:firstLine="420" w:firstLineChars="200"/>
        <w:rPr>
          <w:rFonts w:hint="eastAsia" w:ascii="宋体" w:hAnsi="宋体" w:eastAsia="宋体"/>
          <w:color w:val="auto"/>
          <w:sz w:val="21"/>
          <w:szCs w:val="21"/>
          <w:lang w:eastAsia="zh-CN"/>
        </w:rPr>
      </w:pPr>
      <w:r>
        <w:rPr>
          <w:rFonts w:hint="eastAsia" w:ascii="宋体" w:hAnsi="宋体"/>
          <w:color w:val="auto"/>
          <w:sz w:val="21"/>
          <w:szCs w:val="21"/>
        </w:rPr>
        <w:t>数据采集仪每一通道都有信号隔离模块，具备信号防雷功能</w:t>
      </w:r>
      <w:r>
        <w:rPr>
          <w:rFonts w:hint="eastAsia" w:ascii="宋体" w:hAnsi="宋体"/>
          <w:color w:val="auto"/>
          <w:sz w:val="21"/>
          <w:szCs w:val="21"/>
          <w:lang w:eastAsia="zh-CN"/>
        </w:rPr>
        <w:t>。</w:t>
      </w:r>
    </w:p>
    <w:p>
      <w:pPr>
        <w:spacing w:line="560" w:lineRule="exact"/>
        <w:outlineLvl w:val="0"/>
        <w:rPr>
          <w:rFonts w:hint="eastAsia" w:ascii="宋体" w:hAnsi="宋体"/>
          <w:color w:val="auto"/>
          <w:sz w:val="21"/>
          <w:szCs w:val="21"/>
        </w:rPr>
      </w:pPr>
      <w:bookmarkStart w:id="4" w:name="_Toc19887"/>
      <w:r>
        <w:rPr>
          <w:rFonts w:hint="eastAsia" w:ascii="宋体" w:hAnsi="宋体"/>
          <w:color w:val="auto"/>
          <w:sz w:val="21"/>
          <w:szCs w:val="21"/>
        </w:rPr>
        <w:t>4) 其他</w:t>
      </w:r>
      <w:bookmarkEnd w:id="4"/>
    </w:p>
    <w:p>
      <w:pPr>
        <w:spacing w:line="560" w:lineRule="exact"/>
        <w:ind w:firstLine="420" w:firstLineChars="200"/>
        <w:rPr>
          <w:rFonts w:hint="eastAsia" w:ascii="宋体" w:hAnsi="宋体"/>
          <w:color w:val="auto"/>
          <w:sz w:val="21"/>
          <w:szCs w:val="21"/>
        </w:rPr>
      </w:pPr>
      <w:r>
        <w:rPr>
          <w:rFonts w:hint="eastAsia" w:ascii="宋体" w:hAnsi="宋体"/>
          <w:color w:val="auto"/>
          <w:sz w:val="21"/>
          <w:szCs w:val="21"/>
        </w:rPr>
        <w:t>超偏载设备技术要求接地电阻必须＜4Ω，为了保证地线施工质量及日常使用过程中的检测、每台设备免费赠送接地摇表一只，以便随时对地线电阻进行检测。</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3.</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工控机</w:t>
      </w:r>
    </w:p>
    <w:p>
      <w:pPr>
        <w:pageBreakBefore w:val="0"/>
        <w:widowControl w:val="0"/>
        <w:numPr>
          <w:ilvl w:val="0"/>
          <w:numId w:val="2"/>
        </w:numPr>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IPC-610-I7 3770/8G/1T</w:t>
      </w:r>
      <w:r>
        <w:rPr>
          <w:rFonts w:hint="eastAsia" w:ascii="宋体" w:hAnsi="宋体" w:eastAsia="宋体" w:cs="宋体"/>
          <w:b w:val="0"/>
          <w:bCs w:val="0"/>
          <w:color w:val="auto"/>
          <w:sz w:val="21"/>
          <w:szCs w:val="21"/>
          <w:lang w:eastAsia="zh-CN"/>
        </w:rPr>
        <w:t>；</w:t>
      </w:r>
    </w:p>
    <w:p>
      <w:pPr>
        <w:pageBreakBefore w:val="0"/>
        <w:widowControl w:val="0"/>
        <w:numPr>
          <w:ilvl w:val="0"/>
          <w:numId w:val="2"/>
        </w:numPr>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板载千兆网口*1</w:t>
      </w:r>
      <w:r>
        <w:rPr>
          <w:rFonts w:hint="eastAsia" w:ascii="宋体" w:hAnsi="宋体" w:eastAsia="宋体" w:cs="宋体"/>
          <w:b w:val="0"/>
          <w:bCs w:val="0"/>
          <w:color w:val="auto"/>
          <w:sz w:val="21"/>
          <w:szCs w:val="21"/>
          <w:lang w:eastAsia="zh-CN"/>
        </w:rPr>
        <w:t>；</w:t>
      </w:r>
    </w:p>
    <w:p>
      <w:pPr>
        <w:pageBreakBefore w:val="0"/>
        <w:widowControl w:val="0"/>
        <w:numPr>
          <w:ilvl w:val="0"/>
          <w:numId w:val="2"/>
        </w:numPr>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color w:val="auto"/>
          <w:sz w:val="21"/>
          <w:szCs w:val="21"/>
        </w:rPr>
      </w:pPr>
      <w:r>
        <w:rPr>
          <w:rFonts w:hint="eastAsia" w:ascii="宋体" w:hAnsi="宋体" w:eastAsia="宋体" w:cs="宋体"/>
          <w:color w:val="auto"/>
          <w:sz w:val="21"/>
          <w:szCs w:val="21"/>
          <w:lang w:val="en-US" w:eastAsia="zh-CN"/>
        </w:rPr>
        <w:t>内存：8GB DDR4；</w:t>
      </w:r>
    </w:p>
    <w:p>
      <w:pPr>
        <w:pageBreakBefore w:val="0"/>
        <w:widowControl w:val="0"/>
        <w:numPr>
          <w:ilvl w:val="0"/>
          <w:numId w:val="2"/>
        </w:numPr>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USB鼠标键盘</w:t>
      </w:r>
      <w:r>
        <w:rPr>
          <w:rFonts w:hint="eastAsia" w:ascii="宋体" w:hAnsi="宋体" w:eastAsia="宋体" w:cs="宋体"/>
          <w:b w:val="0"/>
          <w:bCs w:val="0"/>
          <w:color w:val="auto"/>
          <w:sz w:val="21"/>
          <w:szCs w:val="21"/>
          <w:lang w:eastAsia="zh-CN"/>
        </w:rPr>
        <w:t>；</w:t>
      </w:r>
    </w:p>
    <w:p>
      <w:pPr>
        <w:pageBreakBefore w:val="0"/>
        <w:widowControl w:val="0"/>
        <w:numPr>
          <w:ilvl w:val="0"/>
          <w:numId w:val="2"/>
        </w:numPr>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串口*2</w:t>
      </w:r>
      <w:r>
        <w:rPr>
          <w:rFonts w:hint="eastAsia" w:ascii="宋体" w:hAnsi="宋体" w:eastAsia="宋体" w:cs="宋体"/>
          <w:b w:val="0"/>
          <w:bCs w:val="0"/>
          <w:color w:val="auto"/>
          <w:sz w:val="21"/>
          <w:szCs w:val="21"/>
          <w:lang w:eastAsia="zh-CN"/>
        </w:rPr>
        <w:t>；</w:t>
      </w:r>
    </w:p>
    <w:p>
      <w:pPr>
        <w:pageBreakBefore w:val="0"/>
        <w:widowControl w:val="0"/>
        <w:numPr>
          <w:ilvl w:val="0"/>
          <w:numId w:val="2"/>
        </w:numPr>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windows server2003 32位企业版,(C盘150G,D盘750G,E盘100G)</w:t>
      </w:r>
      <w:r>
        <w:rPr>
          <w:rFonts w:hint="eastAsia" w:ascii="宋体" w:hAnsi="宋体" w:eastAsia="宋体" w:cs="宋体"/>
          <w:b w:val="0"/>
          <w:bCs w:val="0"/>
          <w:color w:val="auto"/>
          <w:sz w:val="21"/>
          <w:szCs w:val="21"/>
          <w:lang w:eastAsia="zh-CN"/>
        </w:rPr>
        <w:t>。</w:t>
      </w:r>
    </w:p>
    <w:p>
      <w:pPr>
        <w:pageBreakBefore w:val="0"/>
        <w:widowControl w:val="0"/>
        <w:numPr>
          <w:ilvl w:val="0"/>
          <w:numId w:val="0"/>
        </w:numPr>
        <w:kinsoku/>
        <w:wordWrap/>
        <w:overflowPunct/>
        <w:topLinePunct w:val="0"/>
        <w:autoSpaceDE/>
        <w:autoSpaceDN/>
        <w:bidi w:val="0"/>
        <w:adjustRightInd w:val="0"/>
        <w:snapToGrid w:val="0"/>
        <w:spacing w:line="360" w:lineRule="auto"/>
        <w:ind w:leftChars="0"/>
        <w:textAlignment w:val="auto"/>
        <w:rPr>
          <w:rFonts w:hint="eastAsia" w:ascii="宋体" w:hAnsi="宋体" w:eastAsia="宋体" w:cs="宋体"/>
          <w:b w:val="0"/>
          <w:bCs w:val="0"/>
          <w:color w:val="auto"/>
          <w:sz w:val="21"/>
          <w:szCs w:val="21"/>
        </w:rPr>
      </w:pPr>
      <w:bookmarkStart w:id="5" w:name="_Toc4744"/>
      <w:r>
        <w:rPr>
          <w:rFonts w:hint="eastAsia" w:ascii="宋体" w:hAnsi="宋体" w:eastAsia="宋体" w:cs="宋体"/>
          <w:b w:val="0"/>
          <w:bCs w:val="0"/>
          <w:color w:val="auto"/>
          <w:sz w:val="21"/>
          <w:szCs w:val="21"/>
        </w:rPr>
        <w:t>3.2.</w:t>
      </w:r>
      <w:bookmarkEnd w:id="5"/>
      <w:r>
        <w:rPr>
          <w:rFonts w:hint="eastAsia" w:ascii="宋体" w:hAnsi="宋体" w:eastAsia="宋体" w:cs="宋体"/>
          <w:b w:val="0"/>
          <w:bCs w:val="0"/>
          <w:color w:val="auto"/>
          <w:sz w:val="21"/>
          <w:szCs w:val="21"/>
          <w:lang w:val="en-US" w:eastAsia="zh-CN"/>
        </w:rPr>
        <w:t>5数据分析终端</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1）CPU:</w:t>
      </w:r>
      <w:r>
        <w:rPr>
          <w:rFonts w:hint="eastAsia" w:ascii="宋体" w:hAnsi="宋体" w:eastAsia="宋体" w:cs="宋体"/>
          <w:color w:val="auto"/>
          <w:sz w:val="21"/>
          <w:szCs w:val="21"/>
          <w:lang w:val="en-US" w:eastAsia="zh-CN"/>
        </w:rPr>
        <w:t>I</w:t>
      </w:r>
      <w:r>
        <w:rPr>
          <w:rFonts w:hint="eastAsia" w:ascii="宋体" w:hAnsi="宋体" w:eastAsia="宋体" w:cs="宋体"/>
          <w:color w:val="auto"/>
          <w:sz w:val="21"/>
          <w:szCs w:val="21"/>
        </w:rPr>
        <w:t>ntel四核I7；</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）显卡</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2G独显</w:t>
      </w:r>
      <w:r>
        <w:rPr>
          <w:rFonts w:hint="eastAsia" w:ascii="宋体" w:hAnsi="宋体" w:eastAsia="宋体" w:cs="宋体"/>
          <w:color w:val="auto"/>
          <w:sz w:val="21"/>
          <w:szCs w:val="21"/>
        </w:rPr>
        <w:t>；</w:t>
      </w:r>
    </w:p>
    <w:p>
      <w:pPr>
        <w:spacing w:line="36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3）内存：8GB DDR4；</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）工作电压：220V；</w:t>
      </w:r>
    </w:p>
    <w:p>
      <w:pPr>
        <w:spacing w:line="360" w:lineRule="auto"/>
        <w:rPr>
          <w:rFonts w:hint="eastAsia" w:ascii="宋体"/>
          <w:color w:val="auto"/>
          <w:sz w:val="21"/>
          <w:szCs w:val="21"/>
          <w:lang w:eastAsia="zh-CN"/>
        </w:rPr>
      </w:pP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显示器：</w:t>
      </w:r>
      <w:r>
        <w:rPr>
          <w:rFonts w:hint="eastAsia" w:ascii="宋体"/>
          <w:color w:val="auto"/>
          <w:sz w:val="21"/>
          <w:szCs w:val="21"/>
        </w:rPr>
        <w:t>27寸</w:t>
      </w:r>
      <w:r>
        <w:rPr>
          <w:rFonts w:hint="eastAsia" w:ascii="宋体"/>
          <w:color w:val="auto"/>
          <w:sz w:val="21"/>
          <w:szCs w:val="21"/>
          <w:lang w:eastAsia="zh-CN"/>
        </w:rPr>
        <w:t>平面</w:t>
      </w:r>
      <w:r>
        <w:rPr>
          <w:rFonts w:hint="eastAsia" w:ascii="宋体"/>
          <w:color w:val="auto"/>
          <w:sz w:val="21"/>
          <w:szCs w:val="21"/>
        </w:rPr>
        <w:t>液晶显示器</w:t>
      </w:r>
      <w:r>
        <w:rPr>
          <w:rFonts w:hint="eastAsia" w:ascii="宋体"/>
          <w:color w:val="auto"/>
          <w:sz w:val="21"/>
          <w:szCs w:val="21"/>
          <w:lang w:eastAsia="zh-CN"/>
        </w:rPr>
        <w:t>。</w:t>
      </w:r>
    </w:p>
    <w:p>
      <w:pPr>
        <w:spacing w:line="360" w:lineRule="auto"/>
        <w:rPr>
          <w:rFonts w:hint="eastAsia" w:ascii="宋体"/>
          <w:color w:val="auto"/>
          <w:sz w:val="21"/>
          <w:szCs w:val="21"/>
          <w:lang w:eastAsia="zh-CN"/>
        </w:rPr>
      </w:pPr>
      <w:r>
        <w:rPr>
          <w:rFonts w:hint="eastAsia" w:ascii="宋体"/>
          <w:color w:val="auto"/>
          <w:sz w:val="21"/>
          <w:szCs w:val="21"/>
          <w:lang w:val="en-US" w:eastAsia="zh-CN"/>
        </w:rPr>
        <w:t>3.2.5</w:t>
      </w:r>
      <w:r>
        <w:rPr>
          <w:rFonts w:hint="eastAsia" w:ascii="宋体"/>
          <w:color w:val="auto"/>
          <w:sz w:val="21"/>
          <w:szCs w:val="21"/>
          <w:lang w:eastAsia="zh-CN"/>
        </w:rPr>
        <w:t>机柜</w:t>
      </w:r>
    </w:p>
    <w:p>
      <w:pPr>
        <w:spacing w:line="360" w:lineRule="auto"/>
        <w:rPr>
          <w:rFonts w:hint="eastAsia" w:ascii="宋体"/>
          <w:color w:val="auto"/>
          <w:sz w:val="21"/>
          <w:szCs w:val="21"/>
          <w:lang w:eastAsia="zh-CN"/>
        </w:rPr>
      </w:pPr>
      <w:r>
        <w:rPr>
          <w:rFonts w:hint="eastAsia" w:ascii="宋体"/>
          <w:color w:val="auto"/>
          <w:sz w:val="21"/>
          <w:szCs w:val="21"/>
          <w:lang w:eastAsia="zh-CN"/>
        </w:rPr>
        <w:t>1）分体安装方式，采用隔热设计，密封性能可靠；</w:t>
      </w:r>
    </w:p>
    <w:p>
      <w:pPr>
        <w:spacing w:line="360" w:lineRule="auto"/>
        <w:rPr>
          <w:rFonts w:hint="eastAsia" w:ascii="宋体"/>
          <w:color w:val="auto"/>
          <w:sz w:val="21"/>
          <w:szCs w:val="21"/>
          <w:lang w:eastAsia="zh-CN"/>
        </w:rPr>
      </w:pPr>
      <w:r>
        <w:rPr>
          <w:rFonts w:hint="eastAsia" w:ascii="宋体"/>
          <w:color w:val="auto"/>
          <w:sz w:val="21"/>
          <w:szCs w:val="21"/>
          <w:lang w:eastAsia="zh-CN"/>
        </w:rPr>
        <w:t>2）防护等级可达IP65；</w:t>
      </w:r>
    </w:p>
    <w:p>
      <w:pPr>
        <w:spacing w:line="360" w:lineRule="auto"/>
        <w:rPr>
          <w:rFonts w:hint="eastAsia" w:ascii="宋体"/>
          <w:color w:val="auto"/>
          <w:sz w:val="21"/>
          <w:szCs w:val="21"/>
          <w:lang w:eastAsia="zh-CN"/>
        </w:rPr>
      </w:pPr>
      <w:r>
        <w:rPr>
          <w:rFonts w:hint="eastAsia" w:ascii="宋体"/>
          <w:color w:val="auto"/>
          <w:sz w:val="21"/>
          <w:szCs w:val="21"/>
          <w:lang w:eastAsia="zh-CN"/>
        </w:rPr>
        <w:t>3）箱内包含稳压电源、交流接触器、空气断路器，控制器等设备；</w:t>
      </w:r>
    </w:p>
    <w:p>
      <w:pPr>
        <w:spacing w:line="360" w:lineRule="auto"/>
        <w:rPr>
          <w:rFonts w:hint="eastAsia" w:ascii="宋体"/>
          <w:color w:val="auto"/>
          <w:sz w:val="21"/>
          <w:szCs w:val="21"/>
          <w:lang w:eastAsia="zh-CN"/>
        </w:rPr>
      </w:pPr>
      <w:r>
        <w:rPr>
          <w:rFonts w:hint="eastAsia" w:ascii="宋体"/>
          <w:color w:val="auto"/>
          <w:sz w:val="21"/>
          <w:szCs w:val="21"/>
          <w:lang w:eastAsia="zh-CN"/>
        </w:rPr>
        <w:t>4）用安装板安装，安装板可移动；</w:t>
      </w:r>
    </w:p>
    <w:p>
      <w:pPr>
        <w:spacing w:line="360" w:lineRule="auto"/>
        <w:rPr>
          <w:rFonts w:hint="eastAsia" w:ascii="宋体"/>
          <w:color w:val="auto"/>
          <w:sz w:val="21"/>
          <w:szCs w:val="21"/>
          <w:lang w:eastAsia="zh-CN"/>
        </w:rPr>
      </w:pPr>
      <w:r>
        <w:rPr>
          <w:rFonts w:hint="eastAsia" w:ascii="宋体"/>
          <w:color w:val="auto"/>
          <w:sz w:val="21"/>
          <w:szCs w:val="21"/>
          <w:lang w:val="en-US" w:eastAsia="zh-CN"/>
        </w:rPr>
        <w:t>5）尺寸60cm*60cm</w:t>
      </w:r>
      <w:r>
        <w:rPr>
          <w:rFonts w:hint="eastAsia" w:ascii="宋体"/>
          <w:color w:val="auto"/>
          <w:sz w:val="21"/>
          <w:szCs w:val="21"/>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3.1.</w:t>
      </w:r>
      <w:r>
        <w:rPr>
          <w:rFonts w:hint="eastAsia" w:ascii="宋体" w:hAnsi="宋体" w:eastAsia="宋体" w:cs="宋体"/>
          <w:color w:val="auto"/>
          <w:sz w:val="21"/>
          <w:szCs w:val="21"/>
          <w:lang w:val="en-US" w:eastAsia="zh-CN"/>
        </w:rPr>
        <w:t>6</w:t>
      </w:r>
      <w:r>
        <w:rPr>
          <w:rFonts w:hint="eastAsia" w:ascii="宋体" w:hAnsi="宋体" w:eastAsia="宋体" w:cs="宋体"/>
          <w:color w:val="auto"/>
          <w:sz w:val="21"/>
          <w:szCs w:val="21"/>
        </w:rPr>
        <w:t>打印机</w:t>
      </w:r>
    </w:p>
    <w:p>
      <w:pPr>
        <w:pageBreakBefore w:val="0"/>
        <w:widowControl w:val="0"/>
        <w:numPr>
          <w:ilvl w:val="0"/>
          <w:numId w:val="3"/>
        </w:numPr>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票据针式打印机（平推式）</w:t>
      </w:r>
    </w:p>
    <w:p>
      <w:pPr>
        <w:pageBreakBefore w:val="0"/>
        <w:widowControl w:val="0"/>
        <w:numPr>
          <w:ilvl w:val="0"/>
          <w:numId w:val="3"/>
        </w:numPr>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点阵击打式</w:t>
      </w:r>
    </w:p>
    <w:p>
      <w:pPr>
        <w:pageBreakBefore w:val="0"/>
        <w:widowControl w:val="0"/>
        <w:numPr>
          <w:ilvl w:val="0"/>
          <w:numId w:val="3"/>
        </w:numPr>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双向逻辑查找</w:t>
      </w:r>
    </w:p>
    <w:p>
      <w:pPr>
        <w:pageBreakBefore w:val="0"/>
        <w:widowControl w:val="0"/>
        <w:numPr>
          <w:ilvl w:val="0"/>
          <w:numId w:val="3"/>
        </w:numPr>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82列(在10cpi下)</w:t>
      </w:r>
    </w:p>
    <w:p>
      <w:pPr>
        <w:pageBreakBefore w:val="0"/>
        <w:widowControl w:val="0"/>
        <w:numPr>
          <w:ilvl w:val="0"/>
          <w:numId w:val="3"/>
        </w:numPr>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24针</w:t>
      </w:r>
    </w:p>
    <w:p>
      <w:pPr>
        <w:pageBreakBefore w:val="0"/>
        <w:widowControl w:val="0"/>
        <w:numPr>
          <w:ilvl w:val="0"/>
          <w:numId w:val="3"/>
        </w:numPr>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打印头寿命：4亿次/针</w:t>
      </w:r>
    </w:p>
    <w:p>
      <w:pPr>
        <w:pageBreakBefore w:val="0"/>
        <w:widowControl w:val="0"/>
        <w:numPr>
          <w:ilvl w:val="0"/>
          <w:numId w:val="3"/>
        </w:numPr>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黑色色带芯S010076，黑色色带架S015583/S015290</w:t>
      </w:r>
    </w:p>
    <w:p>
      <w:pPr>
        <w:pageBreakBefore w:val="0"/>
        <w:widowControl w:val="0"/>
        <w:numPr>
          <w:ilvl w:val="0"/>
          <w:numId w:val="3"/>
        </w:numPr>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400万字符（信函模式），800万字符（草体模式）</w:t>
      </w:r>
    </w:p>
    <w:p>
      <w:pPr>
        <w:pageBreakBefore w:val="0"/>
        <w:widowControl w:val="0"/>
        <w:numPr>
          <w:ilvl w:val="0"/>
          <w:numId w:val="3"/>
        </w:numPr>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7份（1份原件+6份拷贝）</w:t>
      </w:r>
    </w:p>
    <w:p>
      <w:pPr>
        <w:pageBreakBefore w:val="0"/>
        <w:widowControl w:val="0"/>
        <w:numPr>
          <w:ilvl w:val="0"/>
          <w:numId w:val="3"/>
        </w:numPr>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128KB</w:t>
      </w:r>
    </w:p>
    <w:p>
      <w:pPr>
        <w:pageBreakBefore w:val="0"/>
        <w:widowControl w:val="0"/>
        <w:numPr>
          <w:ilvl w:val="0"/>
          <w:numId w:val="3"/>
        </w:numPr>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USB2.0（全速）接口，IEEE-1284双向并口</w:t>
      </w:r>
    </w:p>
    <w:p>
      <w:pPr>
        <w:pageBreakBefore w:val="0"/>
        <w:widowControl w:val="0"/>
        <w:numPr>
          <w:ilvl w:val="0"/>
          <w:numId w:val="3"/>
        </w:numPr>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打印分辨率,360dpi</w:t>
      </w:r>
    </w:p>
    <w:p>
      <w:pPr>
        <w:pageBreakBefore w:val="0"/>
        <w:widowControl w:val="0"/>
        <w:numPr>
          <w:ilvl w:val="0"/>
          <w:numId w:val="3"/>
        </w:numPr>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14种国际字符集和一种法定字符集：USA，France，Germany，UK，Denmark I，Sweden，Italy，Spain I，Japan，Norway，Denmark II，Spain II，Latin America，Korea，Legal</w:t>
      </w:r>
    </w:p>
    <w:p>
      <w:pPr>
        <w:pageBreakBefore w:val="0"/>
        <w:widowControl w:val="0"/>
        <w:numPr>
          <w:ilvl w:val="0"/>
          <w:numId w:val="3"/>
        </w:numPr>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 xml:space="preserve">位图字体：宋体24×24，黑体24×24，Epson Draft，Epson Roman，Epson Sans Serif，Epson OCR-B </w:t>
      </w:r>
    </w:p>
    <w:p>
      <w:pPr>
        <w:pageBreakBefore w:val="0"/>
        <w:widowControl w:val="0"/>
        <w:numPr>
          <w:ilvl w:val="0"/>
          <w:numId w:val="3"/>
        </w:numPr>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 xml:space="preserve">可缩放字体：4种 </w:t>
      </w:r>
    </w:p>
    <w:p>
      <w:pPr>
        <w:pageBreakBefore w:val="0"/>
        <w:widowControl w:val="0"/>
        <w:numPr>
          <w:ilvl w:val="0"/>
          <w:numId w:val="3"/>
        </w:numPr>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条码字体：8种</w:t>
      </w:r>
    </w:p>
    <w:p>
      <w:pPr>
        <w:pageBreakBefore w:val="0"/>
        <w:widowControl w:val="0"/>
        <w:numPr>
          <w:ilvl w:val="0"/>
          <w:numId w:val="3"/>
        </w:numPr>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平均无故障时间10000小时</w:t>
      </w:r>
    </w:p>
    <w:p>
      <w:pPr>
        <w:pageBreakBefore w:val="0"/>
        <w:widowControl w:val="0"/>
        <w:numPr>
          <w:ilvl w:val="0"/>
          <w:numId w:val="3"/>
        </w:numPr>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产品尺寸386×306×185mm</w:t>
      </w:r>
    </w:p>
    <w:p>
      <w:pPr>
        <w:pageBreakBefore w:val="0"/>
        <w:widowControl w:val="0"/>
        <w:numPr>
          <w:ilvl w:val="0"/>
          <w:numId w:val="3"/>
        </w:numPr>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产品重量约3.8kg</w:t>
      </w:r>
    </w:p>
    <w:p>
      <w:pPr>
        <w:pageBreakBefore w:val="0"/>
        <w:widowControl w:val="0"/>
        <w:numPr>
          <w:ilvl w:val="0"/>
          <w:numId w:val="3"/>
        </w:numPr>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系统平台Windows 10/8.1/8/7/XP/Vista</w:t>
      </w:r>
    </w:p>
    <w:p>
      <w:pPr>
        <w:pageBreakBefore w:val="0"/>
        <w:widowControl w:val="0"/>
        <w:numPr>
          <w:ilvl w:val="0"/>
          <w:numId w:val="3"/>
        </w:numPr>
        <w:kinsoku/>
        <w:wordWrap/>
        <w:overflowPunct/>
        <w:topLinePunct w:val="0"/>
        <w:autoSpaceDE/>
        <w:autoSpaceDN/>
        <w:bidi w:val="0"/>
        <w:adjustRightInd w:val="0"/>
        <w:snapToGrid w:val="0"/>
        <w:spacing w:line="360" w:lineRule="auto"/>
        <w:textAlignment w:val="auto"/>
        <w:rPr>
          <w:rFonts w:hint="eastAsia" w:ascii="宋体"/>
          <w:color w:val="auto"/>
          <w:sz w:val="21"/>
          <w:szCs w:val="21"/>
          <w:lang w:val="en-US" w:eastAsia="zh-CN"/>
        </w:rPr>
      </w:pPr>
      <w:r>
        <w:rPr>
          <w:rFonts w:hint="eastAsia" w:ascii="宋体" w:hAnsi="宋体" w:eastAsia="宋体" w:cs="宋体"/>
          <w:b w:val="0"/>
          <w:bCs w:val="0"/>
          <w:color w:val="auto"/>
          <w:sz w:val="21"/>
          <w:szCs w:val="21"/>
        </w:rPr>
        <w:t>电源电压AC 220-240V，50/60Hz</w:t>
      </w:r>
    </w:p>
    <w:p>
      <w:pPr>
        <w:pageBreakBefore w:val="0"/>
        <w:widowControl w:val="0"/>
        <w:numPr>
          <w:ilvl w:val="0"/>
          <w:numId w:val="3"/>
        </w:numPr>
        <w:kinsoku/>
        <w:wordWrap/>
        <w:overflowPunct/>
        <w:topLinePunct w:val="0"/>
        <w:autoSpaceDE/>
        <w:autoSpaceDN/>
        <w:bidi w:val="0"/>
        <w:adjustRightInd w:val="0"/>
        <w:snapToGrid w:val="0"/>
        <w:spacing w:line="360" w:lineRule="auto"/>
        <w:textAlignment w:val="auto"/>
        <w:rPr>
          <w:rFonts w:hint="eastAsia" w:ascii="宋体"/>
          <w:color w:val="auto"/>
          <w:sz w:val="21"/>
          <w:szCs w:val="21"/>
          <w:lang w:val="en-US" w:eastAsia="zh-CN"/>
        </w:rPr>
      </w:pPr>
      <w:r>
        <w:rPr>
          <w:rFonts w:hint="eastAsia" w:ascii="宋体" w:hAnsi="宋体" w:eastAsia="宋体" w:cs="宋体"/>
          <w:b w:val="0"/>
          <w:bCs w:val="0"/>
          <w:color w:val="auto"/>
          <w:sz w:val="21"/>
          <w:szCs w:val="21"/>
        </w:rPr>
        <w:t>电源功率约31W（工作时，ISO/IEC10561信函模式）</w:t>
      </w:r>
    </w:p>
    <w:p>
      <w:pPr>
        <w:numPr>
          <w:ilvl w:val="0"/>
          <w:numId w:val="4"/>
        </w:numPr>
        <w:spacing w:line="360" w:lineRule="auto"/>
        <w:rPr>
          <w:rFonts w:hint="eastAsia" w:ascii="宋体" w:hAnsi="宋体" w:cs="宋体"/>
          <w:b w:val="0"/>
          <w:bCs w:val="0"/>
          <w:color w:val="auto"/>
          <w:sz w:val="21"/>
          <w:szCs w:val="21"/>
        </w:rPr>
      </w:pPr>
      <w:r>
        <w:rPr>
          <w:rFonts w:hint="eastAsia" w:ascii="宋体" w:hAnsi="宋体" w:cs="宋体"/>
          <w:b w:val="0"/>
          <w:bCs w:val="0"/>
          <w:color w:val="auto"/>
          <w:sz w:val="21"/>
          <w:szCs w:val="21"/>
          <w:lang w:val="en-US" w:eastAsia="zh-CN"/>
        </w:rPr>
        <w:t>3</w:t>
      </w:r>
      <w:r>
        <w:rPr>
          <w:rFonts w:hint="eastAsia" w:ascii="宋体" w:hAnsi="宋体" w:cs="宋体"/>
          <w:b w:val="0"/>
          <w:bCs w:val="0"/>
          <w:color w:val="auto"/>
          <w:sz w:val="21"/>
          <w:szCs w:val="21"/>
        </w:rPr>
        <w:t>技术标准</w:t>
      </w:r>
    </w:p>
    <w:p>
      <w:pPr>
        <w:spacing w:line="360" w:lineRule="auto"/>
        <w:rPr>
          <w:rFonts w:ascii="宋体" w:hAnsi="宋体"/>
          <w:color w:val="auto"/>
          <w:sz w:val="21"/>
          <w:szCs w:val="21"/>
        </w:rPr>
      </w:pPr>
      <w:r>
        <w:rPr>
          <w:rFonts w:hint="eastAsia" w:ascii="宋体" w:hAnsi="宋体"/>
          <w:color w:val="auto"/>
          <w:sz w:val="21"/>
          <w:szCs w:val="21"/>
        </w:rPr>
        <w:t>轨道衡的设计、制造、安装和检定均采用下述标准的最新版本或修订本：</w:t>
      </w:r>
    </w:p>
    <w:p>
      <w:pPr>
        <w:spacing w:line="360" w:lineRule="auto"/>
        <w:rPr>
          <w:rFonts w:ascii="宋体" w:hAnsi="宋体"/>
          <w:color w:val="auto"/>
          <w:sz w:val="21"/>
          <w:szCs w:val="21"/>
        </w:rPr>
      </w:pPr>
      <w:r>
        <w:rPr>
          <w:rFonts w:hint="eastAsia" w:ascii="宋体" w:hAnsi="宋体"/>
          <w:color w:val="auto"/>
          <w:sz w:val="21"/>
          <w:szCs w:val="21"/>
        </w:rPr>
        <w:t>3.</w:t>
      </w:r>
      <w:r>
        <w:rPr>
          <w:rFonts w:hint="eastAsia" w:ascii="宋体" w:hAnsi="宋体"/>
          <w:color w:val="auto"/>
          <w:sz w:val="21"/>
          <w:szCs w:val="21"/>
          <w:lang w:val="en-US" w:eastAsia="zh-CN"/>
        </w:rPr>
        <w:t>3.</w:t>
      </w:r>
      <w:r>
        <w:rPr>
          <w:rFonts w:hint="eastAsia" w:ascii="宋体" w:hAnsi="宋体"/>
          <w:color w:val="auto"/>
          <w:sz w:val="21"/>
          <w:szCs w:val="21"/>
        </w:rPr>
        <w:t>1动态电子轨道衡技术条件GB11885；</w:t>
      </w:r>
    </w:p>
    <w:p>
      <w:pPr>
        <w:spacing w:line="360" w:lineRule="auto"/>
        <w:rPr>
          <w:rFonts w:ascii="宋体" w:hAnsi="宋体"/>
          <w:color w:val="auto"/>
          <w:sz w:val="21"/>
          <w:szCs w:val="21"/>
        </w:rPr>
      </w:pPr>
      <w:r>
        <w:rPr>
          <w:rFonts w:hint="eastAsia" w:ascii="宋体" w:hAnsi="宋体"/>
          <w:color w:val="auto"/>
          <w:sz w:val="21"/>
          <w:szCs w:val="21"/>
        </w:rPr>
        <w:t>3.</w:t>
      </w:r>
      <w:r>
        <w:rPr>
          <w:rFonts w:hint="eastAsia" w:ascii="宋体" w:hAnsi="宋体"/>
          <w:color w:val="auto"/>
          <w:sz w:val="21"/>
          <w:szCs w:val="21"/>
          <w:lang w:val="en-US" w:eastAsia="zh-CN"/>
        </w:rPr>
        <w:t>3.</w:t>
      </w:r>
      <w:r>
        <w:rPr>
          <w:rFonts w:hint="eastAsia" w:ascii="宋体" w:hAnsi="宋体"/>
          <w:color w:val="auto"/>
          <w:sz w:val="21"/>
          <w:szCs w:val="21"/>
        </w:rPr>
        <w:t>2中华人民共和国自动轨道衡检定规程JJG234-2012；</w:t>
      </w:r>
    </w:p>
    <w:p>
      <w:pPr>
        <w:spacing w:line="360" w:lineRule="auto"/>
        <w:rPr>
          <w:rFonts w:ascii="宋体" w:hAnsi="宋体"/>
          <w:color w:val="auto"/>
          <w:sz w:val="21"/>
          <w:szCs w:val="21"/>
        </w:rPr>
      </w:pPr>
      <w:r>
        <w:rPr>
          <w:rFonts w:hint="eastAsia" w:ascii="宋体" w:hAnsi="宋体"/>
          <w:color w:val="auto"/>
          <w:sz w:val="21"/>
          <w:szCs w:val="21"/>
        </w:rPr>
        <w:t>3.</w:t>
      </w:r>
      <w:r>
        <w:rPr>
          <w:rFonts w:hint="eastAsia" w:ascii="宋体" w:hAnsi="宋体"/>
          <w:color w:val="auto"/>
          <w:sz w:val="21"/>
          <w:szCs w:val="21"/>
          <w:lang w:val="en-US" w:eastAsia="zh-CN"/>
        </w:rPr>
        <w:t>3.</w:t>
      </w:r>
      <w:r>
        <w:rPr>
          <w:rFonts w:hint="eastAsia" w:ascii="宋体" w:hAnsi="宋体"/>
          <w:color w:val="auto"/>
          <w:sz w:val="21"/>
          <w:szCs w:val="21"/>
        </w:rPr>
        <w:t>3计算机站场地技术要求GB2887；</w:t>
      </w:r>
    </w:p>
    <w:p>
      <w:pPr>
        <w:spacing w:line="360" w:lineRule="auto"/>
        <w:rPr>
          <w:rFonts w:ascii="宋体" w:hAnsi="宋体"/>
          <w:color w:val="auto"/>
          <w:sz w:val="21"/>
          <w:szCs w:val="21"/>
        </w:rPr>
      </w:pPr>
      <w:r>
        <w:rPr>
          <w:rFonts w:hint="eastAsia" w:ascii="宋体" w:hAnsi="宋体"/>
          <w:color w:val="auto"/>
          <w:sz w:val="21"/>
          <w:szCs w:val="21"/>
        </w:rPr>
        <w:t>3.</w:t>
      </w:r>
      <w:r>
        <w:rPr>
          <w:rFonts w:hint="eastAsia" w:ascii="宋体" w:hAnsi="宋体"/>
          <w:color w:val="auto"/>
          <w:sz w:val="21"/>
          <w:szCs w:val="21"/>
          <w:lang w:val="en-US" w:eastAsia="zh-CN"/>
        </w:rPr>
        <w:t>3.</w:t>
      </w:r>
      <w:r>
        <w:rPr>
          <w:rFonts w:hint="eastAsia" w:ascii="宋体" w:hAnsi="宋体"/>
          <w:color w:val="auto"/>
          <w:sz w:val="21"/>
          <w:szCs w:val="21"/>
        </w:rPr>
        <w:t>4电阻应变称重传感器GB7551；</w:t>
      </w:r>
    </w:p>
    <w:p>
      <w:pPr>
        <w:spacing w:line="360" w:lineRule="auto"/>
        <w:rPr>
          <w:rFonts w:hint="eastAsia" w:ascii="宋体" w:hAnsi="宋体" w:cs="宋体"/>
          <w:color w:val="auto"/>
          <w:sz w:val="21"/>
          <w:szCs w:val="21"/>
        </w:rPr>
      </w:pPr>
      <w:r>
        <w:rPr>
          <w:rFonts w:hint="eastAsia" w:ascii="宋体" w:hAnsi="宋体"/>
          <w:color w:val="auto"/>
          <w:sz w:val="21"/>
          <w:szCs w:val="21"/>
        </w:rPr>
        <w:t>3.</w:t>
      </w:r>
      <w:r>
        <w:rPr>
          <w:rFonts w:hint="eastAsia" w:ascii="宋体" w:hAnsi="宋体"/>
          <w:color w:val="auto"/>
          <w:sz w:val="21"/>
          <w:szCs w:val="21"/>
          <w:lang w:val="en-US" w:eastAsia="zh-CN"/>
        </w:rPr>
        <w:t>3.</w:t>
      </w:r>
      <w:r>
        <w:rPr>
          <w:rFonts w:hint="eastAsia" w:ascii="宋体" w:hAnsi="宋体"/>
          <w:color w:val="auto"/>
          <w:sz w:val="21"/>
          <w:szCs w:val="21"/>
        </w:rPr>
        <w:t>5称重显示控制器技术条件GB7224。</w:t>
      </w:r>
    </w:p>
    <w:p>
      <w:pPr>
        <w:spacing w:line="360" w:lineRule="auto"/>
        <w:rPr>
          <w:rFonts w:hint="eastAsia" w:ascii="宋体" w:hAnsi="宋体" w:cs="宋体"/>
          <w:color w:val="auto"/>
          <w:sz w:val="21"/>
          <w:szCs w:val="21"/>
        </w:rPr>
      </w:pPr>
      <w:r>
        <w:rPr>
          <w:rFonts w:hint="eastAsia" w:ascii="宋体" w:hAnsi="宋体" w:cs="宋体"/>
          <w:color w:val="auto"/>
          <w:sz w:val="21"/>
          <w:szCs w:val="21"/>
        </w:rPr>
        <w:t>3.</w:t>
      </w:r>
      <w:r>
        <w:rPr>
          <w:rFonts w:hint="eastAsia" w:ascii="宋体" w:hAnsi="宋体" w:cs="宋体"/>
          <w:color w:val="auto"/>
          <w:sz w:val="21"/>
          <w:szCs w:val="21"/>
          <w:lang w:val="en-US" w:eastAsia="zh-CN"/>
        </w:rPr>
        <w:t>3.</w:t>
      </w:r>
      <w:r>
        <w:rPr>
          <w:rFonts w:hint="eastAsia" w:ascii="宋体" w:hAnsi="宋体" w:cs="宋体"/>
          <w:color w:val="auto"/>
          <w:sz w:val="21"/>
          <w:szCs w:val="21"/>
        </w:rPr>
        <w:t>6中国铁路总公司运输局运营货管［2014］150号《铁路货检安全监控与管理系统设备设施工配置要求和接口约定》。</w:t>
      </w:r>
    </w:p>
    <w:p>
      <w:pPr>
        <w:spacing w:line="360" w:lineRule="auto"/>
        <w:rPr>
          <w:rFonts w:hint="eastAsia" w:ascii="宋体" w:hAnsi="宋体" w:cs="宋体"/>
          <w:color w:val="auto"/>
          <w:sz w:val="21"/>
          <w:szCs w:val="21"/>
        </w:rPr>
      </w:pPr>
      <w:r>
        <w:rPr>
          <w:rFonts w:hint="eastAsia" w:ascii="宋体" w:hAnsi="宋体" w:cs="宋体"/>
          <w:color w:val="auto"/>
          <w:sz w:val="21"/>
          <w:szCs w:val="21"/>
        </w:rPr>
        <w:t>3.</w:t>
      </w:r>
      <w:r>
        <w:rPr>
          <w:rFonts w:hint="eastAsia" w:ascii="宋体" w:hAnsi="宋体" w:cs="宋体"/>
          <w:color w:val="auto"/>
          <w:sz w:val="21"/>
          <w:szCs w:val="21"/>
          <w:lang w:val="en-US" w:eastAsia="zh-CN"/>
        </w:rPr>
        <w:t>3.</w:t>
      </w:r>
      <w:r>
        <w:rPr>
          <w:rFonts w:hint="eastAsia" w:ascii="宋体" w:hAnsi="宋体" w:cs="宋体"/>
          <w:color w:val="auto"/>
          <w:sz w:val="21"/>
          <w:szCs w:val="21"/>
        </w:rPr>
        <w:t>7运铁运［2013］26号《铁道部关于“十二五”铁路货运设备设施建设的实施意见》。</w:t>
      </w:r>
    </w:p>
    <w:p>
      <w:pPr>
        <w:spacing w:line="360" w:lineRule="auto"/>
        <w:rPr>
          <w:rFonts w:hint="eastAsia" w:ascii="宋体" w:hAnsi="宋体" w:cs="宋体"/>
          <w:color w:val="auto"/>
          <w:sz w:val="21"/>
          <w:szCs w:val="21"/>
        </w:rPr>
      </w:pPr>
      <w:r>
        <w:rPr>
          <w:rFonts w:hint="eastAsia" w:ascii="宋体" w:hAnsi="宋体" w:cs="宋体"/>
          <w:color w:val="auto"/>
          <w:sz w:val="21"/>
          <w:szCs w:val="21"/>
        </w:rPr>
        <w:t>3.</w:t>
      </w:r>
      <w:r>
        <w:rPr>
          <w:rFonts w:hint="eastAsia" w:ascii="宋体" w:hAnsi="宋体" w:cs="宋体"/>
          <w:color w:val="auto"/>
          <w:sz w:val="21"/>
          <w:szCs w:val="21"/>
          <w:lang w:val="en-US" w:eastAsia="zh-CN"/>
        </w:rPr>
        <w:t>3.</w:t>
      </w:r>
      <w:r>
        <w:rPr>
          <w:rFonts w:hint="eastAsia" w:ascii="宋体" w:hAnsi="宋体" w:cs="宋体"/>
          <w:color w:val="auto"/>
          <w:sz w:val="21"/>
          <w:szCs w:val="21"/>
        </w:rPr>
        <w:t>8铁运［2013］56号 原铁道部关于印发《铁道货运安全检测监控与管理系统总体技术规范》的通知。</w:t>
      </w:r>
    </w:p>
    <w:p>
      <w:pPr>
        <w:spacing w:line="360" w:lineRule="auto"/>
        <w:rPr>
          <w:rFonts w:hint="eastAsia" w:ascii="宋体" w:hAnsi="宋体" w:cs="宋体"/>
          <w:color w:val="auto"/>
          <w:sz w:val="21"/>
          <w:szCs w:val="21"/>
        </w:rPr>
      </w:pPr>
      <w:r>
        <w:rPr>
          <w:rFonts w:hint="eastAsia" w:ascii="宋体" w:hAnsi="宋体" w:cs="宋体"/>
          <w:color w:val="auto"/>
          <w:sz w:val="21"/>
          <w:szCs w:val="21"/>
        </w:rPr>
        <w:t>3.</w:t>
      </w:r>
      <w:r>
        <w:rPr>
          <w:rFonts w:hint="eastAsia" w:ascii="宋体" w:hAnsi="宋体" w:cs="宋体"/>
          <w:color w:val="auto"/>
          <w:sz w:val="21"/>
          <w:szCs w:val="21"/>
          <w:lang w:val="en-US" w:eastAsia="zh-CN"/>
        </w:rPr>
        <w:t>3.</w:t>
      </w:r>
      <w:r>
        <w:rPr>
          <w:rFonts w:hint="eastAsia" w:ascii="宋体" w:hAnsi="宋体" w:cs="宋体"/>
          <w:color w:val="auto"/>
          <w:sz w:val="21"/>
          <w:szCs w:val="21"/>
        </w:rPr>
        <w:t>9信应用函［2012］15号《铁路货检安全监控与管理系统总体方案评审意见》及附件《铁路货检安全监控与管理系统总体方案》。</w:t>
      </w:r>
    </w:p>
    <w:p>
      <w:pPr>
        <w:spacing w:line="360" w:lineRule="auto"/>
        <w:rPr>
          <w:rFonts w:hint="eastAsia" w:ascii="宋体" w:hAnsi="宋体" w:cs="宋体"/>
          <w:color w:val="auto"/>
          <w:sz w:val="21"/>
          <w:szCs w:val="21"/>
        </w:rPr>
      </w:pPr>
      <w:r>
        <w:rPr>
          <w:rFonts w:hint="eastAsia" w:ascii="宋体" w:hAnsi="宋体" w:cs="宋体"/>
          <w:color w:val="auto"/>
          <w:sz w:val="21"/>
          <w:szCs w:val="21"/>
        </w:rPr>
        <w:t>3.</w:t>
      </w:r>
      <w:r>
        <w:rPr>
          <w:rFonts w:hint="eastAsia" w:ascii="宋体" w:hAnsi="宋体" w:cs="宋体"/>
          <w:color w:val="auto"/>
          <w:sz w:val="21"/>
          <w:szCs w:val="21"/>
          <w:lang w:val="en-US" w:eastAsia="zh-CN"/>
        </w:rPr>
        <w:t>3.</w:t>
      </w:r>
      <w:r>
        <w:rPr>
          <w:rFonts w:hint="eastAsia" w:ascii="宋体" w:hAnsi="宋体" w:cs="宋体"/>
          <w:color w:val="auto"/>
          <w:sz w:val="21"/>
          <w:szCs w:val="21"/>
        </w:rPr>
        <w:t>10运营货管［2008］196号《关于印发货检站安全集中监控系统功能划分、界面要求和接口规定的通知》。</w:t>
      </w:r>
    </w:p>
    <w:p>
      <w:pPr>
        <w:spacing w:line="360" w:lineRule="auto"/>
        <w:rPr>
          <w:rFonts w:hint="eastAsia" w:ascii="宋体" w:hAnsi="宋体" w:cs="宋体"/>
          <w:color w:val="auto"/>
          <w:sz w:val="21"/>
          <w:szCs w:val="21"/>
        </w:rPr>
      </w:pPr>
      <w:r>
        <w:rPr>
          <w:rFonts w:hint="eastAsia" w:ascii="宋体" w:hAnsi="宋体" w:cs="宋体"/>
          <w:color w:val="auto"/>
          <w:sz w:val="21"/>
          <w:szCs w:val="21"/>
        </w:rPr>
        <w:t>3.</w:t>
      </w:r>
      <w:r>
        <w:rPr>
          <w:rFonts w:hint="eastAsia" w:ascii="宋体" w:hAnsi="宋体" w:cs="宋体"/>
          <w:color w:val="auto"/>
          <w:sz w:val="21"/>
          <w:szCs w:val="21"/>
          <w:lang w:val="en-US" w:eastAsia="zh-CN"/>
        </w:rPr>
        <w:t>3.</w:t>
      </w:r>
      <w:r>
        <w:rPr>
          <w:rFonts w:hint="eastAsia" w:ascii="宋体" w:hAnsi="宋体" w:cs="宋体"/>
          <w:color w:val="auto"/>
          <w:sz w:val="21"/>
          <w:szCs w:val="21"/>
        </w:rPr>
        <w:t>11铁安监［2007］230号文《提速货运安全保障体系建设指导意见》。</w:t>
      </w:r>
    </w:p>
    <w:p>
      <w:pPr>
        <w:spacing w:line="360" w:lineRule="auto"/>
        <w:rPr>
          <w:rFonts w:hint="eastAsia" w:ascii="宋体" w:hAnsi="宋体" w:cs="宋体"/>
          <w:color w:val="auto"/>
          <w:sz w:val="21"/>
          <w:szCs w:val="21"/>
        </w:rPr>
      </w:pPr>
      <w:r>
        <w:rPr>
          <w:rFonts w:hint="eastAsia" w:ascii="宋体" w:hAnsi="宋体" w:cs="宋体"/>
          <w:color w:val="auto"/>
          <w:sz w:val="21"/>
          <w:szCs w:val="21"/>
        </w:rPr>
        <w:t>3.</w:t>
      </w:r>
      <w:r>
        <w:rPr>
          <w:rFonts w:hint="eastAsia" w:ascii="宋体" w:hAnsi="宋体" w:cs="宋体"/>
          <w:color w:val="auto"/>
          <w:sz w:val="21"/>
          <w:szCs w:val="21"/>
          <w:lang w:val="en-US" w:eastAsia="zh-CN"/>
        </w:rPr>
        <w:t>3.</w:t>
      </w:r>
      <w:r>
        <w:rPr>
          <w:rFonts w:hint="eastAsia" w:ascii="宋体" w:hAnsi="宋体" w:cs="宋体"/>
          <w:color w:val="auto"/>
          <w:sz w:val="21"/>
          <w:szCs w:val="21"/>
        </w:rPr>
        <w:t>12铁运［2008］35号文《关于加强编组站工作的意见》。</w:t>
      </w:r>
    </w:p>
    <w:p>
      <w:pPr>
        <w:spacing w:line="360" w:lineRule="auto"/>
        <w:rPr>
          <w:rFonts w:hint="eastAsia" w:ascii="宋体" w:hAnsi="宋体" w:cs="宋体"/>
          <w:color w:val="auto"/>
          <w:sz w:val="21"/>
          <w:szCs w:val="21"/>
        </w:rPr>
      </w:pPr>
      <w:r>
        <w:rPr>
          <w:rFonts w:hint="eastAsia" w:ascii="宋体" w:hAnsi="宋体" w:cs="宋体"/>
          <w:color w:val="auto"/>
          <w:sz w:val="21"/>
          <w:szCs w:val="21"/>
        </w:rPr>
        <w:t>3.</w:t>
      </w:r>
      <w:r>
        <w:rPr>
          <w:rFonts w:hint="eastAsia" w:ascii="宋体" w:hAnsi="宋体" w:cs="宋体"/>
          <w:color w:val="auto"/>
          <w:sz w:val="21"/>
          <w:szCs w:val="21"/>
          <w:lang w:val="en-US" w:eastAsia="zh-CN"/>
        </w:rPr>
        <w:t>3.</w:t>
      </w:r>
      <w:r>
        <w:rPr>
          <w:rFonts w:hint="eastAsia" w:ascii="宋体" w:hAnsi="宋体" w:cs="宋体"/>
          <w:color w:val="auto"/>
          <w:sz w:val="21"/>
          <w:szCs w:val="21"/>
        </w:rPr>
        <w:t>13铁运［2011］144号《关于印发铁路通信设备雷电综合防护实施指导意见的通知》。</w:t>
      </w:r>
    </w:p>
    <w:p>
      <w:pPr>
        <w:spacing w:line="360" w:lineRule="auto"/>
        <w:rPr>
          <w:rFonts w:hint="eastAsia" w:ascii="宋体" w:hAnsi="宋体" w:cs="宋体"/>
          <w:color w:val="auto"/>
          <w:sz w:val="21"/>
          <w:szCs w:val="21"/>
        </w:rPr>
      </w:pPr>
      <w:r>
        <w:rPr>
          <w:rFonts w:hint="eastAsia" w:ascii="宋体" w:hAnsi="宋体" w:cs="宋体"/>
          <w:color w:val="auto"/>
          <w:sz w:val="21"/>
          <w:szCs w:val="21"/>
        </w:rPr>
        <w:t>3.</w:t>
      </w:r>
      <w:r>
        <w:rPr>
          <w:rFonts w:hint="eastAsia" w:ascii="宋体" w:hAnsi="宋体" w:cs="宋体"/>
          <w:color w:val="auto"/>
          <w:sz w:val="21"/>
          <w:szCs w:val="21"/>
          <w:lang w:val="en-US" w:eastAsia="zh-CN"/>
        </w:rPr>
        <w:t>3.</w:t>
      </w:r>
      <w:r>
        <w:rPr>
          <w:rFonts w:hint="eastAsia" w:ascii="宋体" w:hAnsi="宋体" w:cs="宋体"/>
          <w:color w:val="auto"/>
          <w:sz w:val="21"/>
          <w:szCs w:val="21"/>
        </w:rPr>
        <w:t>14铁建设［2007］39号 《铁路防雷、电磁兼容及接地工程技术暂行规定》。</w:t>
      </w:r>
    </w:p>
    <w:p>
      <w:pPr>
        <w:spacing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3.</w:t>
      </w:r>
      <w:r>
        <w:rPr>
          <w:rFonts w:hint="eastAsia" w:ascii="宋体" w:hAnsi="宋体" w:eastAsia="宋体" w:cs="宋体"/>
          <w:b w:val="0"/>
          <w:bCs w:val="0"/>
          <w:color w:val="auto"/>
          <w:sz w:val="21"/>
          <w:szCs w:val="21"/>
          <w:lang w:val="en-US" w:eastAsia="zh-CN"/>
        </w:rPr>
        <w:t>4</w:t>
      </w:r>
      <w:r>
        <w:rPr>
          <w:rFonts w:hint="eastAsia" w:ascii="宋体" w:hAnsi="宋体" w:eastAsia="宋体" w:cs="宋体"/>
          <w:b w:val="0"/>
          <w:bCs w:val="0"/>
          <w:color w:val="auto"/>
          <w:sz w:val="21"/>
          <w:szCs w:val="21"/>
        </w:rPr>
        <w:t>投标人按如下要求对投标设备的结构、性能进行详细描述。</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*3.</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.1</w:t>
      </w:r>
      <w:r>
        <w:rPr>
          <w:rFonts w:hint="eastAsia" w:ascii="宋体" w:hAnsi="宋体" w:cs="宋体"/>
          <w:color w:val="auto"/>
          <w:sz w:val="21"/>
          <w:szCs w:val="21"/>
          <w:shd w:val="clear" w:color="auto" w:fill="auto"/>
        </w:rPr>
        <w:t>不断轨自动轨道衡</w:t>
      </w:r>
      <w:r>
        <w:rPr>
          <w:rFonts w:hint="eastAsia" w:ascii="宋体" w:hAnsi="宋体" w:eastAsia="宋体" w:cs="宋体"/>
          <w:color w:val="auto"/>
          <w:sz w:val="21"/>
          <w:szCs w:val="21"/>
        </w:rPr>
        <w:t>中每项设备的构造；</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*3.</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.2各部件的规格型号、生产厂家、技术参数；</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*3.</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.3</w:t>
      </w:r>
      <w:r>
        <w:rPr>
          <w:rFonts w:hint="eastAsia" w:ascii="宋体" w:hAnsi="宋体" w:cs="宋体"/>
          <w:color w:val="auto"/>
          <w:sz w:val="21"/>
          <w:szCs w:val="21"/>
          <w:shd w:val="clear" w:color="auto" w:fill="auto"/>
        </w:rPr>
        <w:t>不断轨自动轨道衡</w:t>
      </w:r>
      <w:r>
        <w:rPr>
          <w:rFonts w:hint="eastAsia" w:ascii="宋体" w:hAnsi="宋体" w:eastAsia="宋体" w:cs="宋体"/>
          <w:color w:val="auto"/>
          <w:sz w:val="21"/>
          <w:szCs w:val="21"/>
        </w:rPr>
        <w:t>中每项设备的主要技术指标；</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3.</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.4其它技术描述。</w:t>
      </w:r>
    </w:p>
    <w:p>
      <w:pPr>
        <w:spacing w:line="360" w:lineRule="auto"/>
        <w:rPr>
          <w:rFonts w:hint="eastAsia" w:ascii="宋体" w:hAnsi="宋体" w:cs="宋体"/>
          <w:b w:val="0"/>
          <w:bCs w:val="0"/>
          <w:color w:val="auto"/>
          <w:sz w:val="21"/>
          <w:szCs w:val="21"/>
        </w:rPr>
      </w:pPr>
      <w:r>
        <w:rPr>
          <w:rFonts w:hint="eastAsia" w:ascii="宋体" w:hAnsi="宋体" w:cs="宋体"/>
          <w:b w:val="0"/>
          <w:bCs w:val="0"/>
          <w:color w:val="auto"/>
          <w:sz w:val="21"/>
          <w:szCs w:val="21"/>
          <w:lang w:val="en-US" w:eastAsia="zh-CN"/>
        </w:rPr>
        <w:t>3.5</w:t>
      </w:r>
      <w:r>
        <w:rPr>
          <w:rFonts w:hint="eastAsia" w:ascii="宋体" w:hAnsi="宋体" w:cs="宋体"/>
          <w:b w:val="0"/>
          <w:bCs w:val="0"/>
          <w:color w:val="auto"/>
          <w:sz w:val="21"/>
          <w:szCs w:val="21"/>
        </w:rPr>
        <w:t>标牌</w:t>
      </w:r>
    </w:p>
    <w:p>
      <w:pPr>
        <w:spacing w:line="360" w:lineRule="auto"/>
        <w:ind w:firstLine="420" w:firstLineChars="200"/>
        <w:rPr>
          <w:rFonts w:hint="eastAsia" w:ascii="宋体" w:hAnsi="宋体" w:cs="宋体"/>
          <w:color w:val="auto"/>
          <w:sz w:val="21"/>
          <w:szCs w:val="21"/>
        </w:rPr>
      </w:pPr>
      <w:r>
        <w:rPr>
          <w:rFonts w:hint="eastAsia" w:ascii="宋体" w:hAnsi="宋体" w:cs="宋体"/>
          <w:color w:val="auto"/>
          <w:sz w:val="21"/>
          <w:szCs w:val="21"/>
        </w:rPr>
        <w:t>所有总成部件必须装有铭牌，铭牌应标有该总成件主要技术规格参数。配套的总成件铭牌要完好保留，便于察看。</w:t>
      </w:r>
    </w:p>
    <w:p>
      <w:pPr>
        <w:spacing w:line="360" w:lineRule="auto"/>
        <w:rPr>
          <w:rFonts w:hint="eastAsia" w:ascii="宋体" w:hAnsi="宋体" w:eastAsia="宋体" w:cs="宋体"/>
          <w:b/>
          <w:bCs/>
          <w:color w:val="auto"/>
          <w:sz w:val="21"/>
          <w:szCs w:val="21"/>
          <w:highlight w:val="none"/>
          <w:lang w:val="en-US" w:eastAsia="zh-CN"/>
        </w:rPr>
      </w:pPr>
      <w:bookmarkStart w:id="6" w:name="_Toc323283570"/>
      <w:r>
        <w:rPr>
          <w:rFonts w:hint="eastAsia" w:ascii="宋体" w:hAnsi="宋体" w:cs="宋体"/>
          <w:b/>
          <w:bCs/>
          <w:color w:val="auto"/>
          <w:sz w:val="21"/>
          <w:szCs w:val="21"/>
          <w:highlight w:val="none"/>
          <w:lang w:val="en-US" w:eastAsia="zh-CN"/>
        </w:rPr>
        <w:t>4</w:t>
      </w:r>
      <w:r>
        <w:rPr>
          <w:rFonts w:hint="eastAsia" w:ascii="宋体" w:hAnsi="宋体" w:cs="宋体"/>
          <w:b/>
          <w:bCs/>
          <w:color w:val="auto"/>
          <w:sz w:val="21"/>
          <w:szCs w:val="21"/>
          <w:highlight w:val="none"/>
        </w:rPr>
        <w:t>.供货范围</w:t>
      </w:r>
      <w:bookmarkEnd w:id="6"/>
    </w:p>
    <w:p>
      <w:pPr>
        <w:tabs>
          <w:tab w:val="left" w:pos="545"/>
          <w:tab w:val="left" w:pos="1079"/>
        </w:tabs>
        <w:spacing w:line="360" w:lineRule="auto"/>
        <w:ind w:firstLine="420" w:firstLineChars="200"/>
        <w:rPr>
          <w:rFonts w:hint="eastAsia" w:ascii="宋体" w:hAnsi="宋体" w:cs="宋体"/>
          <w:color w:val="auto"/>
          <w:sz w:val="21"/>
          <w:szCs w:val="21"/>
        </w:rPr>
      </w:pPr>
      <w:r>
        <w:rPr>
          <w:rFonts w:hint="eastAsia" w:ascii="宋体" w:hAnsi="宋体" w:cs="宋体"/>
          <w:color w:val="auto"/>
          <w:sz w:val="21"/>
          <w:szCs w:val="21"/>
          <w:lang w:val="en-US" w:eastAsia="zh-CN"/>
        </w:rPr>
        <w:t>供应</w:t>
      </w:r>
      <w:r>
        <w:rPr>
          <w:rFonts w:hint="eastAsia" w:ascii="宋体" w:hAnsi="宋体" w:cs="宋体"/>
          <w:color w:val="auto"/>
          <w:sz w:val="21"/>
          <w:szCs w:val="21"/>
        </w:rPr>
        <w:t>完整的、全新的、符合制造标准的、满足本合同各项条件及技术要求的</w:t>
      </w:r>
      <w:r>
        <w:rPr>
          <w:rFonts w:hint="eastAsia" w:ascii="宋体" w:hAnsi="宋体" w:cs="宋体"/>
          <w:color w:val="auto"/>
          <w:sz w:val="21"/>
          <w:szCs w:val="21"/>
          <w:shd w:val="clear" w:color="auto" w:fill="auto"/>
        </w:rPr>
        <w:t>不断轨自动轨道衡</w:t>
      </w:r>
      <w:r>
        <w:rPr>
          <w:rFonts w:hint="eastAsia" w:ascii="宋体" w:hAnsi="宋体" w:cs="宋体"/>
          <w:color w:val="auto"/>
          <w:sz w:val="21"/>
          <w:szCs w:val="21"/>
        </w:rPr>
        <w:t>设备2</w:t>
      </w:r>
      <w:r>
        <w:rPr>
          <w:rFonts w:hint="eastAsia" w:ascii="宋体" w:hAnsi="宋体" w:cs="宋体"/>
          <w:color w:val="auto"/>
          <w:sz w:val="21"/>
          <w:szCs w:val="21"/>
          <w:lang w:eastAsia="zh-CN"/>
        </w:rPr>
        <w:t>套</w:t>
      </w:r>
      <w:r>
        <w:rPr>
          <w:rFonts w:hint="eastAsia" w:ascii="宋体" w:hAnsi="宋体" w:cs="宋体"/>
          <w:color w:val="auto"/>
          <w:sz w:val="21"/>
          <w:szCs w:val="21"/>
        </w:rPr>
        <w:t>。其中包括安装调试设备所必需的全部零件和材料（如连接件、油漆、电气安装材料、技术资料等）。主要设备及材料如下（但不限于此；包含在本次报价内）：</w:t>
      </w:r>
    </w:p>
    <w:tbl>
      <w:tblPr>
        <w:tblStyle w:val="6"/>
        <w:tblW w:w="8167" w:type="dxa"/>
        <w:jc w:val="center"/>
        <w:tblInd w:w="0" w:type="dxa"/>
        <w:tblLayout w:type="fixed"/>
        <w:tblCellMar>
          <w:top w:w="0" w:type="dxa"/>
          <w:left w:w="108" w:type="dxa"/>
          <w:bottom w:w="0" w:type="dxa"/>
          <w:right w:w="108" w:type="dxa"/>
        </w:tblCellMar>
      </w:tblPr>
      <w:tblGrid>
        <w:gridCol w:w="1027"/>
        <w:gridCol w:w="3329"/>
        <w:gridCol w:w="736"/>
        <w:gridCol w:w="750"/>
        <w:gridCol w:w="2325"/>
      </w:tblGrid>
      <w:tr>
        <w:tblPrEx>
          <w:tblLayout w:type="fixed"/>
          <w:tblCellMar>
            <w:top w:w="0" w:type="dxa"/>
            <w:left w:w="108" w:type="dxa"/>
            <w:bottom w:w="0" w:type="dxa"/>
            <w:right w:w="108" w:type="dxa"/>
          </w:tblCellMar>
        </w:tblPrEx>
        <w:trPr>
          <w:trHeight w:val="285" w:hRule="atLeast"/>
          <w:jc w:val="center"/>
        </w:trPr>
        <w:tc>
          <w:tcPr>
            <w:tcW w:w="1027"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hint="eastAsia" w:ascii="宋体" w:hAnsi="宋体" w:cs="宋体"/>
                <w:color w:val="auto"/>
                <w:kern w:val="0"/>
                <w:sz w:val="21"/>
                <w:szCs w:val="21"/>
              </w:rPr>
            </w:pPr>
            <w:r>
              <w:rPr>
                <w:rFonts w:hint="eastAsia" w:ascii="宋体" w:hAnsi="宋体" w:cs="宋体"/>
                <w:color w:val="auto"/>
                <w:kern w:val="0"/>
                <w:sz w:val="21"/>
                <w:szCs w:val="21"/>
              </w:rPr>
              <w:t>序号</w:t>
            </w:r>
          </w:p>
        </w:tc>
        <w:tc>
          <w:tcPr>
            <w:tcW w:w="3329" w:type="dxa"/>
            <w:tcBorders>
              <w:top w:val="single" w:color="auto" w:sz="4" w:space="0"/>
              <w:left w:val="nil"/>
              <w:bottom w:val="single" w:color="auto" w:sz="4" w:space="0"/>
              <w:right w:val="single" w:color="auto" w:sz="4" w:space="0"/>
            </w:tcBorders>
            <w:vAlign w:val="center"/>
          </w:tcPr>
          <w:p>
            <w:pPr>
              <w:widowControl/>
              <w:spacing w:line="360" w:lineRule="auto"/>
              <w:jc w:val="center"/>
              <w:rPr>
                <w:rFonts w:hint="eastAsia" w:ascii="宋体" w:hAnsi="宋体" w:cs="宋体"/>
                <w:color w:val="auto"/>
                <w:kern w:val="0"/>
                <w:sz w:val="21"/>
                <w:szCs w:val="21"/>
              </w:rPr>
            </w:pPr>
            <w:r>
              <w:rPr>
                <w:rFonts w:hint="eastAsia" w:ascii="宋体" w:hAnsi="宋体" w:cs="宋体"/>
                <w:color w:val="auto"/>
                <w:kern w:val="0"/>
                <w:sz w:val="21"/>
                <w:szCs w:val="21"/>
              </w:rPr>
              <w:t>名称</w:t>
            </w:r>
          </w:p>
        </w:tc>
        <w:tc>
          <w:tcPr>
            <w:tcW w:w="736" w:type="dxa"/>
            <w:tcBorders>
              <w:top w:val="single" w:color="auto" w:sz="4" w:space="0"/>
              <w:left w:val="nil"/>
              <w:bottom w:val="single" w:color="auto" w:sz="4" w:space="0"/>
              <w:right w:val="single" w:color="auto" w:sz="4" w:space="0"/>
            </w:tcBorders>
            <w:vAlign w:val="center"/>
          </w:tcPr>
          <w:p>
            <w:pPr>
              <w:widowControl/>
              <w:spacing w:line="360" w:lineRule="auto"/>
              <w:jc w:val="center"/>
              <w:rPr>
                <w:rFonts w:hint="eastAsia" w:ascii="宋体" w:hAnsi="宋体" w:cs="宋体"/>
                <w:color w:val="auto"/>
                <w:kern w:val="0"/>
                <w:sz w:val="21"/>
                <w:szCs w:val="21"/>
              </w:rPr>
            </w:pPr>
            <w:r>
              <w:rPr>
                <w:rFonts w:hint="eastAsia" w:ascii="宋体" w:hAnsi="宋体" w:cs="宋体"/>
                <w:color w:val="auto"/>
                <w:kern w:val="0"/>
                <w:sz w:val="21"/>
                <w:szCs w:val="21"/>
              </w:rPr>
              <w:t>单位</w:t>
            </w:r>
          </w:p>
        </w:tc>
        <w:tc>
          <w:tcPr>
            <w:tcW w:w="750" w:type="dxa"/>
            <w:tcBorders>
              <w:top w:val="single" w:color="auto" w:sz="4" w:space="0"/>
              <w:left w:val="nil"/>
              <w:bottom w:val="single" w:color="auto" w:sz="4" w:space="0"/>
              <w:right w:val="single" w:color="auto" w:sz="4" w:space="0"/>
            </w:tcBorders>
            <w:vAlign w:val="center"/>
          </w:tcPr>
          <w:p>
            <w:pPr>
              <w:widowControl/>
              <w:spacing w:line="360" w:lineRule="auto"/>
              <w:jc w:val="center"/>
              <w:rPr>
                <w:rFonts w:hint="eastAsia" w:ascii="宋体" w:hAnsi="宋体" w:cs="宋体"/>
                <w:color w:val="auto"/>
                <w:kern w:val="0"/>
                <w:sz w:val="21"/>
                <w:szCs w:val="21"/>
              </w:rPr>
            </w:pPr>
            <w:r>
              <w:rPr>
                <w:rFonts w:hint="eastAsia" w:ascii="宋体" w:hAnsi="宋体" w:cs="宋体"/>
                <w:color w:val="auto"/>
                <w:kern w:val="0"/>
                <w:sz w:val="21"/>
                <w:szCs w:val="21"/>
              </w:rPr>
              <w:t>数量</w:t>
            </w:r>
          </w:p>
        </w:tc>
        <w:tc>
          <w:tcPr>
            <w:tcW w:w="2325" w:type="dxa"/>
            <w:tcBorders>
              <w:top w:val="single" w:color="auto" w:sz="4" w:space="0"/>
              <w:left w:val="nil"/>
              <w:bottom w:val="single" w:color="auto" w:sz="4" w:space="0"/>
              <w:right w:val="single" w:color="auto" w:sz="4" w:space="0"/>
            </w:tcBorders>
            <w:vAlign w:val="top"/>
          </w:tcPr>
          <w:p>
            <w:pPr>
              <w:widowControl/>
              <w:spacing w:line="360" w:lineRule="auto"/>
              <w:jc w:val="center"/>
              <w:rPr>
                <w:rFonts w:hint="eastAsia" w:ascii="宋体" w:hAnsi="宋体" w:cs="宋体"/>
                <w:color w:val="auto"/>
                <w:kern w:val="0"/>
                <w:sz w:val="21"/>
                <w:szCs w:val="21"/>
              </w:rPr>
            </w:pPr>
            <w:r>
              <w:rPr>
                <w:rFonts w:hint="eastAsia" w:ascii="宋体" w:hAnsi="宋体" w:cs="宋体"/>
                <w:color w:val="auto"/>
                <w:kern w:val="0"/>
                <w:sz w:val="21"/>
                <w:szCs w:val="21"/>
              </w:rPr>
              <w:t>供货时间</w:t>
            </w:r>
          </w:p>
        </w:tc>
      </w:tr>
      <w:tr>
        <w:tblPrEx>
          <w:tblLayout w:type="fixed"/>
          <w:tblCellMar>
            <w:top w:w="0" w:type="dxa"/>
            <w:left w:w="108" w:type="dxa"/>
            <w:bottom w:w="0" w:type="dxa"/>
            <w:right w:w="108" w:type="dxa"/>
          </w:tblCellMar>
        </w:tblPrEx>
        <w:trPr>
          <w:trHeight w:val="90" w:hRule="atLeast"/>
          <w:jc w:val="center"/>
        </w:trPr>
        <w:tc>
          <w:tcPr>
            <w:tcW w:w="1027"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hint="eastAsia" w:ascii="宋体" w:hAnsi="宋体" w:eastAsia="宋体" w:cs="宋体"/>
                <w:color w:val="auto"/>
                <w:kern w:val="0"/>
                <w:sz w:val="21"/>
                <w:szCs w:val="21"/>
                <w:lang w:eastAsia="zh-CN"/>
              </w:rPr>
            </w:pPr>
            <w:r>
              <w:rPr>
                <w:rFonts w:hint="eastAsia" w:ascii="宋体" w:hAnsi="宋体" w:cs="宋体"/>
                <w:color w:val="auto"/>
                <w:kern w:val="0"/>
                <w:sz w:val="21"/>
                <w:szCs w:val="21"/>
                <w:lang w:val="en-US" w:eastAsia="zh-CN"/>
              </w:rPr>
              <w:t>1</w:t>
            </w:r>
          </w:p>
        </w:tc>
        <w:tc>
          <w:tcPr>
            <w:tcW w:w="3329" w:type="dxa"/>
            <w:tcBorders>
              <w:top w:val="single" w:color="auto" w:sz="4" w:space="0"/>
              <w:left w:val="nil"/>
              <w:bottom w:val="single" w:color="auto" w:sz="4" w:space="0"/>
              <w:right w:val="single" w:color="auto" w:sz="4" w:space="0"/>
            </w:tcBorders>
            <w:vAlign w:val="center"/>
          </w:tcPr>
          <w:p>
            <w:pPr>
              <w:spacing w:line="240" w:lineRule="exact"/>
              <w:ind w:leftChars="-1" w:right="-107" w:rightChars="-51" w:hanging="2" w:hangingChars="1"/>
              <w:rPr>
                <w:rFonts w:hint="eastAsia" w:ascii="宋体" w:hAnsi="宋体" w:eastAsia="宋体"/>
                <w:bCs/>
                <w:color w:val="auto"/>
                <w:sz w:val="21"/>
                <w:szCs w:val="21"/>
                <w:lang w:eastAsia="zh-CN"/>
              </w:rPr>
            </w:pPr>
            <w:r>
              <w:rPr>
                <w:rFonts w:hint="eastAsia" w:ascii="宋体" w:hAnsi="宋体"/>
                <w:bCs/>
                <w:color w:val="auto"/>
                <w:sz w:val="21"/>
                <w:szCs w:val="21"/>
                <w:lang w:eastAsia="zh-CN"/>
              </w:rPr>
              <w:t>称重台</w:t>
            </w:r>
          </w:p>
        </w:tc>
        <w:tc>
          <w:tcPr>
            <w:tcW w:w="736"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宋体" w:hAnsi="宋体" w:cs="宋体"/>
                <w:color w:val="auto"/>
                <w:kern w:val="0"/>
                <w:sz w:val="21"/>
                <w:szCs w:val="21"/>
              </w:rPr>
            </w:pPr>
            <w:r>
              <w:rPr>
                <w:rFonts w:hint="eastAsia" w:ascii="宋体" w:hAnsi="宋体"/>
                <w:bCs/>
                <w:color w:val="auto"/>
                <w:sz w:val="21"/>
                <w:szCs w:val="21"/>
              </w:rPr>
              <w:t>台套</w:t>
            </w:r>
          </w:p>
        </w:tc>
        <w:tc>
          <w:tcPr>
            <w:tcW w:w="750"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宋体" w:hAnsi="宋体"/>
                <w:bCs/>
                <w:color w:val="auto"/>
                <w:sz w:val="21"/>
                <w:szCs w:val="21"/>
              </w:rPr>
            </w:pPr>
            <w:r>
              <w:rPr>
                <w:rFonts w:hint="eastAsia" w:ascii="宋体" w:hAnsi="宋体"/>
                <w:bCs/>
                <w:color w:val="auto"/>
                <w:sz w:val="21"/>
                <w:szCs w:val="21"/>
              </w:rPr>
              <w:t>2</w:t>
            </w:r>
          </w:p>
        </w:tc>
        <w:tc>
          <w:tcPr>
            <w:tcW w:w="2325" w:type="dxa"/>
            <w:tcBorders>
              <w:top w:val="single" w:color="auto" w:sz="4" w:space="0"/>
              <w:left w:val="nil"/>
              <w:bottom w:val="single" w:color="auto" w:sz="4" w:space="0"/>
              <w:right w:val="single" w:color="auto" w:sz="4" w:space="0"/>
            </w:tcBorders>
            <w:vAlign w:val="center"/>
          </w:tcPr>
          <w:p>
            <w:pPr>
              <w:widowControl/>
              <w:spacing w:line="360" w:lineRule="auto"/>
              <w:jc w:val="center"/>
              <w:rPr>
                <w:rFonts w:hint="eastAsia" w:ascii="宋体" w:hAnsi="宋体" w:cs="宋体"/>
                <w:color w:val="auto"/>
                <w:kern w:val="0"/>
                <w:sz w:val="21"/>
                <w:szCs w:val="21"/>
              </w:rPr>
            </w:pPr>
            <w:r>
              <w:rPr>
                <w:rFonts w:hint="eastAsia" w:ascii="宋体" w:hAnsi="宋体" w:eastAsia="宋体" w:cs="宋体"/>
                <w:color w:val="auto"/>
                <w:sz w:val="21"/>
                <w:szCs w:val="21"/>
              </w:rPr>
              <w:t>自合同生效起</w:t>
            </w:r>
            <w:r>
              <w:rPr>
                <w:rFonts w:hint="eastAsia" w:ascii="宋体" w:hAnsi="宋体" w:eastAsia="宋体" w:cs="宋体"/>
                <w:color w:val="auto"/>
                <w:sz w:val="21"/>
                <w:szCs w:val="21"/>
                <w:highlight w:val="none"/>
              </w:rPr>
              <w:t>2个月</w:t>
            </w:r>
          </w:p>
        </w:tc>
      </w:tr>
      <w:tr>
        <w:tblPrEx>
          <w:tblLayout w:type="fixed"/>
          <w:tblCellMar>
            <w:top w:w="0" w:type="dxa"/>
            <w:left w:w="108" w:type="dxa"/>
            <w:bottom w:w="0" w:type="dxa"/>
            <w:right w:w="108" w:type="dxa"/>
          </w:tblCellMar>
        </w:tblPrEx>
        <w:trPr>
          <w:cantSplit/>
          <w:trHeight w:val="315" w:hRule="atLeast"/>
          <w:jc w:val="center"/>
        </w:trPr>
        <w:tc>
          <w:tcPr>
            <w:tcW w:w="1027" w:type="dxa"/>
            <w:tcBorders>
              <w:top w:val="nil"/>
              <w:left w:val="single" w:color="auto" w:sz="4" w:space="0"/>
              <w:bottom w:val="single" w:color="auto" w:sz="4" w:space="0"/>
              <w:right w:val="single" w:color="auto" w:sz="4" w:space="0"/>
            </w:tcBorders>
            <w:vAlign w:val="center"/>
          </w:tcPr>
          <w:p>
            <w:pPr>
              <w:widowControl/>
              <w:spacing w:line="360" w:lineRule="auto"/>
              <w:jc w:val="center"/>
              <w:rPr>
                <w:rFonts w:hint="eastAsia" w:ascii="宋体" w:hAnsi="宋体" w:eastAsia="宋体" w:cs="宋体"/>
                <w:color w:val="auto"/>
                <w:kern w:val="0"/>
                <w:sz w:val="21"/>
                <w:szCs w:val="21"/>
                <w:lang w:eastAsia="zh-CN"/>
              </w:rPr>
            </w:pPr>
            <w:r>
              <w:rPr>
                <w:rFonts w:hint="eastAsia" w:ascii="宋体" w:hAnsi="宋体" w:cs="宋体"/>
                <w:color w:val="auto"/>
                <w:kern w:val="0"/>
                <w:sz w:val="21"/>
                <w:szCs w:val="21"/>
                <w:lang w:val="en-US" w:eastAsia="zh-CN"/>
              </w:rPr>
              <w:t>2</w:t>
            </w:r>
          </w:p>
        </w:tc>
        <w:tc>
          <w:tcPr>
            <w:tcW w:w="3329" w:type="dxa"/>
            <w:tcBorders>
              <w:top w:val="nil"/>
              <w:left w:val="nil"/>
              <w:bottom w:val="single" w:color="auto" w:sz="4" w:space="0"/>
              <w:right w:val="single" w:color="auto" w:sz="4" w:space="0"/>
            </w:tcBorders>
            <w:vAlign w:val="center"/>
          </w:tcPr>
          <w:p>
            <w:pPr>
              <w:spacing w:line="240" w:lineRule="exact"/>
              <w:ind w:left="0" w:leftChars="-1" w:right="-107" w:rightChars="-51" w:hanging="2" w:hangingChars="1"/>
              <w:rPr>
                <w:rFonts w:hint="eastAsia" w:ascii="宋体" w:hAnsi="宋体" w:eastAsia="宋体"/>
                <w:bCs/>
                <w:color w:val="auto"/>
                <w:sz w:val="21"/>
                <w:szCs w:val="21"/>
                <w:lang w:eastAsia="zh-CN"/>
              </w:rPr>
            </w:pPr>
            <w:r>
              <w:rPr>
                <w:rFonts w:hint="eastAsia" w:ascii="宋体" w:hAnsi="宋体"/>
                <w:bCs/>
                <w:color w:val="auto"/>
                <w:sz w:val="21"/>
                <w:szCs w:val="21"/>
                <w:lang w:eastAsia="zh-CN"/>
              </w:rPr>
              <w:t>数据分析终端</w:t>
            </w:r>
          </w:p>
        </w:tc>
        <w:tc>
          <w:tcPr>
            <w:tcW w:w="736" w:type="dxa"/>
            <w:tcBorders>
              <w:top w:val="nil"/>
              <w:left w:val="nil"/>
              <w:bottom w:val="single" w:color="auto" w:sz="4" w:space="0"/>
              <w:right w:val="single" w:color="auto" w:sz="4" w:space="0"/>
            </w:tcBorders>
            <w:vAlign w:val="center"/>
          </w:tcPr>
          <w:p>
            <w:pPr>
              <w:spacing w:line="240" w:lineRule="exact"/>
              <w:jc w:val="center"/>
              <w:rPr>
                <w:rFonts w:hint="eastAsia" w:ascii="宋体" w:hAnsi="宋体" w:cs="宋体"/>
                <w:bCs/>
                <w:color w:val="auto"/>
                <w:kern w:val="0"/>
                <w:sz w:val="21"/>
                <w:szCs w:val="21"/>
              </w:rPr>
            </w:pPr>
            <w:r>
              <w:rPr>
                <w:rFonts w:hint="eastAsia" w:ascii="宋体" w:hAnsi="宋体"/>
                <w:bCs/>
                <w:color w:val="auto"/>
                <w:sz w:val="21"/>
                <w:szCs w:val="21"/>
                <w:lang w:eastAsia="zh-CN"/>
              </w:rPr>
              <w:t>台</w:t>
            </w:r>
          </w:p>
        </w:tc>
        <w:tc>
          <w:tcPr>
            <w:tcW w:w="750" w:type="dxa"/>
            <w:tcBorders>
              <w:top w:val="nil"/>
              <w:left w:val="nil"/>
              <w:bottom w:val="single" w:color="auto" w:sz="4" w:space="0"/>
              <w:right w:val="single" w:color="auto" w:sz="4" w:space="0"/>
            </w:tcBorders>
            <w:vAlign w:val="center"/>
          </w:tcPr>
          <w:p>
            <w:pPr>
              <w:spacing w:line="240" w:lineRule="exact"/>
              <w:jc w:val="center"/>
              <w:rPr>
                <w:rFonts w:hint="eastAsia" w:ascii="宋体" w:hAnsi="宋体" w:cs="宋体"/>
                <w:bCs/>
                <w:color w:val="auto"/>
                <w:kern w:val="0"/>
                <w:sz w:val="21"/>
                <w:szCs w:val="21"/>
              </w:rPr>
            </w:pPr>
            <w:r>
              <w:rPr>
                <w:rFonts w:hint="eastAsia" w:ascii="宋体" w:hAnsi="宋体"/>
                <w:bCs/>
                <w:color w:val="auto"/>
                <w:sz w:val="21"/>
                <w:szCs w:val="21"/>
                <w:lang w:val="en-US" w:eastAsia="zh-CN"/>
              </w:rPr>
              <w:t>2</w:t>
            </w:r>
          </w:p>
        </w:tc>
        <w:tc>
          <w:tcPr>
            <w:tcW w:w="2325" w:type="dxa"/>
            <w:tcBorders>
              <w:top w:val="nil"/>
              <w:left w:val="nil"/>
              <w:bottom w:val="single" w:color="auto" w:sz="4" w:space="0"/>
              <w:right w:val="single" w:color="auto" w:sz="4" w:space="0"/>
            </w:tcBorders>
            <w:vAlign w:val="center"/>
          </w:tcPr>
          <w:p>
            <w:pPr>
              <w:widowControl/>
              <w:spacing w:line="360" w:lineRule="auto"/>
              <w:jc w:val="center"/>
              <w:rPr>
                <w:rFonts w:hint="eastAsia" w:ascii="宋体" w:hAnsi="宋体" w:cs="宋体"/>
                <w:bCs/>
                <w:color w:val="auto"/>
                <w:kern w:val="0"/>
                <w:sz w:val="21"/>
                <w:szCs w:val="21"/>
              </w:rPr>
            </w:pPr>
            <w:r>
              <w:rPr>
                <w:rFonts w:hint="eastAsia" w:ascii="宋体" w:hAnsi="宋体" w:eastAsia="宋体" w:cs="宋体"/>
                <w:color w:val="auto"/>
                <w:sz w:val="21"/>
                <w:szCs w:val="21"/>
              </w:rPr>
              <w:t>自合同生效起</w:t>
            </w:r>
            <w:r>
              <w:rPr>
                <w:rFonts w:hint="eastAsia" w:ascii="宋体" w:hAnsi="宋体" w:eastAsia="宋体" w:cs="宋体"/>
                <w:color w:val="auto"/>
                <w:sz w:val="21"/>
                <w:szCs w:val="21"/>
                <w:highlight w:val="none"/>
              </w:rPr>
              <w:t>2个月</w:t>
            </w:r>
          </w:p>
        </w:tc>
      </w:tr>
      <w:tr>
        <w:tblPrEx>
          <w:tblLayout w:type="fixed"/>
          <w:tblCellMar>
            <w:top w:w="0" w:type="dxa"/>
            <w:left w:w="108" w:type="dxa"/>
            <w:bottom w:w="0" w:type="dxa"/>
            <w:right w:w="108" w:type="dxa"/>
          </w:tblCellMar>
        </w:tblPrEx>
        <w:trPr>
          <w:cantSplit/>
          <w:trHeight w:val="315" w:hRule="atLeast"/>
          <w:jc w:val="center"/>
        </w:trPr>
        <w:tc>
          <w:tcPr>
            <w:tcW w:w="1027" w:type="dxa"/>
            <w:tcBorders>
              <w:top w:val="nil"/>
              <w:left w:val="single" w:color="auto" w:sz="4" w:space="0"/>
              <w:bottom w:val="single" w:color="auto" w:sz="4" w:space="0"/>
              <w:right w:val="single" w:color="auto" w:sz="4" w:space="0"/>
            </w:tcBorders>
            <w:vAlign w:val="center"/>
          </w:tcPr>
          <w:p>
            <w:pPr>
              <w:widowControl/>
              <w:spacing w:line="360" w:lineRule="auto"/>
              <w:jc w:val="center"/>
              <w:rPr>
                <w:rFonts w:hint="eastAsia" w:ascii="宋体" w:hAnsi="宋体" w:eastAsia="宋体" w:cs="宋体"/>
                <w:color w:val="auto"/>
                <w:kern w:val="0"/>
                <w:sz w:val="21"/>
                <w:szCs w:val="21"/>
                <w:lang w:eastAsia="zh-CN"/>
              </w:rPr>
            </w:pPr>
            <w:r>
              <w:rPr>
                <w:rFonts w:hint="eastAsia" w:ascii="宋体" w:hAnsi="宋体" w:cs="宋体"/>
                <w:color w:val="auto"/>
                <w:kern w:val="0"/>
                <w:sz w:val="21"/>
                <w:szCs w:val="21"/>
                <w:lang w:val="en-US" w:eastAsia="zh-CN"/>
              </w:rPr>
              <w:t>3</w:t>
            </w:r>
          </w:p>
        </w:tc>
        <w:tc>
          <w:tcPr>
            <w:tcW w:w="3329" w:type="dxa"/>
            <w:tcBorders>
              <w:top w:val="nil"/>
              <w:left w:val="nil"/>
              <w:bottom w:val="single" w:color="auto" w:sz="4" w:space="0"/>
              <w:right w:val="single" w:color="auto" w:sz="4" w:space="0"/>
            </w:tcBorders>
            <w:vAlign w:val="center"/>
          </w:tcPr>
          <w:p>
            <w:pPr>
              <w:spacing w:line="240" w:lineRule="exact"/>
              <w:ind w:left="0" w:leftChars="-1" w:right="-107" w:rightChars="-51" w:hanging="2" w:hangingChars="1"/>
              <w:rPr>
                <w:rFonts w:hint="eastAsia" w:ascii="宋体" w:hAnsi="宋体" w:eastAsia="宋体" w:cs="宋体"/>
                <w:bCs/>
                <w:color w:val="auto"/>
                <w:kern w:val="0"/>
                <w:sz w:val="21"/>
                <w:szCs w:val="21"/>
                <w:highlight w:val="green"/>
                <w:lang w:val="en-US" w:eastAsia="zh-CN"/>
              </w:rPr>
            </w:pPr>
            <w:r>
              <w:rPr>
                <w:rFonts w:hint="eastAsia" w:ascii="宋体" w:hAnsi="宋体"/>
                <w:bCs/>
                <w:color w:val="auto"/>
                <w:sz w:val="21"/>
                <w:szCs w:val="21"/>
              </w:rPr>
              <w:t>工控机</w:t>
            </w:r>
          </w:p>
        </w:tc>
        <w:tc>
          <w:tcPr>
            <w:tcW w:w="736" w:type="dxa"/>
            <w:tcBorders>
              <w:top w:val="nil"/>
              <w:left w:val="nil"/>
              <w:bottom w:val="single" w:color="auto" w:sz="4" w:space="0"/>
              <w:right w:val="single" w:color="auto" w:sz="4" w:space="0"/>
            </w:tcBorders>
            <w:vAlign w:val="center"/>
          </w:tcPr>
          <w:p>
            <w:pPr>
              <w:spacing w:line="240" w:lineRule="exact"/>
              <w:jc w:val="center"/>
              <w:rPr>
                <w:rFonts w:hint="eastAsia" w:ascii="宋体" w:hAnsi="宋体" w:cs="宋体"/>
                <w:bCs/>
                <w:color w:val="auto"/>
                <w:kern w:val="0"/>
                <w:sz w:val="21"/>
                <w:szCs w:val="21"/>
              </w:rPr>
            </w:pPr>
            <w:r>
              <w:rPr>
                <w:rFonts w:hint="eastAsia" w:ascii="宋体" w:hAnsi="宋体"/>
                <w:bCs/>
                <w:color w:val="auto"/>
                <w:sz w:val="21"/>
                <w:szCs w:val="21"/>
              </w:rPr>
              <w:t>台</w:t>
            </w:r>
          </w:p>
        </w:tc>
        <w:tc>
          <w:tcPr>
            <w:tcW w:w="750" w:type="dxa"/>
            <w:tcBorders>
              <w:top w:val="nil"/>
              <w:left w:val="nil"/>
              <w:bottom w:val="single" w:color="auto" w:sz="4" w:space="0"/>
              <w:right w:val="single" w:color="auto" w:sz="4" w:space="0"/>
            </w:tcBorders>
            <w:vAlign w:val="center"/>
          </w:tcPr>
          <w:p>
            <w:pPr>
              <w:spacing w:line="240" w:lineRule="exact"/>
              <w:jc w:val="center"/>
              <w:rPr>
                <w:rFonts w:hint="eastAsia" w:ascii="宋体" w:hAnsi="宋体" w:cs="宋体"/>
                <w:bCs/>
                <w:color w:val="auto"/>
                <w:kern w:val="0"/>
                <w:sz w:val="21"/>
                <w:szCs w:val="21"/>
              </w:rPr>
            </w:pPr>
            <w:r>
              <w:rPr>
                <w:rFonts w:hint="eastAsia" w:ascii="宋体" w:hAnsi="宋体"/>
                <w:bCs/>
                <w:color w:val="auto"/>
                <w:sz w:val="21"/>
                <w:szCs w:val="21"/>
              </w:rPr>
              <w:t>2</w:t>
            </w:r>
          </w:p>
        </w:tc>
        <w:tc>
          <w:tcPr>
            <w:tcW w:w="2325" w:type="dxa"/>
            <w:tcBorders>
              <w:top w:val="nil"/>
              <w:left w:val="nil"/>
              <w:bottom w:val="single" w:color="auto" w:sz="4" w:space="0"/>
              <w:right w:val="single" w:color="auto" w:sz="4" w:space="0"/>
            </w:tcBorders>
            <w:vAlign w:val="center"/>
          </w:tcPr>
          <w:p>
            <w:pPr>
              <w:widowControl/>
              <w:spacing w:line="360" w:lineRule="auto"/>
              <w:jc w:val="center"/>
              <w:rPr>
                <w:rFonts w:hint="eastAsia" w:ascii="宋体" w:hAnsi="宋体" w:cs="宋体"/>
                <w:bCs/>
                <w:color w:val="auto"/>
                <w:kern w:val="0"/>
                <w:sz w:val="21"/>
                <w:szCs w:val="21"/>
              </w:rPr>
            </w:pPr>
            <w:r>
              <w:rPr>
                <w:rFonts w:hint="eastAsia" w:ascii="宋体" w:hAnsi="宋体" w:eastAsia="宋体" w:cs="宋体"/>
                <w:color w:val="auto"/>
                <w:sz w:val="21"/>
                <w:szCs w:val="21"/>
              </w:rPr>
              <w:t>自合同生效起</w:t>
            </w:r>
            <w:r>
              <w:rPr>
                <w:rFonts w:hint="eastAsia" w:ascii="宋体" w:hAnsi="宋体" w:eastAsia="宋体" w:cs="宋体"/>
                <w:color w:val="auto"/>
                <w:sz w:val="21"/>
                <w:szCs w:val="21"/>
                <w:highlight w:val="none"/>
              </w:rPr>
              <w:t>2个月</w:t>
            </w:r>
          </w:p>
        </w:tc>
      </w:tr>
      <w:tr>
        <w:tblPrEx>
          <w:tblLayout w:type="fixed"/>
          <w:tblCellMar>
            <w:top w:w="0" w:type="dxa"/>
            <w:left w:w="108" w:type="dxa"/>
            <w:bottom w:w="0" w:type="dxa"/>
            <w:right w:w="108" w:type="dxa"/>
          </w:tblCellMar>
        </w:tblPrEx>
        <w:trPr>
          <w:cantSplit/>
          <w:trHeight w:val="315" w:hRule="atLeast"/>
          <w:jc w:val="center"/>
        </w:trPr>
        <w:tc>
          <w:tcPr>
            <w:tcW w:w="1027" w:type="dxa"/>
            <w:tcBorders>
              <w:top w:val="nil"/>
              <w:left w:val="single" w:color="auto" w:sz="4" w:space="0"/>
              <w:bottom w:val="single" w:color="auto" w:sz="4" w:space="0"/>
              <w:right w:val="single" w:color="auto" w:sz="4" w:space="0"/>
            </w:tcBorders>
            <w:vAlign w:val="center"/>
          </w:tcPr>
          <w:p>
            <w:pPr>
              <w:widowControl/>
              <w:spacing w:line="360" w:lineRule="auto"/>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w:t>
            </w:r>
          </w:p>
        </w:tc>
        <w:tc>
          <w:tcPr>
            <w:tcW w:w="3329" w:type="dxa"/>
            <w:tcBorders>
              <w:top w:val="nil"/>
              <w:left w:val="nil"/>
              <w:bottom w:val="single" w:color="auto" w:sz="4" w:space="0"/>
              <w:right w:val="single" w:color="auto" w:sz="4" w:space="0"/>
            </w:tcBorders>
            <w:vAlign w:val="center"/>
          </w:tcPr>
          <w:p>
            <w:pPr>
              <w:spacing w:line="240" w:lineRule="exact"/>
              <w:ind w:left="0" w:leftChars="-1" w:right="-107" w:rightChars="-51" w:hanging="2" w:hangingChars="1"/>
              <w:rPr>
                <w:rFonts w:hint="eastAsia" w:ascii="宋体" w:hAnsi="宋体"/>
                <w:bCs/>
                <w:color w:val="auto"/>
                <w:sz w:val="21"/>
                <w:szCs w:val="21"/>
                <w:highlight w:val="none"/>
              </w:rPr>
            </w:pPr>
            <w:r>
              <w:rPr>
                <w:rFonts w:hint="eastAsia" w:ascii="宋体" w:hAnsi="宋体"/>
                <w:bCs/>
                <w:color w:val="auto"/>
                <w:sz w:val="21"/>
                <w:szCs w:val="21"/>
                <w:highlight w:val="none"/>
              </w:rPr>
              <w:t>打印机</w:t>
            </w:r>
          </w:p>
        </w:tc>
        <w:tc>
          <w:tcPr>
            <w:tcW w:w="736" w:type="dxa"/>
            <w:tcBorders>
              <w:top w:val="nil"/>
              <w:left w:val="nil"/>
              <w:bottom w:val="single" w:color="auto" w:sz="4" w:space="0"/>
              <w:right w:val="single" w:color="auto" w:sz="4" w:space="0"/>
            </w:tcBorders>
            <w:vAlign w:val="center"/>
          </w:tcPr>
          <w:p>
            <w:pPr>
              <w:spacing w:line="240" w:lineRule="exact"/>
              <w:jc w:val="center"/>
              <w:rPr>
                <w:rFonts w:hint="eastAsia" w:ascii="宋体" w:hAnsi="宋体"/>
                <w:bCs/>
                <w:color w:val="auto"/>
                <w:sz w:val="21"/>
                <w:szCs w:val="21"/>
              </w:rPr>
            </w:pPr>
            <w:r>
              <w:rPr>
                <w:rFonts w:hint="eastAsia" w:ascii="宋体" w:hAnsi="宋体"/>
                <w:bCs/>
                <w:color w:val="auto"/>
                <w:sz w:val="21"/>
                <w:szCs w:val="21"/>
              </w:rPr>
              <w:t>台</w:t>
            </w:r>
          </w:p>
        </w:tc>
        <w:tc>
          <w:tcPr>
            <w:tcW w:w="750" w:type="dxa"/>
            <w:tcBorders>
              <w:top w:val="nil"/>
              <w:left w:val="nil"/>
              <w:bottom w:val="single" w:color="auto" w:sz="4" w:space="0"/>
              <w:right w:val="single" w:color="auto" w:sz="4" w:space="0"/>
            </w:tcBorders>
            <w:vAlign w:val="center"/>
          </w:tcPr>
          <w:p>
            <w:pPr>
              <w:spacing w:line="240" w:lineRule="exact"/>
              <w:jc w:val="center"/>
              <w:rPr>
                <w:rFonts w:hint="eastAsia" w:ascii="宋体" w:hAnsi="宋体"/>
                <w:bCs/>
                <w:color w:val="auto"/>
                <w:sz w:val="21"/>
                <w:szCs w:val="21"/>
              </w:rPr>
            </w:pPr>
            <w:r>
              <w:rPr>
                <w:rFonts w:hint="eastAsia" w:ascii="宋体" w:hAnsi="宋体"/>
                <w:bCs/>
                <w:color w:val="auto"/>
                <w:sz w:val="21"/>
                <w:szCs w:val="21"/>
              </w:rPr>
              <w:t>2</w:t>
            </w:r>
          </w:p>
        </w:tc>
        <w:tc>
          <w:tcPr>
            <w:tcW w:w="2325" w:type="dxa"/>
            <w:tcBorders>
              <w:top w:val="nil"/>
              <w:left w:val="nil"/>
              <w:bottom w:val="single" w:color="auto" w:sz="4" w:space="0"/>
              <w:right w:val="single" w:color="auto" w:sz="4" w:space="0"/>
            </w:tcBorders>
            <w:vAlign w:val="center"/>
          </w:tcPr>
          <w:p>
            <w:pPr>
              <w:widowControl/>
              <w:spacing w:line="36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自合同生效起</w:t>
            </w:r>
            <w:r>
              <w:rPr>
                <w:rFonts w:hint="eastAsia" w:ascii="宋体" w:hAnsi="宋体" w:eastAsia="宋体" w:cs="宋体"/>
                <w:color w:val="auto"/>
                <w:sz w:val="21"/>
                <w:szCs w:val="21"/>
                <w:highlight w:val="none"/>
              </w:rPr>
              <w:t>2个月</w:t>
            </w:r>
          </w:p>
        </w:tc>
      </w:tr>
      <w:tr>
        <w:tblPrEx>
          <w:tblLayout w:type="fixed"/>
          <w:tblCellMar>
            <w:top w:w="0" w:type="dxa"/>
            <w:left w:w="108" w:type="dxa"/>
            <w:bottom w:w="0" w:type="dxa"/>
            <w:right w:w="108" w:type="dxa"/>
          </w:tblCellMar>
        </w:tblPrEx>
        <w:trPr>
          <w:cantSplit/>
          <w:trHeight w:val="315" w:hRule="atLeast"/>
          <w:jc w:val="center"/>
        </w:trPr>
        <w:tc>
          <w:tcPr>
            <w:tcW w:w="1027" w:type="dxa"/>
            <w:tcBorders>
              <w:top w:val="nil"/>
              <w:left w:val="single" w:color="auto" w:sz="4" w:space="0"/>
              <w:bottom w:val="single" w:color="auto" w:sz="4" w:space="0"/>
              <w:right w:val="single" w:color="auto" w:sz="4" w:space="0"/>
            </w:tcBorders>
            <w:vAlign w:val="center"/>
          </w:tcPr>
          <w:p>
            <w:pPr>
              <w:widowControl/>
              <w:spacing w:line="360" w:lineRule="auto"/>
              <w:jc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5</w:t>
            </w:r>
          </w:p>
        </w:tc>
        <w:tc>
          <w:tcPr>
            <w:tcW w:w="3329" w:type="dxa"/>
            <w:tcBorders>
              <w:top w:val="nil"/>
              <w:left w:val="nil"/>
              <w:bottom w:val="single" w:color="auto" w:sz="4" w:space="0"/>
              <w:right w:val="single" w:color="auto" w:sz="4" w:space="0"/>
            </w:tcBorders>
            <w:vAlign w:val="center"/>
          </w:tcPr>
          <w:p>
            <w:pPr>
              <w:widowControl/>
              <w:spacing w:line="240" w:lineRule="exact"/>
              <w:rPr>
                <w:rFonts w:hint="eastAsia" w:ascii="宋体" w:hAnsi="宋体" w:cs="宋体"/>
                <w:bCs/>
                <w:color w:val="auto"/>
                <w:kern w:val="0"/>
                <w:sz w:val="21"/>
                <w:szCs w:val="21"/>
                <w:highlight w:val="none"/>
              </w:rPr>
            </w:pPr>
            <w:r>
              <w:rPr>
                <w:rFonts w:hint="eastAsia" w:ascii="宋体" w:hAnsi="宋体"/>
                <w:bCs/>
                <w:color w:val="auto"/>
                <w:sz w:val="21"/>
                <w:szCs w:val="21"/>
                <w:highlight w:val="none"/>
              </w:rPr>
              <w:t>防雷系统</w:t>
            </w:r>
          </w:p>
        </w:tc>
        <w:tc>
          <w:tcPr>
            <w:tcW w:w="736"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bCs/>
                <w:color w:val="auto"/>
                <w:kern w:val="0"/>
                <w:sz w:val="21"/>
                <w:szCs w:val="21"/>
                <w:lang w:eastAsia="zh-CN"/>
              </w:rPr>
            </w:pPr>
            <w:r>
              <w:rPr>
                <w:rFonts w:hint="eastAsia" w:ascii="宋体" w:hAnsi="宋体"/>
                <w:bCs/>
                <w:color w:val="auto"/>
                <w:sz w:val="21"/>
                <w:szCs w:val="21"/>
                <w:lang w:eastAsia="zh-CN"/>
              </w:rPr>
              <w:t>套</w:t>
            </w:r>
          </w:p>
        </w:tc>
        <w:tc>
          <w:tcPr>
            <w:tcW w:w="750"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bCs/>
                <w:color w:val="auto"/>
                <w:kern w:val="0"/>
                <w:sz w:val="21"/>
                <w:szCs w:val="21"/>
              </w:rPr>
            </w:pPr>
            <w:r>
              <w:rPr>
                <w:rFonts w:hint="eastAsia" w:ascii="宋体" w:hAnsi="宋体"/>
                <w:bCs/>
                <w:color w:val="auto"/>
                <w:sz w:val="21"/>
                <w:szCs w:val="21"/>
              </w:rPr>
              <w:t>2</w:t>
            </w:r>
          </w:p>
        </w:tc>
        <w:tc>
          <w:tcPr>
            <w:tcW w:w="2325" w:type="dxa"/>
            <w:tcBorders>
              <w:top w:val="nil"/>
              <w:left w:val="nil"/>
              <w:bottom w:val="single" w:color="auto" w:sz="4" w:space="0"/>
              <w:right w:val="single" w:color="auto" w:sz="4" w:space="0"/>
            </w:tcBorders>
            <w:vAlign w:val="center"/>
          </w:tcPr>
          <w:p>
            <w:pPr>
              <w:widowControl/>
              <w:spacing w:line="360" w:lineRule="auto"/>
              <w:jc w:val="center"/>
              <w:rPr>
                <w:rFonts w:hint="eastAsia" w:ascii="宋体" w:hAnsi="宋体" w:cs="宋体"/>
                <w:bCs/>
                <w:color w:val="auto"/>
                <w:kern w:val="0"/>
                <w:sz w:val="21"/>
                <w:szCs w:val="21"/>
              </w:rPr>
            </w:pPr>
            <w:r>
              <w:rPr>
                <w:rFonts w:hint="eastAsia" w:ascii="宋体" w:hAnsi="宋体" w:eastAsia="宋体" w:cs="宋体"/>
                <w:color w:val="auto"/>
                <w:sz w:val="21"/>
                <w:szCs w:val="21"/>
              </w:rPr>
              <w:t>自合同生效起</w:t>
            </w:r>
            <w:r>
              <w:rPr>
                <w:rFonts w:hint="eastAsia" w:ascii="宋体" w:hAnsi="宋体" w:eastAsia="宋体" w:cs="宋体"/>
                <w:color w:val="auto"/>
                <w:sz w:val="21"/>
                <w:szCs w:val="21"/>
                <w:highlight w:val="none"/>
              </w:rPr>
              <w:t>2个月</w:t>
            </w:r>
          </w:p>
        </w:tc>
      </w:tr>
      <w:tr>
        <w:tblPrEx>
          <w:tblLayout w:type="fixed"/>
          <w:tblCellMar>
            <w:top w:w="0" w:type="dxa"/>
            <w:left w:w="108" w:type="dxa"/>
            <w:bottom w:w="0" w:type="dxa"/>
            <w:right w:w="108" w:type="dxa"/>
          </w:tblCellMar>
        </w:tblPrEx>
        <w:trPr>
          <w:cantSplit/>
          <w:trHeight w:val="315" w:hRule="atLeast"/>
          <w:jc w:val="center"/>
        </w:trPr>
        <w:tc>
          <w:tcPr>
            <w:tcW w:w="1027" w:type="dxa"/>
            <w:tcBorders>
              <w:top w:val="nil"/>
              <w:left w:val="single" w:color="auto" w:sz="4" w:space="0"/>
              <w:bottom w:val="single" w:color="auto" w:sz="4" w:space="0"/>
              <w:right w:val="single" w:color="auto" w:sz="4" w:space="0"/>
            </w:tcBorders>
            <w:vAlign w:val="center"/>
          </w:tcPr>
          <w:p>
            <w:pPr>
              <w:widowControl/>
              <w:spacing w:line="360" w:lineRule="auto"/>
              <w:jc w:val="center"/>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lang w:val="en-US" w:eastAsia="zh-CN"/>
              </w:rPr>
              <w:t>6</w:t>
            </w:r>
          </w:p>
        </w:tc>
        <w:tc>
          <w:tcPr>
            <w:tcW w:w="3329" w:type="dxa"/>
            <w:tcBorders>
              <w:top w:val="nil"/>
              <w:left w:val="nil"/>
              <w:bottom w:val="single" w:color="auto" w:sz="4" w:space="0"/>
              <w:right w:val="single" w:color="auto" w:sz="4" w:space="0"/>
            </w:tcBorders>
            <w:vAlign w:val="center"/>
          </w:tcPr>
          <w:p>
            <w:pPr>
              <w:spacing w:line="240" w:lineRule="exact"/>
              <w:ind w:leftChars="-1" w:right="-107" w:rightChars="-51" w:hanging="2" w:hangingChars="1"/>
              <w:rPr>
                <w:rFonts w:hint="eastAsia" w:ascii="宋体" w:hAnsi="宋体" w:cs="宋体"/>
                <w:bCs/>
                <w:color w:val="auto"/>
                <w:kern w:val="0"/>
                <w:sz w:val="21"/>
                <w:szCs w:val="21"/>
              </w:rPr>
            </w:pPr>
            <w:r>
              <w:rPr>
                <w:rFonts w:hint="eastAsia" w:ascii="宋体" w:hAnsi="宋体"/>
                <w:bCs/>
                <w:color w:val="auto"/>
                <w:sz w:val="21"/>
                <w:szCs w:val="21"/>
              </w:rPr>
              <w:t>车号识别系统</w:t>
            </w:r>
          </w:p>
        </w:tc>
        <w:tc>
          <w:tcPr>
            <w:tcW w:w="736" w:type="dxa"/>
            <w:tcBorders>
              <w:top w:val="nil"/>
              <w:left w:val="nil"/>
              <w:bottom w:val="single" w:color="auto" w:sz="4" w:space="0"/>
              <w:right w:val="single" w:color="auto" w:sz="4" w:space="0"/>
            </w:tcBorders>
            <w:vAlign w:val="center"/>
          </w:tcPr>
          <w:p>
            <w:pPr>
              <w:spacing w:line="240" w:lineRule="exact"/>
              <w:jc w:val="center"/>
              <w:rPr>
                <w:rFonts w:hint="eastAsia" w:ascii="宋体" w:hAnsi="宋体" w:cs="宋体"/>
                <w:bCs/>
                <w:color w:val="auto"/>
                <w:kern w:val="0"/>
                <w:sz w:val="21"/>
                <w:szCs w:val="21"/>
              </w:rPr>
            </w:pPr>
            <w:r>
              <w:rPr>
                <w:rFonts w:hint="eastAsia" w:ascii="宋体" w:hAnsi="宋体"/>
                <w:bCs/>
                <w:color w:val="auto"/>
                <w:sz w:val="21"/>
                <w:szCs w:val="21"/>
              </w:rPr>
              <w:t>套</w:t>
            </w:r>
          </w:p>
        </w:tc>
        <w:tc>
          <w:tcPr>
            <w:tcW w:w="750" w:type="dxa"/>
            <w:tcBorders>
              <w:top w:val="nil"/>
              <w:left w:val="nil"/>
              <w:bottom w:val="single" w:color="auto" w:sz="4" w:space="0"/>
              <w:right w:val="single" w:color="auto" w:sz="4" w:space="0"/>
            </w:tcBorders>
            <w:vAlign w:val="center"/>
          </w:tcPr>
          <w:p>
            <w:pPr>
              <w:spacing w:line="240" w:lineRule="exact"/>
              <w:jc w:val="center"/>
              <w:rPr>
                <w:rFonts w:hint="eastAsia" w:ascii="宋体" w:hAnsi="宋体" w:cs="宋体"/>
                <w:bCs/>
                <w:color w:val="auto"/>
                <w:kern w:val="0"/>
                <w:sz w:val="21"/>
                <w:szCs w:val="21"/>
              </w:rPr>
            </w:pPr>
            <w:r>
              <w:rPr>
                <w:rFonts w:hint="eastAsia" w:ascii="宋体" w:hAnsi="宋体"/>
                <w:bCs/>
                <w:color w:val="auto"/>
                <w:sz w:val="21"/>
                <w:szCs w:val="21"/>
              </w:rPr>
              <w:t>2</w:t>
            </w:r>
          </w:p>
        </w:tc>
        <w:tc>
          <w:tcPr>
            <w:tcW w:w="2325" w:type="dxa"/>
            <w:tcBorders>
              <w:top w:val="nil"/>
              <w:left w:val="nil"/>
              <w:bottom w:val="single" w:color="auto" w:sz="4" w:space="0"/>
              <w:right w:val="single" w:color="auto" w:sz="4" w:space="0"/>
            </w:tcBorders>
            <w:vAlign w:val="center"/>
          </w:tcPr>
          <w:p>
            <w:pPr>
              <w:widowControl/>
              <w:spacing w:line="360" w:lineRule="auto"/>
              <w:jc w:val="center"/>
              <w:rPr>
                <w:rFonts w:hint="eastAsia" w:ascii="宋体" w:hAnsi="宋体" w:cs="宋体"/>
                <w:bCs/>
                <w:color w:val="auto"/>
                <w:kern w:val="0"/>
                <w:sz w:val="21"/>
                <w:szCs w:val="21"/>
              </w:rPr>
            </w:pPr>
            <w:r>
              <w:rPr>
                <w:rFonts w:hint="eastAsia" w:ascii="宋体" w:hAnsi="宋体" w:eastAsia="宋体" w:cs="宋体"/>
                <w:color w:val="auto"/>
                <w:sz w:val="21"/>
                <w:szCs w:val="21"/>
              </w:rPr>
              <w:t>自合同生效起</w:t>
            </w:r>
            <w:r>
              <w:rPr>
                <w:rFonts w:hint="eastAsia" w:ascii="宋体" w:hAnsi="宋体" w:eastAsia="宋体" w:cs="宋体"/>
                <w:color w:val="auto"/>
                <w:sz w:val="21"/>
                <w:szCs w:val="21"/>
                <w:highlight w:val="none"/>
              </w:rPr>
              <w:t>2个月</w:t>
            </w:r>
          </w:p>
        </w:tc>
      </w:tr>
      <w:tr>
        <w:tblPrEx>
          <w:tblLayout w:type="fixed"/>
          <w:tblCellMar>
            <w:top w:w="0" w:type="dxa"/>
            <w:left w:w="108" w:type="dxa"/>
            <w:bottom w:w="0" w:type="dxa"/>
            <w:right w:w="108" w:type="dxa"/>
          </w:tblCellMar>
        </w:tblPrEx>
        <w:trPr>
          <w:cantSplit/>
          <w:trHeight w:val="315" w:hRule="atLeast"/>
          <w:jc w:val="center"/>
        </w:trPr>
        <w:tc>
          <w:tcPr>
            <w:tcW w:w="1027" w:type="dxa"/>
            <w:tcBorders>
              <w:top w:val="nil"/>
              <w:left w:val="single" w:color="auto" w:sz="4" w:space="0"/>
              <w:bottom w:val="single" w:color="auto" w:sz="4" w:space="0"/>
              <w:right w:val="single" w:color="auto" w:sz="4" w:space="0"/>
            </w:tcBorders>
            <w:vAlign w:val="center"/>
          </w:tcPr>
          <w:p>
            <w:pPr>
              <w:widowControl/>
              <w:spacing w:line="360" w:lineRule="auto"/>
              <w:jc w:val="center"/>
              <w:rPr>
                <w:rFonts w:hint="eastAsia" w:ascii="宋体" w:hAnsi="宋体" w:eastAsia="宋体" w:cs="宋体"/>
                <w:color w:val="auto"/>
                <w:kern w:val="0"/>
                <w:sz w:val="21"/>
                <w:szCs w:val="21"/>
                <w:lang w:val="en-US" w:eastAsia="zh-CN"/>
              </w:rPr>
            </w:pPr>
            <w:r>
              <w:rPr>
                <w:rFonts w:hint="eastAsia" w:ascii="宋体" w:hAnsi="宋体" w:cs="宋体"/>
                <w:color w:val="auto"/>
                <w:kern w:val="0"/>
                <w:sz w:val="21"/>
                <w:szCs w:val="21"/>
                <w:lang w:val="en-US" w:eastAsia="zh-CN"/>
              </w:rPr>
              <w:t>7</w:t>
            </w:r>
          </w:p>
        </w:tc>
        <w:tc>
          <w:tcPr>
            <w:tcW w:w="3329" w:type="dxa"/>
            <w:tcBorders>
              <w:top w:val="nil"/>
              <w:left w:val="nil"/>
              <w:bottom w:val="single" w:color="auto" w:sz="4" w:space="0"/>
              <w:right w:val="single" w:color="auto" w:sz="4" w:space="0"/>
            </w:tcBorders>
            <w:vAlign w:val="center"/>
          </w:tcPr>
          <w:p>
            <w:pPr>
              <w:tabs>
                <w:tab w:val="left" w:pos="635"/>
              </w:tabs>
              <w:spacing w:line="240" w:lineRule="exact"/>
              <w:ind w:leftChars="-1" w:right="-107" w:rightChars="-51" w:hanging="2" w:hangingChars="1"/>
              <w:rPr>
                <w:rFonts w:hint="eastAsia" w:ascii="宋体" w:hAnsi="宋体" w:eastAsia="宋体"/>
                <w:bCs/>
                <w:color w:val="auto"/>
                <w:sz w:val="21"/>
                <w:szCs w:val="21"/>
                <w:lang w:eastAsia="zh-CN"/>
              </w:rPr>
            </w:pPr>
            <w:r>
              <w:rPr>
                <w:rFonts w:hint="eastAsia" w:ascii="宋体" w:hAnsi="宋体"/>
                <w:bCs/>
                <w:color w:val="auto"/>
                <w:sz w:val="21"/>
                <w:szCs w:val="21"/>
                <w:lang w:eastAsia="zh-CN"/>
              </w:rPr>
              <w:tab/>
            </w:r>
            <w:r>
              <w:rPr>
                <w:rFonts w:hint="eastAsia" w:ascii="宋体" w:hAnsi="宋体"/>
                <w:bCs/>
                <w:color w:val="auto"/>
                <w:sz w:val="21"/>
                <w:szCs w:val="21"/>
                <w:lang w:eastAsia="zh-CN"/>
              </w:rPr>
              <w:t>H3C  S3600网络交换机</w:t>
            </w:r>
          </w:p>
        </w:tc>
        <w:tc>
          <w:tcPr>
            <w:tcW w:w="736" w:type="dxa"/>
            <w:tcBorders>
              <w:top w:val="nil"/>
              <w:left w:val="nil"/>
              <w:bottom w:val="single" w:color="auto" w:sz="4" w:space="0"/>
              <w:right w:val="single" w:color="auto" w:sz="4" w:space="0"/>
            </w:tcBorders>
            <w:vAlign w:val="center"/>
          </w:tcPr>
          <w:p>
            <w:pPr>
              <w:spacing w:line="240" w:lineRule="exact"/>
              <w:jc w:val="center"/>
              <w:rPr>
                <w:rFonts w:hint="eastAsia" w:ascii="宋体" w:hAnsi="宋体" w:eastAsia="宋体"/>
                <w:bCs/>
                <w:color w:val="auto"/>
                <w:sz w:val="21"/>
                <w:szCs w:val="21"/>
                <w:lang w:eastAsia="zh-CN"/>
              </w:rPr>
            </w:pPr>
            <w:r>
              <w:rPr>
                <w:rFonts w:hint="eastAsia" w:ascii="宋体" w:hAnsi="宋体"/>
                <w:bCs/>
                <w:color w:val="auto"/>
                <w:sz w:val="21"/>
                <w:szCs w:val="21"/>
                <w:lang w:eastAsia="zh-CN"/>
              </w:rPr>
              <w:t>台</w:t>
            </w:r>
          </w:p>
        </w:tc>
        <w:tc>
          <w:tcPr>
            <w:tcW w:w="750" w:type="dxa"/>
            <w:tcBorders>
              <w:top w:val="nil"/>
              <w:left w:val="nil"/>
              <w:bottom w:val="single" w:color="auto" w:sz="4" w:space="0"/>
              <w:right w:val="single" w:color="auto" w:sz="4" w:space="0"/>
            </w:tcBorders>
            <w:vAlign w:val="center"/>
          </w:tcPr>
          <w:p>
            <w:pPr>
              <w:spacing w:line="240" w:lineRule="exact"/>
              <w:jc w:val="center"/>
              <w:rPr>
                <w:rFonts w:hint="eastAsia" w:ascii="宋体" w:hAnsi="宋体" w:eastAsia="宋体"/>
                <w:bCs/>
                <w:color w:val="auto"/>
                <w:sz w:val="21"/>
                <w:szCs w:val="21"/>
                <w:lang w:val="en-US" w:eastAsia="zh-CN"/>
              </w:rPr>
            </w:pPr>
            <w:r>
              <w:rPr>
                <w:rFonts w:hint="eastAsia" w:ascii="宋体" w:hAnsi="宋体"/>
                <w:bCs/>
                <w:color w:val="auto"/>
                <w:sz w:val="21"/>
                <w:szCs w:val="21"/>
                <w:lang w:val="en-US" w:eastAsia="zh-CN"/>
              </w:rPr>
              <w:t>2</w:t>
            </w:r>
          </w:p>
        </w:tc>
        <w:tc>
          <w:tcPr>
            <w:tcW w:w="2325" w:type="dxa"/>
            <w:tcBorders>
              <w:top w:val="nil"/>
              <w:left w:val="nil"/>
              <w:bottom w:val="single" w:color="auto" w:sz="4" w:space="0"/>
              <w:right w:val="single" w:color="auto" w:sz="4" w:space="0"/>
            </w:tcBorders>
            <w:vAlign w:val="center"/>
          </w:tcPr>
          <w:p>
            <w:pPr>
              <w:widowControl/>
              <w:spacing w:line="36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自合同生效起</w:t>
            </w:r>
            <w:r>
              <w:rPr>
                <w:rFonts w:hint="eastAsia" w:ascii="宋体" w:hAnsi="宋体" w:eastAsia="宋体" w:cs="宋体"/>
                <w:color w:val="auto"/>
                <w:sz w:val="21"/>
                <w:szCs w:val="21"/>
                <w:highlight w:val="none"/>
              </w:rPr>
              <w:t>2个月</w:t>
            </w:r>
          </w:p>
        </w:tc>
      </w:tr>
      <w:tr>
        <w:tblPrEx>
          <w:tblLayout w:type="fixed"/>
          <w:tblCellMar>
            <w:top w:w="0" w:type="dxa"/>
            <w:left w:w="108" w:type="dxa"/>
            <w:bottom w:w="0" w:type="dxa"/>
            <w:right w:w="108" w:type="dxa"/>
          </w:tblCellMar>
        </w:tblPrEx>
        <w:trPr>
          <w:cantSplit/>
          <w:trHeight w:val="315" w:hRule="atLeast"/>
          <w:jc w:val="center"/>
        </w:trPr>
        <w:tc>
          <w:tcPr>
            <w:tcW w:w="1027" w:type="dxa"/>
            <w:tcBorders>
              <w:top w:val="nil"/>
              <w:left w:val="single" w:color="auto" w:sz="4" w:space="0"/>
              <w:bottom w:val="single" w:color="auto" w:sz="4" w:space="0"/>
              <w:right w:val="single" w:color="auto" w:sz="4" w:space="0"/>
            </w:tcBorders>
            <w:vAlign w:val="center"/>
          </w:tcPr>
          <w:p>
            <w:pPr>
              <w:widowControl/>
              <w:spacing w:line="360" w:lineRule="auto"/>
              <w:jc w:val="center"/>
              <w:rPr>
                <w:rFonts w:hint="eastAsia" w:ascii="宋体" w:hAnsi="宋体" w:eastAsia="宋体" w:cs="宋体"/>
                <w:color w:val="auto"/>
                <w:kern w:val="0"/>
                <w:sz w:val="21"/>
                <w:szCs w:val="21"/>
                <w:lang w:val="en-US" w:eastAsia="zh-CN"/>
              </w:rPr>
            </w:pPr>
            <w:r>
              <w:rPr>
                <w:rFonts w:hint="eastAsia" w:ascii="宋体" w:hAnsi="宋体" w:cs="宋体"/>
                <w:color w:val="auto"/>
                <w:kern w:val="0"/>
                <w:sz w:val="21"/>
                <w:szCs w:val="21"/>
                <w:lang w:val="en-US" w:eastAsia="zh-CN"/>
              </w:rPr>
              <w:t>8</w:t>
            </w:r>
          </w:p>
        </w:tc>
        <w:tc>
          <w:tcPr>
            <w:tcW w:w="3329" w:type="dxa"/>
            <w:tcBorders>
              <w:top w:val="nil"/>
              <w:left w:val="nil"/>
              <w:bottom w:val="single" w:color="auto" w:sz="4" w:space="0"/>
              <w:right w:val="single" w:color="auto" w:sz="4" w:space="0"/>
            </w:tcBorders>
            <w:vAlign w:val="center"/>
          </w:tcPr>
          <w:p>
            <w:pPr>
              <w:spacing w:line="240" w:lineRule="exact"/>
              <w:ind w:leftChars="-1" w:right="-107" w:rightChars="-51" w:hanging="2" w:hangingChars="1"/>
              <w:rPr>
                <w:rFonts w:hint="eastAsia" w:ascii="宋体" w:hAnsi="宋体" w:eastAsia="宋体"/>
                <w:bCs/>
                <w:color w:val="auto"/>
                <w:sz w:val="21"/>
                <w:szCs w:val="21"/>
                <w:lang w:val="en-US" w:eastAsia="zh-CN"/>
              </w:rPr>
            </w:pPr>
            <w:r>
              <w:rPr>
                <w:rFonts w:hint="eastAsia" w:ascii="宋体" w:hAnsi="宋体"/>
                <w:bCs/>
                <w:color w:val="auto"/>
                <w:sz w:val="21"/>
                <w:szCs w:val="21"/>
                <w:lang w:val="en-US" w:eastAsia="zh-CN"/>
              </w:rPr>
              <w:t>机柜</w:t>
            </w:r>
          </w:p>
        </w:tc>
        <w:tc>
          <w:tcPr>
            <w:tcW w:w="736" w:type="dxa"/>
            <w:tcBorders>
              <w:top w:val="nil"/>
              <w:left w:val="nil"/>
              <w:bottom w:val="single" w:color="auto" w:sz="4" w:space="0"/>
              <w:right w:val="single" w:color="auto" w:sz="4" w:space="0"/>
            </w:tcBorders>
            <w:vAlign w:val="center"/>
          </w:tcPr>
          <w:p>
            <w:pPr>
              <w:spacing w:line="240" w:lineRule="exact"/>
              <w:jc w:val="center"/>
              <w:rPr>
                <w:rFonts w:hint="eastAsia" w:ascii="宋体" w:hAnsi="宋体" w:eastAsia="宋体"/>
                <w:bCs/>
                <w:color w:val="auto"/>
                <w:sz w:val="21"/>
                <w:szCs w:val="21"/>
                <w:lang w:val="en-US" w:eastAsia="zh-CN"/>
              </w:rPr>
            </w:pPr>
            <w:r>
              <w:rPr>
                <w:rFonts w:hint="eastAsia" w:ascii="宋体" w:hAnsi="宋体"/>
                <w:bCs/>
                <w:color w:val="auto"/>
                <w:sz w:val="21"/>
                <w:szCs w:val="21"/>
                <w:lang w:val="en-US" w:eastAsia="zh-CN"/>
              </w:rPr>
              <w:t>台</w:t>
            </w:r>
          </w:p>
        </w:tc>
        <w:tc>
          <w:tcPr>
            <w:tcW w:w="750" w:type="dxa"/>
            <w:tcBorders>
              <w:top w:val="nil"/>
              <w:left w:val="nil"/>
              <w:bottom w:val="single" w:color="auto" w:sz="4" w:space="0"/>
              <w:right w:val="single" w:color="auto" w:sz="4" w:space="0"/>
            </w:tcBorders>
            <w:vAlign w:val="center"/>
          </w:tcPr>
          <w:p>
            <w:pPr>
              <w:spacing w:line="240" w:lineRule="exact"/>
              <w:jc w:val="center"/>
              <w:rPr>
                <w:rFonts w:hint="eastAsia" w:ascii="宋体" w:hAnsi="宋体" w:eastAsia="宋体"/>
                <w:bCs/>
                <w:color w:val="auto"/>
                <w:sz w:val="21"/>
                <w:szCs w:val="21"/>
                <w:lang w:val="en-US" w:eastAsia="zh-CN"/>
              </w:rPr>
            </w:pPr>
            <w:r>
              <w:rPr>
                <w:rFonts w:hint="eastAsia" w:ascii="宋体" w:hAnsi="宋体"/>
                <w:bCs/>
                <w:color w:val="auto"/>
                <w:sz w:val="21"/>
                <w:szCs w:val="21"/>
                <w:lang w:val="en-US" w:eastAsia="zh-CN"/>
              </w:rPr>
              <w:t>2</w:t>
            </w:r>
          </w:p>
        </w:tc>
        <w:tc>
          <w:tcPr>
            <w:tcW w:w="2325" w:type="dxa"/>
            <w:tcBorders>
              <w:top w:val="nil"/>
              <w:left w:val="nil"/>
              <w:bottom w:val="single" w:color="auto" w:sz="4" w:space="0"/>
              <w:right w:val="single" w:color="auto" w:sz="4" w:space="0"/>
            </w:tcBorders>
            <w:vAlign w:val="center"/>
          </w:tcPr>
          <w:p>
            <w:pPr>
              <w:widowControl/>
              <w:spacing w:line="360" w:lineRule="auto"/>
              <w:jc w:val="center"/>
              <w:rPr>
                <w:rFonts w:hint="eastAsia" w:ascii="宋体" w:hAnsi="宋体" w:eastAsia="宋体" w:cs="宋体"/>
                <w:bCs/>
                <w:color w:val="auto"/>
                <w:kern w:val="0"/>
                <w:sz w:val="21"/>
                <w:szCs w:val="21"/>
                <w:lang w:val="en-US" w:eastAsia="zh-CN"/>
              </w:rPr>
            </w:pPr>
            <w:r>
              <w:rPr>
                <w:rFonts w:hint="eastAsia" w:ascii="宋体" w:hAnsi="宋体" w:eastAsia="宋体" w:cs="宋体"/>
                <w:color w:val="auto"/>
                <w:sz w:val="21"/>
                <w:szCs w:val="21"/>
              </w:rPr>
              <w:t>自合同生效起</w:t>
            </w:r>
            <w:r>
              <w:rPr>
                <w:rFonts w:hint="eastAsia" w:ascii="宋体" w:hAnsi="宋体" w:eastAsia="宋体" w:cs="宋体"/>
                <w:color w:val="auto"/>
                <w:sz w:val="21"/>
                <w:szCs w:val="21"/>
                <w:highlight w:val="none"/>
              </w:rPr>
              <w:t>2个月</w:t>
            </w:r>
          </w:p>
        </w:tc>
      </w:tr>
    </w:tbl>
    <w:p>
      <w:pPr>
        <w:spacing w:line="360" w:lineRule="auto"/>
        <w:rPr>
          <w:rFonts w:hint="eastAsia" w:ascii="宋体" w:hAnsi="宋体" w:cs="宋体"/>
          <w:b/>
          <w:bCs/>
          <w:color w:val="auto"/>
          <w:sz w:val="21"/>
          <w:szCs w:val="21"/>
        </w:rPr>
      </w:pPr>
      <w:r>
        <w:rPr>
          <w:rFonts w:hint="eastAsia" w:ascii="宋体" w:hAnsi="宋体" w:cs="宋体"/>
          <w:b/>
          <w:bCs/>
          <w:color w:val="auto"/>
          <w:sz w:val="21"/>
          <w:szCs w:val="21"/>
        </w:rPr>
        <w:t>5</w:t>
      </w:r>
      <w:r>
        <w:rPr>
          <w:rFonts w:hint="eastAsia" w:ascii="宋体" w:hAnsi="宋体" w:cs="宋体"/>
          <w:b/>
          <w:bCs/>
          <w:color w:val="auto"/>
          <w:sz w:val="21"/>
          <w:szCs w:val="21"/>
          <w:lang w:val="en-US" w:eastAsia="zh-CN"/>
        </w:rPr>
        <w:t>.</w:t>
      </w:r>
      <w:r>
        <w:rPr>
          <w:rFonts w:hint="eastAsia" w:ascii="宋体" w:hAnsi="宋体" w:cs="宋体"/>
          <w:b/>
          <w:bCs/>
          <w:color w:val="auto"/>
          <w:sz w:val="21"/>
          <w:szCs w:val="21"/>
        </w:rPr>
        <w:t>技术资料</w:t>
      </w:r>
    </w:p>
    <w:p>
      <w:pPr>
        <w:tabs>
          <w:tab w:val="left" w:pos="525"/>
        </w:tabs>
        <w:adjustRightInd w:val="0"/>
        <w:snapToGrid w:val="0"/>
        <w:spacing w:line="360" w:lineRule="auto"/>
        <w:rPr>
          <w:rFonts w:hint="eastAsia"/>
          <w:color w:val="auto"/>
          <w:sz w:val="21"/>
          <w:szCs w:val="21"/>
          <w:highlight w:val="none"/>
        </w:rPr>
      </w:pPr>
      <w:bookmarkStart w:id="7" w:name="_Toc323283573"/>
      <w:r>
        <w:rPr>
          <w:rFonts w:hint="eastAsia"/>
          <w:color w:val="auto"/>
          <w:sz w:val="21"/>
          <w:szCs w:val="21"/>
        </w:rPr>
        <w:t>5.1投标方必随设备交付的技术资料有：基础资料（包括出厂测试报告）、原产地证明1套，《操作手册》、《配件图册》、《保养维修手册》各4套，产品合格证4套，电子版的设备操作规程及作业指导书</w:t>
      </w:r>
      <w:r>
        <w:rPr>
          <w:rFonts w:hint="eastAsia"/>
          <w:color w:val="auto"/>
          <w:sz w:val="21"/>
          <w:szCs w:val="21"/>
          <w:highlight w:val="none"/>
          <w:lang w:eastAsia="zh-CN"/>
        </w:rPr>
        <w:t>。设备验收合格，在结算前投标人需提供设备竣工档案4套（招投标文件、中标通知书、评标报告、合同、技术协议、验收纪要、验收报告、产品合格证等）及电子U盘2套。</w:t>
      </w:r>
    </w:p>
    <w:p>
      <w:pPr>
        <w:tabs>
          <w:tab w:val="left" w:pos="525"/>
        </w:tabs>
        <w:adjustRightInd w:val="0"/>
        <w:snapToGrid w:val="0"/>
        <w:spacing w:line="360" w:lineRule="auto"/>
        <w:rPr>
          <w:rFonts w:hint="eastAsia"/>
          <w:color w:val="auto"/>
          <w:sz w:val="21"/>
          <w:szCs w:val="21"/>
        </w:rPr>
      </w:pPr>
      <w:r>
        <w:rPr>
          <w:rFonts w:hint="eastAsia"/>
          <w:color w:val="auto"/>
          <w:sz w:val="21"/>
          <w:szCs w:val="21"/>
        </w:rPr>
        <w:t>5.1.1《配件图册》的内容不仅要涵盖投标方制造厂生产的零部件，而且要涵盖外购零部件，外购总成件的资料，投标方应全部提供给招标方。《配件图册》中设备上所有的总成件应有详尽的可拆分零件简图，件号；外购主要零部件应列出品牌、型号、原厂配件号、原厂定货号、厂家名称等信息。</w:t>
      </w:r>
    </w:p>
    <w:p>
      <w:pPr>
        <w:tabs>
          <w:tab w:val="left" w:pos="525"/>
        </w:tabs>
        <w:adjustRightInd w:val="0"/>
        <w:snapToGrid w:val="0"/>
        <w:spacing w:line="360" w:lineRule="auto"/>
        <w:rPr>
          <w:rFonts w:hint="eastAsia"/>
          <w:color w:val="auto"/>
          <w:sz w:val="21"/>
          <w:szCs w:val="21"/>
        </w:rPr>
      </w:pPr>
      <w:r>
        <w:rPr>
          <w:rFonts w:hint="eastAsia"/>
          <w:color w:val="auto"/>
          <w:sz w:val="21"/>
          <w:szCs w:val="21"/>
        </w:rPr>
        <w:t xml:space="preserve">5.1.2《保养维修手册》中要求详列有关检修方法及技术标准；详列设备的日常点检、安全注意事项。 </w:t>
      </w:r>
    </w:p>
    <w:p>
      <w:pPr>
        <w:spacing w:line="360" w:lineRule="auto"/>
        <w:jc w:val="left"/>
        <w:rPr>
          <w:rFonts w:hint="eastAsia" w:ascii="宋体" w:hAnsi="宋体" w:cs="宋体"/>
          <w:color w:val="auto"/>
          <w:sz w:val="21"/>
          <w:szCs w:val="21"/>
        </w:rPr>
      </w:pPr>
      <w:r>
        <w:rPr>
          <w:rFonts w:hint="eastAsia"/>
          <w:color w:val="auto"/>
          <w:sz w:val="21"/>
          <w:szCs w:val="21"/>
        </w:rPr>
        <w:t>5.2投标方必须交付全新的、完整的、与提供设备相符的、招标方认可的技术资料和图纸（包括纸质版本与电子版本）。对于缺失损坏、不符合要求的技术资料和图纸，投标方在30日内，补齐、更换。投标方将1套电子版文件，分别存储于U盘中与纸质版本一并交付。招标方出于培训目的，有权复制交付的技术资料和图纸。</w:t>
      </w:r>
    </w:p>
    <w:bookmarkEnd w:id="7"/>
    <w:p>
      <w:pPr>
        <w:spacing w:line="360" w:lineRule="auto"/>
        <w:rPr>
          <w:rFonts w:hint="eastAsia" w:ascii="宋体" w:hAnsi="宋体" w:cs="宋体"/>
          <w:b/>
          <w:bCs/>
          <w:color w:val="auto"/>
          <w:sz w:val="21"/>
          <w:szCs w:val="21"/>
        </w:rPr>
      </w:pPr>
      <w:r>
        <w:rPr>
          <w:rFonts w:hint="eastAsia" w:ascii="宋体" w:hAnsi="宋体" w:cs="宋体"/>
          <w:b/>
          <w:bCs/>
          <w:color w:val="auto"/>
          <w:sz w:val="21"/>
          <w:szCs w:val="21"/>
        </w:rPr>
        <w:t>6.技术服务及培训</w:t>
      </w:r>
    </w:p>
    <w:p>
      <w:pPr>
        <w:spacing w:line="360" w:lineRule="auto"/>
        <w:rPr>
          <w:rFonts w:hint="eastAsia" w:ascii="宋体" w:hAnsi="宋体" w:cs="宋体"/>
          <w:b w:val="0"/>
          <w:bCs w:val="0"/>
          <w:color w:val="auto"/>
          <w:sz w:val="21"/>
          <w:szCs w:val="21"/>
        </w:rPr>
      </w:pPr>
      <w:r>
        <w:rPr>
          <w:rFonts w:hint="eastAsia" w:ascii="宋体" w:hAnsi="宋体" w:cs="宋体"/>
          <w:b w:val="0"/>
          <w:bCs w:val="0"/>
          <w:color w:val="auto"/>
          <w:sz w:val="21"/>
          <w:szCs w:val="21"/>
        </w:rPr>
        <w:t>6.1技术服务</w:t>
      </w:r>
    </w:p>
    <w:p>
      <w:pPr>
        <w:spacing w:line="360" w:lineRule="auto"/>
        <w:ind w:firstLine="420" w:firstLineChars="200"/>
        <w:rPr>
          <w:rFonts w:hint="eastAsia" w:ascii="宋体" w:hAnsi="宋体" w:cs="宋体"/>
          <w:color w:val="auto"/>
          <w:sz w:val="21"/>
          <w:szCs w:val="21"/>
        </w:rPr>
      </w:pPr>
      <w:r>
        <w:rPr>
          <w:rFonts w:hint="eastAsia" w:ascii="宋体" w:hAnsi="宋体" w:cs="宋体"/>
          <w:color w:val="auto"/>
          <w:sz w:val="21"/>
          <w:szCs w:val="21"/>
        </w:rPr>
        <w:t>在设备组装、调试、试运转以及整机质量保证内。投标方应派遣必要数量的有资格、有经验、有技术、健康、能胜任工作的技术人员到招标方现场从事技术服务工作，在正确安装维修、故障排除、操作使用等方面为招标方提供技术上的帮助和支持，以保证顺利投入使用。</w:t>
      </w:r>
    </w:p>
    <w:p>
      <w:pPr>
        <w:spacing w:line="360" w:lineRule="auto"/>
        <w:rPr>
          <w:rFonts w:hint="eastAsia" w:ascii="宋体" w:hAnsi="宋体" w:cs="宋体"/>
          <w:b w:val="0"/>
          <w:bCs w:val="0"/>
          <w:color w:val="auto"/>
          <w:sz w:val="21"/>
          <w:szCs w:val="21"/>
        </w:rPr>
      </w:pPr>
      <w:r>
        <w:rPr>
          <w:rFonts w:hint="eastAsia" w:ascii="宋体" w:hAnsi="宋体" w:cs="宋体"/>
          <w:b w:val="0"/>
          <w:bCs w:val="0"/>
          <w:color w:val="auto"/>
          <w:sz w:val="21"/>
          <w:szCs w:val="21"/>
        </w:rPr>
        <w:t>6.2技术培训</w:t>
      </w:r>
    </w:p>
    <w:p>
      <w:pPr>
        <w:spacing w:line="360" w:lineRule="auto"/>
        <w:ind w:firstLine="420" w:firstLineChars="200"/>
        <w:rPr>
          <w:rFonts w:hint="eastAsia" w:ascii="宋体" w:hAnsi="宋体" w:cs="宋体"/>
          <w:color w:val="auto"/>
          <w:sz w:val="21"/>
          <w:szCs w:val="21"/>
        </w:rPr>
      </w:pPr>
      <w:r>
        <w:rPr>
          <w:rFonts w:hint="eastAsia" w:ascii="宋体" w:hAnsi="宋体" w:cs="宋体"/>
          <w:color w:val="auto"/>
          <w:sz w:val="21"/>
          <w:szCs w:val="21"/>
        </w:rPr>
        <w:t>投标方在技术服务期间要为招标方提供10人次不少于7日的免费现场技术培训和厂家技术培训。对操作和维护人员进行机械原理、电气原理、重点部位、维修知识等内容进行培训，直到操作和维护人员达到能熟练操作、维护保养和故障处理的能力。</w:t>
      </w:r>
    </w:p>
    <w:p>
      <w:pPr>
        <w:spacing w:line="360" w:lineRule="auto"/>
        <w:rPr>
          <w:rFonts w:hint="eastAsia" w:ascii="宋体" w:hAnsi="宋体" w:cs="宋体"/>
          <w:b/>
          <w:bCs/>
          <w:color w:val="auto"/>
          <w:sz w:val="21"/>
          <w:szCs w:val="21"/>
        </w:rPr>
      </w:pPr>
      <w:r>
        <w:rPr>
          <w:rFonts w:hint="eastAsia" w:ascii="宋体" w:hAnsi="宋体" w:cs="宋体"/>
          <w:b/>
          <w:bCs/>
          <w:color w:val="auto"/>
          <w:sz w:val="21"/>
          <w:szCs w:val="21"/>
        </w:rPr>
        <w:t>7.安装调试及考核验收</w:t>
      </w:r>
    </w:p>
    <w:p>
      <w:pPr>
        <w:tabs>
          <w:tab w:val="left" w:pos="900"/>
        </w:tabs>
        <w:spacing w:line="360" w:lineRule="auto"/>
        <w:rPr>
          <w:rFonts w:hint="eastAsia" w:ascii="宋体" w:hAnsi="宋体" w:cs="宋体"/>
          <w:bCs/>
          <w:color w:val="auto"/>
          <w:sz w:val="21"/>
          <w:szCs w:val="21"/>
        </w:rPr>
      </w:pPr>
      <w:r>
        <w:rPr>
          <w:rFonts w:hint="eastAsia" w:ascii="宋体" w:hAnsi="宋体" w:cs="宋体"/>
          <w:bCs/>
          <w:color w:val="auto"/>
          <w:sz w:val="21"/>
          <w:szCs w:val="21"/>
        </w:rPr>
        <w:t>*7.1.1设备安装、调试全部由投标方负责，设备到货后</w:t>
      </w:r>
      <w:r>
        <w:rPr>
          <w:rFonts w:hint="eastAsia" w:ascii="宋体" w:hAnsi="宋体" w:cs="宋体"/>
          <w:bCs/>
          <w:color w:val="auto"/>
          <w:sz w:val="21"/>
          <w:szCs w:val="21"/>
          <w:lang w:val="en-US" w:eastAsia="zh-CN"/>
        </w:rPr>
        <w:t>3</w:t>
      </w:r>
      <w:r>
        <w:rPr>
          <w:rFonts w:hint="eastAsia" w:ascii="宋体" w:hAnsi="宋体" w:cs="宋体"/>
          <w:bCs/>
          <w:color w:val="auto"/>
          <w:sz w:val="21"/>
          <w:szCs w:val="21"/>
        </w:rPr>
        <w:t>个月内完成安装，设备运行48小时内出现的故障由投标方负责。</w:t>
      </w:r>
    </w:p>
    <w:p>
      <w:pPr>
        <w:tabs>
          <w:tab w:val="left" w:pos="900"/>
        </w:tabs>
        <w:spacing w:line="360" w:lineRule="auto"/>
        <w:rPr>
          <w:rFonts w:hint="eastAsia" w:ascii="宋体" w:hAnsi="宋体" w:cs="宋体"/>
          <w:bCs/>
          <w:color w:val="auto"/>
          <w:sz w:val="21"/>
          <w:szCs w:val="21"/>
          <w:lang w:eastAsia="zh-CN"/>
        </w:rPr>
      </w:pPr>
      <w:r>
        <w:rPr>
          <w:rFonts w:hint="eastAsia" w:ascii="宋体" w:hAnsi="宋体" w:cs="宋体"/>
          <w:bCs/>
          <w:color w:val="auto"/>
          <w:sz w:val="21"/>
          <w:szCs w:val="21"/>
        </w:rPr>
        <w:t>*7.1.2</w:t>
      </w:r>
      <w:r>
        <w:rPr>
          <w:rFonts w:hint="eastAsia" w:ascii="宋体" w:hAnsi="宋体" w:cs="宋体"/>
          <w:bCs/>
          <w:color w:val="auto"/>
          <w:sz w:val="21"/>
          <w:szCs w:val="21"/>
          <w:lang w:eastAsia="zh-CN"/>
        </w:rPr>
        <w:t>设备安装、调试完毕，投标方必须取得有资质的第三方检测机构出具的车辆称量准确度检定证书。相关费用由投标方负责。</w:t>
      </w:r>
    </w:p>
    <w:p>
      <w:pPr>
        <w:tabs>
          <w:tab w:val="left" w:pos="900"/>
        </w:tabs>
        <w:spacing w:line="360" w:lineRule="auto"/>
        <w:rPr>
          <w:rFonts w:hint="eastAsia" w:ascii="宋体" w:hAnsi="宋体" w:cs="宋体"/>
          <w:b/>
          <w:bCs/>
          <w:color w:val="auto"/>
          <w:sz w:val="21"/>
          <w:szCs w:val="21"/>
        </w:rPr>
      </w:pPr>
      <w:r>
        <w:rPr>
          <w:rFonts w:hint="eastAsia" w:ascii="宋体" w:hAnsi="宋体" w:cs="宋体"/>
          <w:bCs/>
          <w:color w:val="auto"/>
          <w:sz w:val="21"/>
          <w:szCs w:val="21"/>
        </w:rPr>
        <w:t>7.1.</w:t>
      </w:r>
      <w:r>
        <w:rPr>
          <w:rFonts w:hint="eastAsia" w:ascii="宋体" w:hAnsi="宋体" w:cs="宋体"/>
          <w:bCs/>
          <w:color w:val="auto"/>
          <w:sz w:val="21"/>
          <w:szCs w:val="21"/>
          <w:lang w:val="en-US" w:eastAsia="zh-CN"/>
        </w:rPr>
        <w:t>3</w:t>
      </w:r>
      <w:r>
        <w:rPr>
          <w:rFonts w:hint="eastAsia" w:ascii="宋体" w:hAnsi="宋体" w:cs="宋体"/>
          <w:bCs/>
          <w:color w:val="auto"/>
          <w:sz w:val="21"/>
          <w:szCs w:val="21"/>
        </w:rPr>
        <w:t>设备调试完成后，进行试运行，试运行由招标方操作人员在投标方技术人员的密切、具体指导下进行。</w:t>
      </w:r>
    </w:p>
    <w:p>
      <w:pPr>
        <w:spacing w:line="360" w:lineRule="auto"/>
        <w:rPr>
          <w:rFonts w:hint="eastAsia" w:ascii="宋体" w:hAnsi="宋体" w:cs="宋体"/>
          <w:b/>
          <w:bCs/>
          <w:color w:val="auto"/>
          <w:sz w:val="21"/>
          <w:szCs w:val="21"/>
        </w:rPr>
      </w:pPr>
      <w:r>
        <w:rPr>
          <w:rFonts w:hint="eastAsia" w:ascii="宋体" w:hAnsi="宋体" w:cs="宋体"/>
          <w:b/>
          <w:bCs/>
          <w:color w:val="auto"/>
          <w:sz w:val="21"/>
          <w:szCs w:val="21"/>
        </w:rPr>
        <w:t>7.2设备考核</w:t>
      </w:r>
    </w:p>
    <w:p>
      <w:pPr>
        <w:spacing w:line="360" w:lineRule="auto"/>
        <w:rPr>
          <w:rFonts w:hint="eastAsia" w:ascii="宋体" w:hAnsi="宋体" w:cs="宋体"/>
          <w:b w:val="0"/>
          <w:bCs w:val="0"/>
          <w:color w:val="auto"/>
          <w:sz w:val="21"/>
          <w:szCs w:val="21"/>
        </w:rPr>
      </w:pPr>
      <w:r>
        <w:rPr>
          <w:rFonts w:hint="eastAsia" w:ascii="宋体" w:hAnsi="宋体" w:cs="宋体"/>
          <w:b w:val="0"/>
          <w:bCs w:val="0"/>
          <w:color w:val="auto"/>
          <w:sz w:val="21"/>
          <w:szCs w:val="21"/>
        </w:rPr>
        <w:t>7.2.1设备考核期为1个月，设备发生影响行车的故障由投标方承担责任。</w:t>
      </w:r>
    </w:p>
    <w:p>
      <w:pPr>
        <w:spacing w:line="360" w:lineRule="auto"/>
        <w:rPr>
          <w:rFonts w:hint="eastAsia" w:ascii="宋体" w:hAnsi="宋体" w:cs="宋体"/>
          <w:b w:val="0"/>
          <w:bCs w:val="0"/>
          <w:color w:val="auto"/>
          <w:sz w:val="21"/>
          <w:szCs w:val="21"/>
        </w:rPr>
      </w:pPr>
      <w:r>
        <w:rPr>
          <w:rFonts w:hint="eastAsia" w:ascii="宋体" w:hAnsi="宋体" w:cs="宋体"/>
          <w:b w:val="0"/>
          <w:bCs w:val="0"/>
          <w:color w:val="auto"/>
          <w:sz w:val="21"/>
          <w:szCs w:val="21"/>
        </w:rPr>
        <w:t>7.2.2设备在首次考核未能通过，再经过更换部件或其他方法处理后，在1个月内仍未达到考核要求，不能通过考核，则视该设备为不合格产品。1个月的期限是从首次考核试运行开始的第一天计算。设备不符合招标文件规定的要求及相关标准和规范的设备同样被视为不合格设备。</w:t>
      </w:r>
    </w:p>
    <w:p>
      <w:pPr>
        <w:spacing w:line="360" w:lineRule="auto"/>
        <w:rPr>
          <w:rFonts w:hint="eastAsia" w:ascii="宋体" w:hAnsi="宋体" w:cs="宋体"/>
          <w:b w:val="0"/>
          <w:bCs w:val="0"/>
          <w:color w:val="auto"/>
          <w:sz w:val="21"/>
          <w:szCs w:val="21"/>
        </w:rPr>
      </w:pPr>
      <w:r>
        <w:rPr>
          <w:rFonts w:hint="eastAsia" w:ascii="宋体" w:hAnsi="宋体" w:cs="宋体"/>
          <w:b w:val="0"/>
          <w:bCs w:val="0"/>
          <w:color w:val="auto"/>
          <w:sz w:val="21"/>
          <w:szCs w:val="21"/>
        </w:rPr>
        <w:t>7.2.3如考核属于不合格设备，不能进行设备验收，投标方无偿更换设备。在双方同意的期限内将新设备运抵招标方现场，由此产生的一切费用由投标方承担。在新设备安装之前，原设备继续由招标方使用。</w:t>
      </w:r>
    </w:p>
    <w:p>
      <w:pPr>
        <w:spacing w:line="360" w:lineRule="auto"/>
        <w:rPr>
          <w:rFonts w:hint="eastAsia" w:ascii="宋体" w:hAnsi="宋体" w:cs="宋体"/>
          <w:b/>
          <w:bCs/>
          <w:color w:val="auto"/>
          <w:sz w:val="21"/>
          <w:szCs w:val="21"/>
        </w:rPr>
      </w:pPr>
      <w:r>
        <w:rPr>
          <w:rFonts w:hint="eastAsia" w:ascii="宋体" w:hAnsi="宋体" w:cs="宋体"/>
          <w:b/>
          <w:bCs/>
          <w:color w:val="auto"/>
          <w:sz w:val="21"/>
          <w:szCs w:val="21"/>
        </w:rPr>
        <w:t>7.3设备验收</w:t>
      </w:r>
    </w:p>
    <w:p>
      <w:pPr>
        <w:spacing w:line="360" w:lineRule="auto"/>
        <w:rPr>
          <w:rFonts w:hint="eastAsia" w:ascii="宋体" w:hAnsi="宋体" w:cs="宋体"/>
          <w:b w:val="0"/>
          <w:bCs w:val="0"/>
          <w:color w:val="auto"/>
          <w:sz w:val="21"/>
          <w:szCs w:val="21"/>
        </w:rPr>
      </w:pPr>
      <w:r>
        <w:rPr>
          <w:rFonts w:hint="eastAsia" w:ascii="宋体" w:hAnsi="宋体" w:cs="宋体"/>
          <w:b w:val="0"/>
          <w:bCs w:val="0"/>
          <w:color w:val="auto"/>
          <w:sz w:val="21"/>
          <w:szCs w:val="21"/>
        </w:rPr>
        <w:t>考核完成后，双方对设备进行验收。验收标准为本规范书所规定的要求和相关标准、规范。</w:t>
      </w:r>
    </w:p>
    <w:p>
      <w:pPr>
        <w:spacing w:line="360" w:lineRule="auto"/>
        <w:rPr>
          <w:rFonts w:hint="eastAsia" w:ascii="宋体" w:hAnsi="宋体" w:cs="宋体"/>
          <w:b/>
          <w:bCs/>
          <w:color w:val="auto"/>
          <w:sz w:val="21"/>
          <w:szCs w:val="21"/>
        </w:rPr>
      </w:pPr>
      <w:r>
        <w:rPr>
          <w:rFonts w:hint="eastAsia" w:ascii="宋体" w:hAnsi="宋体" w:cs="宋体"/>
          <w:b/>
          <w:bCs/>
          <w:color w:val="auto"/>
          <w:sz w:val="21"/>
          <w:szCs w:val="21"/>
        </w:rPr>
        <w:t>8.质量保证</w:t>
      </w:r>
    </w:p>
    <w:p>
      <w:pPr>
        <w:spacing w:line="360" w:lineRule="auto"/>
        <w:rPr>
          <w:rFonts w:hint="eastAsia" w:ascii="宋体" w:hAnsi="宋体" w:cs="宋体"/>
          <w:color w:val="auto"/>
          <w:sz w:val="21"/>
          <w:szCs w:val="21"/>
        </w:rPr>
      </w:pPr>
      <w:r>
        <w:rPr>
          <w:rFonts w:hint="eastAsia" w:ascii="宋体" w:hAnsi="宋体" w:cs="宋体"/>
          <w:color w:val="auto"/>
          <w:sz w:val="21"/>
          <w:szCs w:val="21"/>
        </w:rPr>
        <w:t>8.1整机质量保证期为</w:t>
      </w:r>
      <w:r>
        <w:rPr>
          <w:rFonts w:hint="eastAsia" w:ascii="宋体" w:hAnsi="宋体" w:cs="宋体"/>
          <w:color w:val="auto"/>
          <w:sz w:val="21"/>
          <w:szCs w:val="21"/>
          <w:lang w:val="en-US" w:eastAsia="zh-CN"/>
        </w:rPr>
        <w:t>24</w:t>
      </w:r>
      <w:r>
        <w:rPr>
          <w:rFonts w:hint="eastAsia" w:ascii="宋体" w:hAnsi="宋体" w:cs="宋体"/>
          <w:color w:val="auto"/>
          <w:sz w:val="21"/>
          <w:szCs w:val="21"/>
        </w:rPr>
        <w:t>个月。从签订完设备验收报告之日起进入质保期。在质量保证期内，因产品设计或制造质量原因造成的问题，由投标方负责免费维修或更换。为了保证设备的售后服务及产品的质量，投标方若为非原生产厂家的代理商，需持有有效的生产厂商针对本项目的授权证书及原厂售后服务承诺函。</w:t>
      </w:r>
    </w:p>
    <w:p>
      <w:pPr>
        <w:spacing w:line="360" w:lineRule="auto"/>
        <w:rPr>
          <w:rFonts w:hint="eastAsia" w:ascii="宋体" w:hAnsi="宋体" w:cs="宋体"/>
          <w:color w:val="auto"/>
          <w:sz w:val="21"/>
          <w:szCs w:val="21"/>
        </w:rPr>
      </w:pPr>
      <w:r>
        <w:rPr>
          <w:rFonts w:hint="eastAsia" w:ascii="宋体" w:hAnsi="宋体" w:cs="宋体"/>
          <w:color w:val="auto"/>
          <w:sz w:val="21"/>
          <w:szCs w:val="21"/>
        </w:rPr>
        <w:t>8.2一年内发现设备（材料）质量问题，投标方应在接到招标方通知后24小时内响应，在36小时负责恢复或更换，负责修复或更换一切费用由投标方承担；同时应符合大准铁路公司设备使用维修管理办法有关规定。质保期内投标方承担因设备质量不良引发的事故及故障责任。</w:t>
      </w:r>
    </w:p>
    <w:p>
      <w:pPr>
        <w:spacing w:line="360" w:lineRule="auto"/>
        <w:rPr>
          <w:rFonts w:hint="eastAsia" w:ascii="宋体" w:hAnsi="宋体" w:cs="宋体"/>
          <w:color w:val="auto"/>
          <w:sz w:val="21"/>
          <w:szCs w:val="21"/>
        </w:rPr>
      </w:pPr>
      <w:r>
        <w:rPr>
          <w:rFonts w:hint="eastAsia" w:ascii="宋体" w:hAnsi="宋体" w:cs="宋体"/>
          <w:color w:val="auto"/>
          <w:sz w:val="21"/>
          <w:szCs w:val="21"/>
        </w:rPr>
        <w:t>8.3所供设备须按厂家承诺实行“三包”，若发现本次采购的设备本身存在缺陷，投标方须无条件退货或更换同类产品。</w:t>
      </w:r>
    </w:p>
    <w:p>
      <w:pPr>
        <w:spacing w:line="360" w:lineRule="auto"/>
        <w:rPr>
          <w:rFonts w:hint="eastAsia" w:ascii="宋体" w:hAnsi="宋体" w:cs="宋体"/>
          <w:b/>
          <w:bCs/>
          <w:color w:val="auto"/>
          <w:sz w:val="21"/>
          <w:szCs w:val="21"/>
        </w:rPr>
      </w:pPr>
      <w:r>
        <w:rPr>
          <w:rFonts w:hint="eastAsia" w:ascii="宋体" w:hAnsi="宋体" w:cs="宋体"/>
          <w:b/>
          <w:bCs/>
          <w:color w:val="auto"/>
          <w:sz w:val="21"/>
          <w:szCs w:val="21"/>
        </w:rPr>
        <w:t>9.售后支持</w:t>
      </w:r>
    </w:p>
    <w:p>
      <w:pPr>
        <w:spacing w:line="360" w:lineRule="auto"/>
        <w:rPr>
          <w:rFonts w:hint="eastAsia" w:ascii="宋体" w:hAnsi="宋体" w:cs="宋体"/>
          <w:b/>
          <w:bCs/>
          <w:color w:val="auto"/>
          <w:sz w:val="21"/>
          <w:szCs w:val="21"/>
        </w:rPr>
      </w:pPr>
      <w:r>
        <w:rPr>
          <w:rFonts w:hint="eastAsia" w:ascii="宋体" w:hAnsi="宋体" w:cs="宋体"/>
          <w:b/>
          <w:bCs/>
          <w:color w:val="auto"/>
          <w:sz w:val="21"/>
          <w:szCs w:val="21"/>
        </w:rPr>
        <w:t>9.1 技术支持</w:t>
      </w:r>
    </w:p>
    <w:p>
      <w:pPr>
        <w:spacing w:line="360" w:lineRule="auto"/>
        <w:ind w:firstLine="420" w:firstLineChars="200"/>
        <w:rPr>
          <w:rFonts w:hint="eastAsia" w:ascii="宋体" w:hAnsi="宋体" w:cs="宋体"/>
          <w:color w:val="auto"/>
          <w:sz w:val="21"/>
          <w:szCs w:val="21"/>
        </w:rPr>
      </w:pPr>
      <w:r>
        <w:rPr>
          <w:rFonts w:hint="eastAsia" w:ascii="宋体" w:hAnsi="宋体" w:cs="宋体"/>
          <w:color w:val="auto"/>
          <w:sz w:val="21"/>
          <w:szCs w:val="21"/>
        </w:rPr>
        <w:t>投标方质保期满后终身为该设备提供技术支持和维修服务。每季度可定期派人到招标方现场对设备作全面检查，根据检查结果向招标方提出合理的维修建议。当设备出现严重故障时，能保证24小时内到达招标方现场。</w:t>
      </w:r>
    </w:p>
    <w:p>
      <w:pPr>
        <w:spacing w:line="360" w:lineRule="auto"/>
        <w:rPr>
          <w:rFonts w:hint="eastAsia" w:ascii="宋体" w:hAnsi="宋体" w:cs="宋体"/>
          <w:b/>
          <w:bCs/>
          <w:color w:val="auto"/>
          <w:sz w:val="21"/>
          <w:szCs w:val="21"/>
        </w:rPr>
      </w:pPr>
      <w:r>
        <w:rPr>
          <w:rFonts w:hint="eastAsia" w:ascii="宋体" w:hAnsi="宋体" w:cs="宋体"/>
          <w:b/>
          <w:bCs/>
          <w:color w:val="auto"/>
          <w:sz w:val="21"/>
          <w:szCs w:val="21"/>
        </w:rPr>
        <w:t>9.2 配件支持</w:t>
      </w:r>
    </w:p>
    <w:p>
      <w:pPr>
        <w:spacing w:line="360" w:lineRule="auto"/>
        <w:ind w:firstLine="420" w:firstLineChars="200"/>
        <w:rPr>
          <w:rFonts w:hint="eastAsia" w:ascii="宋体" w:hAnsi="宋体" w:cs="宋体"/>
          <w:color w:val="auto"/>
          <w:sz w:val="21"/>
          <w:szCs w:val="21"/>
        </w:rPr>
      </w:pPr>
      <w:r>
        <w:rPr>
          <w:rFonts w:hint="eastAsia" w:ascii="宋体" w:hAnsi="宋体" w:cs="宋体"/>
          <w:color w:val="auto"/>
          <w:sz w:val="21"/>
          <w:szCs w:val="21"/>
        </w:rPr>
        <w:t>投标方应在设备投入运行后，招标方向投标方正常订购配件时，投标方能给招标方低于中标价采购清单的优惠，并优先供货。如果招标方遇有配件急需时，投标方可采用空运或者专车以最快的速度给予支持。</w:t>
      </w:r>
    </w:p>
    <w:p>
      <w:pPr>
        <w:spacing w:line="360" w:lineRule="auto"/>
        <w:rPr>
          <w:rFonts w:hint="eastAsia" w:ascii="宋体" w:hAnsi="宋体" w:cs="宋体"/>
          <w:b/>
          <w:bCs/>
          <w:color w:val="auto"/>
          <w:sz w:val="21"/>
          <w:szCs w:val="21"/>
        </w:rPr>
      </w:pPr>
      <w:r>
        <w:rPr>
          <w:rFonts w:hint="eastAsia" w:ascii="宋体" w:hAnsi="宋体" w:cs="宋体"/>
          <w:b/>
          <w:bCs/>
          <w:color w:val="auto"/>
          <w:sz w:val="21"/>
          <w:szCs w:val="21"/>
        </w:rPr>
        <w:t>9.3 维修支持</w:t>
      </w:r>
    </w:p>
    <w:p>
      <w:r>
        <w:rPr>
          <w:rFonts w:hint="eastAsia" w:ascii="宋体" w:hAnsi="宋体" w:cs="宋体"/>
          <w:color w:val="auto"/>
          <w:sz w:val="21"/>
          <w:szCs w:val="21"/>
        </w:rPr>
        <w:t>投标方在设备质保期满后，投标方在设备维修方面能第一时间响应，并在包头设有售后服务办事处，及时给招标方提供售后服务支持。对于招标方遇到的紧急故障需要投标方帮助处理时，投标方可以开车或者坐飞机以最快速度给予支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0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新宋体">
    <w:panose1 w:val="02010609030101010101"/>
    <w:charset w:val="86"/>
    <w:family w:val="auto"/>
    <w:pitch w:val="default"/>
    <w:sig w:usb0="000000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8F43BAF"/>
    <w:multiLevelType w:val="singleLevel"/>
    <w:tmpl w:val="C8F43BAF"/>
    <w:lvl w:ilvl="0" w:tentative="0">
      <w:start w:val="3"/>
      <w:numFmt w:val="decimal"/>
      <w:lvlText w:val="%1."/>
      <w:lvlJc w:val="left"/>
      <w:pPr>
        <w:tabs>
          <w:tab w:val="left" w:pos="312"/>
        </w:tabs>
      </w:pPr>
    </w:lvl>
  </w:abstractNum>
  <w:abstractNum w:abstractNumId="1">
    <w:nsid w:val="FB82C4EE"/>
    <w:multiLevelType w:val="singleLevel"/>
    <w:tmpl w:val="FB82C4EE"/>
    <w:lvl w:ilvl="0" w:tentative="0">
      <w:start w:val="1"/>
      <w:numFmt w:val="decimal"/>
      <w:lvlText w:val="%1)"/>
      <w:lvlJc w:val="left"/>
      <w:pPr>
        <w:ind w:left="425" w:hanging="425"/>
      </w:pPr>
      <w:rPr>
        <w:rFonts w:hint="default"/>
      </w:rPr>
    </w:lvl>
  </w:abstractNum>
  <w:abstractNum w:abstractNumId="2">
    <w:nsid w:val="FF0F4198"/>
    <w:multiLevelType w:val="multilevel"/>
    <w:tmpl w:val="FF0F419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F802A4B"/>
    <w:multiLevelType w:val="multilevel"/>
    <w:tmpl w:val="4F802A4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25130C"/>
    <w:rsid w:val="672513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1"/>
    <w:pPr>
      <w:keepNext/>
      <w:keepLines/>
      <w:widowControl w:val="0"/>
      <w:spacing w:before="340" w:after="330" w:line="576" w:lineRule="auto"/>
      <w:outlineLvl w:val="0"/>
    </w:pPr>
    <w:rPr>
      <w:b/>
      <w:bCs/>
      <w:kern w:val="44"/>
      <w:sz w:val="44"/>
      <w:szCs w:val="44"/>
    </w:rPr>
  </w:style>
  <w:style w:type="paragraph" w:styleId="2">
    <w:name w:val="heading 2"/>
    <w:basedOn w:val="1"/>
    <w:next w:val="1"/>
    <w:qFormat/>
    <w:uiPriority w:val="1"/>
    <w:pPr>
      <w:keepNext/>
      <w:keepLines/>
      <w:widowControl w:val="0"/>
      <w:spacing w:before="260" w:after="260" w:line="412" w:lineRule="auto"/>
      <w:outlineLvl w:val="1"/>
    </w:pPr>
    <w:rPr>
      <w:rFonts w:ascii="Arial" w:hAnsi="Arial" w:eastAsia="黑体"/>
      <w:b/>
      <w:bCs/>
      <w:sz w:val="32"/>
      <w:szCs w:val="32"/>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character" w:styleId="5">
    <w:name w:val="Strong"/>
    <w:qFormat/>
    <w:uiPriority w:val="0"/>
    <w:rPr>
      <w:b/>
      <w:bC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2019-07-19T03:21:00Z</dcterms:created>
  <dc:creator>Administrator</dc:creator>
  <cp:lastModifiedBy>Administrator</cp:lastModifiedBy>
  <dcterms:modified xsi:type="dcterms:W3CDTF">2019-07-19T03:22:19Z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