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公告附件：</w:t>
      </w:r>
      <w:bookmarkStart w:id="40" w:name="_GoBack"/>
      <w:bookmarkEnd w:id="40"/>
    </w:p>
    <w:p>
      <w:pPr>
        <w:pStyle w:val="2"/>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筛分布料器设备技术要求</w:t>
      </w:r>
      <w:bookmarkEnd w:id="0"/>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1" w:name="_Toc3865535"/>
      <w:bookmarkStart w:id="2" w:name="_Toc118602759"/>
      <w:r>
        <w:rPr>
          <w:rFonts w:hint="eastAsia"/>
          <w:color w:val="000000"/>
          <w:sz w:val="21"/>
          <w:szCs w:val="21"/>
        </w:rPr>
        <w:t>1．货物需求</w:t>
      </w:r>
      <w:bookmarkEnd w:id="1"/>
    </w:p>
    <w:p>
      <w:pPr>
        <w:spacing w:line="360" w:lineRule="auto"/>
        <w:rPr>
          <w:rFonts w:hint="eastAsia" w:ascii="宋体" w:hAnsi="宋体"/>
          <w:color w:val="000000"/>
          <w:sz w:val="21"/>
          <w:szCs w:val="21"/>
        </w:rPr>
      </w:pPr>
      <w:r>
        <w:rPr>
          <w:rFonts w:hint="eastAsia" w:ascii="宋体" w:hAnsi="宋体" w:cs="Arial"/>
          <w:color w:val="000000"/>
          <w:sz w:val="21"/>
          <w:szCs w:val="21"/>
        </w:rPr>
        <w:t>1.1 本技术规范书适用于</w:t>
      </w:r>
      <w:r>
        <w:rPr>
          <w:rFonts w:hint="eastAsia" w:ascii="宋体" w:hAnsi="宋体"/>
          <w:color w:val="000000"/>
          <w:sz w:val="21"/>
          <w:szCs w:val="21"/>
        </w:rPr>
        <w:t>神华准格尔能源有限责任公司矸石发电公司2*330MW机组项目</w:t>
      </w:r>
      <w:r>
        <w:rPr>
          <w:rFonts w:hint="eastAsia" w:ascii="宋体" w:hAnsi="宋体" w:cs="Arial"/>
          <w:color w:val="000000"/>
          <w:sz w:val="21"/>
          <w:szCs w:val="21"/>
        </w:rPr>
        <w:t>配</w:t>
      </w:r>
      <w:r>
        <w:rPr>
          <w:rFonts w:hint="eastAsia" w:ascii="宋体" w:hAnsi="宋体" w:cs="Arial"/>
          <w:color w:val="auto"/>
          <w:sz w:val="21"/>
          <w:szCs w:val="21"/>
        </w:rPr>
        <w:t>套的输煤系统新增高效筛分布料器采购项目</w:t>
      </w:r>
      <w:r>
        <w:rPr>
          <w:rFonts w:hint="eastAsia" w:ascii="宋体" w:hAnsi="宋体" w:cs="宋体"/>
          <w:color w:val="auto"/>
          <w:sz w:val="21"/>
          <w:szCs w:val="21"/>
        </w:rPr>
        <w:t>。</w:t>
      </w:r>
      <w:r>
        <w:rPr>
          <w:rFonts w:hint="eastAsia" w:ascii="宋体" w:hAnsi="宋体" w:cs="Arial"/>
          <w:color w:val="auto"/>
          <w:sz w:val="21"/>
          <w:szCs w:val="21"/>
        </w:rPr>
        <w:t>该项目要求</w:t>
      </w:r>
      <w:r>
        <w:rPr>
          <w:rFonts w:hint="eastAsia" w:ascii="宋体" w:hAnsi="宋体" w:cs="宋体"/>
          <w:color w:val="auto"/>
          <w:sz w:val="21"/>
          <w:szCs w:val="21"/>
        </w:rPr>
        <w:t>投标方负责一</w:t>
      </w:r>
      <w:r>
        <w:rPr>
          <w:rFonts w:hint="eastAsia" w:ascii="宋体" w:hAnsi="宋体" w:cs="宋体"/>
          <w:color w:val="auto"/>
          <w:sz w:val="21"/>
          <w:szCs w:val="21"/>
          <w:lang w:val="en-US" w:eastAsia="zh-CN"/>
        </w:rPr>
        <w:t>台</w:t>
      </w:r>
      <w:r>
        <w:rPr>
          <w:rFonts w:hint="eastAsia" w:ascii="宋体" w:hAnsi="宋体" w:cs="宋体"/>
          <w:color w:val="auto"/>
          <w:sz w:val="21"/>
          <w:szCs w:val="21"/>
        </w:rPr>
        <w:t>设备施工设计、设备供货、电缆采购施工、安装、调试。本项目属交钥匙工程。另一</w:t>
      </w:r>
      <w:r>
        <w:rPr>
          <w:rFonts w:hint="eastAsia" w:ascii="宋体" w:hAnsi="宋体" w:cs="宋体"/>
          <w:color w:val="auto"/>
          <w:sz w:val="21"/>
          <w:szCs w:val="21"/>
          <w:lang w:val="en-US" w:eastAsia="zh-CN"/>
        </w:rPr>
        <w:t>台</w:t>
      </w:r>
      <w:r>
        <w:rPr>
          <w:rFonts w:hint="eastAsia" w:ascii="宋体" w:hAnsi="宋体" w:cs="宋体"/>
          <w:color w:val="auto"/>
          <w:sz w:val="21"/>
          <w:szCs w:val="21"/>
        </w:rPr>
        <w:t>设备</w:t>
      </w:r>
      <w:r>
        <w:rPr>
          <w:rFonts w:hint="eastAsia" w:ascii="宋体" w:hAnsi="宋体" w:cs="宋体"/>
          <w:color w:val="auto"/>
          <w:sz w:val="21"/>
          <w:szCs w:val="21"/>
          <w:lang w:val="en-US" w:eastAsia="zh-CN"/>
        </w:rPr>
        <w:t>由</w:t>
      </w:r>
      <w:r>
        <w:rPr>
          <w:rFonts w:hint="eastAsia" w:ascii="宋体" w:hAnsi="宋体" w:cs="宋体"/>
          <w:color w:val="auto"/>
          <w:sz w:val="21"/>
          <w:szCs w:val="21"/>
        </w:rPr>
        <w:t>投标方负责施工设计，设备供货。</w:t>
      </w:r>
    </w:p>
    <w:p>
      <w:pPr>
        <w:spacing w:line="360" w:lineRule="auto"/>
        <w:jc w:val="left"/>
        <w:rPr>
          <w:rFonts w:hint="eastAsia" w:ascii="宋体" w:hAnsi="宋体" w:cs="楷体"/>
          <w:color w:val="000000"/>
          <w:sz w:val="21"/>
          <w:szCs w:val="21"/>
        </w:rPr>
      </w:pPr>
      <w:r>
        <w:rPr>
          <w:rFonts w:hint="eastAsia" w:ascii="宋体" w:hAnsi="宋体" w:cs="楷体"/>
          <w:color w:val="000000"/>
          <w:sz w:val="21"/>
          <w:szCs w:val="21"/>
        </w:rPr>
        <w:t>1.2 如未对本规范提出偏差，将认为投标方提供的设备型号及性能指标完全符合规范和标准的要求。偏差（无论多少）都必须清楚地表示在“差异表”中。</w:t>
      </w:r>
    </w:p>
    <w:p>
      <w:pPr>
        <w:spacing w:line="360" w:lineRule="auto"/>
        <w:rPr>
          <w:rFonts w:hint="eastAsia" w:ascii="宋体" w:hAnsi="宋体" w:cs="楷体"/>
          <w:color w:val="000000"/>
          <w:sz w:val="21"/>
          <w:szCs w:val="21"/>
        </w:rPr>
      </w:pPr>
      <w:r>
        <w:rPr>
          <w:rFonts w:hint="eastAsia" w:ascii="宋体" w:hAnsi="宋体" w:cs="楷体"/>
          <w:color w:val="000000"/>
          <w:sz w:val="21"/>
          <w:szCs w:val="21"/>
        </w:rPr>
        <w:t>1.3 合同签订后1个月内，按本规范要求，投标方应提供合同设备的设计、制造、检验、装配、安装、调试、运行和维护等标准清单给招标方，招标方确认。</w:t>
      </w:r>
    </w:p>
    <w:p>
      <w:pPr>
        <w:spacing w:line="360" w:lineRule="auto"/>
        <w:rPr>
          <w:rFonts w:hint="eastAsia" w:ascii="宋体" w:hAnsi="宋体" w:cs="Arial"/>
          <w:color w:val="000000"/>
          <w:sz w:val="21"/>
          <w:szCs w:val="21"/>
        </w:rPr>
      </w:pPr>
      <w:r>
        <w:rPr>
          <w:rFonts w:hint="eastAsia" w:ascii="宋体" w:hAnsi="宋体" w:cs="Arial"/>
          <w:color w:val="000000"/>
          <w:sz w:val="21"/>
          <w:szCs w:val="21"/>
        </w:rPr>
        <w:t>1.4本技术规范书提出的是最低限度的技术要求，并未对一切技术细节作出规定，也未充分引述有关标准和规范的条文。</w:t>
      </w:r>
    </w:p>
    <w:p>
      <w:pPr>
        <w:spacing w:line="360" w:lineRule="auto"/>
        <w:rPr>
          <w:rFonts w:hint="eastAsia" w:ascii="宋体" w:hAnsi="宋体" w:cs="Arial"/>
          <w:color w:val="000000"/>
          <w:sz w:val="21"/>
          <w:szCs w:val="21"/>
        </w:rPr>
      </w:pPr>
      <w:r>
        <w:rPr>
          <w:rFonts w:hint="eastAsia" w:ascii="宋体" w:hAnsi="宋体" w:cs="Arial"/>
          <w:color w:val="000000"/>
          <w:sz w:val="21"/>
          <w:szCs w:val="21"/>
        </w:rPr>
        <w:t>1.5投标方应标前必须实勘现场；投标方提供的设备需符合现有的位置空间，投标方设备安装过程中不得影响其他设备运行及维修工作，设备安装后必须预留出新增设备及原有设备维修空间及三通管，在检修新增设备时，原破碎系统能正常使用。</w:t>
      </w:r>
    </w:p>
    <w:p>
      <w:pPr>
        <w:spacing w:line="360" w:lineRule="auto"/>
        <w:rPr>
          <w:rFonts w:hint="eastAsia" w:ascii="宋体" w:hAnsi="宋体" w:cs="Arial"/>
          <w:color w:val="000000"/>
          <w:sz w:val="21"/>
          <w:szCs w:val="21"/>
        </w:rPr>
      </w:pPr>
      <w:r>
        <w:rPr>
          <w:rFonts w:hint="eastAsia" w:ascii="宋体" w:hAnsi="宋体" w:cs="Arial"/>
          <w:color w:val="000000"/>
          <w:sz w:val="21"/>
          <w:szCs w:val="21"/>
        </w:rPr>
        <w:t>1.6本技术规范书中使用的标准如与投标方所执行标准发生矛盾，按较高标准执行。</w:t>
      </w:r>
    </w:p>
    <w:p>
      <w:pPr>
        <w:spacing w:line="360" w:lineRule="auto"/>
        <w:rPr>
          <w:rFonts w:hint="eastAsia" w:ascii="宋体" w:hAnsi="宋体" w:cs="Arial"/>
          <w:color w:val="000000"/>
          <w:sz w:val="21"/>
          <w:szCs w:val="21"/>
        </w:rPr>
      </w:pPr>
      <w:r>
        <w:rPr>
          <w:rFonts w:hint="eastAsia" w:ascii="宋体" w:hAnsi="宋体" w:cs="Arial"/>
          <w:color w:val="000000"/>
          <w:sz w:val="21"/>
          <w:szCs w:val="21"/>
        </w:rPr>
        <w:t>1.7</w:t>
      </w:r>
      <w:r>
        <w:rPr>
          <w:rFonts w:hint="eastAsia" w:ascii="宋体" w:hAnsi="宋体" w:cs="楷体"/>
          <w:color w:val="000000"/>
          <w:sz w:val="21"/>
          <w:szCs w:val="21"/>
        </w:rPr>
        <w:t>投标方应提供高质量的设备及</w:t>
      </w:r>
      <w:r>
        <w:rPr>
          <w:rFonts w:ascii="宋体" w:hAnsi="宋体" w:cs="楷体"/>
          <w:color w:val="000000"/>
          <w:sz w:val="21"/>
          <w:szCs w:val="21"/>
        </w:rPr>
        <w:t>附件</w:t>
      </w:r>
      <w:r>
        <w:rPr>
          <w:rFonts w:hint="eastAsia" w:ascii="宋体" w:hAnsi="宋体" w:cs="楷体"/>
          <w:color w:val="000000"/>
          <w:sz w:val="21"/>
          <w:szCs w:val="21"/>
        </w:rPr>
        <w:t>，</w:t>
      </w:r>
      <w:r>
        <w:rPr>
          <w:rFonts w:ascii="宋体" w:hAnsi="宋体" w:cs="楷体"/>
          <w:color w:val="000000"/>
          <w:sz w:val="21"/>
          <w:szCs w:val="21"/>
        </w:rPr>
        <w:t>所有设备</w:t>
      </w:r>
      <w:r>
        <w:rPr>
          <w:rFonts w:hint="eastAsia" w:ascii="宋体" w:hAnsi="宋体" w:cs="楷体"/>
          <w:color w:val="000000"/>
          <w:sz w:val="21"/>
          <w:szCs w:val="21"/>
        </w:rPr>
        <w:t>在</w:t>
      </w:r>
      <w:r>
        <w:rPr>
          <w:rFonts w:ascii="宋体" w:hAnsi="宋体" w:cs="楷体"/>
          <w:color w:val="000000"/>
          <w:sz w:val="21"/>
          <w:szCs w:val="21"/>
        </w:rPr>
        <w:t>使用中应满足环保、</w:t>
      </w:r>
      <w:r>
        <w:rPr>
          <w:rFonts w:hint="eastAsia" w:ascii="宋体" w:hAnsi="宋体" w:cs="楷体"/>
          <w:color w:val="000000"/>
          <w:sz w:val="21"/>
          <w:szCs w:val="21"/>
        </w:rPr>
        <w:t>劳动</w:t>
      </w:r>
      <w:r>
        <w:rPr>
          <w:rFonts w:ascii="宋体" w:hAnsi="宋体" w:cs="楷体"/>
          <w:color w:val="000000"/>
          <w:sz w:val="21"/>
          <w:szCs w:val="21"/>
        </w:rPr>
        <w:t>者职业健康等方面的要求</w:t>
      </w:r>
      <w:r>
        <w:rPr>
          <w:rFonts w:hint="eastAsia" w:ascii="宋体" w:hAnsi="宋体" w:cs="楷体"/>
          <w:color w:val="000000"/>
          <w:sz w:val="21"/>
          <w:szCs w:val="21"/>
        </w:rPr>
        <w:t>。</w:t>
      </w:r>
    </w:p>
    <w:p>
      <w:pPr>
        <w:spacing w:line="360" w:lineRule="auto"/>
        <w:rPr>
          <w:rFonts w:hint="eastAsia" w:ascii="宋体" w:hAnsi="宋体" w:cs="楷体"/>
          <w:color w:val="000000"/>
          <w:sz w:val="21"/>
          <w:szCs w:val="21"/>
        </w:rPr>
      </w:pPr>
      <w:r>
        <w:rPr>
          <w:rFonts w:hint="eastAsia" w:ascii="宋体" w:hAnsi="宋体" w:cs="楷体"/>
          <w:color w:val="000000"/>
          <w:sz w:val="21"/>
          <w:szCs w:val="21"/>
        </w:rPr>
        <w:t>1.</w:t>
      </w:r>
      <w:r>
        <w:rPr>
          <w:rFonts w:hint="eastAsia" w:ascii="宋体" w:hAnsi="宋体" w:cs="楷体"/>
          <w:color w:val="000000"/>
          <w:sz w:val="21"/>
          <w:szCs w:val="21"/>
          <w:lang w:val="en-US" w:eastAsia="zh-CN"/>
        </w:rPr>
        <w:t>8</w:t>
      </w:r>
      <w:r>
        <w:rPr>
          <w:rFonts w:hint="eastAsia" w:ascii="宋体" w:hAnsi="宋体" w:cs="楷体"/>
          <w:color w:val="000000"/>
          <w:sz w:val="21"/>
          <w:szCs w:val="21"/>
        </w:rPr>
        <w:t>投标方知识产权权属明晰且需向招标方书面承诺，实施过程中产生一切纠纷与招标方无关。</w:t>
      </w:r>
    </w:p>
    <w:p>
      <w:pPr>
        <w:spacing w:line="360" w:lineRule="auto"/>
        <w:rPr>
          <w:rFonts w:hint="eastAsia" w:ascii="宋体" w:hAnsi="宋体" w:cs="楷体"/>
          <w:color w:val="000000"/>
          <w:sz w:val="21"/>
          <w:szCs w:val="21"/>
        </w:rPr>
      </w:pPr>
      <w:r>
        <w:rPr>
          <w:rFonts w:hint="eastAsia" w:ascii="宋体" w:hAnsi="宋体" w:cs="楷体"/>
          <w:color w:val="000000"/>
          <w:sz w:val="21"/>
          <w:szCs w:val="21"/>
        </w:rPr>
        <w:t>1.</w:t>
      </w:r>
      <w:r>
        <w:rPr>
          <w:rFonts w:hint="eastAsia" w:ascii="宋体" w:hAnsi="宋体" w:cs="楷体"/>
          <w:color w:val="000000"/>
          <w:sz w:val="21"/>
          <w:szCs w:val="21"/>
          <w:lang w:val="en-US" w:eastAsia="zh-CN"/>
        </w:rPr>
        <w:t>9</w:t>
      </w:r>
      <w:r>
        <w:rPr>
          <w:rFonts w:hint="eastAsia" w:ascii="宋体" w:hAnsi="宋体" w:cs="楷体"/>
          <w:color w:val="000000"/>
          <w:sz w:val="21"/>
          <w:szCs w:val="21"/>
        </w:rPr>
        <w:t>在签订合同之后，招标方有权提出因规范标准和规程发生变化而产生的一些补充要求，具体项目由供需双方共同商定。</w:t>
      </w:r>
    </w:p>
    <w:p>
      <w:pPr>
        <w:pStyle w:val="6"/>
        <w:spacing w:line="360" w:lineRule="auto"/>
        <w:ind w:firstLine="0" w:firstLineChars="0"/>
        <w:rPr>
          <w:rFonts w:hint="eastAsia" w:ascii="宋体" w:hAnsi="宋体"/>
          <w:color w:val="000000"/>
          <w:sz w:val="21"/>
          <w:szCs w:val="21"/>
        </w:rPr>
      </w:pPr>
      <w:r>
        <w:rPr>
          <w:rFonts w:hint="eastAsia" w:ascii="宋体" w:hAnsi="宋体" w:cs="宋体"/>
          <w:color w:val="000000"/>
          <w:sz w:val="21"/>
          <w:szCs w:val="21"/>
        </w:rPr>
        <w:t>*1.1</w:t>
      </w:r>
      <w:r>
        <w:rPr>
          <w:rFonts w:hint="eastAsia" w:ascii="宋体" w:hAnsi="宋体" w:cs="宋体"/>
          <w:color w:val="000000"/>
          <w:sz w:val="21"/>
          <w:szCs w:val="21"/>
          <w:lang w:val="en-US" w:eastAsia="zh-CN"/>
        </w:rPr>
        <w:t>0</w:t>
      </w:r>
      <w:r>
        <w:rPr>
          <w:rFonts w:hint="eastAsia" w:ascii="宋体" w:hAnsi="宋体" w:cs="宋体"/>
          <w:color w:val="000000"/>
          <w:sz w:val="21"/>
          <w:szCs w:val="21"/>
        </w:rPr>
        <w:t>货物需求一览表（配置标准，</w:t>
      </w:r>
      <w:r>
        <w:rPr>
          <w:rFonts w:hint="eastAsia" w:ascii="宋体" w:hAnsi="宋体" w:cs="Arial"/>
          <w:color w:val="000000"/>
          <w:sz w:val="21"/>
          <w:szCs w:val="21"/>
        </w:rPr>
        <w:t>须满足现有双齿辊破碎机配套使用要求</w:t>
      </w:r>
      <w:r>
        <w:rPr>
          <w:rFonts w:hint="eastAsia" w:ascii="宋体" w:hAnsi="宋体" w:cs="宋体"/>
          <w:color w:val="000000"/>
          <w:sz w:val="21"/>
          <w:szCs w:val="21"/>
        </w:rPr>
        <w:t>）</w:t>
      </w:r>
    </w:p>
    <w:tbl>
      <w:tblPr>
        <w:tblStyle w:val="9"/>
        <w:tblW w:w="957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36"/>
        <w:gridCol w:w="2401"/>
        <w:gridCol w:w="833"/>
        <w:gridCol w:w="813"/>
        <w:gridCol w:w="762"/>
        <w:gridCol w:w="496"/>
        <w:gridCol w:w="690"/>
        <w:gridCol w:w="1172"/>
        <w:gridCol w:w="166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序号</w:t>
            </w:r>
          </w:p>
        </w:tc>
        <w:tc>
          <w:tcPr>
            <w:tcW w:w="2401"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名称</w:t>
            </w:r>
          </w:p>
        </w:tc>
        <w:tc>
          <w:tcPr>
            <w:tcW w:w="83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型号</w:t>
            </w: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单位</w:t>
            </w:r>
          </w:p>
        </w:tc>
        <w:tc>
          <w:tcPr>
            <w:tcW w:w="762"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数量</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产地</w:t>
            </w: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生产厂家</w:t>
            </w:r>
          </w:p>
        </w:tc>
        <w:tc>
          <w:tcPr>
            <w:tcW w:w="1172"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交货时间</w:t>
            </w:r>
          </w:p>
        </w:tc>
        <w:tc>
          <w:tcPr>
            <w:tcW w:w="1667"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1</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筛分布料器</w:t>
            </w:r>
            <w:r>
              <w:rPr>
                <w:rFonts w:hint="eastAsia" w:ascii="宋体" w:hAnsi="宋体" w:cs="宋体"/>
                <w:bCs/>
                <w:color w:val="000000"/>
                <w:sz w:val="21"/>
                <w:szCs w:val="21"/>
              </w:rPr>
              <w:t>装置</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台</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restart"/>
            <w:vAlign w:val="center"/>
          </w:tcPr>
          <w:p>
            <w:pPr>
              <w:tabs>
                <w:tab w:val="left" w:pos="567"/>
              </w:tabs>
              <w:spacing w:line="240" w:lineRule="auto"/>
              <w:jc w:val="center"/>
              <w:rPr>
                <w:rFonts w:hint="eastAsia" w:ascii="宋体" w:hAnsi="宋体" w:cs="宋体"/>
                <w:color w:val="000000"/>
                <w:kern w:val="0"/>
                <w:sz w:val="21"/>
                <w:szCs w:val="21"/>
              </w:rPr>
            </w:pPr>
          </w:p>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kern w:val="0"/>
                <w:sz w:val="21"/>
                <w:szCs w:val="21"/>
              </w:rPr>
              <w:t>签订合同之日起</w:t>
            </w:r>
            <w:r>
              <w:rPr>
                <w:rFonts w:ascii="宋体" w:hAnsi="宋体" w:cs="宋体"/>
                <w:color w:val="000000"/>
                <w:kern w:val="0"/>
                <w:sz w:val="21"/>
                <w:szCs w:val="21"/>
              </w:rPr>
              <w:t>1</w:t>
            </w:r>
            <w:r>
              <w:rPr>
                <w:rFonts w:hint="eastAsia" w:ascii="宋体" w:hAnsi="宋体" w:cs="宋体"/>
                <w:color w:val="000000"/>
                <w:kern w:val="0"/>
                <w:sz w:val="21"/>
                <w:szCs w:val="21"/>
              </w:rPr>
              <w:t>个月内</w:t>
            </w:r>
          </w:p>
        </w:tc>
        <w:tc>
          <w:tcPr>
            <w:tcW w:w="1667"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安装一台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就地控制柜及控制系统</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套</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控制柜要求防爆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3</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三通落煤管</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套</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3</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设备与就地控制柜连接电缆</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套</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4</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筛分布料器配套的检修平台</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个</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5</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电液犁煤器</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套</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1</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ascii="宋体" w:hAnsi="宋体" w:cs="宋体"/>
                <w:color w:val="000000"/>
                <w:sz w:val="21"/>
                <w:szCs w:val="21"/>
              </w:rPr>
              <w:t>6</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随机备品备件</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p>
        </w:tc>
        <w:tc>
          <w:tcPr>
            <w:tcW w:w="762" w:type="dxa"/>
            <w:vAlign w:val="center"/>
          </w:tcPr>
          <w:p>
            <w:pPr>
              <w:tabs>
                <w:tab w:val="left" w:pos="567"/>
              </w:tabs>
              <w:spacing w:line="240" w:lineRule="auto"/>
              <w:jc w:val="center"/>
              <w:rPr>
                <w:rFonts w:hint="eastAsia" w:ascii="宋体" w:hAnsi="宋体" w:cs="宋体"/>
                <w:color w:val="000000"/>
                <w:sz w:val="21"/>
                <w:szCs w:val="21"/>
              </w:rPr>
            </w:pP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链轮两个，链条一副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7</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olor w:val="000000"/>
                <w:sz w:val="21"/>
                <w:szCs w:val="21"/>
              </w:rPr>
              <w:t>动力电缆Y</w:t>
            </w:r>
            <w:r>
              <w:rPr>
                <w:rFonts w:ascii="宋体" w:hAnsi="宋体"/>
                <w:color w:val="000000"/>
                <w:sz w:val="21"/>
                <w:szCs w:val="21"/>
              </w:rPr>
              <w:t>JV22</w:t>
            </w:r>
          </w:p>
        </w:tc>
        <w:tc>
          <w:tcPr>
            <w:tcW w:w="833"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3</w:t>
            </w:r>
            <w:r>
              <w:rPr>
                <w:rFonts w:ascii="宋体" w:hAnsi="宋体" w:cs="宋体"/>
                <w:color w:val="000000"/>
                <w:sz w:val="21"/>
                <w:szCs w:val="21"/>
              </w:rPr>
              <w:t>*50+1*16</w:t>
            </w: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米</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300</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8</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olor w:val="000000"/>
                <w:sz w:val="21"/>
                <w:szCs w:val="21"/>
              </w:rPr>
              <w:t>控制电缆Z</w:t>
            </w:r>
            <w:r>
              <w:rPr>
                <w:rFonts w:ascii="宋体" w:hAnsi="宋体"/>
                <w:color w:val="000000"/>
                <w:sz w:val="21"/>
                <w:szCs w:val="21"/>
              </w:rPr>
              <w:t>C-K</w:t>
            </w:r>
            <w:r>
              <w:rPr>
                <w:rFonts w:hint="eastAsia" w:ascii="宋体" w:hAnsi="宋体"/>
                <w:color w:val="000000"/>
                <w:sz w:val="21"/>
                <w:szCs w:val="21"/>
              </w:rPr>
              <w:t>vv</w:t>
            </w:r>
            <w:r>
              <w:rPr>
                <w:rFonts w:ascii="宋体" w:hAnsi="宋体"/>
                <w:color w:val="000000"/>
                <w:sz w:val="21"/>
                <w:szCs w:val="21"/>
              </w:rPr>
              <w:t>22P</w:t>
            </w:r>
          </w:p>
        </w:tc>
        <w:tc>
          <w:tcPr>
            <w:tcW w:w="833"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7</w:t>
            </w:r>
            <w:r>
              <w:rPr>
                <w:rFonts w:ascii="宋体" w:hAnsi="宋体" w:cs="宋体"/>
                <w:color w:val="000000"/>
                <w:sz w:val="21"/>
                <w:szCs w:val="21"/>
              </w:rPr>
              <w:t>*1.5</w:t>
            </w: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米</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1000</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9</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olor w:val="000000"/>
                <w:sz w:val="21"/>
                <w:szCs w:val="21"/>
              </w:rPr>
              <w:t>控制电缆Z</w:t>
            </w:r>
            <w:r>
              <w:rPr>
                <w:rFonts w:ascii="宋体" w:hAnsi="宋体"/>
                <w:color w:val="000000"/>
                <w:sz w:val="21"/>
                <w:szCs w:val="21"/>
              </w:rPr>
              <w:t>C-K</w:t>
            </w:r>
            <w:r>
              <w:rPr>
                <w:rFonts w:hint="eastAsia" w:ascii="宋体" w:hAnsi="宋体"/>
                <w:color w:val="000000"/>
                <w:sz w:val="21"/>
                <w:szCs w:val="21"/>
              </w:rPr>
              <w:t>vv</w:t>
            </w:r>
            <w:r>
              <w:rPr>
                <w:rFonts w:ascii="宋体" w:hAnsi="宋体"/>
                <w:color w:val="000000"/>
                <w:sz w:val="21"/>
                <w:szCs w:val="21"/>
              </w:rPr>
              <w:t>22P</w:t>
            </w:r>
          </w:p>
        </w:tc>
        <w:tc>
          <w:tcPr>
            <w:tcW w:w="833"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5</w:t>
            </w:r>
            <w:r>
              <w:rPr>
                <w:rFonts w:ascii="宋体" w:hAnsi="宋体" w:cs="宋体"/>
                <w:color w:val="000000"/>
                <w:sz w:val="21"/>
                <w:szCs w:val="21"/>
              </w:rPr>
              <w:t>*1.5</w:t>
            </w: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米</w:t>
            </w:r>
          </w:p>
        </w:tc>
        <w:tc>
          <w:tcPr>
            <w:tcW w:w="762"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1000</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10</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防爆启停按钮</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p>
        </w:tc>
        <w:tc>
          <w:tcPr>
            <w:tcW w:w="762" w:type="dxa"/>
            <w:vAlign w:val="center"/>
          </w:tcPr>
          <w:p>
            <w:pPr>
              <w:tabs>
                <w:tab w:val="left" w:pos="567"/>
              </w:tabs>
              <w:spacing w:line="240" w:lineRule="auto"/>
              <w:jc w:val="center"/>
              <w:rPr>
                <w:rFonts w:hint="eastAsia" w:ascii="宋体" w:hAnsi="宋体" w:cs="宋体"/>
                <w:color w:val="000000"/>
                <w:sz w:val="21"/>
                <w:szCs w:val="21"/>
              </w:rPr>
            </w:pP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红色绿色各5个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11</w:t>
            </w:r>
          </w:p>
        </w:tc>
        <w:tc>
          <w:tcPr>
            <w:tcW w:w="2401"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防爆指示灯</w:t>
            </w:r>
          </w:p>
        </w:tc>
        <w:tc>
          <w:tcPr>
            <w:tcW w:w="833" w:type="dxa"/>
            <w:vAlign w:val="center"/>
          </w:tcPr>
          <w:p>
            <w:pPr>
              <w:tabs>
                <w:tab w:val="left" w:pos="567"/>
              </w:tabs>
              <w:spacing w:line="240" w:lineRule="auto"/>
              <w:jc w:val="center"/>
              <w:rPr>
                <w:rFonts w:hint="eastAsia" w:ascii="宋体" w:hAnsi="宋体" w:cs="宋体"/>
                <w:color w:val="000000"/>
                <w:sz w:val="21"/>
                <w:szCs w:val="21"/>
              </w:rPr>
            </w:pPr>
          </w:p>
        </w:tc>
        <w:tc>
          <w:tcPr>
            <w:tcW w:w="813" w:type="dxa"/>
            <w:vAlign w:val="center"/>
          </w:tcPr>
          <w:p>
            <w:pPr>
              <w:spacing w:before="78" w:beforeLines="25" w:after="78" w:afterLines="25" w:line="240" w:lineRule="auto"/>
              <w:jc w:val="center"/>
              <w:rPr>
                <w:rFonts w:hint="eastAsia" w:ascii="宋体" w:hAnsi="宋体" w:cs="宋体"/>
                <w:color w:val="000000"/>
                <w:sz w:val="21"/>
                <w:szCs w:val="21"/>
              </w:rPr>
            </w:pPr>
          </w:p>
        </w:tc>
        <w:tc>
          <w:tcPr>
            <w:tcW w:w="762" w:type="dxa"/>
            <w:vAlign w:val="center"/>
          </w:tcPr>
          <w:p>
            <w:pPr>
              <w:tabs>
                <w:tab w:val="left" w:pos="567"/>
              </w:tabs>
              <w:spacing w:line="240" w:lineRule="auto"/>
              <w:jc w:val="center"/>
              <w:rPr>
                <w:rFonts w:hint="eastAsia" w:ascii="宋体" w:hAnsi="宋体" w:cs="宋体"/>
                <w:color w:val="000000"/>
                <w:sz w:val="21"/>
                <w:szCs w:val="21"/>
              </w:rPr>
            </w:pP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cs="宋体"/>
                <w:color w:val="000000"/>
                <w:sz w:val="21"/>
                <w:szCs w:val="21"/>
              </w:rPr>
            </w:pPr>
          </w:p>
        </w:tc>
        <w:tc>
          <w:tcPr>
            <w:tcW w:w="117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红色绿色各5个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36" w:type="dxa"/>
            <w:vAlign w:val="center"/>
          </w:tcPr>
          <w:p>
            <w:pPr>
              <w:spacing w:before="78" w:beforeLines="25" w:after="78" w:afterLines="25" w:line="240" w:lineRule="auto"/>
              <w:jc w:val="center"/>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12</w:t>
            </w:r>
          </w:p>
        </w:tc>
        <w:tc>
          <w:tcPr>
            <w:tcW w:w="2401" w:type="dxa"/>
            <w:vAlign w:val="center"/>
          </w:tcPr>
          <w:p>
            <w:pPr>
              <w:tabs>
                <w:tab w:val="left" w:pos="567"/>
              </w:tabs>
              <w:spacing w:line="240" w:lineRule="auto"/>
              <w:jc w:val="both"/>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PLC模块（施耐德）</w:t>
            </w:r>
          </w:p>
        </w:tc>
        <w:tc>
          <w:tcPr>
            <w:tcW w:w="833" w:type="dxa"/>
            <w:vAlign w:val="center"/>
          </w:tcPr>
          <w:p>
            <w:pPr>
              <w:tabs>
                <w:tab w:val="left" w:pos="567"/>
              </w:tabs>
              <w:spacing w:line="240" w:lineRule="auto"/>
              <w:jc w:val="both"/>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140DDI35300</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140DDO35300、140ACI04000</w:t>
            </w:r>
          </w:p>
        </w:tc>
        <w:tc>
          <w:tcPr>
            <w:tcW w:w="813" w:type="dxa"/>
            <w:vAlign w:val="center"/>
          </w:tcPr>
          <w:p>
            <w:pPr>
              <w:spacing w:before="78" w:beforeLines="25" w:after="78" w:afterLines="25" w:line="240" w:lineRule="auto"/>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个</w:t>
            </w:r>
          </w:p>
        </w:tc>
        <w:tc>
          <w:tcPr>
            <w:tcW w:w="762" w:type="dxa"/>
            <w:vAlign w:val="center"/>
          </w:tcPr>
          <w:p>
            <w:pPr>
              <w:tabs>
                <w:tab w:val="left" w:pos="567"/>
              </w:tabs>
              <w:spacing w:line="240" w:lineRule="auto"/>
              <w:jc w:val="center"/>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各1个共3个</w:t>
            </w:r>
          </w:p>
        </w:tc>
        <w:tc>
          <w:tcPr>
            <w:tcW w:w="496" w:type="dxa"/>
            <w:vAlign w:val="center"/>
          </w:tcPr>
          <w:p>
            <w:pPr>
              <w:spacing w:before="78" w:beforeLines="25" w:after="78" w:afterLines="25" w:line="240" w:lineRule="auto"/>
              <w:jc w:val="center"/>
              <w:rPr>
                <w:rFonts w:hint="eastAsia" w:ascii="宋体" w:hAnsi="宋体" w:cs="宋体"/>
                <w:color w:val="000000"/>
                <w:sz w:val="21"/>
                <w:szCs w:val="21"/>
              </w:rPr>
            </w:pPr>
          </w:p>
        </w:tc>
        <w:tc>
          <w:tcPr>
            <w:tcW w:w="690" w:type="dxa"/>
            <w:vAlign w:val="center"/>
          </w:tcPr>
          <w:p>
            <w:pPr>
              <w:spacing w:before="78" w:beforeLines="25" w:after="78" w:afterLines="25" w:line="240" w:lineRule="auto"/>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施耐德</w:t>
            </w:r>
          </w:p>
        </w:tc>
        <w:tc>
          <w:tcPr>
            <w:tcW w:w="1172" w:type="dxa"/>
            <w:vAlign w:val="center"/>
          </w:tcPr>
          <w:p>
            <w:pPr>
              <w:tabs>
                <w:tab w:val="left" w:pos="567"/>
              </w:tabs>
              <w:spacing w:line="240" w:lineRule="auto"/>
              <w:jc w:val="center"/>
              <w:rPr>
                <w:rFonts w:hint="eastAsia" w:ascii="宋体" w:hAnsi="宋体" w:cs="宋体"/>
                <w:color w:val="000000"/>
                <w:sz w:val="21"/>
                <w:szCs w:val="21"/>
              </w:rPr>
            </w:pPr>
          </w:p>
        </w:tc>
        <w:tc>
          <w:tcPr>
            <w:tcW w:w="1667" w:type="dxa"/>
            <w:vAlign w:val="center"/>
          </w:tcPr>
          <w:p>
            <w:pPr>
              <w:tabs>
                <w:tab w:val="left" w:pos="567"/>
              </w:tabs>
              <w:spacing w:line="240" w:lineRule="auto"/>
              <w:jc w:val="center"/>
              <w:rPr>
                <w:rFonts w:hint="eastAsia" w:ascii="宋体" w:hAnsi="宋体" w:cs="宋体"/>
                <w:color w:val="000000"/>
                <w:sz w:val="21"/>
                <w:szCs w:val="21"/>
              </w:rPr>
            </w:pPr>
          </w:p>
        </w:tc>
      </w:tr>
    </w:tbl>
    <w:p>
      <w:pPr>
        <w:spacing w:line="360" w:lineRule="auto"/>
        <w:rPr>
          <w:rFonts w:hint="eastAsia" w:ascii="宋体" w:hAnsi="宋体" w:cs="宋体"/>
          <w:bCs/>
          <w:color w:val="000000"/>
          <w:sz w:val="21"/>
          <w:szCs w:val="21"/>
        </w:rPr>
      </w:pPr>
      <w:r>
        <w:rPr>
          <w:rFonts w:hint="eastAsia" w:ascii="宋体" w:hAnsi="宋体" w:cs="宋体"/>
          <w:bCs/>
          <w:color w:val="000000"/>
          <w:sz w:val="21"/>
          <w:szCs w:val="21"/>
        </w:rPr>
        <w:t>1.7交货时间:自合同签订之日起</w:t>
      </w:r>
      <w:r>
        <w:rPr>
          <w:rFonts w:hint="eastAsia" w:ascii="宋体" w:hAnsi="宋体" w:cs="宋体"/>
          <w:bCs/>
          <w:color w:val="000000"/>
          <w:sz w:val="21"/>
          <w:szCs w:val="21"/>
          <w:u w:val="single"/>
          <w:lang w:val="en-US" w:eastAsia="zh-CN"/>
        </w:rPr>
        <w:t>45天</w:t>
      </w:r>
      <w:r>
        <w:rPr>
          <w:rFonts w:hint="eastAsia" w:ascii="宋体" w:hAnsi="宋体" w:cs="宋体"/>
          <w:bCs/>
          <w:color w:val="000000"/>
          <w:sz w:val="21"/>
          <w:szCs w:val="21"/>
        </w:rPr>
        <w:t>内到达交货地点。交货地点:</w:t>
      </w:r>
      <w:r>
        <w:rPr>
          <w:rFonts w:hint="eastAsia" w:ascii="宋体" w:hAnsi="宋体" w:cs="宋体"/>
          <w:bCs/>
          <w:color w:val="000000"/>
          <w:sz w:val="21"/>
          <w:szCs w:val="21"/>
          <w:u w:val="single"/>
        </w:rPr>
        <w:t>神华准能矸石发电公司</w:t>
      </w:r>
      <w:r>
        <w:rPr>
          <w:rFonts w:hint="eastAsia" w:ascii="宋体" w:hAnsi="宋体" w:cs="宋体"/>
          <w:bCs/>
          <w:color w:val="000000"/>
          <w:sz w:val="21"/>
          <w:szCs w:val="21"/>
        </w:rPr>
        <w:t>。</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3" w:name="_Toc60386427"/>
      <w:bookmarkStart w:id="4" w:name="_Toc3865536"/>
      <w:r>
        <w:rPr>
          <w:rFonts w:hint="eastAsia"/>
          <w:color w:val="000000"/>
          <w:sz w:val="21"/>
          <w:szCs w:val="21"/>
        </w:rPr>
        <w:t>2．设备使用条件</w:t>
      </w:r>
      <w:bookmarkEnd w:id="3"/>
      <w:bookmarkEnd w:id="4"/>
    </w:p>
    <w:p>
      <w:pPr>
        <w:adjustRightInd w:val="0"/>
        <w:snapToGrid w:val="0"/>
        <w:spacing w:line="360" w:lineRule="auto"/>
        <w:rPr>
          <w:rFonts w:hint="eastAsia" w:ascii="宋体" w:hAnsi="宋体" w:cs="楷体"/>
          <w:color w:val="000000"/>
          <w:sz w:val="21"/>
          <w:szCs w:val="21"/>
        </w:rPr>
      </w:pPr>
      <w:r>
        <w:rPr>
          <w:rFonts w:hint="eastAsia" w:ascii="宋体" w:hAnsi="宋体" w:cs="楷体"/>
          <w:color w:val="000000"/>
          <w:sz w:val="21"/>
          <w:szCs w:val="21"/>
        </w:rPr>
        <w:t>2.1.1安装位置</w:t>
      </w:r>
    </w:p>
    <w:p>
      <w:pPr>
        <w:adjustRightInd w:val="0"/>
        <w:snapToGrid w:val="0"/>
        <w:spacing w:line="360" w:lineRule="auto"/>
        <w:ind w:firstLine="105" w:firstLineChars="50"/>
        <w:rPr>
          <w:rFonts w:hint="eastAsia" w:ascii="宋体" w:hAnsi="宋体" w:cs="楷体"/>
          <w:color w:val="000000"/>
          <w:sz w:val="21"/>
          <w:szCs w:val="21"/>
        </w:rPr>
      </w:pPr>
      <w:r>
        <w:rPr>
          <w:rFonts w:hint="eastAsia" w:ascii="宋体" w:hAnsi="宋体" w:cs="楷体"/>
          <w:color w:val="000000"/>
          <w:sz w:val="21"/>
          <w:szCs w:val="21"/>
        </w:rPr>
        <w:t>神华准格尔能源有限责任公司矸石发电公司2*330MW机组</w:t>
      </w:r>
      <w:r>
        <w:rPr>
          <w:rFonts w:hint="eastAsia" w:ascii="宋体" w:hAnsi="宋体" w:cs="Arial"/>
          <w:bCs/>
          <w:color w:val="000000"/>
          <w:sz w:val="21"/>
          <w:szCs w:val="21"/>
        </w:rPr>
        <w:t>输煤系统</w:t>
      </w:r>
      <w:r>
        <w:rPr>
          <w:rFonts w:hint="eastAsia" w:ascii="宋体" w:hAnsi="宋体" w:cs="楷体"/>
          <w:color w:val="000000"/>
          <w:sz w:val="21"/>
          <w:szCs w:val="21"/>
        </w:rPr>
        <w:t xml:space="preserve">双齿辊破碎机上方。 </w:t>
      </w:r>
    </w:p>
    <w:p>
      <w:pPr>
        <w:adjustRightInd w:val="0"/>
        <w:snapToGrid w:val="0"/>
        <w:spacing w:line="360" w:lineRule="auto"/>
        <w:rPr>
          <w:rFonts w:hint="eastAsia" w:ascii="宋体" w:hAnsi="宋体" w:cs="楷体"/>
          <w:color w:val="000000"/>
          <w:sz w:val="21"/>
          <w:szCs w:val="21"/>
        </w:rPr>
      </w:pPr>
      <w:r>
        <w:rPr>
          <w:rFonts w:hint="eastAsia" w:ascii="宋体" w:hAnsi="宋体" w:cs="楷体"/>
          <w:color w:val="000000"/>
          <w:sz w:val="21"/>
          <w:szCs w:val="21"/>
        </w:rPr>
        <w:t>2.1.2环境条件</w:t>
      </w:r>
    </w:p>
    <w:p>
      <w:pPr>
        <w:adjustRightInd w:val="0"/>
        <w:snapToGrid w:val="0"/>
        <w:spacing w:line="360" w:lineRule="auto"/>
        <w:rPr>
          <w:rFonts w:hint="eastAsia" w:ascii="宋体" w:hAnsi="宋体" w:cs="楷体"/>
          <w:color w:val="000000"/>
          <w:sz w:val="21"/>
          <w:szCs w:val="21"/>
        </w:rPr>
      </w:pPr>
      <w:r>
        <w:rPr>
          <w:rFonts w:hint="eastAsia" w:ascii="宋体" w:hAnsi="宋体" w:cs="楷体"/>
          <w:color w:val="000000"/>
          <w:sz w:val="21"/>
          <w:szCs w:val="21"/>
        </w:rPr>
        <w:t>平均气温</w:t>
      </w:r>
      <w:r>
        <w:rPr>
          <w:rFonts w:hint="eastAsia" w:ascii="宋体" w:hAnsi="宋体" w:cs="楷体"/>
          <w:color w:val="000000"/>
          <w:sz w:val="21"/>
          <w:szCs w:val="21"/>
        </w:rPr>
        <w:tab/>
      </w:r>
      <w:r>
        <w:rPr>
          <w:rFonts w:hint="eastAsia" w:ascii="宋体" w:hAnsi="宋体" w:cs="楷体"/>
          <w:color w:val="000000"/>
          <w:sz w:val="21"/>
          <w:szCs w:val="21"/>
        </w:rPr>
        <w:tab/>
      </w:r>
      <w:r>
        <w:rPr>
          <w:rFonts w:hint="eastAsia" w:ascii="宋体" w:hAnsi="宋体" w:cs="楷体"/>
          <w:color w:val="000000"/>
          <w:sz w:val="21"/>
          <w:szCs w:val="21"/>
        </w:rPr>
        <w:tab/>
      </w:r>
      <w:r>
        <w:rPr>
          <w:rFonts w:hint="eastAsia" w:ascii="宋体" w:hAnsi="宋体" w:cs="楷体"/>
          <w:color w:val="000000"/>
          <w:sz w:val="21"/>
          <w:szCs w:val="21"/>
        </w:rPr>
        <w:tab/>
      </w:r>
      <w:r>
        <w:rPr>
          <w:rFonts w:hint="eastAsia" w:ascii="宋体" w:hAnsi="宋体" w:cs="楷体"/>
          <w:color w:val="000000"/>
          <w:sz w:val="21"/>
          <w:szCs w:val="21"/>
        </w:rPr>
        <w:t>20.3℃</w:t>
      </w:r>
    </w:p>
    <w:p>
      <w:pPr>
        <w:adjustRightInd w:val="0"/>
        <w:snapToGrid w:val="0"/>
        <w:spacing w:line="360" w:lineRule="auto"/>
        <w:rPr>
          <w:rFonts w:hint="eastAsia" w:ascii="宋体" w:hAnsi="宋体" w:cs="楷体"/>
          <w:color w:val="000000"/>
          <w:sz w:val="21"/>
          <w:szCs w:val="21"/>
        </w:rPr>
      </w:pPr>
      <w:r>
        <w:rPr>
          <w:rFonts w:hint="eastAsia" w:ascii="宋体" w:hAnsi="宋体" w:cs="楷体"/>
          <w:color w:val="000000"/>
          <w:sz w:val="21"/>
          <w:szCs w:val="21"/>
        </w:rPr>
        <w:t>极端最高气温</w:t>
      </w:r>
      <w:r>
        <w:rPr>
          <w:rFonts w:hint="eastAsia" w:ascii="宋体" w:hAnsi="宋体" w:cs="楷体"/>
          <w:color w:val="000000"/>
          <w:sz w:val="21"/>
          <w:szCs w:val="21"/>
        </w:rPr>
        <w:tab/>
      </w:r>
      <w:r>
        <w:rPr>
          <w:rFonts w:hint="eastAsia" w:ascii="宋体" w:hAnsi="宋体" w:cs="楷体"/>
          <w:color w:val="000000"/>
          <w:sz w:val="21"/>
          <w:szCs w:val="21"/>
        </w:rPr>
        <w:tab/>
      </w:r>
      <w:r>
        <w:rPr>
          <w:rFonts w:hint="eastAsia" w:ascii="宋体" w:hAnsi="宋体" w:cs="楷体"/>
          <w:color w:val="000000"/>
          <w:sz w:val="21"/>
          <w:szCs w:val="21"/>
        </w:rPr>
        <w:tab/>
      </w:r>
      <w:r>
        <w:rPr>
          <w:rFonts w:hint="eastAsia" w:ascii="宋体" w:hAnsi="宋体" w:cs="楷体"/>
          <w:color w:val="000000"/>
          <w:sz w:val="21"/>
          <w:szCs w:val="21"/>
        </w:rPr>
        <w:t>41.2℃</w:t>
      </w:r>
    </w:p>
    <w:p>
      <w:pPr>
        <w:adjustRightInd w:val="0"/>
        <w:snapToGrid w:val="0"/>
        <w:spacing w:line="360" w:lineRule="auto"/>
        <w:rPr>
          <w:rFonts w:hint="eastAsia" w:ascii="宋体" w:hAnsi="宋体" w:cs="楷体"/>
          <w:color w:val="000000"/>
          <w:sz w:val="21"/>
          <w:szCs w:val="21"/>
        </w:rPr>
      </w:pPr>
      <w:r>
        <w:rPr>
          <w:rFonts w:hint="eastAsia" w:ascii="宋体" w:hAnsi="宋体" w:cs="楷体"/>
          <w:color w:val="000000"/>
          <w:sz w:val="21"/>
          <w:szCs w:val="21"/>
        </w:rPr>
        <w:t>极端最低气温</w:t>
      </w:r>
      <w:r>
        <w:rPr>
          <w:rFonts w:hint="eastAsia" w:ascii="宋体" w:hAnsi="宋体" w:cs="楷体"/>
          <w:color w:val="000000"/>
          <w:sz w:val="21"/>
          <w:szCs w:val="21"/>
        </w:rPr>
        <w:tab/>
      </w:r>
      <w:r>
        <w:rPr>
          <w:rFonts w:hint="eastAsia" w:ascii="宋体" w:hAnsi="宋体" w:cs="楷体"/>
          <w:color w:val="000000"/>
          <w:sz w:val="21"/>
          <w:szCs w:val="21"/>
        </w:rPr>
        <w:tab/>
      </w:r>
      <w:r>
        <w:rPr>
          <w:rFonts w:hint="eastAsia" w:ascii="宋体" w:hAnsi="宋体" w:cs="楷体"/>
          <w:color w:val="000000"/>
          <w:sz w:val="21"/>
          <w:szCs w:val="21"/>
        </w:rPr>
        <w:tab/>
      </w:r>
      <w:r>
        <w:rPr>
          <w:rFonts w:hint="eastAsia" w:ascii="宋体" w:hAnsi="宋体" w:cs="楷体"/>
          <w:color w:val="000000"/>
          <w:sz w:val="21"/>
          <w:szCs w:val="21"/>
        </w:rPr>
        <w:t>-35℃</w:t>
      </w:r>
    </w:p>
    <w:p>
      <w:pPr>
        <w:adjustRightInd w:val="0"/>
        <w:snapToGrid w:val="0"/>
        <w:spacing w:line="360" w:lineRule="auto"/>
        <w:rPr>
          <w:rFonts w:hint="eastAsia" w:ascii="宋体" w:hAnsi="宋体" w:cs="楷体"/>
          <w:color w:val="000000"/>
          <w:sz w:val="21"/>
          <w:szCs w:val="21"/>
        </w:rPr>
      </w:pPr>
      <w:r>
        <w:rPr>
          <w:rFonts w:hint="eastAsia" w:ascii="宋体" w:hAnsi="宋体" w:cs="楷体"/>
          <w:color w:val="000000"/>
          <w:sz w:val="21"/>
          <w:szCs w:val="21"/>
        </w:rPr>
        <w:t>海拔高度（黄海高程系统，主厂房零米标高）180.6m</w:t>
      </w:r>
    </w:p>
    <w:p>
      <w:pPr>
        <w:adjustRightInd w:val="0"/>
        <w:snapToGrid w:val="0"/>
        <w:spacing w:line="360" w:lineRule="auto"/>
        <w:rPr>
          <w:rFonts w:hint="eastAsia" w:ascii="宋体" w:hAnsi="宋体" w:cs="楷体"/>
          <w:color w:val="000000"/>
          <w:sz w:val="21"/>
          <w:szCs w:val="21"/>
        </w:rPr>
      </w:pPr>
      <w:r>
        <w:rPr>
          <w:rFonts w:hint="eastAsia" w:ascii="宋体" w:hAnsi="宋体" w:cs="楷体"/>
          <w:color w:val="000000"/>
          <w:sz w:val="21"/>
          <w:szCs w:val="21"/>
        </w:rPr>
        <w:t>厂区地震基本烈度为6度，场地地震动峰值加速度为0.05g，地震动反应谱特征周期值0.35s。</w:t>
      </w:r>
    </w:p>
    <w:p>
      <w:pPr>
        <w:adjustRightInd w:val="0"/>
        <w:snapToGrid w:val="0"/>
        <w:spacing w:line="360" w:lineRule="auto"/>
        <w:rPr>
          <w:rFonts w:hint="eastAsia" w:ascii="宋体" w:hAnsi="宋体" w:cs="楷体"/>
          <w:b/>
          <w:bCs/>
          <w:color w:val="000000"/>
          <w:sz w:val="21"/>
          <w:szCs w:val="21"/>
        </w:rPr>
      </w:pPr>
      <w:r>
        <w:rPr>
          <w:rFonts w:hint="eastAsia" w:ascii="宋体" w:hAnsi="宋体" w:cs="楷体"/>
          <w:color w:val="000000"/>
          <w:sz w:val="21"/>
          <w:szCs w:val="21"/>
        </w:rPr>
        <w:t>2.1.3煤质资料</w:t>
      </w:r>
    </w:p>
    <w:p>
      <w:pPr>
        <w:adjustRightInd w:val="0"/>
        <w:snapToGrid w:val="0"/>
        <w:spacing w:line="360" w:lineRule="auto"/>
        <w:rPr>
          <w:rFonts w:hint="eastAsia" w:ascii="宋体" w:hAnsi="宋体" w:cs="楷体"/>
          <w:color w:val="000000"/>
          <w:sz w:val="21"/>
          <w:szCs w:val="21"/>
        </w:rPr>
      </w:pPr>
      <w:r>
        <w:rPr>
          <w:rFonts w:hint="eastAsia" w:ascii="宋体" w:hAnsi="宋体" w:cs="楷体"/>
          <w:color w:val="000000"/>
          <w:sz w:val="21"/>
          <w:szCs w:val="21"/>
        </w:rPr>
        <w:t xml:space="preserve">   目前燃煤为水洗煤，外水为1</w:t>
      </w:r>
      <w:r>
        <w:rPr>
          <w:rFonts w:ascii="宋体" w:hAnsi="宋体" w:cs="楷体"/>
          <w:color w:val="000000"/>
          <w:sz w:val="21"/>
          <w:szCs w:val="21"/>
        </w:rPr>
        <w:t>0%</w:t>
      </w:r>
      <w:r>
        <w:rPr>
          <w:rFonts w:hint="eastAsia" w:ascii="宋体" w:hAnsi="宋体" w:cs="楷体"/>
          <w:color w:val="000000"/>
          <w:sz w:val="21"/>
          <w:szCs w:val="21"/>
        </w:rPr>
        <w:t>左右。综合发热量约</w:t>
      </w:r>
      <w:r>
        <w:rPr>
          <w:rFonts w:ascii="宋体" w:hAnsi="宋体" w:cs="楷体"/>
          <w:color w:val="000000"/>
          <w:sz w:val="21"/>
          <w:szCs w:val="21"/>
        </w:rPr>
        <w:t>45</w:t>
      </w:r>
      <w:r>
        <w:rPr>
          <w:rFonts w:hint="eastAsia" w:ascii="宋体" w:hAnsi="宋体" w:cs="楷体"/>
          <w:color w:val="000000"/>
          <w:sz w:val="21"/>
          <w:szCs w:val="21"/>
        </w:rPr>
        <w:t>00 Kal/kg左右，</w:t>
      </w:r>
      <w:r>
        <w:rPr>
          <w:rFonts w:hint="eastAsia" w:ascii="微软雅黑" w:hAnsi="微软雅黑" w:eastAsia="微软雅黑" w:cs="楷体"/>
          <w:color w:val="000000"/>
          <w:sz w:val="21"/>
          <w:szCs w:val="21"/>
        </w:rPr>
        <w:t>&lt;</w:t>
      </w:r>
      <w:r>
        <w:rPr>
          <w:rFonts w:ascii="宋体" w:hAnsi="宋体" w:cs="楷体"/>
          <w:color w:val="000000"/>
          <w:sz w:val="21"/>
          <w:szCs w:val="21"/>
        </w:rPr>
        <w:t>10mm</w:t>
      </w:r>
      <w:r>
        <w:rPr>
          <w:rFonts w:hint="eastAsia" w:ascii="宋体" w:hAnsi="宋体" w:cs="楷体"/>
          <w:color w:val="000000"/>
          <w:sz w:val="21"/>
          <w:szCs w:val="21"/>
        </w:rPr>
        <w:t>的占比在7</w:t>
      </w:r>
      <w:r>
        <w:rPr>
          <w:rFonts w:ascii="宋体" w:hAnsi="宋体" w:cs="楷体"/>
          <w:color w:val="000000"/>
          <w:sz w:val="21"/>
          <w:szCs w:val="21"/>
        </w:rPr>
        <w:t>0%</w:t>
      </w:r>
      <w:r>
        <w:rPr>
          <w:rFonts w:hint="eastAsia" w:ascii="宋体" w:hAnsi="宋体" w:cs="楷体"/>
          <w:color w:val="000000"/>
          <w:sz w:val="21"/>
          <w:szCs w:val="21"/>
        </w:rPr>
        <w:t>以上。</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5" w:name="_Toc3865537"/>
      <w:r>
        <w:rPr>
          <w:rFonts w:hint="eastAsia"/>
          <w:color w:val="000000"/>
          <w:sz w:val="21"/>
          <w:szCs w:val="21"/>
        </w:rPr>
        <w:t>3．标准和规范</w:t>
      </w:r>
      <w:bookmarkEnd w:id="5"/>
    </w:p>
    <w:p>
      <w:pPr>
        <w:autoSpaceDE w:val="0"/>
        <w:autoSpaceDN w:val="0"/>
        <w:adjustRightInd w:val="0"/>
        <w:snapToGrid w:val="0"/>
        <w:spacing w:line="360" w:lineRule="auto"/>
        <w:ind w:firstLine="210" w:firstLineChars="100"/>
        <w:jc w:val="left"/>
        <w:rPr>
          <w:rFonts w:hint="eastAsia" w:ascii="宋体" w:hAnsi="宋体" w:cs="楷体"/>
          <w:bCs/>
          <w:color w:val="000000"/>
          <w:sz w:val="21"/>
          <w:szCs w:val="21"/>
        </w:rPr>
      </w:pPr>
      <w:r>
        <w:rPr>
          <w:rFonts w:hint="eastAsia" w:ascii="宋体" w:hAnsi="宋体" w:cs="楷体"/>
          <w:bCs/>
          <w:color w:val="000000"/>
          <w:sz w:val="21"/>
          <w:szCs w:val="21"/>
        </w:rPr>
        <w:t>筛分布料器的设计、制造、安装、包装、储存、验收应以国际标准及中国国家标准（GB）现行标准的最新版本为基础。遵照下列规范和标准及其它中国国家标准和规范（不限于此），如投标方拟采用与下列标准不同的其他规范和标准，需经招标方审查和批准：</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DL/T869-2004―――火力发电厂焊接技术规程</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DL5028-1993―――电力项目制图标准</w:t>
      </w:r>
    </w:p>
    <w:p>
      <w:pPr>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GB50660-2011————大中型火力发电厂设计规范</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DL5000－2000―――火力发电厂设计技术规程</w:t>
      </w:r>
    </w:p>
    <w:p>
      <w:pPr>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DL/T5185.1-2004――火力发电厂运煤设计技术规定</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DL/T5047-1995―――电力建设施工及验收规范（锅炉机组篇）</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color w:val="000000"/>
          <w:sz w:val="21"/>
          <w:szCs w:val="21"/>
        </w:rPr>
        <w:t>DL/T5210.2-2009</w:t>
      </w:r>
      <w:r>
        <w:rPr>
          <w:rFonts w:hint="eastAsia" w:ascii="宋体" w:hAnsi="宋体" w:cs="楷体"/>
          <w:bCs/>
          <w:color w:val="000000"/>
          <w:sz w:val="21"/>
          <w:szCs w:val="21"/>
        </w:rPr>
        <w:t>――</w:t>
      </w:r>
      <w:r>
        <w:rPr>
          <w:rFonts w:hint="eastAsia" w:ascii="宋体" w:hAnsi="宋体" w:cs="楷体"/>
          <w:color w:val="000000"/>
          <w:sz w:val="21"/>
          <w:szCs w:val="21"/>
        </w:rPr>
        <w:t>电力建设施工质量验收及评价规程（第2部分锅炉机组）</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GB/T7251-2005―――低压成套开关设备和控制设备</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GB/T985-1988―――气焊、手工电弧焊及气体保护焊焊缝坡口的基本形式与尺寸</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GB/T986-1988―――埋弧焊焊缝坡口的基本形式和尺寸</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GB/T1184-1996―――形状和位置公差、未注公差值</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GB/T1801-1999―――极限与配合公差带和配合的选择</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GB1802－1979―――公差与配合 尺寸大于500至3150mm常用孔、轴公差带</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GB1803－2003―――极限与配合 尺寸至18 mm孔、轴公差带</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GB/T1804－2000―――一般公差未注公差的线性和角度尺寸的公差</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GB8923-1988―――涂装前钢材表面锈蚀等级和除锈等级</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GB/T1764-1979―――漆膜厚度测定法</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 13422-1992―――半导体电力变流器电气试验方法</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DL 541－1994―――钢熔化焊角焊缝射线照相方法和质量分级</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GB/T3767-1996―――声压法测定噪声源声功率级项目法</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GB14367-2006―――声学 噪声源声功率级的测定－基础标准使用指南</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GB4208-1993――――外壳防护等级（IP代码）</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GB/T5677-1985―――铸钢件射线照相及底片等级分类方法</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GB/T4162-1991―――锻轧钢棒超声波检验方法</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 11352-1989</w:t>
      </w:r>
      <w:r>
        <w:rPr>
          <w:rFonts w:hint="eastAsia" w:ascii="宋体" w:hAnsi="宋体" w:cs="楷体"/>
          <w:bCs/>
          <w:color w:val="000000"/>
          <w:sz w:val="21"/>
          <w:szCs w:val="21"/>
        </w:rPr>
        <w:tab/>
      </w:r>
      <w:r>
        <w:rPr>
          <w:rFonts w:hint="eastAsia" w:ascii="宋体" w:hAnsi="宋体" w:cs="楷体"/>
          <w:bCs/>
          <w:color w:val="000000"/>
          <w:sz w:val="21"/>
          <w:szCs w:val="21"/>
        </w:rPr>
        <w:t>一般项目用铸造碳钢件</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GB5676-1985―――一般项目用铸造碳钢</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GB5677-2007―――铸钢件射线照相检测</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GB/T10233－2005―――低压成套开关设备和电控设备基本试验方法</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GB/T8923-1988―――涂装前钢材表面锈蚀等级和除锈等级</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GB/T9239-1988―――刚性转子平衡品质许用不平衡的确定</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GB/T11345-1989――钢焊缝手工超声波探伤方法和探伤结果分级</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GB12348-1990―――工业企业厂界噪声标准II类混合区评价标准</w:t>
      </w:r>
    </w:p>
    <w:p>
      <w:pPr>
        <w:autoSpaceDE w:val="0"/>
        <w:autoSpaceDN w:val="0"/>
        <w:adjustRightInd w:val="0"/>
        <w:snapToGrid w:val="0"/>
        <w:spacing w:line="360" w:lineRule="auto"/>
        <w:ind w:left="420" w:leftChars="200"/>
        <w:jc w:val="left"/>
        <w:rPr>
          <w:rFonts w:hint="eastAsia" w:ascii="宋体" w:hAnsi="宋体" w:cs="楷体"/>
          <w:bCs/>
          <w:color w:val="000000"/>
          <w:sz w:val="21"/>
          <w:szCs w:val="21"/>
        </w:rPr>
      </w:pPr>
      <w:r>
        <w:rPr>
          <w:rFonts w:hint="eastAsia" w:ascii="宋体" w:hAnsi="宋体" w:cs="楷体"/>
          <w:bCs/>
          <w:color w:val="000000"/>
          <w:sz w:val="21"/>
          <w:szCs w:val="21"/>
        </w:rPr>
        <w:t>GB/T1804 -2000――一般公差、未注公差的线性和角度尺寸的公差GB/T14211-1993―――机械密封试验方法</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IEC――――――电动机技术标准</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GB4208-2008―――外壳防护等级（IP代码）</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GB50017－2003―――钢结构设计规范</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GB50055-1993―――通用用电设备配电设计规范</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GB3836.1-2000―――爆炸性气体环境用电气设备第一部分：通用要求</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GB/T13306-1991――标牌</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GB191－2008―――包装储运图示标志</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JB/T5000.8-1998――重型机械通用技术条件  锻件</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GB/T13384-2008――机电产品包装通用技术条件</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 50063－2008―――电力装置的电测量仪表装置设计规范</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GB/T9279-2007―――色漆和清漆－划痕试验</w:t>
      </w:r>
    </w:p>
    <w:p>
      <w:pPr>
        <w:autoSpaceDE w:val="0"/>
        <w:autoSpaceDN w:val="0"/>
        <w:adjustRightInd w:val="0"/>
        <w:snapToGrid w:val="0"/>
        <w:spacing w:line="360" w:lineRule="auto"/>
        <w:ind w:firstLine="420" w:firstLineChars="200"/>
        <w:jc w:val="left"/>
        <w:rPr>
          <w:rFonts w:hint="eastAsia" w:ascii="宋体" w:hAnsi="宋体" w:cs="楷体"/>
          <w:bCs/>
          <w:color w:val="000000"/>
          <w:sz w:val="21"/>
          <w:szCs w:val="21"/>
        </w:rPr>
      </w:pPr>
      <w:r>
        <w:rPr>
          <w:rFonts w:hint="eastAsia" w:ascii="宋体" w:hAnsi="宋体" w:cs="楷体"/>
          <w:bCs/>
          <w:color w:val="000000"/>
          <w:sz w:val="21"/>
          <w:szCs w:val="21"/>
        </w:rPr>
        <w:t>GB13452.2－2008―――色漆和清漆 漆膜厚度的测定</w:t>
      </w:r>
    </w:p>
    <w:p>
      <w:pPr>
        <w:tabs>
          <w:tab w:val="left" w:pos="900"/>
        </w:tabs>
        <w:spacing w:line="360" w:lineRule="auto"/>
        <w:ind w:firstLine="420" w:firstLineChars="200"/>
        <w:rPr>
          <w:rFonts w:hint="eastAsia" w:ascii="宋体" w:hAnsi="宋体" w:cs="宋体"/>
          <w:color w:val="000000"/>
          <w:sz w:val="21"/>
          <w:szCs w:val="21"/>
        </w:rPr>
      </w:pPr>
      <w:r>
        <w:rPr>
          <w:rFonts w:hint="eastAsia" w:ascii="宋体" w:hAnsi="宋体"/>
          <w:color w:val="000000"/>
          <w:sz w:val="21"/>
          <w:szCs w:val="21"/>
        </w:rPr>
        <w:t>以及国家、行业、公司其他专业相关各类文件、标准。</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6" w:name="_Toc3865538"/>
      <w:r>
        <w:rPr>
          <w:rFonts w:hint="eastAsia"/>
          <w:color w:val="000000"/>
          <w:sz w:val="21"/>
          <w:szCs w:val="21"/>
        </w:rPr>
        <w:t>4．技术要求</w:t>
      </w:r>
      <w:bookmarkEnd w:id="6"/>
    </w:p>
    <w:p>
      <w:pPr>
        <w:rPr>
          <w:rFonts w:hint="eastAsia"/>
          <w:b/>
          <w:color w:val="000000"/>
          <w:sz w:val="21"/>
          <w:szCs w:val="21"/>
        </w:rPr>
      </w:pPr>
      <w:r>
        <w:rPr>
          <w:rFonts w:hint="eastAsia"/>
          <w:b/>
          <w:color w:val="000000"/>
          <w:sz w:val="21"/>
          <w:szCs w:val="21"/>
        </w:rPr>
        <w:t>4.1总的技术要求</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1.1投标方提供的</w:t>
      </w:r>
      <w:bookmarkStart w:id="7" w:name="_Hlk3364669"/>
      <w:r>
        <w:rPr>
          <w:rFonts w:hint="eastAsia" w:ascii="宋体" w:hAnsi="宋体" w:cs="宋体"/>
          <w:color w:val="000000"/>
          <w:sz w:val="21"/>
          <w:szCs w:val="21"/>
        </w:rPr>
        <w:t>高效筛分布料器，应功能完整、技术先进，并能满足人身设备安全和劳动保护条件，整机使用寿命30年。过滤筛轴磨损寿命不低于18个月。</w:t>
      </w:r>
      <w:bookmarkEnd w:id="7"/>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1.2设备零部件的制造过程应采用先进、可靠的加工制造技术，应有良好的表面几何形状及合适的公差配合，</w:t>
      </w:r>
      <w:bookmarkStart w:id="8" w:name="_Hlk3364755"/>
      <w:r>
        <w:rPr>
          <w:rFonts w:hint="eastAsia" w:ascii="宋体" w:hAnsi="宋体" w:cs="宋体"/>
          <w:color w:val="000000"/>
          <w:sz w:val="21"/>
          <w:szCs w:val="21"/>
        </w:rPr>
        <w:t>筛条表面硬度不低于HRC58度</w:t>
      </w:r>
      <w:bookmarkEnd w:id="8"/>
      <w:r>
        <w:rPr>
          <w:rFonts w:hint="eastAsia" w:ascii="宋体" w:hAnsi="宋体" w:cs="宋体"/>
          <w:color w:val="000000"/>
          <w:sz w:val="21"/>
          <w:szCs w:val="21"/>
        </w:rPr>
        <w:t>。易于磨损、腐蚀、老化或需要调整、检查和更换的零部件应提供备用品，并能比较方便地拆卸、更换和修理。所有重型部件应有安装维修时便于起吊或搬运的措施（如：吊耳、环形螺栓等）。</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1.3设备外购配套件必须选用优质、节能、先进的产品，并有生产许可证及产品检验合格证，严禁采用国家公布的淘汰产品。电动机采用品牌、高能效产品。投标方应对外购部件及材料进行检验，并对其质量、性能负责。</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1.4设备所用材料及零部件（或元器件）应采用能满足其使用条件的优质材料。所有材料及零部件（或元器件）应符合有关规范的要求，且应是新型的和优质的，并能满足当地环境条件的要求及各种工况条件。</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1.5</w:t>
      </w:r>
      <w:bookmarkStart w:id="9" w:name="_Hlk3364836"/>
      <w:r>
        <w:rPr>
          <w:rFonts w:hint="eastAsia" w:ascii="宋体" w:hAnsi="宋体" w:cs="宋体"/>
          <w:color w:val="000000"/>
          <w:sz w:val="21"/>
          <w:szCs w:val="21"/>
        </w:rPr>
        <w:t>设备所使用的零部件或组件应有良好的互换性。一电机带多轴，链条传动或单机单轴配置。筛轴具备自清理功能，更换方便。筛轴设计合理，强度、刚度满足在任何特殊气候条件下煤质变化不发生筛轴变形或卡阻。筛轴侧面抽离，不揭上盖实现筛轴更换检修，以节省检修空间。</w:t>
      </w:r>
      <w:bookmarkEnd w:id="9"/>
      <w:r>
        <w:rPr>
          <w:rFonts w:hint="eastAsia" w:ascii="宋体" w:hAnsi="宋体" w:cs="宋体"/>
          <w:color w:val="000000"/>
          <w:sz w:val="21"/>
          <w:szCs w:val="21"/>
        </w:rPr>
        <w:t xml:space="preserve"> </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1.6各转动件必须转动灵活，不得有卡阻现象。润滑部分密封良好，不得有油脂渗漏现象。主轴承座在运行时的最大振幅、温升、最高温度满足国家或相关行业标准。外漏转动部件必须有符合行业标准的防护罩。</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1.7所有的电气元器件应能在潮湿、多尘的环境中正常工作，绝缘良好。</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1.8设备中的结构件钢材在下料前需进行喷丸等预处理措施。各机壳、机盖的焊接、机加工采用先进工艺，焊接后进行消除应力处理。</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1.9金属结构件的焊接应符合GB985、GB986、DL5007的有关规定。焊缝不得出现烧穿、裂纹及未熔合等缺陷。锻件不应有夹层、折叠、裂纹、结疤等缺陷。</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1.10机座、机壳、筛面间以及下料斗处及各人孔门设密封阻尘，结合面均应密封良好可靠，运行中无向外漏粉、漏风现象，各工作门应关闭牢固密封良好，开启方便。</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1.11设备上必须设有粒度检查门、筛面观察门、检修门等配置。</w:t>
      </w:r>
    </w:p>
    <w:p>
      <w:pPr>
        <w:tabs>
          <w:tab w:val="left" w:pos="945"/>
        </w:tabs>
        <w:adjustRightInd w:val="0"/>
        <w:snapToGrid w:val="0"/>
        <w:spacing w:line="360" w:lineRule="auto"/>
        <w:jc w:val="left"/>
        <w:rPr>
          <w:rFonts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1.12 设备配有检修平台及相应步梯。</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1.13组装前应从每个零件内部清除全部加工垃圾，如：金属切削物、填充物等，应清除内外表面的所有杂屑、锈皮、油脂等。</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1.14设备交付时至少应有两层锌基打底层和两层覆面涂层，暴露于大气的金属表面需要加涂层和油漆。在钢结构发运前必须上两层底漆一层面漆。安装后应对所有钢结构表面油漆进行检查，并补漆。油漆由投标方提供并留有5％余量。不允许有漏漆现象，每层油漆颜色应不同。每层油漆干膜厚度为25～35</w:t>
      </w:r>
      <w:r>
        <w:rPr>
          <w:rFonts w:hint="eastAsia" w:ascii="宋体" w:hAnsi="宋体" w:cs="宋体"/>
          <w:color w:val="000000"/>
          <w:sz w:val="21"/>
          <w:szCs w:val="21"/>
        </w:rPr>
        <w:sym w:font="Symbol" w:char="F06D"/>
      </w:r>
      <w:r>
        <w:rPr>
          <w:rFonts w:hint="eastAsia" w:ascii="宋体" w:hAnsi="宋体" w:cs="宋体"/>
          <w:color w:val="000000"/>
          <w:sz w:val="21"/>
          <w:szCs w:val="21"/>
        </w:rPr>
        <w:t>m。外露加工配合面应涂防护油脂。外露加工非配合面均应涂面漆或底漆。设备发货前，机体内表面应有一层打底涂层和一层覆盖涂层。设备转动部件，其外表面涂漆应有鲜明的警示标识。油漆应采用国内较先进的漆种，3年内不得脱落。</w:t>
      </w:r>
    </w:p>
    <w:p>
      <w:pPr>
        <w:pStyle w:val="4"/>
        <w:tabs>
          <w:tab w:val="left" w:pos="945"/>
        </w:tabs>
        <w:spacing w:line="360" w:lineRule="auto"/>
        <w:ind w:firstLine="0" w:firstLineChars="0"/>
        <w:jc w:val="left"/>
        <w:rPr>
          <w:rFonts w:hint="eastAsia" w:hAnsi="宋体" w:cs="楷体"/>
          <w:color w:val="000000"/>
          <w:sz w:val="21"/>
          <w:szCs w:val="21"/>
        </w:rPr>
      </w:pPr>
      <w:r>
        <w:rPr>
          <w:rFonts w:hAnsi="宋体" w:cs="宋体"/>
          <w:color w:val="000000"/>
          <w:sz w:val="21"/>
          <w:szCs w:val="21"/>
        </w:rPr>
        <w:t>4.</w:t>
      </w:r>
      <w:r>
        <w:rPr>
          <w:rFonts w:hint="eastAsia" w:hAnsi="宋体" w:cs="宋体"/>
          <w:color w:val="000000"/>
          <w:sz w:val="21"/>
          <w:szCs w:val="21"/>
        </w:rPr>
        <w:t>1.15出厂前整机按有关标准进行空载试验，保证其</w:t>
      </w:r>
      <w:bookmarkStart w:id="10" w:name="_Hlk3364599"/>
      <w:r>
        <w:rPr>
          <w:rFonts w:hint="eastAsia" w:hAnsi="宋体" w:cs="宋体"/>
          <w:color w:val="000000"/>
          <w:sz w:val="21"/>
          <w:szCs w:val="21"/>
        </w:rPr>
        <w:t>运行平稳、无卡碰、撞机等声音，紧固件无松动现象</w:t>
      </w:r>
      <w:bookmarkEnd w:id="10"/>
      <w:r>
        <w:rPr>
          <w:rFonts w:hint="eastAsia" w:hAnsi="宋体" w:cs="宋体"/>
          <w:color w:val="000000"/>
          <w:sz w:val="21"/>
          <w:szCs w:val="21"/>
        </w:rPr>
        <w:t>，试验合格后方可发运现场。招标方有权派员参加设备出厂检测试验，并应招标方要求提供试验报告。</w:t>
      </w:r>
    </w:p>
    <w:p>
      <w:pPr>
        <w:rPr>
          <w:rFonts w:hint="eastAsia"/>
          <w:b/>
          <w:color w:val="000000"/>
          <w:sz w:val="21"/>
          <w:szCs w:val="21"/>
        </w:rPr>
      </w:pPr>
      <w:r>
        <w:rPr>
          <w:rFonts w:hint="eastAsia"/>
          <w:b/>
          <w:color w:val="000000"/>
          <w:sz w:val="21"/>
          <w:szCs w:val="21"/>
        </w:rPr>
        <w:t>4.2针对性技术要求</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w:t>
      </w:r>
      <w:r>
        <w:rPr>
          <w:rFonts w:hint="eastAsia" w:ascii="宋体" w:hAnsi="宋体" w:cs="宋体"/>
          <w:color w:val="000000"/>
          <w:sz w:val="21"/>
          <w:szCs w:val="21"/>
        </w:rPr>
        <w:t>.</w:t>
      </w:r>
      <w:bookmarkStart w:id="11" w:name="_Hlk3365053"/>
      <w:r>
        <w:rPr>
          <w:rFonts w:ascii="宋体" w:hAnsi="宋体" w:cs="宋体"/>
          <w:color w:val="000000"/>
          <w:sz w:val="21"/>
          <w:szCs w:val="21"/>
        </w:rPr>
        <w:t>1</w:t>
      </w:r>
      <w:r>
        <w:rPr>
          <w:rFonts w:hint="eastAsia" w:ascii="宋体" w:hAnsi="宋体" w:cs="宋体"/>
          <w:color w:val="000000"/>
          <w:sz w:val="21"/>
          <w:szCs w:val="21"/>
        </w:rPr>
        <w:t>由于输煤系统的分流设备存在不均匀性，短时输送量可能会较大，所以要求筛分布料器设备的处理能力≮850t/h。（在瞬时煤量达到1000t/h时，不能出现过载跳机现象）</w:t>
      </w:r>
      <w:bookmarkEnd w:id="11"/>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4.2.2</w:t>
      </w:r>
      <w:r>
        <w:rPr>
          <w:rFonts w:hint="eastAsia" w:ascii="宋体" w:hAnsi="宋体" w:cs="宋体"/>
          <w:color w:val="000000"/>
          <w:sz w:val="21"/>
          <w:szCs w:val="21"/>
        </w:rPr>
        <w:t>设备长、宽、高尺寸必须满足招标方现场空间，不能破坏现有地面空间或破坏原承重结构，设备水平安装预留有足够的检修空间。</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4.2.3</w:t>
      </w:r>
      <w:r>
        <w:rPr>
          <w:rFonts w:hint="eastAsia" w:ascii="宋体" w:hAnsi="宋体" w:cs="宋体"/>
          <w:color w:val="000000"/>
          <w:sz w:val="21"/>
          <w:szCs w:val="21"/>
        </w:rPr>
        <w:t>设备正常运行时不得因煤质的变化出现堵塞而影响输煤。</w:t>
      </w:r>
    </w:p>
    <w:p>
      <w:pPr>
        <w:snapToGrid w:val="0"/>
        <w:spacing w:line="360" w:lineRule="auto"/>
        <w:rPr>
          <w:rFonts w:ascii="宋体" w:hAnsi="宋体" w:cs="宋体"/>
          <w:color w:val="000000"/>
          <w:sz w:val="21"/>
          <w:szCs w:val="21"/>
        </w:rPr>
      </w:pPr>
      <w:r>
        <w:rPr>
          <w:rFonts w:ascii="宋体" w:hAnsi="宋体" w:cs="宋体"/>
          <w:color w:val="000000"/>
          <w:sz w:val="21"/>
          <w:szCs w:val="21"/>
        </w:rPr>
        <w:t>4.2.4</w:t>
      </w:r>
      <w:r>
        <w:rPr>
          <w:rFonts w:hint="eastAsia" w:ascii="宋体" w:hAnsi="宋体" w:cs="宋体"/>
          <w:color w:val="000000"/>
          <w:sz w:val="21"/>
          <w:szCs w:val="21"/>
        </w:rPr>
        <w:t>设备安装后必须预留出新增设备及原有设备维修空间及三通管安装位置，保证在检修新增设备时，原破碎系统能正常使用。</w:t>
      </w:r>
    </w:p>
    <w:p>
      <w:pPr>
        <w:snapToGrid w:val="0"/>
        <w:spacing w:line="360" w:lineRule="auto"/>
        <w:rPr>
          <w:rFonts w:hint="eastAsia" w:ascii="宋体" w:hAnsi="宋体" w:cs="宋体"/>
          <w:color w:val="000000"/>
          <w:sz w:val="21"/>
          <w:szCs w:val="21"/>
        </w:rPr>
      </w:pPr>
      <w:r>
        <w:rPr>
          <w:rFonts w:ascii="宋体" w:hAnsi="宋体" w:cs="宋体"/>
          <w:color w:val="000000"/>
          <w:sz w:val="21"/>
          <w:szCs w:val="21"/>
        </w:rPr>
        <w:t>4.2.5</w:t>
      </w:r>
      <w:r>
        <w:rPr>
          <w:rFonts w:hint="eastAsia" w:ascii="宋体" w:hAnsi="宋体" w:cs="宋体"/>
          <w:color w:val="000000"/>
          <w:sz w:val="21"/>
          <w:szCs w:val="21"/>
        </w:rPr>
        <w:t>三通管内部挡板可以是内套筒（扇形）或三角形状，转轴为45#钢制作。招标方不接受单面挡板设计的三通管方案。三角形状设计的三通要符合等腰三角形特性，不能出现尺寸偏差，挡板两腰均采用双金属耐磨板或合金耐磨板（双金属耐磨板要求8+6耐磨层8mm，母材16Mn），表面光滑，不粘煤。</w:t>
      </w:r>
    </w:p>
    <w:p>
      <w:pPr>
        <w:snapToGrid w:val="0"/>
        <w:spacing w:line="360" w:lineRule="auto"/>
        <w:rPr>
          <w:rFonts w:hint="eastAsia" w:ascii="宋体" w:hAnsi="宋体" w:cs="宋体"/>
          <w:color w:val="000000"/>
          <w:sz w:val="21"/>
          <w:szCs w:val="21"/>
        </w:rPr>
      </w:pPr>
      <w:r>
        <w:rPr>
          <w:rFonts w:ascii="宋体" w:hAnsi="宋体" w:cs="宋体"/>
          <w:color w:val="000000"/>
          <w:sz w:val="21"/>
          <w:szCs w:val="21"/>
        </w:rPr>
        <w:t>4.2.6</w:t>
      </w:r>
      <w:r>
        <w:rPr>
          <w:rFonts w:hint="eastAsia" w:ascii="宋体" w:hAnsi="宋体" w:cs="宋体"/>
          <w:color w:val="000000"/>
          <w:sz w:val="21"/>
          <w:szCs w:val="21"/>
        </w:rPr>
        <w:t>三通管配置的轴承座（或支撑座）必须设置在设备本体外部，便于维护保养，与挡板连接部分采用方轴，防止挡板窜动，三通管挡板采用电动推杆驱动，推杆推力不小于1750公斤，投标方可根据设备实际情况加大推杆推力，但必须保证挡板行动自如，不过载。挡板摇臂设计合理，切换时不能出现脱扣、变形、断裂现象。</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4.2.7</w:t>
      </w:r>
      <w:r>
        <w:rPr>
          <w:rFonts w:hint="eastAsia" w:ascii="宋体" w:hAnsi="宋体" w:cs="宋体"/>
          <w:color w:val="000000"/>
          <w:sz w:val="21"/>
          <w:szCs w:val="21"/>
        </w:rPr>
        <w:t>设备正常运行时，要求入料口处能保持微负压，不得向外漏风和漏粉，满足环保要求。</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4.2.8</w:t>
      </w:r>
      <w:r>
        <w:rPr>
          <w:rFonts w:hint="eastAsia" w:ascii="宋体" w:hAnsi="宋体" w:cs="宋体"/>
          <w:color w:val="000000"/>
          <w:sz w:val="21"/>
          <w:szCs w:val="21"/>
        </w:rPr>
        <w:t>设备正常运行时布料必须均匀，以确保双齿辊筛分破碎机齿辊不出现偏磨现象。</w:t>
      </w:r>
    </w:p>
    <w:p>
      <w:pPr>
        <w:adjustRightInd w:val="0"/>
        <w:snapToGrid w:val="0"/>
        <w:spacing w:line="360" w:lineRule="auto"/>
        <w:rPr>
          <w:rFonts w:hint="eastAsia" w:ascii="宋体" w:hAnsi="宋体" w:cs="宋体"/>
          <w:color w:val="000000"/>
          <w:sz w:val="21"/>
          <w:szCs w:val="21"/>
        </w:rPr>
      </w:pPr>
      <w:bookmarkStart w:id="12" w:name="_Hlk3365254"/>
      <w:r>
        <w:rPr>
          <w:rFonts w:ascii="宋体" w:hAnsi="宋体" w:cs="宋体"/>
          <w:color w:val="000000"/>
          <w:sz w:val="21"/>
          <w:szCs w:val="21"/>
        </w:rPr>
        <w:t>4.2.9</w:t>
      </w:r>
      <w:r>
        <w:rPr>
          <w:rFonts w:hint="eastAsia" w:ascii="宋体" w:hAnsi="宋体" w:cs="宋体"/>
          <w:color w:val="000000"/>
          <w:sz w:val="21"/>
          <w:szCs w:val="21"/>
        </w:rPr>
        <w:t>设备正常运行时周边一米内按GB12348-1990 工业企业厂界噪声标准II类混合区评价标准，测得噪音分贝应低于75 dB（A）。</w:t>
      </w:r>
      <w:bookmarkEnd w:id="12"/>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4.2.10</w:t>
      </w:r>
      <w:r>
        <w:rPr>
          <w:rFonts w:hint="eastAsia" w:ascii="宋体" w:hAnsi="宋体" w:cs="宋体"/>
          <w:color w:val="000000"/>
          <w:sz w:val="21"/>
          <w:szCs w:val="21"/>
        </w:rPr>
        <w:t>与煤流接触的部件材质须采用耐磨材料进行特殊设计或处理表面硬度不低于HRC58度，以满足磨损要求。</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4.2.11</w:t>
      </w:r>
      <w:r>
        <w:rPr>
          <w:rFonts w:hint="eastAsia" w:ascii="宋体" w:hAnsi="宋体" w:cs="宋体"/>
          <w:color w:val="000000"/>
          <w:sz w:val="21"/>
          <w:szCs w:val="21"/>
        </w:rPr>
        <w:t>设备电气动力部分设计满足节能的要求。</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4.2.12</w:t>
      </w:r>
      <w:r>
        <w:rPr>
          <w:rFonts w:hint="eastAsia" w:ascii="宋体" w:hAnsi="宋体" w:cs="宋体"/>
          <w:color w:val="000000"/>
          <w:sz w:val="21"/>
          <w:szCs w:val="21"/>
        </w:rPr>
        <w:t>为便于设备的吊装和节能，原则上整机或不可现场组装部件质量不得超过10吨，单套设备总功率不高于</w:t>
      </w:r>
      <w:r>
        <w:rPr>
          <w:rFonts w:ascii="宋体" w:hAnsi="宋体" w:cs="宋体"/>
          <w:color w:val="000000"/>
          <w:sz w:val="21"/>
          <w:szCs w:val="21"/>
        </w:rPr>
        <w:t>40</w:t>
      </w:r>
      <w:r>
        <w:rPr>
          <w:rFonts w:hint="eastAsia" w:ascii="宋体" w:hAnsi="宋体" w:cs="宋体"/>
          <w:color w:val="000000"/>
          <w:sz w:val="21"/>
          <w:szCs w:val="21"/>
        </w:rPr>
        <w:t>kw。</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4.2.13</w:t>
      </w:r>
      <w:r>
        <w:rPr>
          <w:rFonts w:hint="eastAsia" w:ascii="宋体" w:hAnsi="宋体" w:cs="宋体"/>
          <w:color w:val="000000"/>
          <w:sz w:val="21"/>
          <w:szCs w:val="21"/>
        </w:rPr>
        <w:t>电机电气设备均应设有电机的过流、过热等电气保护装置。</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4.2.14</w:t>
      </w:r>
      <w:r>
        <w:rPr>
          <w:rFonts w:hint="eastAsia" w:ascii="宋体" w:hAnsi="宋体" w:cs="宋体"/>
          <w:color w:val="000000"/>
          <w:sz w:val="21"/>
          <w:szCs w:val="21"/>
        </w:rPr>
        <w:t>煤的外水水份高于10%但不高于20%时，筛分效率不低于90%，外水水份低于10%时筛分效率不低于95%。</w:t>
      </w:r>
    </w:p>
    <w:p>
      <w:pPr>
        <w:adjustRightInd w:val="0"/>
        <w:snapToGrid w:val="0"/>
        <w:spacing w:line="360" w:lineRule="auto"/>
        <w:rPr>
          <w:rFonts w:hint="eastAsia" w:ascii="宋体" w:hAnsi="宋体" w:cs="楷体"/>
          <w:color w:val="000000"/>
          <w:sz w:val="21"/>
          <w:szCs w:val="21"/>
        </w:rPr>
      </w:pPr>
      <w:r>
        <w:rPr>
          <w:rFonts w:ascii="宋体" w:hAnsi="宋体" w:cs="宋体"/>
          <w:color w:val="000000"/>
          <w:sz w:val="21"/>
          <w:szCs w:val="21"/>
        </w:rPr>
        <w:t>4.2.15</w:t>
      </w:r>
      <w:r>
        <w:rPr>
          <w:rFonts w:hint="eastAsia" w:ascii="宋体" w:hAnsi="宋体" w:cs="宋体"/>
          <w:color w:val="000000"/>
          <w:sz w:val="21"/>
          <w:szCs w:val="21"/>
        </w:rPr>
        <w:t>筛下物粒度要求：筛下物粒径≤10mm。</w:t>
      </w:r>
    </w:p>
    <w:p>
      <w:pPr>
        <w:rPr>
          <w:rFonts w:hint="eastAsia"/>
          <w:b/>
          <w:color w:val="000000"/>
          <w:sz w:val="21"/>
          <w:szCs w:val="21"/>
        </w:rPr>
      </w:pPr>
      <w:r>
        <w:rPr>
          <w:rFonts w:hint="eastAsia"/>
          <w:b/>
          <w:color w:val="000000"/>
          <w:sz w:val="21"/>
          <w:szCs w:val="21"/>
        </w:rPr>
        <w:t>4.3其它要求</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.1电气控制</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1.1筛分布料器设备其电气部分应根据工艺要求进行配置，必须满足国家或相关行业标准。</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.1.2设备配套电机必须高效、节能、防爆。</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.1.3设备配套电动机在国标规定的电压与频率范围内的运行时，电动机输出功率、性能和温升应满足GB755中的相关规定。</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.1.4设备配套的电动机的工作方式为连续工作制，应能满足1小时内起动3次的要求，其中2次为连续起动。</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.1.5设备配套电动机应有吊环或其它起吊设施，使电动机能够简便安全地起吊维护。</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.1.6投标方确保配套电动机为正品质量。</w:t>
      </w:r>
    </w:p>
    <w:p>
      <w:pPr>
        <w:adjustRightInd w:val="0"/>
        <w:snapToGrid w:val="0"/>
        <w:spacing w:line="360" w:lineRule="auto"/>
        <w:rPr>
          <w:rFonts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.2控制系统</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w:t>
      </w:r>
      <w:r>
        <w:rPr>
          <w:rFonts w:hint="eastAsia" w:ascii="宋体" w:hAnsi="宋体" w:cs="宋体"/>
          <w:color w:val="000000"/>
          <w:sz w:val="21"/>
          <w:szCs w:val="21"/>
        </w:rPr>
        <w:t>1控制信号和反馈信号</w:t>
      </w:r>
    </w:p>
    <w:p>
      <w:pPr>
        <w:tabs>
          <w:tab w:val="left" w:pos="360"/>
        </w:tabs>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4.3.2.1.1</w:t>
      </w:r>
      <w:r>
        <w:rPr>
          <w:rFonts w:hint="eastAsia" w:ascii="宋体" w:hAnsi="宋体" w:cs="宋体"/>
          <w:color w:val="000000"/>
          <w:sz w:val="21"/>
          <w:szCs w:val="21"/>
        </w:rPr>
        <w:t>筛分电机远程控制信号：筛分机接受启动和停止信号，控制信号均为短脉冲信号（常开干接点）（对应启动端子：闭合启动，对应停止端子：闭合停止）</w:t>
      </w:r>
    </w:p>
    <w:p>
      <w:pPr>
        <w:tabs>
          <w:tab w:val="left" w:pos="360"/>
        </w:tabs>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.1.2</w:t>
      </w:r>
      <w:r>
        <w:rPr>
          <w:rFonts w:hint="eastAsia" w:ascii="宋体" w:hAnsi="宋体" w:cs="宋体"/>
          <w:color w:val="000000"/>
          <w:sz w:val="21"/>
          <w:szCs w:val="21"/>
        </w:rPr>
        <w:t>犁煤器远程控制信号：犁煤器接受启动和停止信号，控制信号均为长脉冲信号（常开干接点）（对应启动端子：闭合启动，对应停止端子：闭合停止）</w:t>
      </w:r>
    </w:p>
    <w:p>
      <w:pPr>
        <w:tabs>
          <w:tab w:val="left" w:pos="360"/>
        </w:tabs>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4.3.2.1.3</w:t>
      </w:r>
      <w:r>
        <w:rPr>
          <w:rFonts w:hint="eastAsia" w:ascii="宋体" w:hAnsi="宋体" w:cs="宋体"/>
          <w:color w:val="000000"/>
          <w:sz w:val="21"/>
          <w:szCs w:val="21"/>
        </w:rPr>
        <w:t>反馈总信号：电机运行信号、电机故障信号、远程状态信号（反馈信号为无源信号）</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4.3.2.1.4</w:t>
      </w:r>
      <w:r>
        <w:rPr>
          <w:rFonts w:hint="eastAsia" w:ascii="宋体" w:hAnsi="宋体" w:cs="宋体"/>
          <w:color w:val="000000"/>
          <w:sz w:val="21"/>
          <w:szCs w:val="21"/>
        </w:rPr>
        <w:t>犁煤器信号：卸料信号、非卸料信号、故障信号、远程状态信号（无源信号）</w:t>
      </w:r>
    </w:p>
    <w:p>
      <w:pPr>
        <w:tabs>
          <w:tab w:val="left" w:pos="360"/>
        </w:tabs>
        <w:adjustRightInd w:val="0"/>
        <w:snapToGrid w:val="0"/>
        <w:spacing w:line="360" w:lineRule="auto"/>
        <w:ind w:firstLine="315" w:firstLineChars="150"/>
        <w:rPr>
          <w:rFonts w:hint="eastAsia" w:ascii="宋体" w:hAnsi="宋体" w:cs="宋体"/>
          <w:color w:val="000000"/>
          <w:sz w:val="21"/>
          <w:szCs w:val="21"/>
        </w:rPr>
      </w:pPr>
      <w:r>
        <w:rPr>
          <w:rFonts w:hint="eastAsia" w:ascii="宋体" w:hAnsi="宋体" w:cs="宋体"/>
          <w:color w:val="000000"/>
          <w:sz w:val="21"/>
          <w:szCs w:val="21"/>
        </w:rPr>
        <w:t>模拟量信号:筛分系统运行总电流信号，4-20</w:t>
      </w:r>
      <w:r>
        <w:rPr>
          <w:rFonts w:hint="eastAsia" w:ascii="宋体" w:hAnsi="宋体" w:cs="宋体"/>
          <w:color w:val="000000"/>
          <w:sz w:val="21"/>
          <w:szCs w:val="21"/>
          <w:lang w:val="en-US" w:eastAsia="zh-CN"/>
        </w:rPr>
        <w:t>m</w:t>
      </w:r>
      <w:r>
        <w:rPr>
          <w:rFonts w:hint="eastAsia" w:ascii="宋体" w:hAnsi="宋体" w:cs="宋体"/>
          <w:color w:val="000000"/>
          <w:sz w:val="21"/>
          <w:szCs w:val="21"/>
        </w:rPr>
        <w:t>A输出</w:t>
      </w:r>
    </w:p>
    <w:p>
      <w:pPr>
        <w:pStyle w:val="2"/>
        <w:rPr>
          <w:rFonts w:hint="eastAsia" w:ascii="宋体" w:hAnsi="宋体" w:eastAsia="宋体" w:cs="宋体"/>
          <w:b w:val="0"/>
          <w:bCs w:val="0"/>
          <w:color w:val="000000"/>
          <w:kern w:val="2"/>
          <w:sz w:val="21"/>
          <w:szCs w:val="21"/>
          <w:lang w:val="en-US" w:eastAsia="zh-CN" w:bidi="ar-SA"/>
        </w:rPr>
      </w:pPr>
      <w:r>
        <w:rPr>
          <w:rFonts w:hint="eastAsia" w:ascii="宋体" w:hAnsi="宋体" w:eastAsia="宋体" w:cs="宋体"/>
          <w:b w:val="0"/>
          <w:bCs w:val="0"/>
          <w:color w:val="000000"/>
          <w:kern w:val="2"/>
          <w:sz w:val="21"/>
          <w:szCs w:val="21"/>
          <w:lang w:val="en-US" w:eastAsia="zh-CN" w:bidi="ar-SA"/>
        </w:rPr>
        <w:t>4.3.2.1.5模块安装与调试由出卖方负责。</w:t>
      </w:r>
    </w:p>
    <w:p>
      <w:pPr>
        <w:pStyle w:val="2"/>
        <w:rPr>
          <w:rFonts w:hint="eastAsia" w:ascii="宋体" w:hAnsi="宋体" w:cs="宋体"/>
          <w:color w:val="000000"/>
          <w:sz w:val="21"/>
          <w:szCs w:val="21"/>
        </w:rPr>
      </w:pPr>
      <w:r>
        <w:rPr>
          <w:rFonts w:ascii="宋体" w:hAnsi="宋体" w:cs="宋体"/>
          <w:color w:val="000000"/>
          <w:sz w:val="21"/>
          <w:szCs w:val="21"/>
        </w:rPr>
        <w:t>4.3.2.2</w:t>
      </w:r>
      <w:r>
        <w:rPr>
          <w:rFonts w:hint="eastAsia" w:ascii="宋体" w:hAnsi="宋体" w:cs="宋体"/>
          <w:color w:val="000000"/>
          <w:sz w:val="21"/>
          <w:szCs w:val="21"/>
        </w:rPr>
        <w:t>功能描述</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4.3.2.2.1</w:t>
      </w:r>
      <w:r>
        <w:rPr>
          <w:rFonts w:hint="eastAsia" w:ascii="宋体" w:hAnsi="宋体" w:cs="宋体"/>
          <w:color w:val="000000"/>
          <w:sz w:val="21"/>
          <w:szCs w:val="21"/>
        </w:rPr>
        <w:t>控制方式分为就地控制和远程控制</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4.3.2.2.2</w:t>
      </w:r>
      <w:r>
        <w:rPr>
          <w:rFonts w:hint="eastAsia" w:ascii="宋体" w:hAnsi="宋体" w:cs="宋体"/>
          <w:color w:val="000000"/>
          <w:sz w:val="21"/>
          <w:szCs w:val="21"/>
        </w:rPr>
        <w:t>就地控制：可单独启停就地柜内所有控制对象。</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4.3.2.2.3</w:t>
      </w:r>
      <w:r>
        <w:rPr>
          <w:rFonts w:hint="eastAsia" w:ascii="宋体" w:hAnsi="宋体" w:cs="宋体"/>
          <w:color w:val="000000"/>
          <w:sz w:val="21"/>
          <w:szCs w:val="21"/>
        </w:rPr>
        <w:t>远程控制：接受远方的启动、停止指令实现电机启停</w:t>
      </w:r>
    </w:p>
    <w:p>
      <w:pPr>
        <w:adjustRightInd w:val="0"/>
        <w:snapToGrid w:val="0"/>
        <w:spacing w:line="360" w:lineRule="auto"/>
        <w:ind w:firstLine="315" w:firstLineChars="150"/>
        <w:rPr>
          <w:rFonts w:hint="eastAsia" w:ascii="宋体" w:hAnsi="宋体" w:cs="宋体"/>
          <w:color w:val="000000"/>
          <w:sz w:val="21"/>
          <w:szCs w:val="21"/>
        </w:rPr>
      </w:pPr>
      <w:r>
        <w:rPr>
          <w:rFonts w:hint="eastAsia" w:ascii="宋体" w:hAnsi="宋体" w:cs="宋体"/>
          <w:color w:val="000000"/>
          <w:sz w:val="21"/>
          <w:szCs w:val="21"/>
        </w:rPr>
        <w:t>备注：远方就地控制状态时，筛分电机和犁煤器远控信号是分开的。</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4.3.2.3</w:t>
      </w:r>
      <w:r>
        <w:rPr>
          <w:rFonts w:hint="eastAsia" w:ascii="宋体" w:hAnsi="宋体" w:cs="宋体"/>
          <w:color w:val="000000"/>
          <w:sz w:val="21"/>
          <w:szCs w:val="21"/>
        </w:rPr>
        <w:t>远控启动时，电机顺序启动。</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4.3.2.4</w:t>
      </w:r>
      <w:r>
        <w:rPr>
          <w:rFonts w:hint="eastAsia" w:ascii="宋体" w:hAnsi="宋体" w:cs="宋体"/>
          <w:color w:val="000000"/>
          <w:sz w:val="21"/>
          <w:szCs w:val="21"/>
        </w:rPr>
        <w:t>筛分电机出现故障时，就地控制盘有对应的故障指示灯指示。同时输出一个故障信号（无源）到破碎机控制系统。远控状态时，故障发生时停止指令由中控执行。</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4.3.2.5</w:t>
      </w:r>
      <w:r>
        <w:rPr>
          <w:rFonts w:hint="eastAsia" w:ascii="宋体" w:hAnsi="宋体" w:cs="宋体"/>
          <w:color w:val="000000"/>
          <w:sz w:val="21"/>
          <w:szCs w:val="21"/>
        </w:rPr>
        <w:t>预留进料皮带联动信号（无源干接点），当筛分电机全部运行时，进料皮带联动信号闭合。任意一台电机出现故障时，进料皮带联动信号断开。皮带和筛分电机就地可以单独控制</w:t>
      </w:r>
    </w:p>
    <w:p>
      <w:pPr>
        <w:tabs>
          <w:tab w:val="left" w:pos="360"/>
        </w:tabs>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4.3.2.6</w:t>
      </w:r>
      <w:r>
        <w:rPr>
          <w:rFonts w:hint="eastAsia" w:ascii="宋体" w:hAnsi="宋体" w:cs="宋体"/>
          <w:color w:val="000000"/>
          <w:sz w:val="21"/>
          <w:szCs w:val="21"/>
        </w:rPr>
        <w:t>电动三通：分A路或B路送煤，就地手动控制。</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7</w:t>
      </w:r>
      <w:r>
        <w:rPr>
          <w:rFonts w:hint="eastAsia" w:ascii="宋体" w:hAnsi="宋体" w:cs="宋体"/>
          <w:color w:val="000000"/>
          <w:sz w:val="21"/>
          <w:szCs w:val="21"/>
        </w:rPr>
        <w:t>柜体采用防爆控制箱，壁挂式，材质：SUS304，板材厚度2mm,带内外门，防水。箱体门把及箱体合叶应采用防腐性强的材料制作，合页采用不锈螺丝固定，柜门观察窗采用螺丝固定方式并密封良好。</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8</w:t>
      </w:r>
      <w:r>
        <w:rPr>
          <w:rFonts w:hint="eastAsia" w:ascii="宋体" w:hAnsi="宋体" w:cs="宋体"/>
          <w:color w:val="000000"/>
          <w:sz w:val="21"/>
          <w:szCs w:val="21"/>
        </w:rPr>
        <w:t>柜内电气元件（开关、接触器）采用施耐德，电机保护器采用数字式保护器，整定值可调。</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9</w:t>
      </w:r>
      <w:r>
        <w:rPr>
          <w:rFonts w:hint="eastAsia" w:ascii="宋体" w:hAnsi="宋体" w:cs="宋体"/>
          <w:color w:val="000000"/>
          <w:sz w:val="21"/>
          <w:szCs w:val="21"/>
        </w:rPr>
        <w:t>控制箱的门内应附有不易损坏的塑封的电气二次回路图，柜内各接头端子号应清晰并与图纸上一一对应，并采用机打标号头。</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10</w:t>
      </w:r>
      <w:r>
        <w:rPr>
          <w:rFonts w:hint="eastAsia" w:ascii="宋体" w:hAnsi="宋体" w:cs="宋体"/>
          <w:color w:val="000000"/>
          <w:sz w:val="21"/>
          <w:szCs w:val="21"/>
        </w:rPr>
        <w:t>控制箱内除正常引出接线端子外，还应该适当预留20%备用端子。</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11</w:t>
      </w:r>
      <w:r>
        <w:rPr>
          <w:rFonts w:hint="eastAsia" w:ascii="宋体" w:hAnsi="宋体" w:cs="宋体"/>
          <w:color w:val="000000"/>
          <w:sz w:val="21"/>
          <w:szCs w:val="21"/>
        </w:rPr>
        <w:t>控制箱内接线应牢靠。</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12</w:t>
      </w:r>
      <w:r>
        <w:rPr>
          <w:rFonts w:hint="eastAsia" w:ascii="宋体" w:hAnsi="宋体" w:cs="宋体"/>
          <w:color w:val="000000"/>
          <w:sz w:val="21"/>
          <w:szCs w:val="21"/>
        </w:rPr>
        <w:t>控制箱内各配件应完好符合要求，接线规范、整齐、合理。</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13</w:t>
      </w:r>
      <w:r>
        <w:rPr>
          <w:rFonts w:hint="eastAsia" w:ascii="宋体" w:hAnsi="宋体" w:cs="宋体"/>
          <w:color w:val="000000"/>
          <w:sz w:val="21"/>
          <w:szCs w:val="21"/>
        </w:rPr>
        <w:t>控制箱内信号回路二次线要求使用带屏蔽层电缆，并做好屏蔽，防止强电干扰。</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14</w:t>
      </w:r>
      <w:r>
        <w:rPr>
          <w:rFonts w:hint="eastAsia" w:ascii="宋体" w:hAnsi="宋体" w:cs="宋体"/>
          <w:color w:val="000000"/>
          <w:sz w:val="21"/>
          <w:szCs w:val="21"/>
        </w:rPr>
        <w:t>电缆与控制箱处接口处应严密，利用防火泥进行封堵，杜绝灰尘进入到控制箱内。</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.2.1</w:t>
      </w:r>
      <w:r>
        <w:rPr>
          <w:rFonts w:ascii="宋体" w:hAnsi="宋体" w:cs="宋体"/>
          <w:color w:val="000000"/>
          <w:sz w:val="21"/>
          <w:szCs w:val="21"/>
        </w:rPr>
        <w:t>5</w:t>
      </w:r>
      <w:r>
        <w:rPr>
          <w:rFonts w:hint="eastAsia" w:ascii="宋体" w:hAnsi="宋体" w:cs="宋体"/>
          <w:color w:val="000000"/>
          <w:sz w:val="21"/>
          <w:szCs w:val="21"/>
        </w:rPr>
        <w:t xml:space="preserve">电缆屏蔽接地，控制箱内加装接地铜排，规格30mm×4mm；每隔50mm开Φ8孔或Φ6孔，配M6 25或M4×25热镀锌（8.8级）或不锈钢螺栓（A2-70或A2-80）用于电缆屏蔽接地；端部开Φ12或Φ14孔，配M10或M12×30热镀锌（8.8级）或不锈钢螺栓（A2-70或A2-80）用于电缆屏蔽汇总接地。 </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.2.1</w:t>
      </w:r>
      <w:r>
        <w:rPr>
          <w:rFonts w:ascii="宋体" w:hAnsi="宋体" w:cs="宋体"/>
          <w:color w:val="000000"/>
          <w:sz w:val="21"/>
          <w:szCs w:val="21"/>
        </w:rPr>
        <w:t>6</w:t>
      </w:r>
      <w:r>
        <w:rPr>
          <w:rFonts w:hint="eastAsia" w:ascii="宋体" w:hAnsi="宋体" w:cs="宋体"/>
          <w:color w:val="000000"/>
          <w:sz w:val="21"/>
          <w:szCs w:val="21"/>
        </w:rPr>
        <w:t>箱门接地，使用多芯软铜导线与箱体相连，颜色黄绿相间，绝缘600V，截面不小于4mm</w:t>
      </w:r>
      <w:r>
        <w:rPr>
          <w:rFonts w:hint="eastAsia" w:ascii="宋体" w:hAnsi="宋体" w:cs="宋体"/>
          <w:color w:val="000000"/>
          <w:sz w:val="21"/>
          <w:szCs w:val="21"/>
          <w:vertAlign w:val="superscript"/>
        </w:rPr>
        <w:t>2</w:t>
      </w:r>
      <w:r>
        <w:rPr>
          <w:rFonts w:hint="eastAsia" w:ascii="宋体" w:hAnsi="宋体" w:cs="宋体"/>
          <w:color w:val="000000"/>
          <w:sz w:val="21"/>
          <w:szCs w:val="21"/>
        </w:rPr>
        <w:t>，使用M4以上的螺栓紧固，线头要求压接，接地导线预留长度要方便门的开启。</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.2.1</w:t>
      </w:r>
      <w:r>
        <w:rPr>
          <w:rFonts w:ascii="宋体" w:hAnsi="宋体" w:cs="宋体"/>
          <w:color w:val="000000"/>
          <w:sz w:val="21"/>
          <w:szCs w:val="21"/>
        </w:rPr>
        <w:t>7</w:t>
      </w:r>
      <w:r>
        <w:rPr>
          <w:rFonts w:hint="eastAsia" w:ascii="宋体" w:hAnsi="宋体" w:cs="宋体"/>
          <w:color w:val="000000"/>
          <w:sz w:val="21"/>
          <w:szCs w:val="21"/>
        </w:rPr>
        <w:t>箱体接地 箱内应提供专用的接地端子或接地处，接地端子应是螺栓式，适合于扁钢连接，接地处应有明显的接地符号“┻”或“接地”字样。导电接触面必须保持清洁，可与镀锌槽钢直接导通，使用M12螺栓紧固，直接接入主地网，接地引下线导电体截面不得小于50mm2，必要时进行导通试验。</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.2.1</w:t>
      </w:r>
      <w:r>
        <w:rPr>
          <w:rFonts w:ascii="宋体" w:hAnsi="宋体" w:cs="宋体"/>
          <w:color w:val="000000"/>
          <w:sz w:val="21"/>
          <w:szCs w:val="21"/>
        </w:rPr>
        <w:t>8</w:t>
      </w:r>
      <w:r>
        <w:rPr>
          <w:rFonts w:hint="eastAsia" w:ascii="宋体" w:hAnsi="宋体" w:cs="宋体"/>
          <w:color w:val="000000"/>
          <w:sz w:val="21"/>
          <w:szCs w:val="21"/>
        </w:rPr>
        <w:t>端子排绝缘端子,在不同功能的端子排之间，尤其是在强、弱电源之间，应加装分组隔板；对重要功能的端子排之间应加装绝缘隔栅，并全部采用新型加强绝缘的端子排。</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.2.1</w:t>
      </w:r>
      <w:r>
        <w:rPr>
          <w:rFonts w:ascii="宋体" w:hAnsi="宋体" w:cs="宋体"/>
          <w:color w:val="000000"/>
          <w:sz w:val="21"/>
          <w:szCs w:val="21"/>
        </w:rPr>
        <w:t>9</w:t>
      </w:r>
      <w:r>
        <w:rPr>
          <w:rFonts w:hint="eastAsia" w:ascii="宋体" w:hAnsi="宋体" w:cs="宋体"/>
          <w:color w:val="000000"/>
          <w:sz w:val="21"/>
          <w:szCs w:val="21"/>
        </w:rPr>
        <w:t>防尘措施:不能有明显的对流孔洞，防止对流时带入大量灰尘。</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20</w:t>
      </w:r>
      <w:r>
        <w:rPr>
          <w:rFonts w:hint="eastAsia" w:ascii="宋体" w:hAnsi="宋体" w:cs="宋体"/>
          <w:color w:val="000000"/>
          <w:sz w:val="21"/>
          <w:szCs w:val="21"/>
        </w:rPr>
        <w:t>控制柜外电缆穿线管使用镀锌铁管固定，包括弯头部分，两头用管卡固定，密封良好，电缆不得外漏，不得进水。电机侧电缆使用20cm长黑色博易耐高温，耐压穿线管连接至电机，两头用管卡固定，密封良好。除此20cm长穿线软管外，其余电缆桥架外电缆全部使用镀锌铁管穿线，固定，并走线横平竖直。</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w:t>
      </w:r>
      <w:r>
        <w:rPr>
          <w:rFonts w:ascii="宋体" w:hAnsi="宋体" w:cs="宋体"/>
          <w:color w:val="000000"/>
          <w:sz w:val="21"/>
          <w:szCs w:val="21"/>
        </w:rPr>
        <w:t>2</w:t>
      </w:r>
      <w:r>
        <w:rPr>
          <w:rFonts w:hint="eastAsia" w:ascii="宋体" w:hAnsi="宋体" w:cs="宋体"/>
          <w:color w:val="000000"/>
          <w:sz w:val="21"/>
          <w:szCs w:val="21"/>
        </w:rPr>
        <w:t>.</w:t>
      </w:r>
      <w:r>
        <w:rPr>
          <w:rFonts w:ascii="宋体" w:hAnsi="宋体" w:cs="宋体"/>
          <w:color w:val="000000"/>
          <w:sz w:val="21"/>
          <w:szCs w:val="21"/>
        </w:rPr>
        <w:t>21</w:t>
      </w:r>
      <w:r>
        <w:rPr>
          <w:rFonts w:hint="eastAsia" w:ascii="宋体" w:hAnsi="宋体" w:cs="宋体"/>
          <w:color w:val="000000"/>
          <w:sz w:val="21"/>
          <w:szCs w:val="21"/>
        </w:rPr>
        <w:t>控制柜内零排及地排分离，并带有明显标识，零线及地线分开接线。</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22</w:t>
      </w:r>
      <w:r>
        <w:rPr>
          <w:rFonts w:hint="eastAsia" w:ascii="宋体" w:hAnsi="宋体" w:cs="宋体"/>
          <w:color w:val="000000"/>
          <w:sz w:val="21"/>
          <w:szCs w:val="21"/>
        </w:rPr>
        <w:t>控制柜门上应按照招标方现场要求制作编号标识。</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23</w:t>
      </w:r>
      <w:r>
        <w:rPr>
          <w:rFonts w:hint="eastAsia" w:ascii="宋体" w:hAnsi="宋体" w:cs="宋体"/>
          <w:color w:val="000000"/>
          <w:sz w:val="21"/>
          <w:szCs w:val="21"/>
        </w:rPr>
        <w:t>该项目的现场定制及安装均应按招标方现场要求进行。</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24</w:t>
      </w:r>
      <w:r>
        <w:rPr>
          <w:rFonts w:hint="eastAsia" w:ascii="宋体" w:hAnsi="宋体" w:cs="宋体"/>
          <w:color w:val="000000"/>
          <w:sz w:val="21"/>
          <w:szCs w:val="21"/>
        </w:rPr>
        <w:t>要求整套电气设备密封良好，满足水冲洗条件 。</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 xml:space="preserve">25  </w:t>
      </w:r>
      <w:r>
        <w:rPr>
          <w:rFonts w:hint="eastAsia" w:ascii="宋体" w:hAnsi="宋体"/>
          <w:color w:val="000000"/>
          <w:sz w:val="21"/>
          <w:szCs w:val="21"/>
        </w:rPr>
        <w:t>380V低压电机控制系统必须具备过载、过流、零序等相关保护，保护器选数字式电动机棕合保护器。</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w:t>
      </w:r>
      <w:r>
        <w:rPr>
          <w:rFonts w:ascii="宋体" w:hAnsi="宋体" w:cs="宋体"/>
          <w:color w:val="000000"/>
          <w:sz w:val="21"/>
          <w:szCs w:val="21"/>
        </w:rPr>
        <w:t>26</w:t>
      </w:r>
      <w:r>
        <w:rPr>
          <w:rFonts w:hint="eastAsia" w:ascii="宋体" w:hAnsi="宋体" w:cs="宋体"/>
          <w:color w:val="000000"/>
          <w:sz w:val="21"/>
          <w:szCs w:val="21"/>
        </w:rPr>
        <w:t>电气控制箱上应有电源指示灯，应有各被控电机的开、停显示和电源显示，设有必要的堵转、过载、短路、断相等保护，确保设备安全运行。</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.2.2</w:t>
      </w:r>
      <w:r>
        <w:rPr>
          <w:rFonts w:ascii="宋体" w:hAnsi="宋体" w:cs="宋体"/>
          <w:color w:val="000000"/>
          <w:sz w:val="21"/>
          <w:szCs w:val="21"/>
        </w:rPr>
        <w:t>7</w:t>
      </w:r>
      <w:r>
        <w:rPr>
          <w:rFonts w:hint="eastAsia" w:ascii="宋体" w:hAnsi="宋体" w:cs="宋体"/>
          <w:color w:val="000000"/>
          <w:sz w:val="21"/>
          <w:szCs w:val="21"/>
        </w:rPr>
        <w:t>投标方应为每个电动机提供接触器和热继电器的组合，与主回路空气断路器共同作为电动机控制、隔离和回路短路、过载保护。</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.2.2</w:t>
      </w:r>
      <w:r>
        <w:rPr>
          <w:rFonts w:ascii="宋体" w:hAnsi="宋体" w:cs="宋体"/>
          <w:color w:val="000000"/>
          <w:sz w:val="21"/>
          <w:szCs w:val="21"/>
        </w:rPr>
        <w:t>8</w:t>
      </w:r>
      <w:r>
        <w:rPr>
          <w:rFonts w:hint="eastAsia" w:ascii="宋体" w:hAnsi="宋体" w:cs="宋体"/>
          <w:color w:val="000000"/>
          <w:sz w:val="21"/>
          <w:szCs w:val="21"/>
        </w:rPr>
        <w:t>控制箱在制作前应与招标方程控系统配合并提供电气控制原理图，并征得招标方同意。（电气原理图电子版为AUTO CAD2004以上版本）。</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.3电缆技术要求：</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.3.1投标方所供电缆的生产企业应取得国家质检总局核发的生产许可证，供货时提供上述证书复印件。</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.3.2 电缆到达现场后，应按下列要求及时进行检查：</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.3.2.1产品出厂合格证、出厂检测检验资料等技术文件应齐全。</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.3.2.2 电缆型号、规格、长度、导线截面应符合订货要求，附件应齐全，电缆外观不应受损。</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.3.2.3电缆封端应严密。当外观检查有怀疑时，应进行受潮判断或试验。</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.3.2.4 电缆附件的绝缘材料的防潮包装应密封良好，并应根据材料性能和保管要求贮存和保管。</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.3.2.5从每个电缆盘上截取3米电缆，送具有资质的检验中心检验，并出具检验报告，检验及运输费用由投标方承担</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.3.2.6在电缆施工过程中损坏的电缆沟及电缆桥架防火封堵要及时恢复。</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.4安装调试要求</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.4.1 本项目采购的筛分布料器设备包含包装、安装和调试。</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.4.</w:t>
      </w:r>
      <w:r>
        <w:rPr>
          <w:rFonts w:ascii="宋体" w:hAnsi="宋体" w:cs="宋体"/>
          <w:color w:val="000000"/>
          <w:sz w:val="21"/>
          <w:szCs w:val="21"/>
        </w:rPr>
        <w:t>2</w:t>
      </w:r>
      <w:r>
        <w:rPr>
          <w:rFonts w:hint="eastAsia" w:ascii="宋体" w:hAnsi="宋体" w:cs="宋体"/>
          <w:color w:val="000000"/>
          <w:sz w:val="21"/>
          <w:szCs w:val="21"/>
        </w:rPr>
        <w:t>设备安装调试期间，投标方所有现场服务人员应服从项目指挥部或驻工地总代表的统一调度。</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.4.</w:t>
      </w:r>
      <w:r>
        <w:rPr>
          <w:rFonts w:ascii="宋体" w:hAnsi="宋体" w:cs="宋体"/>
          <w:color w:val="000000"/>
          <w:sz w:val="21"/>
          <w:szCs w:val="21"/>
        </w:rPr>
        <w:t>3</w:t>
      </w:r>
      <w:r>
        <w:rPr>
          <w:rFonts w:hint="eastAsia" w:ascii="宋体" w:hAnsi="宋体" w:cs="宋体"/>
          <w:color w:val="000000"/>
          <w:sz w:val="21"/>
          <w:szCs w:val="21"/>
        </w:rPr>
        <w:t>设备安装调试过程中，由于制造质量造成的不符合规定的偏差，必须有文字记录，由投标方处理，费用也由投标方承担。</w:t>
      </w:r>
    </w:p>
    <w:p>
      <w:pPr>
        <w:tabs>
          <w:tab w:val="left" w:pos="945"/>
        </w:tabs>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4.3</w:t>
      </w:r>
      <w:r>
        <w:rPr>
          <w:rFonts w:hint="eastAsia" w:ascii="宋体" w:hAnsi="宋体" w:cs="宋体"/>
          <w:color w:val="000000"/>
          <w:sz w:val="21"/>
          <w:szCs w:val="21"/>
        </w:rPr>
        <w:t>.4.</w:t>
      </w:r>
      <w:r>
        <w:rPr>
          <w:rFonts w:ascii="宋体" w:hAnsi="宋体" w:cs="宋体"/>
          <w:color w:val="000000"/>
          <w:sz w:val="21"/>
          <w:szCs w:val="21"/>
        </w:rPr>
        <w:t>4</w:t>
      </w:r>
      <w:r>
        <w:rPr>
          <w:rFonts w:hint="eastAsia" w:ascii="宋体" w:hAnsi="宋体" w:cs="宋体"/>
          <w:color w:val="000000"/>
          <w:sz w:val="21"/>
          <w:szCs w:val="21"/>
        </w:rPr>
        <w:t>投标方负责现场所有施工调试人员的安全保障并接受招标方相关制度的约束。</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13" w:name="_Toc3865539"/>
      <w:r>
        <w:rPr>
          <w:rFonts w:hint="eastAsia"/>
          <w:color w:val="000000"/>
          <w:sz w:val="21"/>
          <w:szCs w:val="21"/>
        </w:rPr>
        <w:t>5．供货范围</w:t>
      </w:r>
      <w:bookmarkEnd w:id="13"/>
    </w:p>
    <w:p>
      <w:pPr>
        <w:tabs>
          <w:tab w:val="left" w:pos="945"/>
        </w:tabs>
        <w:adjustRightInd w:val="0"/>
        <w:snapToGrid w:val="0"/>
        <w:spacing w:line="360" w:lineRule="auto"/>
        <w:jc w:val="left"/>
        <w:rPr>
          <w:rFonts w:hint="eastAsia" w:ascii="宋体" w:hAnsi="宋体" w:cs="宋体"/>
          <w:color w:val="000000"/>
          <w:sz w:val="21"/>
          <w:szCs w:val="21"/>
        </w:rPr>
      </w:pPr>
      <w:r>
        <w:rPr>
          <w:rFonts w:hint="eastAsia" w:ascii="宋体" w:hAnsi="宋体" w:cs="宋体"/>
          <w:color w:val="000000"/>
          <w:sz w:val="21"/>
          <w:szCs w:val="21"/>
        </w:rPr>
        <w:t>5.1投标方提供完整的、全新的、满足各项技术要求及国家相关标准的筛分布料器2套</w:t>
      </w:r>
      <w:r>
        <w:rPr>
          <w:rFonts w:hint="eastAsia" w:ascii="宋体" w:hAnsi="宋体" w:cs="宋体"/>
          <w:bCs/>
          <w:color w:val="000000"/>
          <w:sz w:val="21"/>
          <w:szCs w:val="21"/>
        </w:rPr>
        <w:t>，严禁选用技术上存在缺陷、正在升级或准备淘汰的产品，其</w:t>
      </w:r>
      <w:r>
        <w:rPr>
          <w:rFonts w:hint="eastAsia" w:ascii="宋体" w:hAnsi="宋体" w:cs="宋体"/>
          <w:color w:val="000000"/>
          <w:sz w:val="21"/>
          <w:szCs w:val="21"/>
        </w:rPr>
        <w:t>中包括设备所必须的全部零件和材料（如连接件、油漆、电气安装材料、首次加注的干燥剂、脂、油等）。</w:t>
      </w:r>
    </w:p>
    <w:p>
      <w:pPr>
        <w:tabs>
          <w:tab w:val="left" w:pos="600"/>
          <w:tab w:val="left" w:pos="7560"/>
        </w:tabs>
        <w:spacing w:line="360" w:lineRule="auto"/>
        <w:rPr>
          <w:rFonts w:hint="eastAsia" w:ascii="宋体" w:hAnsi="宋体" w:cs="宋体"/>
          <w:color w:val="000000"/>
          <w:sz w:val="21"/>
          <w:szCs w:val="21"/>
        </w:rPr>
      </w:pPr>
      <w:r>
        <w:rPr>
          <w:rFonts w:hint="eastAsia" w:ascii="宋体" w:hAnsi="宋体" w:cs="宋体"/>
          <w:color w:val="000000"/>
          <w:sz w:val="21"/>
          <w:szCs w:val="21"/>
        </w:rPr>
        <w:t>5.2投标方确保供货的完整性和满足用户使用的安全可靠,且符合国家相关技术标准，投标方有责任对协议书技术条款提出补充。</w:t>
      </w:r>
    </w:p>
    <w:p>
      <w:pPr>
        <w:tabs>
          <w:tab w:val="left" w:pos="945"/>
        </w:tabs>
        <w:adjustRightInd w:val="0"/>
        <w:snapToGrid w:val="0"/>
        <w:spacing w:line="360" w:lineRule="auto"/>
        <w:jc w:val="left"/>
        <w:rPr>
          <w:rFonts w:hint="eastAsia" w:ascii="宋体" w:hAnsi="宋体" w:cs="宋体"/>
          <w:color w:val="000000"/>
          <w:sz w:val="21"/>
          <w:szCs w:val="21"/>
        </w:rPr>
      </w:pPr>
      <w:r>
        <w:rPr>
          <w:rFonts w:hint="eastAsia" w:ascii="宋体" w:hAnsi="宋体" w:cs="宋体"/>
          <w:color w:val="000000"/>
          <w:sz w:val="21"/>
          <w:szCs w:val="21"/>
        </w:rPr>
        <w:t>5.3 投标方提供的筛分布料器</w:t>
      </w:r>
      <w:r>
        <w:rPr>
          <w:rFonts w:hint="eastAsia" w:ascii="宋体" w:hAnsi="宋体" w:cs="宋体"/>
          <w:bCs/>
          <w:color w:val="000000"/>
          <w:sz w:val="21"/>
          <w:szCs w:val="21"/>
        </w:rPr>
        <w:t>装置</w:t>
      </w:r>
      <w:r>
        <w:rPr>
          <w:rFonts w:hint="eastAsia" w:ascii="宋体" w:hAnsi="宋体" w:cs="宋体"/>
          <w:color w:val="000000"/>
          <w:sz w:val="21"/>
          <w:szCs w:val="21"/>
        </w:rPr>
        <w:t>应为新型先进设备。</w:t>
      </w:r>
    </w:p>
    <w:p>
      <w:pPr>
        <w:tabs>
          <w:tab w:val="left" w:pos="600"/>
          <w:tab w:val="left" w:pos="7560"/>
        </w:tabs>
        <w:spacing w:line="360" w:lineRule="auto"/>
        <w:rPr>
          <w:rFonts w:hint="eastAsia" w:ascii="宋体" w:hAnsi="宋体" w:cs="宋体"/>
          <w:color w:val="000000"/>
          <w:sz w:val="21"/>
          <w:szCs w:val="21"/>
        </w:rPr>
      </w:pPr>
      <w:r>
        <w:rPr>
          <w:rFonts w:hint="eastAsia" w:ascii="宋体" w:hAnsi="宋体" w:cs="宋体"/>
          <w:color w:val="000000"/>
          <w:sz w:val="21"/>
          <w:szCs w:val="21"/>
        </w:rPr>
        <w:t>5.4随机备品备件和专用工具包含在投标总价中。</w:t>
      </w:r>
    </w:p>
    <w:p>
      <w:pPr>
        <w:tabs>
          <w:tab w:val="left" w:pos="600"/>
          <w:tab w:val="left" w:pos="7560"/>
        </w:tabs>
        <w:spacing w:line="360" w:lineRule="auto"/>
        <w:rPr>
          <w:rFonts w:hint="eastAsia" w:ascii="宋体" w:hAnsi="宋体" w:cs="宋体"/>
          <w:color w:val="000000"/>
          <w:sz w:val="21"/>
          <w:szCs w:val="21"/>
        </w:rPr>
      </w:pPr>
      <w:r>
        <w:rPr>
          <w:rFonts w:hint="eastAsia" w:ascii="宋体" w:hAnsi="宋体" w:cs="宋体"/>
          <w:color w:val="000000"/>
          <w:sz w:val="21"/>
          <w:szCs w:val="21"/>
        </w:rPr>
        <w:t>5.5技术培训、技术服务包含在投标总价中。</w:t>
      </w:r>
    </w:p>
    <w:p>
      <w:pPr>
        <w:tabs>
          <w:tab w:val="left" w:pos="600"/>
          <w:tab w:val="left" w:pos="7560"/>
        </w:tabs>
        <w:spacing w:line="360" w:lineRule="auto"/>
        <w:rPr>
          <w:rFonts w:hint="eastAsia" w:ascii="宋体" w:hAnsi="宋体" w:cs="宋体"/>
          <w:color w:val="000000"/>
          <w:sz w:val="21"/>
          <w:szCs w:val="21"/>
        </w:rPr>
      </w:pPr>
      <w:r>
        <w:rPr>
          <w:rFonts w:hint="eastAsia" w:ascii="宋体" w:hAnsi="宋体" w:cs="宋体"/>
          <w:color w:val="000000"/>
          <w:sz w:val="21"/>
          <w:szCs w:val="21"/>
        </w:rPr>
        <w:t>5.6技术资料包含在投标总价中。</w:t>
      </w:r>
    </w:p>
    <w:p>
      <w:pPr>
        <w:tabs>
          <w:tab w:val="left" w:pos="600"/>
          <w:tab w:val="left" w:pos="7560"/>
        </w:tabs>
        <w:spacing w:line="360" w:lineRule="auto"/>
        <w:rPr>
          <w:rFonts w:hint="eastAsia" w:ascii="宋体" w:hAnsi="宋体" w:cs="宋体"/>
          <w:color w:val="000000"/>
          <w:sz w:val="21"/>
          <w:szCs w:val="21"/>
        </w:rPr>
      </w:pPr>
      <w:r>
        <w:rPr>
          <w:rFonts w:hint="eastAsia" w:ascii="宋体" w:hAnsi="宋体" w:cs="宋体"/>
          <w:color w:val="000000"/>
          <w:sz w:val="21"/>
          <w:szCs w:val="21"/>
        </w:rPr>
        <w:t>5.7筛分布料器</w:t>
      </w:r>
      <w:r>
        <w:rPr>
          <w:rFonts w:hint="eastAsia" w:ascii="宋体" w:hAnsi="宋体" w:cs="宋体"/>
          <w:bCs/>
          <w:color w:val="000000"/>
          <w:sz w:val="21"/>
          <w:szCs w:val="21"/>
        </w:rPr>
        <w:t>装置</w:t>
      </w:r>
      <w:r>
        <w:rPr>
          <w:rFonts w:hint="eastAsia" w:ascii="宋体" w:hAnsi="宋体" w:cs="宋体"/>
          <w:color w:val="000000"/>
          <w:sz w:val="21"/>
          <w:szCs w:val="21"/>
        </w:rPr>
        <w:t>成套供货范围</w:t>
      </w:r>
    </w:p>
    <w:p>
      <w:pPr>
        <w:tabs>
          <w:tab w:val="left" w:pos="600"/>
          <w:tab w:val="left" w:pos="7560"/>
        </w:tabs>
        <w:spacing w:line="360" w:lineRule="auto"/>
        <w:rPr>
          <w:rFonts w:hint="eastAsia" w:ascii="宋体" w:hAnsi="宋体" w:cs="宋体"/>
          <w:color w:val="000000"/>
          <w:sz w:val="21"/>
          <w:szCs w:val="21"/>
        </w:rPr>
      </w:pPr>
      <w:r>
        <w:rPr>
          <w:rFonts w:hint="eastAsia" w:ascii="宋体" w:hAnsi="宋体" w:cs="宋体"/>
          <w:color w:val="000000"/>
          <w:sz w:val="21"/>
          <w:szCs w:val="21"/>
        </w:rPr>
        <w:t xml:space="preserve"> </w:t>
      </w:r>
    </w:p>
    <w:tbl>
      <w:tblPr>
        <w:tblStyle w:val="9"/>
        <w:tblW w:w="936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20"/>
        <w:gridCol w:w="2348"/>
        <w:gridCol w:w="815"/>
        <w:gridCol w:w="795"/>
        <w:gridCol w:w="745"/>
        <w:gridCol w:w="485"/>
        <w:gridCol w:w="675"/>
        <w:gridCol w:w="1642"/>
        <w:gridCol w:w="113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序号</w:t>
            </w:r>
          </w:p>
        </w:tc>
        <w:tc>
          <w:tcPr>
            <w:tcW w:w="2348"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名称</w:t>
            </w:r>
          </w:p>
        </w:tc>
        <w:tc>
          <w:tcPr>
            <w:tcW w:w="81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型号</w:t>
            </w: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单位</w:t>
            </w:r>
          </w:p>
        </w:tc>
        <w:tc>
          <w:tcPr>
            <w:tcW w:w="74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数量</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产地</w:t>
            </w: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生产厂家</w:t>
            </w:r>
          </w:p>
        </w:tc>
        <w:tc>
          <w:tcPr>
            <w:tcW w:w="1642"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交货时间</w:t>
            </w:r>
          </w:p>
        </w:tc>
        <w:tc>
          <w:tcPr>
            <w:tcW w:w="113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1</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筛分布料器</w:t>
            </w:r>
            <w:r>
              <w:rPr>
                <w:rFonts w:hint="eastAsia" w:ascii="宋体" w:hAnsi="宋体" w:cs="宋体"/>
                <w:bCs/>
                <w:color w:val="000000"/>
                <w:sz w:val="21"/>
                <w:szCs w:val="21"/>
              </w:rPr>
              <w:t>装置</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台</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restart"/>
            <w:vAlign w:val="center"/>
          </w:tcPr>
          <w:p>
            <w:pPr>
              <w:tabs>
                <w:tab w:val="left" w:pos="567"/>
              </w:tabs>
              <w:spacing w:line="240" w:lineRule="auto"/>
              <w:jc w:val="center"/>
              <w:rPr>
                <w:rFonts w:hint="eastAsia" w:ascii="宋体" w:hAnsi="宋体" w:cs="宋体"/>
                <w:color w:val="000000"/>
                <w:kern w:val="0"/>
                <w:sz w:val="21"/>
                <w:szCs w:val="21"/>
              </w:rPr>
            </w:pPr>
          </w:p>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kern w:val="0"/>
                <w:sz w:val="21"/>
                <w:szCs w:val="21"/>
              </w:rPr>
              <w:t>签订合同之日起</w:t>
            </w:r>
            <w:r>
              <w:rPr>
                <w:rFonts w:ascii="宋体" w:hAnsi="宋体" w:cs="宋体"/>
                <w:color w:val="000000"/>
                <w:kern w:val="0"/>
                <w:sz w:val="21"/>
                <w:szCs w:val="21"/>
              </w:rPr>
              <w:t>1</w:t>
            </w:r>
            <w:r>
              <w:rPr>
                <w:rFonts w:hint="eastAsia" w:ascii="宋体" w:hAnsi="宋体" w:cs="宋体"/>
                <w:color w:val="000000"/>
                <w:kern w:val="0"/>
                <w:sz w:val="21"/>
                <w:szCs w:val="21"/>
              </w:rPr>
              <w:t>个月内</w:t>
            </w:r>
          </w:p>
        </w:tc>
        <w:tc>
          <w:tcPr>
            <w:tcW w:w="113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安装一台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就地控制柜及控制系统</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套</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控制柜要求防爆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3</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三通落煤管</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套</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3</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设备与就地控制柜连接电缆</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套</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4</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筛分布料器配套的检修平台</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个</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5</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电液犁煤器</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套</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1</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ascii="宋体" w:hAnsi="宋体" w:cs="宋体"/>
                <w:color w:val="000000"/>
                <w:sz w:val="21"/>
                <w:szCs w:val="21"/>
              </w:rPr>
              <w:t>6</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随机备品备件</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p>
        </w:tc>
        <w:tc>
          <w:tcPr>
            <w:tcW w:w="745" w:type="dxa"/>
            <w:vAlign w:val="center"/>
          </w:tcPr>
          <w:p>
            <w:pPr>
              <w:tabs>
                <w:tab w:val="left" w:pos="567"/>
              </w:tabs>
              <w:spacing w:line="240" w:lineRule="auto"/>
              <w:jc w:val="center"/>
              <w:rPr>
                <w:rFonts w:hint="eastAsia" w:ascii="宋体" w:hAnsi="宋体" w:cs="宋体"/>
                <w:color w:val="000000"/>
                <w:sz w:val="21"/>
                <w:szCs w:val="21"/>
              </w:rPr>
            </w:pP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链轮两个，链条一副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7</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olor w:val="000000"/>
                <w:sz w:val="21"/>
                <w:szCs w:val="21"/>
              </w:rPr>
              <w:t>动力电缆Y</w:t>
            </w:r>
            <w:r>
              <w:rPr>
                <w:rFonts w:ascii="宋体" w:hAnsi="宋体"/>
                <w:color w:val="000000"/>
                <w:sz w:val="21"/>
                <w:szCs w:val="21"/>
              </w:rPr>
              <w:t>JV22</w:t>
            </w:r>
          </w:p>
        </w:tc>
        <w:tc>
          <w:tcPr>
            <w:tcW w:w="81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3</w:t>
            </w:r>
            <w:r>
              <w:rPr>
                <w:rFonts w:ascii="宋体" w:hAnsi="宋体" w:cs="宋体"/>
                <w:color w:val="000000"/>
                <w:sz w:val="21"/>
                <w:szCs w:val="21"/>
              </w:rPr>
              <w:t>*50+1*16</w:t>
            </w: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米</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300</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8</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olor w:val="000000"/>
                <w:sz w:val="21"/>
                <w:szCs w:val="21"/>
              </w:rPr>
              <w:t>控制电缆Z</w:t>
            </w:r>
            <w:r>
              <w:rPr>
                <w:rFonts w:ascii="宋体" w:hAnsi="宋体"/>
                <w:color w:val="000000"/>
                <w:sz w:val="21"/>
                <w:szCs w:val="21"/>
              </w:rPr>
              <w:t>C-K</w:t>
            </w:r>
            <w:r>
              <w:rPr>
                <w:rFonts w:hint="eastAsia" w:ascii="宋体" w:hAnsi="宋体"/>
                <w:color w:val="000000"/>
                <w:sz w:val="21"/>
                <w:szCs w:val="21"/>
              </w:rPr>
              <w:t>vv</w:t>
            </w:r>
            <w:r>
              <w:rPr>
                <w:rFonts w:ascii="宋体" w:hAnsi="宋体"/>
                <w:color w:val="000000"/>
                <w:sz w:val="21"/>
                <w:szCs w:val="21"/>
              </w:rPr>
              <w:t>22P</w:t>
            </w:r>
          </w:p>
        </w:tc>
        <w:tc>
          <w:tcPr>
            <w:tcW w:w="81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7</w:t>
            </w:r>
            <w:r>
              <w:rPr>
                <w:rFonts w:ascii="宋体" w:hAnsi="宋体" w:cs="宋体"/>
                <w:color w:val="000000"/>
                <w:sz w:val="21"/>
                <w:szCs w:val="21"/>
              </w:rPr>
              <w:t>*1.5</w:t>
            </w: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米</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1000</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9</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olor w:val="000000"/>
                <w:sz w:val="21"/>
                <w:szCs w:val="21"/>
              </w:rPr>
              <w:t>控制电缆Z</w:t>
            </w:r>
            <w:r>
              <w:rPr>
                <w:rFonts w:ascii="宋体" w:hAnsi="宋体"/>
                <w:color w:val="000000"/>
                <w:sz w:val="21"/>
                <w:szCs w:val="21"/>
              </w:rPr>
              <w:t>C-K</w:t>
            </w:r>
            <w:r>
              <w:rPr>
                <w:rFonts w:hint="eastAsia" w:ascii="宋体" w:hAnsi="宋体"/>
                <w:color w:val="000000"/>
                <w:sz w:val="21"/>
                <w:szCs w:val="21"/>
              </w:rPr>
              <w:t>vv</w:t>
            </w:r>
            <w:r>
              <w:rPr>
                <w:rFonts w:ascii="宋体" w:hAnsi="宋体"/>
                <w:color w:val="000000"/>
                <w:sz w:val="21"/>
                <w:szCs w:val="21"/>
              </w:rPr>
              <w:t>22P</w:t>
            </w:r>
          </w:p>
        </w:tc>
        <w:tc>
          <w:tcPr>
            <w:tcW w:w="81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5</w:t>
            </w:r>
            <w:r>
              <w:rPr>
                <w:rFonts w:ascii="宋体" w:hAnsi="宋体" w:cs="宋体"/>
                <w:color w:val="000000"/>
                <w:sz w:val="21"/>
                <w:szCs w:val="21"/>
              </w:rPr>
              <w:t>*1.5</w:t>
            </w: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米</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1000</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10</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防爆启停按钮</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p>
        </w:tc>
        <w:tc>
          <w:tcPr>
            <w:tcW w:w="745" w:type="dxa"/>
            <w:vAlign w:val="center"/>
          </w:tcPr>
          <w:p>
            <w:pPr>
              <w:tabs>
                <w:tab w:val="left" w:pos="567"/>
              </w:tabs>
              <w:spacing w:line="240" w:lineRule="auto"/>
              <w:jc w:val="center"/>
              <w:rPr>
                <w:rFonts w:hint="eastAsia" w:ascii="宋体" w:hAnsi="宋体" w:cs="宋体"/>
                <w:color w:val="000000"/>
                <w:sz w:val="21"/>
                <w:szCs w:val="21"/>
              </w:rPr>
            </w:pP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红色绿色各5个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rPr>
              <w:t>11</w:t>
            </w:r>
          </w:p>
        </w:tc>
        <w:tc>
          <w:tcPr>
            <w:tcW w:w="2348"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防爆指示灯</w:t>
            </w:r>
          </w:p>
        </w:tc>
        <w:tc>
          <w:tcPr>
            <w:tcW w:w="815" w:type="dxa"/>
            <w:vAlign w:val="center"/>
          </w:tcPr>
          <w:p>
            <w:pPr>
              <w:tabs>
                <w:tab w:val="left" w:pos="567"/>
              </w:tabs>
              <w:spacing w:line="240" w:lineRule="auto"/>
              <w:jc w:val="center"/>
              <w:rPr>
                <w:rFonts w:hint="eastAsia" w:ascii="宋体" w:hAnsi="宋体" w:cs="宋体"/>
                <w:color w:val="000000"/>
                <w:sz w:val="21"/>
                <w:szCs w:val="21"/>
              </w:rPr>
            </w:pP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p>
        </w:tc>
        <w:tc>
          <w:tcPr>
            <w:tcW w:w="745" w:type="dxa"/>
            <w:vAlign w:val="center"/>
          </w:tcPr>
          <w:p>
            <w:pPr>
              <w:tabs>
                <w:tab w:val="left" w:pos="567"/>
              </w:tabs>
              <w:spacing w:line="240" w:lineRule="auto"/>
              <w:jc w:val="center"/>
              <w:rPr>
                <w:rFonts w:hint="eastAsia" w:ascii="宋体" w:hAnsi="宋体" w:cs="宋体"/>
                <w:color w:val="000000"/>
                <w:sz w:val="21"/>
                <w:szCs w:val="21"/>
              </w:rPr>
            </w:pP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p>
        </w:tc>
        <w:tc>
          <w:tcPr>
            <w:tcW w:w="1642" w:type="dxa"/>
            <w:vMerge w:val="continue"/>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rPr>
              <w:t>红色绿色各5个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720"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lang w:val="en-US" w:eastAsia="zh-CN"/>
              </w:rPr>
              <w:t>12</w:t>
            </w:r>
          </w:p>
        </w:tc>
        <w:tc>
          <w:tcPr>
            <w:tcW w:w="2348" w:type="dxa"/>
            <w:vAlign w:val="center"/>
          </w:tcPr>
          <w:p>
            <w:pPr>
              <w:tabs>
                <w:tab w:val="left" w:pos="567"/>
              </w:tabs>
              <w:spacing w:line="240" w:lineRule="auto"/>
              <w:jc w:val="both"/>
              <w:rPr>
                <w:rFonts w:hint="eastAsia" w:ascii="宋体" w:hAnsi="宋体" w:cs="宋体"/>
                <w:color w:val="000000"/>
                <w:sz w:val="21"/>
                <w:szCs w:val="21"/>
              </w:rPr>
            </w:pPr>
            <w:r>
              <w:rPr>
                <w:rFonts w:hint="eastAsia" w:ascii="宋体" w:hAnsi="宋体" w:cs="宋体"/>
                <w:color w:val="000000"/>
                <w:sz w:val="21"/>
                <w:szCs w:val="21"/>
                <w:lang w:val="en-US" w:eastAsia="zh-CN"/>
              </w:rPr>
              <w:t>PLC模块（施耐德）</w:t>
            </w:r>
          </w:p>
        </w:tc>
        <w:tc>
          <w:tcPr>
            <w:tcW w:w="815" w:type="dxa"/>
            <w:vAlign w:val="center"/>
          </w:tcPr>
          <w:p>
            <w:pPr>
              <w:tabs>
                <w:tab w:val="left" w:pos="567"/>
              </w:tabs>
              <w:spacing w:line="240" w:lineRule="auto"/>
              <w:jc w:val="both"/>
              <w:rPr>
                <w:rFonts w:hint="eastAsia" w:ascii="宋体" w:hAnsi="宋体" w:cs="宋体"/>
                <w:color w:val="000000"/>
                <w:sz w:val="21"/>
                <w:szCs w:val="21"/>
                <w:lang w:val="en-US"/>
              </w:rPr>
            </w:pPr>
            <w:r>
              <w:rPr>
                <w:rFonts w:hint="eastAsia" w:ascii="宋体" w:hAnsi="宋体" w:cs="宋体"/>
                <w:color w:val="000000"/>
                <w:sz w:val="21"/>
                <w:szCs w:val="21"/>
                <w:lang w:val="en-US" w:eastAsia="zh-CN"/>
              </w:rPr>
              <w:t>140DDI35300</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140DDO35300、140ACI04000</w:t>
            </w:r>
          </w:p>
        </w:tc>
        <w:tc>
          <w:tcPr>
            <w:tcW w:w="79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lang w:eastAsia="zh-CN"/>
              </w:rPr>
              <w:t>个</w:t>
            </w:r>
          </w:p>
        </w:tc>
        <w:tc>
          <w:tcPr>
            <w:tcW w:w="745" w:type="dxa"/>
            <w:vAlign w:val="center"/>
          </w:tcPr>
          <w:p>
            <w:pPr>
              <w:tabs>
                <w:tab w:val="left" w:pos="567"/>
              </w:tabs>
              <w:spacing w:line="240" w:lineRule="auto"/>
              <w:jc w:val="center"/>
              <w:rPr>
                <w:rFonts w:hint="eastAsia" w:ascii="宋体" w:hAnsi="宋体" w:cs="宋体"/>
                <w:color w:val="000000"/>
                <w:sz w:val="21"/>
                <w:szCs w:val="21"/>
              </w:rPr>
            </w:pPr>
            <w:r>
              <w:rPr>
                <w:rFonts w:hint="eastAsia" w:ascii="宋体" w:hAnsi="宋体" w:cs="宋体"/>
                <w:color w:val="000000"/>
                <w:sz w:val="21"/>
                <w:szCs w:val="21"/>
                <w:lang w:val="en-US" w:eastAsia="zh-CN"/>
              </w:rPr>
              <w:t>各1个共3个</w:t>
            </w:r>
          </w:p>
        </w:tc>
        <w:tc>
          <w:tcPr>
            <w:tcW w:w="485" w:type="dxa"/>
            <w:vAlign w:val="center"/>
          </w:tcPr>
          <w:p>
            <w:pPr>
              <w:spacing w:before="78" w:beforeLines="25" w:after="78" w:afterLines="25" w:line="240" w:lineRule="auto"/>
              <w:jc w:val="center"/>
              <w:rPr>
                <w:rFonts w:hint="eastAsia" w:ascii="宋体" w:hAnsi="宋体" w:cs="宋体"/>
                <w:color w:val="000000"/>
                <w:sz w:val="21"/>
                <w:szCs w:val="21"/>
              </w:rPr>
            </w:pPr>
          </w:p>
        </w:tc>
        <w:tc>
          <w:tcPr>
            <w:tcW w:w="675" w:type="dxa"/>
            <w:vAlign w:val="center"/>
          </w:tcPr>
          <w:p>
            <w:pPr>
              <w:spacing w:before="78" w:beforeLines="25" w:after="78" w:afterLines="25" w:line="240" w:lineRule="auto"/>
              <w:jc w:val="center"/>
              <w:rPr>
                <w:rFonts w:hint="eastAsia" w:ascii="宋体" w:hAnsi="宋体" w:cs="宋体"/>
                <w:color w:val="000000"/>
                <w:sz w:val="21"/>
                <w:szCs w:val="21"/>
              </w:rPr>
            </w:pPr>
            <w:r>
              <w:rPr>
                <w:rFonts w:hint="eastAsia" w:ascii="宋体" w:hAnsi="宋体" w:cs="宋体"/>
                <w:color w:val="000000"/>
                <w:sz w:val="21"/>
                <w:szCs w:val="21"/>
                <w:lang w:eastAsia="zh-CN"/>
              </w:rPr>
              <w:t>施耐德</w:t>
            </w:r>
          </w:p>
        </w:tc>
        <w:tc>
          <w:tcPr>
            <w:tcW w:w="1642" w:type="dxa"/>
            <w:vAlign w:val="center"/>
          </w:tcPr>
          <w:p>
            <w:pPr>
              <w:tabs>
                <w:tab w:val="left" w:pos="567"/>
              </w:tabs>
              <w:spacing w:line="240" w:lineRule="auto"/>
              <w:jc w:val="center"/>
              <w:rPr>
                <w:rFonts w:hint="eastAsia" w:ascii="宋体" w:hAnsi="宋体" w:cs="宋体"/>
                <w:color w:val="000000"/>
                <w:sz w:val="21"/>
                <w:szCs w:val="21"/>
              </w:rPr>
            </w:pPr>
          </w:p>
        </w:tc>
        <w:tc>
          <w:tcPr>
            <w:tcW w:w="1135" w:type="dxa"/>
            <w:vAlign w:val="center"/>
          </w:tcPr>
          <w:p>
            <w:pPr>
              <w:tabs>
                <w:tab w:val="left" w:pos="567"/>
              </w:tabs>
              <w:spacing w:line="240" w:lineRule="auto"/>
              <w:jc w:val="center"/>
              <w:rPr>
                <w:rFonts w:hint="eastAsia" w:ascii="宋体" w:hAnsi="宋体" w:cs="宋体"/>
                <w:color w:val="000000"/>
                <w:sz w:val="21"/>
                <w:szCs w:val="21"/>
              </w:rPr>
            </w:pPr>
          </w:p>
        </w:tc>
      </w:tr>
    </w:tbl>
    <w:p>
      <w:pPr>
        <w:spacing w:line="360" w:lineRule="auto"/>
        <w:jc w:val="left"/>
        <w:rPr>
          <w:rFonts w:hint="eastAsia" w:ascii="宋体" w:hAnsi="宋体" w:cs="宋体"/>
          <w:color w:val="000000"/>
          <w:sz w:val="21"/>
          <w:szCs w:val="21"/>
        </w:rPr>
      </w:pPr>
      <w:r>
        <w:rPr>
          <w:rFonts w:ascii="宋体" w:hAnsi="宋体" w:cs="宋体"/>
          <w:color w:val="000000"/>
          <w:sz w:val="21"/>
          <w:szCs w:val="21"/>
        </w:rPr>
        <w:t>5.8</w:t>
      </w:r>
      <w:r>
        <w:rPr>
          <w:rFonts w:hint="eastAsia" w:ascii="宋体" w:hAnsi="宋体" w:cs="宋体"/>
          <w:color w:val="000000"/>
          <w:sz w:val="21"/>
          <w:szCs w:val="21"/>
        </w:rPr>
        <w:t>投标设备技术参数表</w:t>
      </w:r>
    </w:p>
    <w:tbl>
      <w:tblPr>
        <w:tblStyle w:val="9"/>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268"/>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设备制造厂</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2</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设备型号</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3</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筛分机理</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4</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工作制度</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5</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适用物料</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6</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额定出力</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7</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 xml:space="preserve">数 </w:t>
            </w:r>
            <w:r>
              <w:rPr>
                <w:rFonts w:ascii="宋体" w:hAnsi="宋体" w:cs="宋体"/>
                <w:color w:val="000000"/>
                <w:sz w:val="21"/>
                <w:szCs w:val="21"/>
              </w:rPr>
              <w:t xml:space="preserve">   </w:t>
            </w:r>
            <w:r>
              <w:rPr>
                <w:rFonts w:hint="eastAsia" w:ascii="宋体" w:hAnsi="宋体" w:cs="宋体"/>
                <w:color w:val="000000"/>
                <w:sz w:val="21"/>
                <w:szCs w:val="21"/>
              </w:rPr>
              <w:t>量</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8</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进料粒度</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0</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出料粒度</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1</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筛分效率</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2</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布料情况</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3</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传动方式</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4</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筛面倾角</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5</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筛轴数</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7</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筛面宽度</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8</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有效筛缝根数</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1</w:t>
            </w:r>
            <w:r>
              <w:rPr>
                <w:rFonts w:ascii="宋体" w:hAnsi="宋体" w:cs="宋体"/>
                <w:color w:val="000000"/>
                <w:sz w:val="21"/>
                <w:szCs w:val="21"/>
              </w:rPr>
              <w:t>9</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电机功率</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2</w:t>
            </w:r>
            <w:r>
              <w:rPr>
                <w:rFonts w:ascii="宋体" w:hAnsi="宋体" w:cs="宋体"/>
                <w:color w:val="000000"/>
                <w:sz w:val="21"/>
                <w:szCs w:val="21"/>
              </w:rPr>
              <w:t>0</w:t>
            </w:r>
          </w:p>
        </w:tc>
        <w:tc>
          <w:tcPr>
            <w:tcW w:w="2268" w:type="dxa"/>
            <w:vAlign w:val="top"/>
          </w:tcPr>
          <w:p>
            <w:pPr>
              <w:autoSpaceDE w:val="0"/>
              <w:autoSpaceDN w:val="0"/>
              <w:adjustRightInd w:val="0"/>
              <w:spacing w:after="120" w:line="360" w:lineRule="auto"/>
              <w:jc w:val="left"/>
              <w:rPr>
                <w:rFonts w:ascii="宋体" w:hAnsi="宋体" w:cs="宋体"/>
                <w:color w:val="000000"/>
                <w:sz w:val="21"/>
                <w:szCs w:val="21"/>
              </w:rPr>
            </w:pPr>
            <w:r>
              <w:rPr>
                <w:rFonts w:hint="eastAsia" w:ascii="宋体" w:hAnsi="宋体" w:cs="宋体"/>
                <w:color w:val="000000"/>
                <w:sz w:val="21"/>
                <w:szCs w:val="21"/>
              </w:rPr>
              <w:t>外形尺寸</w:t>
            </w:r>
          </w:p>
        </w:tc>
        <w:tc>
          <w:tcPr>
            <w:tcW w:w="6521" w:type="dxa"/>
            <w:vAlign w:val="top"/>
          </w:tcPr>
          <w:p>
            <w:pPr>
              <w:autoSpaceDE w:val="0"/>
              <w:autoSpaceDN w:val="0"/>
              <w:adjustRightInd w:val="0"/>
              <w:spacing w:after="120" w:line="360" w:lineRule="auto"/>
              <w:jc w:val="left"/>
              <w:rPr>
                <w:rFonts w:ascii="宋体" w:hAnsi="宋体" w:cs="宋体"/>
                <w:color w:val="000000"/>
                <w:sz w:val="21"/>
                <w:szCs w:val="21"/>
              </w:rPr>
            </w:pPr>
          </w:p>
        </w:tc>
      </w:tr>
    </w:tbl>
    <w:p>
      <w:pPr>
        <w:spacing w:line="360" w:lineRule="auto"/>
        <w:jc w:val="left"/>
        <w:rPr>
          <w:rFonts w:hint="eastAsia" w:ascii="宋体" w:hAnsi="宋体" w:cs="宋体"/>
          <w:color w:val="000000"/>
          <w:sz w:val="21"/>
          <w:szCs w:val="21"/>
        </w:rPr>
      </w:pPr>
      <w:r>
        <w:rPr>
          <w:rFonts w:ascii="宋体" w:hAnsi="宋体" w:cs="宋体"/>
          <w:color w:val="000000"/>
          <w:sz w:val="21"/>
          <w:szCs w:val="21"/>
        </w:rPr>
        <w:t>5</w:t>
      </w:r>
      <w:r>
        <w:rPr>
          <w:rFonts w:hint="eastAsia" w:ascii="宋体" w:hAnsi="宋体" w:cs="宋体"/>
          <w:color w:val="000000"/>
          <w:sz w:val="21"/>
          <w:szCs w:val="21"/>
        </w:rPr>
        <w:t>.9主要配置清单（投标方填写）</w:t>
      </w:r>
    </w:p>
    <w:tbl>
      <w:tblPr>
        <w:tblStyle w:val="9"/>
        <w:tblpPr w:leftFromText="180" w:rightFromText="180" w:vertAnchor="text" w:horzAnchor="page" w:tblpX="1525" w:tblpY="99"/>
        <w:tblOverlap w:val="never"/>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715"/>
        <w:gridCol w:w="2034"/>
        <w:gridCol w:w="1391"/>
        <w:gridCol w:w="1191"/>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5"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序号</w:t>
            </w:r>
          </w:p>
        </w:tc>
        <w:tc>
          <w:tcPr>
            <w:tcW w:w="2715"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名称</w:t>
            </w:r>
          </w:p>
        </w:tc>
        <w:tc>
          <w:tcPr>
            <w:tcW w:w="2034"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型号</w:t>
            </w:r>
          </w:p>
        </w:tc>
        <w:tc>
          <w:tcPr>
            <w:tcW w:w="1391"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单位</w:t>
            </w:r>
          </w:p>
        </w:tc>
        <w:tc>
          <w:tcPr>
            <w:tcW w:w="1191"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数量</w:t>
            </w:r>
          </w:p>
        </w:tc>
        <w:tc>
          <w:tcPr>
            <w:tcW w:w="1355"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1</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3</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4</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5</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6</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7</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8</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ind w:right="26"/>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9</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10</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11</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63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12</w:t>
            </w:r>
          </w:p>
        </w:tc>
        <w:tc>
          <w:tcPr>
            <w:tcW w:w="2715" w:type="dxa"/>
            <w:vAlign w:val="top"/>
          </w:tcPr>
          <w:p>
            <w:pPr>
              <w:spacing w:line="360" w:lineRule="auto"/>
              <w:jc w:val="center"/>
              <w:rPr>
                <w:rFonts w:hint="eastAsia" w:ascii="宋体" w:hAnsi="宋体" w:cs="宋体"/>
                <w:color w:val="000000"/>
                <w:sz w:val="21"/>
                <w:szCs w:val="21"/>
              </w:rPr>
            </w:pPr>
          </w:p>
        </w:tc>
        <w:tc>
          <w:tcPr>
            <w:tcW w:w="2034" w:type="dxa"/>
            <w:vAlign w:val="top"/>
          </w:tcPr>
          <w:p>
            <w:pPr>
              <w:spacing w:line="360" w:lineRule="auto"/>
              <w:jc w:val="center"/>
              <w:rPr>
                <w:rFonts w:hint="eastAsia" w:ascii="宋体" w:hAnsi="宋体" w:cs="宋体"/>
                <w:color w:val="000000"/>
                <w:sz w:val="21"/>
                <w:szCs w:val="21"/>
              </w:rPr>
            </w:pPr>
          </w:p>
        </w:tc>
        <w:tc>
          <w:tcPr>
            <w:tcW w:w="1391" w:type="dxa"/>
            <w:vAlign w:val="top"/>
          </w:tcPr>
          <w:p>
            <w:pPr>
              <w:spacing w:line="360" w:lineRule="auto"/>
              <w:jc w:val="center"/>
              <w:rPr>
                <w:rFonts w:hint="eastAsia" w:ascii="宋体" w:hAnsi="宋体" w:cs="宋体"/>
                <w:color w:val="000000"/>
                <w:sz w:val="21"/>
                <w:szCs w:val="21"/>
              </w:rPr>
            </w:pPr>
          </w:p>
        </w:tc>
        <w:tc>
          <w:tcPr>
            <w:tcW w:w="1191" w:type="dxa"/>
            <w:vAlign w:val="top"/>
          </w:tcPr>
          <w:p>
            <w:pPr>
              <w:spacing w:line="360" w:lineRule="auto"/>
              <w:jc w:val="center"/>
              <w:rPr>
                <w:rFonts w:hint="eastAsia" w:ascii="宋体" w:hAnsi="宋体" w:cs="宋体"/>
                <w:color w:val="000000"/>
                <w:sz w:val="21"/>
                <w:szCs w:val="21"/>
              </w:rPr>
            </w:pPr>
          </w:p>
        </w:tc>
        <w:tc>
          <w:tcPr>
            <w:tcW w:w="1355" w:type="dxa"/>
            <w:vAlign w:val="top"/>
          </w:tcPr>
          <w:p>
            <w:pPr>
              <w:spacing w:line="360" w:lineRule="auto"/>
              <w:jc w:val="center"/>
              <w:rPr>
                <w:rFonts w:hint="eastAsia" w:ascii="宋体" w:hAnsi="宋体" w:cs="宋体"/>
                <w:color w:val="000000"/>
                <w:sz w:val="21"/>
                <w:szCs w:val="21"/>
              </w:rPr>
            </w:pPr>
          </w:p>
        </w:tc>
      </w:tr>
    </w:tbl>
    <w:p>
      <w:pPr>
        <w:spacing w:line="360" w:lineRule="auto"/>
        <w:rPr>
          <w:rFonts w:hint="eastAsia" w:ascii="宋体" w:hAnsi="宋体" w:cs="宋体"/>
          <w:color w:val="000000"/>
          <w:sz w:val="21"/>
          <w:szCs w:val="21"/>
        </w:rPr>
      </w:pPr>
      <w:r>
        <w:rPr>
          <w:rFonts w:ascii="宋体" w:hAnsi="宋体" w:cs="宋体"/>
          <w:color w:val="000000"/>
          <w:sz w:val="21"/>
          <w:szCs w:val="21"/>
        </w:rPr>
        <w:t>5</w:t>
      </w:r>
      <w:r>
        <w:rPr>
          <w:rFonts w:hint="eastAsia" w:ascii="宋体" w:hAnsi="宋体" w:cs="宋体"/>
          <w:color w:val="000000"/>
          <w:sz w:val="21"/>
          <w:szCs w:val="21"/>
        </w:rPr>
        <w:t>.10备品备件（投标方填写）</w:t>
      </w:r>
    </w:p>
    <w:tbl>
      <w:tblPr>
        <w:tblStyle w:val="9"/>
        <w:tblW w:w="9387" w:type="dxa"/>
        <w:jc w:val="center"/>
        <w:tblInd w:w="-4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1560"/>
        <w:gridCol w:w="1800"/>
        <w:gridCol w:w="720"/>
        <w:gridCol w:w="720"/>
        <w:gridCol w:w="840"/>
        <w:gridCol w:w="1320"/>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序号</w:t>
            </w:r>
          </w:p>
        </w:tc>
        <w:tc>
          <w:tcPr>
            <w:tcW w:w="156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名称</w:t>
            </w:r>
          </w:p>
        </w:tc>
        <w:tc>
          <w:tcPr>
            <w:tcW w:w="180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规格和型号</w:t>
            </w:r>
          </w:p>
        </w:tc>
        <w:tc>
          <w:tcPr>
            <w:tcW w:w="72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单位</w:t>
            </w:r>
          </w:p>
        </w:tc>
        <w:tc>
          <w:tcPr>
            <w:tcW w:w="72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数量</w:t>
            </w:r>
          </w:p>
        </w:tc>
        <w:tc>
          <w:tcPr>
            <w:tcW w:w="84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产地</w:t>
            </w:r>
          </w:p>
        </w:tc>
        <w:tc>
          <w:tcPr>
            <w:tcW w:w="132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生产厂家</w:t>
            </w:r>
          </w:p>
        </w:tc>
        <w:tc>
          <w:tcPr>
            <w:tcW w:w="1121"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30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1</w:t>
            </w:r>
          </w:p>
        </w:tc>
        <w:tc>
          <w:tcPr>
            <w:tcW w:w="1560" w:type="dxa"/>
            <w:vAlign w:val="top"/>
          </w:tcPr>
          <w:p>
            <w:pPr>
              <w:spacing w:line="360" w:lineRule="auto"/>
              <w:jc w:val="center"/>
              <w:rPr>
                <w:rFonts w:hint="eastAsia" w:ascii="宋体" w:hAnsi="宋体" w:cs="宋体"/>
                <w:color w:val="000000"/>
                <w:sz w:val="21"/>
                <w:szCs w:val="21"/>
              </w:rPr>
            </w:pPr>
          </w:p>
        </w:tc>
        <w:tc>
          <w:tcPr>
            <w:tcW w:w="180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840" w:type="dxa"/>
            <w:vAlign w:val="top"/>
          </w:tcPr>
          <w:p>
            <w:pPr>
              <w:spacing w:line="360" w:lineRule="auto"/>
              <w:jc w:val="center"/>
              <w:rPr>
                <w:rFonts w:hint="eastAsia" w:ascii="宋体" w:hAnsi="宋体" w:cs="宋体"/>
                <w:color w:val="000000"/>
                <w:sz w:val="21"/>
                <w:szCs w:val="21"/>
              </w:rPr>
            </w:pPr>
          </w:p>
        </w:tc>
        <w:tc>
          <w:tcPr>
            <w:tcW w:w="1320" w:type="dxa"/>
            <w:vAlign w:val="top"/>
          </w:tcPr>
          <w:p>
            <w:pPr>
              <w:spacing w:line="360" w:lineRule="auto"/>
              <w:jc w:val="center"/>
              <w:rPr>
                <w:rFonts w:hint="eastAsia" w:ascii="宋体" w:hAnsi="宋体" w:cs="宋体"/>
                <w:color w:val="000000"/>
                <w:sz w:val="21"/>
                <w:szCs w:val="21"/>
              </w:rPr>
            </w:pPr>
          </w:p>
        </w:tc>
        <w:tc>
          <w:tcPr>
            <w:tcW w:w="1121"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1560" w:type="dxa"/>
            <w:vAlign w:val="top"/>
          </w:tcPr>
          <w:p>
            <w:pPr>
              <w:spacing w:line="360" w:lineRule="auto"/>
              <w:jc w:val="center"/>
              <w:rPr>
                <w:rFonts w:hint="eastAsia" w:ascii="宋体" w:hAnsi="宋体" w:cs="宋体"/>
                <w:color w:val="000000"/>
                <w:sz w:val="21"/>
                <w:szCs w:val="21"/>
              </w:rPr>
            </w:pPr>
          </w:p>
        </w:tc>
        <w:tc>
          <w:tcPr>
            <w:tcW w:w="180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840" w:type="dxa"/>
            <w:vAlign w:val="top"/>
          </w:tcPr>
          <w:p>
            <w:pPr>
              <w:spacing w:line="360" w:lineRule="auto"/>
              <w:jc w:val="center"/>
              <w:rPr>
                <w:rFonts w:hint="eastAsia" w:ascii="宋体" w:hAnsi="宋体" w:cs="宋体"/>
                <w:color w:val="000000"/>
                <w:sz w:val="21"/>
                <w:szCs w:val="21"/>
              </w:rPr>
            </w:pPr>
          </w:p>
        </w:tc>
        <w:tc>
          <w:tcPr>
            <w:tcW w:w="1320" w:type="dxa"/>
            <w:vAlign w:val="top"/>
          </w:tcPr>
          <w:p>
            <w:pPr>
              <w:spacing w:line="360" w:lineRule="auto"/>
              <w:jc w:val="center"/>
              <w:rPr>
                <w:rFonts w:hint="eastAsia" w:ascii="宋体" w:hAnsi="宋体" w:cs="宋体"/>
                <w:color w:val="000000"/>
                <w:sz w:val="21"/>
                <w:szCs w:val="21"/>
              </w:rPr>
            </w:pPr>
          </w:p>
        </w:tc>
        <w:tc>
          <w:tcPr>
            <w:tcW w:w="1121"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6"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3</w:t>
            </w:r>
          </w:p>
        </w:tc>
        <w:tc>
          <w:tcPr>
            <w:tcW w:w="1560" w:type="dxa"/>
            <w:vAlign w:val="top"/>
          </w:tcPr>
          <w:p>
            <w:pPr>
              <w:spacing w:line="360" w:lineRule="auto"/>
              <w:jc w:val="center"/>
              <w:rPr>
                <w:rFonts w:hint="eastAsia" w:ascii="宋体" w:hAnsi="宋体" w:cs="宋体"/>
                <w:color w:val="000000"/>
                <w:sz w:val="21"/>
                <w:szCs w:val="21"/>
              </w:rPr>
            </w:pPr>
          </w:p>
        </w:tc>
        <w:tc>
          <w:tcPr>
            <w:tcW w:w="180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840" w:type="dxa"/>
            <w:vAlign w:val="top"/>
          </w:tcPr>
          <w:p>
            <w:pPr>
              <w:spacing w:line="360" w:lineRule="auto"/>
              <w:jc w:val="center"/>
              <w:rPr>
                <w:rFonts w:hint="eastAsia" w:ascii="宋体" w:hAnsi="宋体" w:cs="宋体"/>
                <w:color w:val="000000"/>
                <w:sz w:val="21"/>
                <w:szCs w:val="21"/>
              </w:rPr>
            </w:pPr>
          </w:p>
        </w:tc>
        <w:tc>
          <w:tcPr>
            <w:tcW w:w="1320" w:type="dxa"/>
            <w:vAlign w:val="top"/>
          </w:tcPr>
          <w:p>
            <w:pPr>
              <w:spacing w:line="360" w:lineRule="auto"/>
              <w:jc w:val="center"/>
              <w:rPr>
                <w:rFonts w:hint="eastAsia" w:ascii="宋体" w:hAnsi="宋体" w:cs="宋体"/>
                <w:color w:val="000000"/>
                <w:sz w:val="21"/>
                <w:szCs w:val="21"/>
              </w:rPr>
            </w:pPr>
          </w:p>
        </w:tc>
        <w:tc>
          <w:tcPr>
            <w:tcW w:w="1121" w:type="dxa"/>
            <w:vAlign w:val="top"/>
          </w:tcPr>
          <w:p>
            <w:pPr>
              <w:spacing w:line="360" w:lineRule="auto"/>
              <w:jc w:val="center"/>
              <w:rPr>
                <w:rFonts w:hint="eastAsia" w:ascii="宋体" w:hAnsi="宋体" w:cs="宋体"/>
                <w:color w:val="000000"/>
                <w:sz w:val="21"/>
                <w:szCs w:val="21"/>
              </w:rPr>
            </w:pPr>
          </w:p>
        </w:tc>
      </w:tr>
    </w:tbl>
    <w:p>
      <w:pPr>
        <w:spacing w:line="360" w:lineRule="auto"/>
        <w:rPr>
          <w:rFonts w:hint="eastAsia" w:ascii="宋体" w:hAnsi="宋体" w:cs="宋体"/>
          <w:color w:val="000000"/>
          <w:sz w:val="21"/>
          <w:szCs w:val="21"/>
        </w:rPr>
      </w:pPr>
      <w:r>
        <w:rPr>
          <w:rFonts w:ascii="宋体" w:hAnsi="宋体" w:cs="宋体"/>
          <w:color w:val="000000"/>
          <w:sz w:val="21"/>
          <w:szCs w:val="21"/>
        </w:rPr>
        <w:t>5</w:t>
      </w:r>
      <w:r>
        <w:rPr>
          <w:rFonts w:hint="eastAsia" w:ascii="宋体" w:hAnsi="宋体" w:cs="宋体"/>
          <w:color w:val="000000"/>
          <w:sz w:val="21"/>
          <w:szCs w:val="21"/>
        </w:rPr>
        <w:t>.11专用工具（投标方填写）</w:t>
      </w:r>
    </w:p>
    <w:tbl>
      <w:tblPr>
        <w:tblStyle w:val="9"/>
        <w:tblW w:w="9464" w:type="dxa"/>
        <w:jc w:val="center"/>
        <w:tblInd w:w="-4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12"/>
        <w:gridCol w:w="1800"/>
        <w:gridCol w:w="720"/>
        <w:gridCol w:w="720"/>
        <w:gridCol w:w="840"/>
        <w:gridCol w:w="1320"/>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7"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序号</w:t>
            </w:r>
          </w:p>
        </w:tc>
        <w:tc>
          <w:tcPr>
            <w:tcW w:w="1512"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名称</w:t>
            </w:r>
          </w:p>
        </w:tc>
        <w:tc>
          <w:tcPr>
            <w:tcW w:w="180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规格和型号</w:t>
            </w:r>
          </w:p>
        </w:tc>
        <w:tc>
          <w:tcPr>
            <w:tcW w:w="72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单位</w:t>
            </w:r>
          </w:p>
        </w:tc>
        <w:tc>
          <w:tcPr>
            <w:tcW w:w="72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数量</w:t>
            </w:r>
          </w:p>
        </w:tc>
        <w:tc>
          <w:tcPr>
            <w:tcW w:w="84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产地</w:t>
            </w:r>
          </w:p>
        </w:tc>
        <w:tc>
          <w:tcPr>
            <w:tcW w:w="1320"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生产厂家</w:t>
            </w:r>
          </w:p>
        </w:tc>
        <w:tc>
          <w:tcPr>
            <w:tcW w:w="1215"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7"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1</w:t>
            </w:r>
          </w:p>
        </w:tc>
        <w:tc>
          <w:tcPr>
            <w:tcW w:w="1512" w:type="dxa"/>
            <w:vAlign w:val="top"/>
          </w:tcPr>
          <w:p>
            <w:pPr>
              <w:spacing w:line="360" w:lineRule="auto"/>
              <w:jc w:val="center"/>
              <w:rPr>
                <w:rFonts w:hint="eastAsia" w:ascii="宋体" w:hAnsi="宋体" w:cs="宋体"/>
                <w:color w:val="000000"/>
                <w:sz w:val="21"/>
                <w:szCs w:val="21"/>
              </w:rPr>
            </w:pPr>
          </w:p>
        </w:tc>
        <w:tc>
          <w:tcPr>
            <w:tcW w:w="180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840" w:type="dxa"/>
            <w:vAlign w:val="top"/>
          </w:tcPr>
          <w:p>
            <w:pPr>
              <w:spacing w:line="360" w:lineRule="auto"/>
              <w:jc w:val="center"/>
              <w:rPr>
                <w:rFonts w:hint="eastAsia" w:ascii="宋体" w:hAnsi="宋体" w:cs="宋体"/>
                <w:color w:val="000000"/>
                <w:sz w:val="21"/>
                <w:szCs w:val="21"/>
              </w:rPr>
            </w:pPr>
          </w:p>
        </w:tc>
        <w:tc>
          <w:tcPr>
            <w:tcW w:w="1320" w:type="dxa"/>
            <w:vAlign w:val="top"/>
          </w:tcPr>
          <w:p>
            <w:pPr>
              <w:spacing w:line="360" w:lineRule="auto"/>
              <w:jc w:val="center"/>
              <w:rPr>
                <w:rFonts w:hint="eastAsia" w:ascii="宋体" w:hAnsi="宋体" w:cs="宋体"/>
                <w:color w:val="000000"/>
                <w:sz w:val="21"/>
                <w:szCs w:val="21"/>
              </w:rPr>
            </w:pPr>
          </w:p>
        </w:tc>
        <w:tc>
          <w:tcPr>
            <w:tcW w:w="1215" w:type="dxa"/>
            <w:vAlign w:val="top"/>
          </w:tcPr>
          <w:p>
            <w:pPr>
              <w:spacing w:line="360" w:lineRule="auto"/>
              <w:jc w:val="center"/>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7" w:type="dxa"/>
            <w:vAlign w:val="top"/>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1512" w:type="dxa"/>
            <w:vAlign w:val="top"/>
          </w:tcPr>
          <w:p>
            <w:pPr>
              <w:spacing w:line="360" w:lineRule="auto"/>
              <w:jc w:val="center"/>
              <w:rPr>
                <w:rFonts w:hint="eastAsia" w:ascii="宋体" w:hAnsi="宋体" w:cs="宋体"/>
                <w:color w:val="000000"/>
                <w:sz w:val="21"/>
                <w:szCs w:val="21"/>
              </w:rPr>
            </w:pPr>
          </w:p>
        </w:tc>
        <w:tc>
          <w:tcPr>
            <w:tcW w:w="180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720" w:type="dxa"/>
            <w:vAlign w:val="top"/>
          </w:tcPr>
          <w:p>
            <w:pPr>
              <w:spacing w:line="360" w:lineRule="auto"/>
              <w:jc w:val="center"/>
              <w:rPr>
                <w:rFonts w:hint="eastAsia" w:ascii="宋体" w:hAnsi="宋体" w:cs="宋体"/>
                <w:color w:val="000000"/>
                <w:sz w:val="21"/>
                <w:szCs w:val="21"/>
              </w:rPr>
            </w:pPr>
          </w:p>
        </w:tc>
        <w:tc>
          <w:tcPr>
            <w:tcW w:w="840" w:type="dxa"/>
            <w:vAlign w:val="top"/>
          </w:tcPr>
          <w:p>
            <w:pPr>
              <w:spacing w:line="360" w:lineRule="auto"/>
              <w:jc w:val="center"/>
              <w:rPr>
                <w:rFonts w:hint="eastAsia" w:ascii="宋体" w:hAnsi="宋体" w:cs="宋体"/>
                <w:color w:val="000000"/>
                <w:sz w:val="21"/>
                <w:szCs w:val="21"/>
              </w:rPr>
            </w:pPr>
          </w:p>
        </w:tc>
        <w:tc>
          <w:tcPr>
            <w:tcW w:w="1320" w:type="dxa"/>
            <w:vAlign w:val="top"/>
          </w:tcPr>
          <w:p>
            <w:pPr>
              <w:spacing w:line="360" w:lineRule="auto"/>
              <w:jc w:val="center"/>
              <w:rPr>
                <w:rFonts w:hint="eastAsia" w:ascii="宋体" w:hAnsi="宋体" w:cs="宋体"/>
                <w:color w:val="000000"/>
                <w:sz w:val="21"/>
                <w:szCs w:val="21"/>
              </w:rPr>
            </w:pPr>
          </w:p>
        </w:tc>
        <w:tc>
          <w:tcPr>
            <w:tcW w:w="1215" w:type="dxa"/>
            <w:vAlign w:val="top"/>
          </w:tcPr>
          <w:p>
            <w:pPr>
              <w:spacing w:line="360" w:lineRule="auto"/>
              <w:jc w:val="center"/>
              <w:rPr>
                <w:rFonts w:hint="eastAsia" w:ascii="宋体" w:hAnsi="宋体" w:cs="宋体"/>
                <w:color w:val="000000"/>
                <w:sz w:val="21"/>
                <w:szCs w:val="21"/>
              </w:rPr>
            </w:pPr>
          </w:p>
        </w:tc>
      </w:tr>
    </w:tbl>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14" w:name="_Toc3865540"/>
      <w:r>
        <w:rPr>
          <w:rFonts w:hint="eastAsia"/>
          <w:color w:val="000000"/>
          <w:sz w:val="21"/>
          <w:szCs w:val="21"/>
        </w:rPr>
        <w:t>6．技术资料</w:t>
      </w:r>
      <w:bookmarkEnd w:id="14"/>
    </w:p>
    <w:p>
      <w:pPr>
        <w:spacing w:line="360" w:lineRule="auto"/>
        <w:rPr>
          <w:rFonts w:hint="eastAsia" w:ascii="宋体" w:hAnsi="宋体" w:cs="宋体"/>
          <w:bCs/>
          <w:color w:val="000000"/>
          <w:sz w:val="21"/>
          <w:szCs w:val="21"/>
        </w:rPr>
      </w:pPr>
      <w:r>
        <w:rPr>
          <w:rFonts w:hint="eastAsia" w:ascii="宋体" w:hAnsi="宋体" w:cs="宋体"/>
          <w:color w:val="000000"/>
          <w:sz w:val="21"/>
          <w:szCs w:val="21"/>
        </w:rPr>
        <w:t xml:space="preserve">6.1 </w:t>
      </w:r>
      <w:r>
        <w:rPr>
          <w:rFonts w:hint="eastAsia" w:ascii="宋体" w:hAnsi="宋体" w:cs="宋体"/>
          <w:bCs/>
          <w:color w:val="000000"/>
          <w:sz w:val="21"/>
          <w:szCs w:val="21"/>
        </w:rPr>
        <w:t>投标方必须提供下表所列技术资料(但不限于此)。</w:t>
      </w:r>
    </w:p>
    <w:tbl>
      <w:tblPr>
        <w:tblStyle w:val="9"/>
        <w:tblpPr w:leftFromText="180" w:rightFromText="180" w:vertAnchor="text" w:horzAnchor="page" w:tblpX="1331" w:tblpY="52"/>
        <w:tblOverlap w:val="never"/>
        <w:tblW w:w="9518" w:type="dxa"/>
        <w:tblInd w:w="0" w:type="dxa"/>
        <w:tblLayout w:type="fixed"/>
        <w:tblCellMar>
          <w:top w:w="0" w:type="dxa"/>
          <w:left w:w="0" w:type="dxa"/>
          <w:bottom w:w="0" w:type="dxa"/>
          <w:right w:w="0" w:type="dxa"/>
        </w:tblCellMar>
      </w:tblPr>
      <w:tblGrid>
        <w:gridCol w:w="962"/>
        <w:gridCol w:w="5579"/>
        <w:gridCol w:w="850"/>
        <w:gridCol w:w="2127"/>
      </w:tblGrid>
      <w:tr>
        <w:tblPrEx>
          <w:tblLayout w:type="fixed"/>
          <w:tblCellMar>
            <w:top w:w="0" w:type="dxa"/>
            <w:left w:w="0" w:type="dxa"/>
            <w:bottom w:w="0" w:type="dxa"/>
            <w:right w:w="0" w:type="dxa"/>
          </w:tblCellMar>
        </w:tblPrEx>
        <w:trPr>
          <w:trHeight w:val="570"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序号</w:t>
            </w: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名称</w:t>
            </w:r>
          </w:p>
        </w:tc>
        <w:tc>
          <w:tcPr>
            <w:tcW w:w="850" w:type="dxa"/>
            <w:tcBorders>
              <w:top w:val="single" w:color="auto" w:sz="4" w:space="0"/>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数量</w:t>
            </w:r>
          </w:p>
        </w:tc>
        <w:tc>
          <w:tcPr>
            <w:tcW w:w="2127" w:type="dxa"/>
            <w:tcBorders>
              <w:top w:val="single" w:color="auto" w:sz="4" w:space="0"/>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交货时间</w:t>
            </w:r>
          </w:p>
        </w:tc>
      </w:tr>
      <w:tr>
        <w:tblPrEx>
          <w:tblLayout w:type="fixed"/>
          <w:tblCellMar>
            <w:top w:w="0" w:type="dxa"/>
            <w:left w:w="0" w:type="dxa"/>
            <w:bottom w:w="0" w:type="dxa"/>
            <w:right w:w="0" w:type="dxa"/>
          </w:tblCellMar>
        </w:tblPrEx>
        <w:trPr>
          <w:trHeight w:val="300"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1</w:t>
            </w: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jc w:val="center"/>
              <w:rPr>
                <w:rFonts w:hint="eastAsia" w:ascii="宋体" w:hAnsi="宋体" w:cs="宋体"/>
                <w:color w:val="000000"/>
                <w:sz w:val="21"/>
                <w:szCs w:val="21"/>
              </w:rPr>
            </w:pPr>
            <w:r>
              <w:rPr>
                <w:rFonts w:hint="eastAsia" w:ascii="宋体" w:hAnsi="宋体"/>
                <w:color w:val="000000"/>
                <w:sz w:val="21"/>
                <w:szCs w:val="21"/>
              </w:rPr>
              <w:t>筛分布料器</w:t>
            </w:r>
          </w:p>
        </w:tc>
        <w:tc>
          <w:tcPr>
            <w:tcW w:w="850"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2127"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随设备提供</w:t>
            </w:r>
          </w:p>
        </w:tc>
      </w:tr>
      <w:tr>
        <w:tblPrEx>
          <w:tblLayout w:type="fixed"/>
          <w:tblCellMar>
            <w:top w:w="0" w:type="dxa"/>
            <w:left w:w="0" w:type="dxa"/>
            <w:bottom w:w="0" w:type="dxa"/>
            <w:right w:w="0" w:type="dxa"/>
          </w:tblCellMar>
        </w:tblPrEx>
        <w:trPr>
          <w:trHeight w:val="379"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2</w:t>
            </w: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jc w:val="center"/>
              <w:rPr>
                <w:rFonts w:hint="eastAsia" w:ascii="宋体" w:hAnsi="宋体" w:cs="宋体"/>
                <w:color w:val="000000"/>
                <w:sz w:val="21"/>
                <w:szCs w:val="21"/>
              </w:rPr>
            </w:pPr>
            <w:r>
              <w:rPr>
                <w:rFonts w:hint="eastAsia" w:ascii="宋体" w:hAnsi="宋体"/>
                <w:color w:val="000000"/>
                <w:sz w:val="21"/>
                <w:szCs w:val="21"/>
              </w:rPr>
              <w:t>就地控制柜及控制系统</w:t>
            </w:r>
          </w:p>
        </w:tc>
        <w:tc>
          <w:tcPr>
            <w:tcW w:w="850"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2127"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随设备提供</w:t>
            </w:r>
          </w:p>
        </w:tc>
      </w:tr>
      <w:tr>
        <w:tblPrEx>
          <w:tblLayout w:type="fixed"/>
          <w:tblCellMar>
            <w:top w:w="0" w:type="dxa"/>
            <w:left w:w="0" w:type="dxa"/>
            <w:bottom w:w="0" w:type="dxa"/>
            <w:right w:w="0" w:type="dxa"/>
          </w:tblCellMar>
        </w:tblPrEx>
        <w:trPr>
          <w:trHeight w:val="285"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4</w:t>
            </w: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jc w:val="center"/>
              <w:rPr>
                <w:rFonts w:hint="eastAsia" w:ascii="宋体" w:hAnsi="宋体" w:cs="宋体"/>
                <w:color w:val="000000"/>
                <w:sz w:val="21"/>
                <w:szCs w:val="21"/>
              </w:rPr>
            </w:pPr>
            <w:r>
              <w:rPr>
                <w:rFonts w:hint="eastAsia" w:ascii="宋体" w:hAnsi="宋体"/>
                <w:color w:val="000000"/>
                <w:sz w:val="21"/>
                <w:szCs w:val="21"/>
              </w:rPr>
              <w:t>设备与就地控制柜连接电缆</w:t>
            </w:r>
          </w:p>
        </w:tc>
        <w:tc>
          <w:tcPr>
            <w:tcW w:w="850"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2127"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随设备提供</w:t>
            </w:r>
          </w:p>
        </w:tc>
      </w:tr>
      <w:tr>
        <w:tblPrEx>
          <w:tblLayout w:type="fixed"/>
          <w:tblCellMar>
            <w:top w:w="0" w:type="dxa"/>
            <w:left w:w="0" w:type="dxa"/>
            <w:bottom w:w="0" w:type="dxa"/>
            <w:right w:w="0" w:type="dxa"/>
          </w:tblCellMar>
        </w:tblPrEx>
        <w:trPr>
          <w:trHeight w:val="300"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5</w:t>
            </w: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jc w:val="center"/>
              <w:rPr>
                <w:rFonts w:hint="eastAsia" w:ascii="宋体" w:hAnsi="宋体" w:cs="宋体"/>
                <w:color w:val="000000"/>
                <w:sz w:val="21"/>
                <w:szCs w:val="21"/>
              </w:rPr>
            </w:pPr>
            <w:r>
              <w:rPr>
                <w:rFonts w:hint="eastAsia" w:ascii="宋体" w:hAnsi="宋体"/>
                <w:color w:val="000000"/>
                <w:sz w:val="21"/>
                <w:szCs w:val="21"/>
              </w:rPr>
              <w:t>筛分布料器配套的检修平台</w:t>
            </w:r>
          </w:p>
        </w:tc>
        <w:tc>
          <w:tcPr>
            <w:tcW w:w="850"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2127" w:type="dxa"/>
            <w:tcBorders>
              <w:top w:val="nil"/>
              <w:left w:val="nil"/>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随设备提供</w:t>
            </w:r>
          </w:p>
        </w:tc>
      </w:tr>
      <w:tr>
        <w:tblPrEx>
          <w:tblLayout w:type="fixed"/>
          <w:tblCellMar>
            <w:top w:w="0" w:type="dxa"/>
            <w:left w:w="0" w:type="dxa"/>
            <w:bottom w:w="0" w:type="dxa"/>
            <w:right w:w="0" w:type="dxa"/>
          </w:tblCellMar>
        </w:tblPrEx>
        <w:trPr>
          <w:trHeight w:val="285"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6</w:t>
            </w: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jc w:val="center"/>
              <w:rPr>
                <w:rFonts w:hint="eastAsia" w:ascii="宋体" w:hAnsi="宋体" w:cs="宋体"/>
                <w:color w:val="000000"/>
                <w:sz w:val="21"/>
                <w:szCs w:val="21"/>
              </w:rPr>
            </w:pPr>
            <w:r>
              <w:rPr>
                <w:rFonts w:hint="eastAsia" w:ascii="宋体" w:hAnsi="宋体"/>
                <w:color w:val="000000"/>
                <w:sz w:val="21"/>
                <w:szCs w:val="21"/>
              </w:rPr>
              <w:t>电液犁煤器</w:t>
            </w:r>
          </w:p>
        </w:tc>
        <w:tc>
          <w:tcPr>
            <w:tcW w:w="850"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2127"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r>
              <w:rPr>
                <w:rFonts w:hint="eastAsia" w:ascii="宋体" w:hAnsi="宋体" w:cs="宋体"/>
                <w:color w:val="000000"/>
                <w:sz w:val="21"/>
                <w:szCs w:val="21"/>
              </w:rPr>
              <w:t>随设备提供</w:t>
            </w:r>
          </w:p>
        </w:tc>
      </w:tr>
      <w:tr>
        <w:tblPrEx>
          <w:tblLayout w:type="fixed"/>
          <w:tblCellMar>
            <w:top w:w="0" w:type="dxa"/>
            <w:left w:w="0" w:type="dxa"/>
            <w:bottom w:w="0" w:type="dxa"/>
            <w:right w:w="0" w:type="dxa"/>
          </w:tblCellMar>
        </w:tblPrEx>
        <w:trPr>
          <w:trHeight w:val="285"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jc w:val="center"/>
              <w:rPr>
                <w:rFonts w:hint="eastAsia" w:ascii="宋体" w:hAnsi="宋体"/>
                <w:color w:val="000000"/>
                <w:sz w:val="21"/>
                <w:szCs w:val="21"/>
              </w:rPr>
            </w:pPr>
          </w:p>
        </w:tc>
        <w:tc>
          <w:tcPr>
            <w:tcW w:w="850"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2127"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r>
      <w:tr>
        <w:tblPrEx>
          <w:tblLayout w:type="fixed"/>
          <w:tblCellMar>
            <w:top w:w="0" w:type="dxa"/>
            <w:left w:w="0" w:type="dxa"/>
            <w:bottom w:w="0" w:type="dxa"/>
            <w:right w:w="0" w:type="dxa"/>
          </w:tblCellMar>
        </w:tblPrEx>
        <w:trPr>
          <w:trHeight w:val="285"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jc w:val="center"/>
              <w:rPr>
                <w:rFonts w:hint="eastAsia" w:ascii="宋体" w:hAnsi="宋体"/>
                <w:color w:val="000000"/>
                <w:sz w:val="21"/>
                <w:szCs w:val="21"/>
              </w:rPr>
            </w:pPr>
          </w:p>
        </w:tc>
        <w:tc>
          <w:tcPr>
            <w:tcW w:w="850"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2127"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r>
      <w:tr>
        <w:tblPrEx>
          <w:tblLayout w:type="fixed"/>
          <w:tblCellMar>
            <w:top w:w="0" w:type="dxa"/>
            <w:left w:w="0" w:type="dxa"/>
            <w:bottom w:w="0" w:type="dxa"/>
            <w:right w:w="0" w:type="dxa"/>
          </w:tblCellMar>
        </w:tblPrEx>
        <w:trPr>
          <w:trHeight w:val="285" w:hRule="atLeast"/>
        </w:trPr>
        <w:tc>
          <w:tcPr>
            <w:tcW w:w="962"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5579" w:type="dxa"/>
            <w:tcBorders>
              <w:top w:val="single" w:color="auto" w:sz="4" w:space="0"/>
              <w:left w:val="nil"/>
              <w:bottom w:val="single" w:color="auto" w:sz="4" w:space="0"/>
              <w:right w:val="single" w:color="auto" w:sz="4" w:space="0"/>
            </w:tcBorders>
            <w:tcMar>
              <w:top w:w="20" w:type="dxa"/>
              <w:left w:w="20" w:type="dxa"/>
              <w:right w:w="20" w:type="dxa"/>
            </w:tcMar>
            <w:vAlign w:val="center"/>
          </w:tcPr>
          <w:p>
            <w:pPr>
              <w:jc w:val="center"/>
              <w:rPr>
                <w:rFonts w:hint="eastAsia" w:ascii="宋体" w:hAnsi="宋体"/>
                <w:color w:val="000000"/>
                <w:sz w:val="21"/>
                <w:szCs w:val="21"/>
              </w:rPr>
            </w:pPr>
          </w:p>
        </w:tc>
        <w:tc>
          <w:tcPr>
            <w:tcW w:w="850"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c>
          <w:tcPr>
            <w:tcW w:w="2127"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spacing w:line="360" w:lineRule="auto"/>
              <w:jc w:val="center"/>
              <w:rPr>
                <w:rFonts w:hint="eastAsia" w:ascii="宋体" w:hAnsi="宋体" w:cs="宋体"/>
                <w:color w:val="000000"/>
                <w:sz w:val="21"/>
                <w:szCs w:val="21"/>
              </w:rPr>
            </w:pPr>
          </w:p>
        </w:tc>
      </w:tr>
    </w:tbl>
    <w:p>
      <w:pPr>
        <w:tabs>
          <w:tab w:val="left" w:pos="1260"/>
          <w:tab w:val="left" w:pos="1440"/>
        </w:tabs>
        <w:spacing w:line="360" w:lineRule="auto"/>
        <w:rPr>
          <w:rFonts w:hint="eastAsia" w:ascii="宋体" w:hAnsi="Calibri"/>
          <w:bCs/>
          <w:color w:val="000000"/>
          <w:sz w:val="21"/>
          <w:szCs w:val="21"/>
        </w:rPr>
      </w:pPr>
      <w:r>
        <w:rPr>
          <w:rFonts w:ascii="宋体" w:hAnsi="宋体" w:cs="宋体"/>
          <w:color w:val="000000"/>
          <w:sz w:val="21"/>
          <w:szCs w:val="21"/>
        </w:rPr>
        <w:t>6</w:t>
      </w:r>
      <w:r>
        <w:rPr>
          <w:rFonts w:hint="eastAsia" w:ascii="宋体" w:hAnsi="宋体" w:cs="宋体"/>
          <w:color w:val="000000"/>
          <w:sz w:val="21"/>
          <w:szCs w:val="21"/>
        </w:rPr>
        <w:t>.</w:t>
      </w:r>
      <w:r>
        <w:rPr>
          <w:rFonts w:ascii="宋体" w:hAnsi="宋体" w:cs="宋体"/>
          <w:color w:val="000000"/>
          <w:sz w:val="21"/>
          <w:szCs w:val="21"/>
        </w:rPr>
        <w:t>2</w:t>
      </w:r>
      <w:r>
        <w:rPr>
          <w:rFonts w:hint="eastAsia" w:ascii="宋体" w:hAnsi="Calibri"/>
          <w:bCs/>
          <w:color w:val="000000"/>
          <w:sz w:val="21"/>
          <w:szCs w:val="21"/>
        </w:rPr>
        <w:t>本项目竣工后一周内，投标方负责将以下各资料原件（各两份）移交</w:t>
      </w:r>
      <w:r>
        <w:rPr>
          <w:rFonts w:hint="eastAsia" w:ascii="宋体" w:hAnsi="Calibri"/>
          <w:bCs/>
          <w:color w:val="000000"/>
          <w:sz w:val="21"/>
          <w:szCs w:val="21"/>
          <w:lang w:eastAsia="zh-CN"/>
        </w:rPr>
        <w:t>招标方</w:t>
      </w:r>
      <w:r>
        <w:rPr>
          <w:rFonts w:hint="eastAsia" w:ascii="宋体" w:hAnsi="Calibri"/>
          <w:bCs/>
          <w:color w:val="000000"/>
          <w:sz w:val="21"/>
          <w:szCs w:val="21"/>
        </w:rPr>
        <w:t>档案室（移交前需经</w:t>
      </w:r>
      <w:r>
        <w:rPr>
          <w:rFonts w:hint="eastAsia" w:ascii="宋体" w:hAnsi="Calibri"/>
          <w:bCs/>
          <w:color w:val="000000"/>
          <w:sz w:val="21"/>
          <w:szCs w:val="21"/>
          <w:lang w:eastAsia="zh-CN"/>
        </w:rPr>
        <w:t>招标方</w:t>
      </w:r>
      <w:r>
        <w:rPr>
          <w:rFonts w:hint="eastAsia" w:ascii="宋体" w:hAnsi="Calibri"/>
          <w:bCs/>
          <w:color w:val="000000"/>
          <w:sz w:val="21"/>
          <w:szCs w:val="21"/>
        </w:rPr>
        <w:t>的生产技术部和综合检修部审核）。</w:t>
      </w:r>
    </w:p>
    <w:p>
      <w:pPr>
        <w:tabs>
          <w:tab w:val="left" w:pos="1260"/>
          <w:tab w:val="left" w:pos="1440"/>
        </w:tabs>
        <w:spacing w:line="360" w:lineRule="auto"/>
        <w:rPr>
          <w:rFonts w:hint="eastAsia" w:ascii="宋体" w:hAnsi="Calibri"/>
          <w:bCs/>
          <w:color w:val="000000"/>
          <w:sz w:val="21"/>
          <w:szCs w:val="21"/>
        </w:rPr>
      </w:pPr>
      <w:r>
        <w:rPr>
          <w:rFonts w:hint="eastAsia" w:ascii="宋体" w:hAnsi="Calibri"/>
          <w:bCs/>
          <w:color w:val="000000"/>
          <w:sz w:val="21"/>
          <w:szCs w:val="21"/>
        </w:rPr>
        <w:t>6.</w:t>
      </w:r>
      <w:r>
        <w:rPr>
          <w:rFonts w:ascii="宋体" w:hAnsi="Calibri"/>
          <w:bCs/>
          <w:color w:val="000000"/>
          <w:sz w:val="21"/>
          <w:szCs w:val="21"/>
        </w:rPr>
        <w:t>2</w:t>
      </w:r>
      <w:r>
        <w:rPr>
          <w:rFonts w:hint="eastAsia" w:ascii="宋体" w:hAnsi="Calibri"/>
          <w:bCs/>
          <w:color w:val="000000"/>
          <w:sz w:val="21"/>
          <w:szCs w:val="21"/>
        </w:rPr>
        <w:t>.1项目组织措施、技术措施、安全措施、开工报告、开关联系单及安全交底。</w:t>
      </w:r>
    </w:p>
    <w:p>
      <w:pPr>
        <w:tabs>
          <w:tab w:val="left" w:pos="1260"/>
          <w:tab w:val="left" w:pos="1440"/>
        </w:tabs>
        <w:spacing w:line="360" w:lineRule="auto"/>
        <w:rPr>
          <w:rFonts w:hint="eastAsia" w:ascii="宋体" w:hAnsi="Calibri"/>
          <w:bCs/>
          <w:color w:val="000000"/>
          <w:sz w:val="21"/>
          <w:szCs w:val="21"/>
        </w:rPr>
      </w:pPr>
      <w:r>
        <w:rPr>
          <w:rFonts w:hint="eastAsia" w:ascii="宋体" w:hAnsi="Calibri"/>
          <w:bCs/>
          <w:color w:val="000000"/>
          <w:sz w:val="21"/>
          <w:szCs w:val="21"/>
        </w:rPr>
        <w:t>6.</w:t>
      </w:r>
      <w:r>
        <w:rPr>
          <w:rFonts w:ascii="宋体" w:hAnsi="Calibri"/>
          <w:bCs/>
          <w:color w:val="000000"/>
          <w:sz w:val="21"/>
          <w:szCs w:val="21"/>
        </w:rPr>
        <w:t>2</w:t>
      </w:r>
      <w:r>
        <w:rPr>
          <w:rFonts w:hint="eastAsia" w:ascii="宋体" w:hAnsi="Calibri"/>
          <w:bCs/>
          <w:color w:val="000000"/>
          <w:sz w:val="21"/>
          <w:szCs w:val="21"/>
        </w:rPr>
        <w:t>.2．检修及相关试验、验收记录、项目文件包。</w:t>
      </w:r>
    </w:p>
    <w:p>
      <w:pPr>
        <w:tabs>
          <w:tab w:val="left" w:pos="1260"/>
          <w:tab w:val="left" w:pos="1440"/>
        </w:tabs>
        <w:spacing w:line="360" w:lineRule="auto"/>
        <w:rPr>
          <w:rFonts w:hint="eastAsia" w:ascii="宋体" w:hAnsi="Calibri"/>
          <w:bCs/>
          <w:color w:val="000000"/>
          <w:sz w:val="21"/>
          <w:szCs w:val="21"/>
        </w:rPr>
      </w:pPr>
      <w:r>
        <w:rPr>
          <w:rFonts w:hint="eastAsia" w:ascii="宋体" w:hAnsi="Calibri"/>
          <w:bCs/>
          <w:color w:val="000000"/>
          <w:sz w:val="21"/>
          <w:szCs w:val="21"/>
        </w:rPr>
        <w:t>6.</w:t>
      </w:r>
      <w:r>
        <w:rPr>
          <w:rFonts w:ascii="宋体" w:hAnsi="Calibri"/>
          <w:bCs/>
          <w:color w:val="000000"/>
          <w:sz w:val="21"/>
          <w:szCs w:val="21"/>
        </w:rPr>
        <w:t>2</w:t>
      </w:r>
      <w:r>
        <w:rPr>
          <w:rFonts w:hint="eastAsia" w:ascii="宋体" w:hAnsi="Calibri"/>
          <w:bCs/>
          <w:color w:val="000000"/>
          <w:sz w:val="21"/>
          <w:szCs w:val="21"/>
        </w:rPr>
        <w:t>.3．项目竣工验收报告及检修项目质量验收单。</w:t>
      </w:r>
    </w:p>
    <w:p>
      <w:pPr>
        <w:tabs>
          <w:tab w:val="left" w:pos="1260"/>
          <w:tab w:val="left" w:pos="1440"/>
        </w:tabs>
        <w:spacing w:line="360" w:lineRule="auto"/>
        <w:rPr>
          <w:rFonts w:hint="eastAsia" w:ascii="宋体" w:hAnsi="Calibri"/>
          <w:bCs/>
          <w:color w:val="000000"/>
          <w:sz w:val="21"/>
          <w:szCs w:val="21"/>
        </w:rPr>
      </w:pPr>
      <w:r>
        <w:rPr>
          <w:rFonts w:hint="eastAsia" w:ascii="宋体" w:hAnsi="Calibri"/>
          <w:bCs/>
          <w:color w:val="000000"/>
          <w:sz w:val="21"/>
          <w:szCs w:val="21"/>
        </w:rPr>
        <w:t>6.</w:t>
      </w:r>
      <w:r>
        <w:rPr>
          <w:rFonts w:ascii="宋体" w:hAnsi="Calibri"/>
          <w:bCs/>
          <w:color w:val="000000"/>
          <w:sz w:val="21"/>
          <w:szCs w:val="21"/>
        </w:rPr>
        <w:t>2</w:t>
      </w:r>
      <w:r>
        <w:rPr>
          <w:rFonts w:hint="eastAsia" w:ascii="宋体" w:hAnsi="Calibri"/>
          <w:bCs/>
          <w:color w:val="000000"/>
          <w:sz w:val="21"/>
          <w:szCs w:val="21"/>
        </w:rPr>
        <w:t>.4．隐蔽项验收单、返工验收单、异动报告。</w:t>
      </w:r>
    </w:p>
    <w:p>
      <w:pPr>
        <w:tabs>
          <w:tab w:val="left" w:pos="1260"/>
          <w:tab w:val="left" w:pos="1440"/>
        </w:tabs>
        <w:spacing w:line="360" w:lineRule="auto"/>
        <w:rPr>
          <w:rFonts w:hint="eastAsia" w:ascii="宋体" w:hAnsi="Calibri"/>
          <w:bCs/>
          <w:color w:val="000000"/>
          <w:sz w:val="21"/>
          <w:szCs w:val="21"/>
        </w:rPr>
      </w:pPr>
      <w:r>
        <w:rPr>
          <w:rFonts w:hint="eastAsia" w:ascii="宋体" w:hAnsi="Calibri"/>
          <w:bCs/>
          <w:color w:val="000000"/>
          <w:sz w:val="21"/>
          <w:szCs w:val="21"/>
        </w:rPr>
        <w:t>6.</w:t>
      </w:r>
      <w:r>
        <w:rPr>
          <w:rFonts w:ascii="宋体" w:hAnsi="Calibri"/>
          <w:bCs/>
          <w:color w:val="000000"/>
          <w:sz w:val="21"/>
          <w:szCs w:val="21"/>
        </w:rPr>
        <w:t>2</w:t>
      </w:r>
      <w:r>
        <w:rPr>
          <w:rFonts w:hint="eastAsia" w:ascii="宋体" w:hAnsi="Calibri"/>
          <w:bCs/>
          <w:color w:val="000000"/>
          <w:sz w:val="21"/>
          <w:szCs w:val="21"/>
        </w:rPr>
        <w:t>.5．详细的产品质量证明文件,包括材质、材质检验、焊接、热处理,加工质量,外形尺寸和性能检验等的证明</w:t>
      </w:r>
    </w:p>
    <w:p>
      <w:pPr>
        <w:tabs>
          <w:tab w:val="left" w:pos="1260"/>
          <w:tab w:val="left" w:pos="1440"/>
        </w:tabs>
        <w:spacing w:line="360" w:lineRule="auto"/>
        <w:rPr>
          <w:rFonts w:hint="eastAsia" w:ascii="宋体" w:hAnsi="Calibri"/>
          <w:bCs/>
          <w:color w:val="000000"/>
          <w:sz w:val="21"/>
          <w:szCs w:val="21"/>
        </w:rPr>
      </w:pPr>
      <w:r>
        <w:rPr>
          <w:rFonts w:hint="eastAsia" w:ascii="宋体" w:hAnsi="Calibri"/>
          <w:bCs/>
          <w:color w:val="000000"/>
          <w:sz w:val="21"/>
          <w:szCs w:val="21"/>
        </w:rPr>
        <w:t>6.</w:t>
      </w:r>
      <w:r>
        <w:rPr>
          <w:rFonts w:ascii="宋体" w:hAnsi="Calibri"/>
          <w:bCs/>
          <w:color w:val="000000"/>
          <w:sz w:val="21"/>
          <w:szCs w:val="21"/>
        </w:rPr>
        <w:t>2</w:t>
      </w:r>
      <w:r>
        <w:rPr>
          <w:rFonts w:hint="eastAsia" w:ascii="宋体" w:hAnsi="Calibri"/>
          <w:bCs/>
          <w:color w:val="000000"/>
          <w:sz w:val="21"/>
          <w:szCs w:val="21"/>
        </w:rPr>
        <w:t>.6．本项目实施期间所产生的一切技术资料。</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6</w:t>
      </w:r>
      <w:r>
        <w:rPr>
          <w:rFonts w:hint="eastAsia" w:ascii="宋体" w:hAnsi="宋体" w:cs="宋体"/>
          <w:color w:val="000000"/>
          <w:sz w:val="21"/>
          <w:szCs w:val="21"/>
        </w:rPr>
        <w:t>.</w:t>
      </w:r>
      <w:r>
        <w:rPr>
          <w:rFonts w:ascii="宋体" w:hAnsi="宋体" w:cs="宋体"/>
          <w:color w:val="000000"/>
          <w:sz w:val="21"/>
          <w:szCs w:val="21"/>
        </w:rPr>
        <w:t>3</w:t>
      </w:r>
      <w:r>
        <w:rPr>
          <w:rFonts w:hint="eastAsia" w:ascii="宋体" w:hAnsi="宋体" w:cs="宋体"/>
          <w:color w:val="000000"/>
          <w:sz w:val="21"/>
          <w:szCs w:val="21"/>
        </w:rPr>
        <w:t>投标方交付的图纸资料的交付进度应满足项目进度的要求。资料包括但不限于以下清单：</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A 设备外形图；</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B 设备基础图；</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C 电气原理图及控制资料：就地信号端子转接箱内部安装及端子排接线图；一次仪表安装接线图；各种箱柜的外形尺寸、基础图；</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D 筛分布料器与程控系统连锁的相关图纸资料，控制逻辑等。</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E 提供纸版图纸3份，电子版图纸1份</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F分包外购的部件和设备的质量合格证书;</w:t>
      </w:r>
    </w:p>
    <w:p>
      <w:pPr>
        <w:tabs>
          <w:tab w:val="left" w:pos="1260"/>
          <w:tab w:val="left" w:pos="1440"/>
        </w:tabs>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G 主要材料的质量合格证;</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15" w:name="_Toc3865541"/>
      <w:r>
        <w:rPr>
          <w:rFonts w:hint="eastAsia"/>
          <w:color w:val="000000"/>
          <w:sz w:val="21"/>
          <w:szCs w:val="21"/>
        </w:rPr>
        <w:t>7．技术服务及培训</w:t>
      </w:r>
      <w:bookmarkEnd w:id="15"/>
    </w:p>
    <w:p>
      <w:pPr>
        <w:spacing w:line="360" w:lineRule="auto"/>
        <w:rPr>
          <w:rFonts w:hint="eastAsia" w:ascii="宋体" w:hAnsi="宋体" w:cs="宋体"/>
          <w:color w:val="000000"/>
          <w:sz w:val="21"/>
          <w:szCs w:val="21"/>
        </w:rPr>
      </w:pPr>
      <w:r>
        <w:rPr>
          <w:rFonts w:hint="eastAsia" w:ascii="宋体" w:hAnsi="宋体" w:cs="宋体"/>
          <w:color w:val="000000"/>
          <w:sz w:val="21"/>
          <w:szCs w:val="21"/>
        </w:rPr>
        <w:t>7.1技术服务</w:t>
      </w:r>
    </w:p>
    <w:p>
      <w:pPr>
        <w:spacing w:line="360" w:lineRule="auto"/>
        <w:rPr>
          <w:rFonts w:hint="eastAsia" w:ascii="宋体" w:hAnsi="宋体" w:cs="宋体"/>
          <w:color w:val="000000"/>
          <w:sz w:val="21"/>
          <w:szCs w:val="21"/>
        </w:rPr>
      </w:pPr>
      <w:r>
        <w:rPr>
          <w:rFonts w:hint="eastAsia" w:ascii="宋体" w:hAnsi="宋体" w:cs="宋体"/>
          <w:color w:val="000000"/>
          <w:sz w:val="21"/>
          <w:szCs w:val="21"/>
        </w:rPr>
        <w:t>7.1.1 在设备调试、试运转以及设备质量保证期内，投标方应派遣必要数量的能胜任工作的技术人员到招标方现场从事技术服务工作，在正确安装维修、故障排除及操作使用等方面为招标方提供技术上的帮助和支持，以保证设备能顺利投入使用。在设备安装调试、试运行期间投标方所派遣的技术人员发生任何事故均由投标方自行负责。</w:t>
      </w:r>
    </w:p>
    <w:p>
      <w:pPr>
        <w:spacing w:line="360" w:lineRule="auto"/>
        <w:rPr>
          <w:rFonts w:hint="eastAsia" w:ascii="宋体" w:hAnsi="宋体" w:cs="宋体"/>
          <w:color w:val="000000"/>
          <w:sz w:val="21"/>
          <w:szCs w:val="21"/>
        </w:rPr>
      </w:pPr>
      <w:r>
        <w:rPr>
          <w:rFonts w:hint="eastAsia" w:ascii="宋体" w:hAnsi="宋体" w:cs="宋体"/>
          <w:color w:val="000000"/>
          <w:sz w:val="21"/>
          <w:szCs w:val="21"/>
        </w:rPr>
        <w:t>7.1.</w:t>
      </w:r>
      <w:r>
        <w:rPr>
          <w:rFonts w:ascii="宋体" w:hAnsi="宋体" w:cs="宋体"/>
          <w:color w:val="000000"/>
          <w:sz w:val="21"/>
          <w:szCs w:val="21"/>
        </w:rPr>
        <w:t>2</w:t>
      </w:r>
      <w:r>
        <w:rPr>
          <w:rFonts w:hint="eastAsia" w:ascii="宋体" w:hAnsi="宋体" w:cs="宋体"/>
          <w:color w:val="000000"/>
          <w:sz w:val="21"/>
          <w:szCs w:val="21"/>
        </w:rPr>
        <w:t xml:space="preserve"> 在设备质量保证期内，投标方免费提供5次维护保养服务。</w:t>
      </w:r>
    </w:p>
    <w:p>
      <w:pPr>
        <w:spacing w:line="360" w:lineRule="auto"/>
        <w:rPr>
          <w:rFonts w:hint="eastAsia" w:ascii="宋体" w:hAnsi="宋体" w:cs="宋体"/>
          <w:color w:val="000000"/>
          <w:sz w:val="21"/>
          <w:szCs w:val="21"/>
        </w:rPr>
      </w:pPr>
      <w:r>
        <w:rPr>
          <w:rFonts w:hint="eastAsia" w:ascii="宋体" w:hAnsi="宋体" w:cs="宋体"/>
          <w:color w:val="000000"/>
          <w:sz w:val="21"/>
          <w:szCs w:val="21"/>
        </w:rPr>
        <w:t>7.2 技术培训</w:t>
      </w:r>
    </w:p>
    <w:p>
      <w:pPr>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投标方需派技术人员到招标方现场免费对操作、维修人员进行技术培训。通过培训能够使操作人员熟练掌握作业车的各种功能，使检修人员能清楚其构造原理，并能处理简单故障。</w:t>
      </w:r>
    </w:p>
    <w:p>
      <w:pPr>
        <w:spacing w:line="360" w:lineRule="auto"/>
        <w:rPr>
          <w:rFonts w:hint="eastAsia" w:ascii="宋体" w:hAnsi="宋体" w:cs="宋体"/>
          <w:color w:val="000000"/>
          <w:sz w:val="21"/>
          <w:szCs w:val="21"/>
        </w:rPr>
      </w:pPr>
      <w:r>
        <w:rPr>
          <w:rFonts w:hint="eastAsia" w:ascii="宋体" w:hAnsi="宋体" w:cs="宋体"/>
          <w:color w:val="000000"/>
          <w:sz w:val="21"/>
          <w:szCs w:val="21"/>
        </w:rPr>
        <w:t>7.3设备安装及考核验收</w:t>
      </w:r>
    </w:p>
    <w:p>
      <w:pPr>
        <w:spacing w:line="360" w:lineRule="auto"/>
        <w:rPr>
          <w:rFonts w:hint="eastAsia" w:ascii="宋体" w:hAnsi="宋体" w:cs="宋体"/>
          <w:color w:val="000000"/>
          <w:sz w:val="21"/>
          <w:szCs w:val="21"/>
        </w:rPr>
      </w:pPr>
      <w:r>
        <w:rPr>
          <w:rFonts w:hint="eastAsia" w:ascii="宋体" w:hAnsi="宋体" w:cs="宋体"/>
          <w:color w:val="000000"/>
          <w:sz w:val="21"/>
          <w:szCs w:val="21"/>
        </w:rPr>
        <w:t>7.3.1 自合同签订之日起设备到货期为1个月。每超出一天考核人民币500元。</w:t>
      </w:r>
    </w:p>
    <w:p>
      <w:pPr>
        <w:spacing w:line="360" w:lineRule="auto"/>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7.3.2</w:t>
      </w:r>
      <w:r>
        <w:rPr>
          <w:rFonts w:hint="eastAsia" w:ascii="宋体" w:hAnsi="宋体" w:cs="宋体"/>
          <w:color w:val="000000"/>
          <w:sz w:val="21"/>
          <w:szCs w:val="21"/>
        </w:rPr>
        <w:t>设备到货</w:t>
      </w:r>
      <w:r>
        <w:rPr>
          <w:rFonts w:hint="eastAsia" w:ascii="宋体" w:hAnsi="宋体" w:cs="宋体"/>
          <w:color w:val="000000"/>
          <w:sz w:val="21"/>
          <w:szCs w:val="21"/>
          <w:lang w:val="en-US" w:eastAsia="zh-CN"/>
        </w:rPr>
        <w:t>后安装期为1个月。</w:t>
      </w:r>
      <w:r>
        <w:rPr>
          <w:rFonts w:hint="eastAsia" w:ascii="宋体" w:hAnsi="宋体" w:cs="宋体"/>
          <w:color w:val="000000"/>
          <w:sz w:val="21"/>
          <w:szCs w:val="21"/>
        </w:rPr>
        <w:t>每超出一天考核人民币500元。</w:t>
      </w:r>
    </w:p>
    <w:p>
      <w:pPr>
        <w:spacing w:line="360" w:lineRule="auto"/>
        <w:rPr>
          <w:rFonts w:hint="eastAsia" w:ascii="宋体" w:hAnsi="宋体" w:cs="宋体"/>
          <w:color w:val="000000"/>
          <w:sz w:val="21"/>
          <w:szCs w:val="21"/>
        </w:rPr>
      </w:pPr>
      <w:r>
        <w:rPr>
          <w:rFonts w:hint="eastAsia" w:ascii="宋体" w:hAnsi="宋体" w:cs="宋体"/>
          <w:color w:val="000000"/>
          <w:sz w:val="21"/>
          <w:szCs w:val="21"/>
        </w:rPr>
        <w:t>7.3.</w:t>
      </w:r>
      <w:r>
        <w:rPr>
          <w:rFonts w:hint="eastAsia" w:ascii="宋体" w:hAnsi="宋体" w:cs="宋体"/>
          <w:color w:val="000000"/>
          <w:sz w:val="21"/>
          <w:szCs w:val="21"/>
          <w:lang w:val="en-US" w:eastAsia="zh-CN"/>
        </w:rPr>
        <w:t>3</w:t>
      </w:r>
      <w:r>
        <w:rPr>
          <w:rFonts w:hint="eastAsia" w:ascii="宋体" w:hAnsi="宋体" w:cs="宋体"/>
          <w:color w:val="000000"/>
          <w:sz w:val="21"/>
          <w:szCs w:val="21"/>
        </w:rPr>
        <w:t xml:space="preserve"> 到货后投标方安装调试人员一周内到达现场，每超出一天考核200元人民币。</w:t>
      </w:r>
    </w:p>
    <w:p>
      <w:pPr>
        <w:spacing w:line="360" w:lineRule="auto"/>
        <w:rPr>
          <w:rFonts w:hint="eastAsia" w:ascii="宋体" w:hAnsi="Calibri"/>
          <w:color w:val="000000"/>
          <w:sz w:val="21"/>
          <w:szCs w:val="21"/>
        </w:rPr>
      </w:pPr>
      <w:r>
        <w:rPr>
          <w:rFonts w:ascii="宋体" w:hAnsi="Calibri"/>
          <w:color w:val="000000"/>
          <w:sz w:val="21"/>
          <w:szCs w:val="21"/>
        </w:rPr>
        <w:t>7.3</w:t>
      </w:r>
      <w:r>
        <w:rPr>
          <w:rFonts w:hint="eastAsia" w:ascii="宋体" w:hAnsi="Calibri"/>
          <w:color w:val="000000"/>
          <w:sz w:val="21"/>
          <w:szCs w:val="21"/>
        </w:rPr>
        <w:t>.</w:t>
      </w:r>
      <w:r>
        <w:rPr>
          <w:rFonts w:hint="eastAsia" w:ascii="宋体" w:hAnsi="Calibri"/>
          <w:color w:val="000000"/>
          <w:sz w:val="21"/>
          <w:szCs w:val="21"/>
          <w:lang w:val="en-US" w:eastAsia="zh-CN"/>
        </w:rPr>
        <w:t>4</w:t>
      </w:r>
      <w:r>
        <w:rPr>
          <w:rFonts w:hint="eastAsia" w:ascii="宋体" w:hAnsi="Calibri"/>
          <w:color w:val="000000"/>
          <w:sz w:val="21"/>
          <w:szCs w:val="21"/>
        </w:rPr>
        <w:t>投标方应对项目质量负完全责任，投标方不能因</w:t>
      </w:r>
      <w:r>
        <w:rPr>
          <w:rFonts w:hint="eastAsia" w:ascii="宋体" w:hAnsi="Calibri"/>
          <w:color w:val="000000"/>
          <w:sz w:val="21"/>
          <w:szCs w:val="21"/>
          <w:lang w:eastAsia="zh-CN"/>
        </w:rPr>
        <w:t>招标方</w:t>
      </w:r>
      <w:r>
        <w:rPr>
          <w:rFonts w:hint="eastAsia" w:ascii="宋体" w:hAnsi="Calibri"/>
          <w:color w:val="000000"/>
          <w:sz w:val="21"/>
          <w:szCs w:val="21"/>
        </w:rPr>
        <w:t>验收合格而推卸应承担的质量责任，</w:t>
      </w:r>
      <w:r>
        <w:rPr>
          <w:rFonts w:hint="eastAsia" w:ascii="宋体" w:hAnsi="Calibri"/>
          <w:color w:val="000000"/>
          <w:sz w:val="21"/>
          <w:szCs w:val="21"/>
          <w:lang w:eastAsia="zh-CN"/>
        </w:rPr>
        <w:t>招标方</w:t>
      </w:r>
      <w:r>
        <w:rPr>
          <w:rFonts w:hint="eastAsia" w:ascii="宋体" w:hAnsi="Calibri"/>
          <w:color w:val="000000"/>
          <w:sz w:val="21"/>
          <w:szCs w:val="21"/>
        </w:rPr>
        <w:t>应全力配合投标方进行验收工作；</w:t>
      </w:r>
    </w:p>
    <w:p>
      <w:pPr>
        <w:tabs>
          <w:tab w:val="left" w:pos="378"/>
          <w:tab w:val="left" w:pos="448"/>
        </w:tabs>
        <w:spacing w:line="360" w:lineRule="auto"/>
        <w:rPr>
          <w:rFonts w:hint="eastAsia" w:ascii="宋体" w:hAnsi="Calibri"/>
          <w:color w:val="000000"/>
          <w:sz w:val="21"/>
          <w:szCs w:val="21"/>
        </w:rPr>
      </w:pPr>
      <w:r>
        <w:rPr>
          <w:rFonts w:ascii="宋体" w:hAnsi="Calibri"/>
          <w:color w:val="000000"/>
          <w:sz w:val="21"/>
          <w:szCs w:val="21"/>
        </w:rPr>
        <w:t>7.3</w:t>
      </w:r>
      <w:r>
        <w:rPr>
          <w:rFonts w:hint="eastAsia" w:ascii="宋体" w:hAnsi="Calibri"/>
          <w:color w:val="000000"/>
          <w:sz w:val="21"/>
          <w:szCs w:val="21"/>
        </w:rPr>
        <w:t>.</w:t>
      </w:r>
      <w:r>
        <w:rPr>
          <w:rFonts w:hint="eastAsia" w:ascii="宋体" w:hAnsi="Calibri"/>
          <w:color w:val="000000"/>
          <w:sz w:val="21"/>
          <w:szCs w:val="21"/>
          <w:lang w:val="en-US" w:eastAsia="zh-CN"/>
        </w:rPr>
        <w:t>5</w:t>
      </w:r>
      <w:r>
        <w:rPr>
          <w:rFonts w:hint="eastAsia" w:ascii="宋体" w:hAnsi="Calibri"/>
          <w:color w:val="000000"/>
          <w:sz w:val="21"/>
          <w:szCs w:val="21"/>
        </w:rPr>
        <w:t>验收和标准由</w:t>
      </w:r>
      <w:r>
        <w:rPr>
          <w:rFonts w:hint="eastAsia" w:ascii="宋体" w:hAnsi="Calibri"/>
          <w:color w:val="000000"/>
          <w:sz w:val="21"/>
          <w:szCs w:val="21"/>
          <w:lang w:eastAsia="zh-CN"/>
        </w:rPr>
        <w:t>招标方</w:t>
      </w:r>
      <w:r>
        <w:rPr>
          <w:rFonts w:hint="eastAsia" w:ascii="宋体" w:hAnsi="Calibri"/>
          <w:color w:val="000000"/>
          <w:sz w:val="21"/>
          <w:szCs w:val="21"/>
        </w:rPr>
        <w:t>在开工前提供给投标方，投标方应严格按照相关标准进行安装与验收。</w:t>
      </w:r>
    </w:p>
    <w:p>
      <w:pPr>
        <w:adjustRightInd w:val="0"/>
        <w:snapToGrid w:val="0"/>
        <w:spacing w:line="360" w:lineRule="auto"/>
        <w:rPr>
          <w:rFonts w:ascii="宋体" w:hAnsi="宋体" w:cs="宋体"/>
          <w:color w:val="000000"/>
          <w:sz w:val="21"/>
          <w:szCs w:val="21"/>
        </w:rPr>
      </w:pPr>
      <w:r>
        <w:rPr>
          <w:rFonts w:ascii="宋体" w:hAnsi="宋体" w:cs="宋体"/>
          <w:color w:val="000000"/>
          <w:sz w:val="21"/>
          <w:szCs w:val="21"/>
        </w:rPr>
        <w:t>7.3.</w:t>
      </w:r>
      <w:r>
        <w:rPr>
          <w:rFonts w:hint="eastAsia" w:ascii="宋体" w:hAnsi="宋体" w:cs="宋体"/>
          <w:color w:val="000000"/>
          <w:sz w:val="21"/>
          <w:szCs w:val="21"/>
          <w:lang w:val="en-US" w:eastAsia="zh-CN"/>
        </w:rPr>
        <w:t>6</w:t>
      </w:r>
      <w:r>
        <w:rPr>
          <w:rFonts w:hint="eastAsia" w:ascii="宋体" w:hAnsi="宋体" w:cs="宋体"/>
          <w:color w:val="000000"/>
          <w:sz w:val="21"/>
          <w:szCs w:val="21"/>
        </w:rPr>
        <w:t>设备运行平稳、无卡碰、撞机等声音，紧固件无松动现象。</w:t>
      </w:r>
    </w:p>
    <w:p>
      <w:pPr>
        <w:adjustRightInd w:val="0"/>
        <w:snapToGrid w:val="0"/>
        <w:spacing w:line="360" w:lineRule="auto"/>
        <w:rPr>
          <w:rFonts w:ascii="宋体" w:hAnsi="宋体" w:cs="宋体"/>
          <w:color w:val="000000"/>
          <w:sz w:val="21"/>
          <w:szCs w:val="21"/>
        </w:rPr>
      </w:pPr>
      <w:r>
        <w:rPr>
          <w:rFonts w:ascii="宋体" w:hAnsi="宋体" w:cs="宋体"/>
          <w:color w:val="000000"/>
          <w:sz w:val="21"/>
          <w:szCs w:val="21"/>
        </w:rPr>
        <w:t>7.3.</w:t>
      </w:r>
      <w:r>
        <w:rPr>
          <w:rFonts w:hint="eastAsia" w:ascii="宋体" w:hAnsi="宋体" w:cs="宋体"/>
          <w:color w:val="000000"/>
          <w:sz w:val="21"/>
          <w:szCs w:val="21"/>
          <w:lang w:val="en-US" w:eastAsia="zh-CN"/>
        </w:rPr>
        <w:t>7</w:t>
      </w:r>
      <w:r>
        <w:rPr>
          <w:rFonts w:hint="eastAsia" w:ascii="宋体" w:hAnsi="宋体" w:cs="宋体"/>
          <w:color w:val="000000"/>
          <w:sz w:val="21"/>
          <w:szCs w:val="21"/>
        </w:rPr>
        <w:t>高效筛分布料器应功能完整、技术先进，并能满足人身设备安全和劳动保护条件，整机使用寿命30年。过滤筛轴磨损寿命不低于18个月。筛条表面硬度不低于HRC58度。</w:t>
      </w:r>
    </w:p>
    <w:p>
      <w:pPr>
        <w:adjustRightInd w:val="0"/>
        <w:snapToGrid w:val="0"/>
        <w:spacing w:line="360" w:lineRule="auto"/>
        <w:rPr>
          <w:rFonts w:ascii="宋体" w:hAnsi="宋体" w:cs="宋体"/>
          <w:color w:val="000000"/>
          <w:sz w:val="21"/>
          <w:szCs w:val="21"/>
        </w:rPr>
      </w:pPr>
      <w:r>
        <w:rPr>
          <w:rFonts w:ascii="宋体" w:hAnsi="宋体" w:cs="宋体"/>
          <w:color w:val="000000"/>
          <w:sz w:val="21"/>
          <w:szCs w:val="21"/>
        </w:rPr>
        <w:t>7.3.</w:t>
      </w:r>
      <w:r>
        <w:rPr>
          <w:rFonts w:hint="eastAsia" w:ascii="宋体" w:hAnsi="宋体" w:cs="宋体"/>
          <w:color w:val="000000"/>
          <w:sz w:val="21"/>
          <w:szCs w:val="21"/>
          <w:lang w:val="en-US" w:eastAsia="zh-CN"/>
        </w:rPr>
        <w:t>8</w:t>
      </w:r>
      <w:r>
        <w:rPr>
          <w:rFonts w:hint="eastAsia" w:ascii="宋体" w:hAnsi="宋体" w:cs="宋体"/>
          <w:color w:val="000000"/>
          <w:sz w:val="21"/>
          <w:szCs w:val="21"/>
        </w:rPr>
        <w:t>设备所使用的零部件或组件应有良好的互换性。一电机带多轴，链条传动。筛轴具备自清理功能，更换方便。筛轴设计合理，强度、刚度满足在任何特殊气候条件下煤质变化不发生筛轴变形或卡阻。筛轴侧面抽离，不揭上盖实现筛轴更换检修。</w:t>
      </w:r>
    </w:p>
    <w:p>
      <w:pPr>
        <w:adjustRightInd w:val="0"/>
        <w:snapToGrid w:val="0"/>
        <w:spacing w:line="360" w:lineRule="auto"/>
        <w:rPr>
          <w:rFonts w:ascii="宋体" w:hAnsi="宋体" w:cs="宋体"/>
          <w:color w:val="000000"/>
          <w:sz w:val="21"/>
          <w:szCs w:val="21"/>
        </w:rPr>
      </w:pPr>
      <w:r>
        <w:rPr>
          <w:rFonts w:ascii="宋体" w:hAnsi="宋体" w:cs="宋体"/>
          <w:color w:val="000000"/>
          <w:sz w:val="21"/>
          <w:szCs w:val="21"/>
        </w:rPr>
        <w:t>7.3.</w:t>
      </w:r>
      <w:r>
        <w:rPr>
          <w:rFonts w:hint="eastAsia" w:ascii="宋体" w:hAnsi="宋体" w:cs="宋体"/>
          <w:color w:val="000000"/>
          <w:sz w:val="21"/>
          <w:szCs w:val="21"/>
          <w:lang w:val="en-US" w:eastAsia="zh-CN"/>
        </w:rPr>
        <w:t>9</w:t>
      </w:r>
      <w:r>
        <w:rPr>
          <w:rFonts w:hint="eastAsia" w:ascii="宋体" w:hAnsi="宋体" w:cs="宋体"/>
          <w:color w:val="000000"/>
          <w:sz w:val="21"/>
          <w:szCs w:val="21"/>
        </w:rPr>
        <w:t>由于输煤系统的分流设备存在不均匀性，短时输送量可能会较大，筛分布料器设备的处理能力≮850t/h。（在瞬时煤量达到1000t/h时，不能出现过载跳机现象）</w:t>
      </w:r>
    </w:p>
    <w:p>
      <w:pPr>
        <w:adjustRightInd w:val="0"/>
        <w:snapToGrid w:val="0"/>
        <w:spacing w:line="360" w:lineRule="auto"/>
        <w:rPr>
          <w:rFonts w:ascii="宋体" w:hAnsi="宋体" w:cs="宋体"/>
          <w:color w:val="000000"/>
          <w:sz w:val="21"/>
          <w:szCs w:val="21"/>
        </w:rPr>
      </w:pPr>
      <w:r>
        <w:rPr>
          <w:rFonts w:ascii="宋体" w:hAnsi="宋体" w:cs="宋体"/>
          <w:color w:val="000000"/>
          <w:sz w:val="21"/>
          <w:szCs w:val="21"/>
        </w:rPr>
        <w:t>7.3.</w:t>
      </w:r>
      <w:r>
        <w:rPr>
          <w:rFonts w:hint="eastAsia" w:ascii="宋体" w:hAnsi="宋体" w:cs="宋体"/>
          <w:color w:val="000000"/>
          <w:sz w:val="21"/>
          <w:szCs w:val="21"/>
          <w:lang w:val="en-US" w:eastAsia="zh-CN"/>
        </w:rPr>
        <w:t>10</w:t>
      </w:r>
      <w:r>
        <w:rPr>
          <w:rFonts w:hint="eastAsia" w:ascii="宋体" w:hAnsi="宋体" w:cs="宋体"/>
          <w:color w:val="000000"/>
          <w:sz w:val="21"/>
          <w:szCs w:val="21"/>
        </w:rPr>
        <w:t>煤的外水水份高于10%但不高于20%时，筛分效率不低于90%，外水水份低于10%时筛分效率不低于95%。</w:t>
      </w:r>
    </w:p>
    <w:p>
      <w:pPr>
        <w:adjustRightInd w:val="0"/>
        <w:snapToGrid w:val="0"/>
        <w:spacing w:line="360" w:lineRule="auto"/>
        <w:rPr>
          <w:rFonts w:ascii="宋体" w:hAnsi="宋体" w:cs="宋体"/>
          <w:color w:val="000000"/>
          <w:sz w:val="21"/>
          <w:szCs w:val="21"/>
        </w:rPr>
      </w:pPr>
      <w:r>
        <w:rPr>
          <w:rFonts w:ascii="宋体" w:hAnsi="宋体" w:cs="宋体"/>
          <w:color w:val="000000"/>
          <w:sz w:val="21"/>
          <w:szCs w:val="21"/>
        </w:rPr>
        <w:t>7.3.</w:t>
      </w:r>
      <w:r>
        <w:rPr>
          <w:rFonts w:hint="eastAsia" w:ascii="宋体" w:hAnsi="宋体" w:cs="宋体"/>
          <w:color w:val="000000"/>
          <w:sz w:val="21"/>
          <w:szCs w:val="21"/>
        </w:rPr>
        <w:t>1</w:t>
      </w:r>
      <w:r>
        <w:rPr>
          <w:rFonts w:hint="eastAsia" w:ascii="宋体" w:hAnsi="宋体" w:cs="宋体"/>
          <w:color w:val="000000"/>
          <w:sz w:val="21"/>
          <w:szCs w:val="21"/>
          <w:lang w:val="en-US" w:eastAsia="zh-CN"/>
        </w:rPr>
        <w:t>1</w:t>
      </w:r>
      <w:r>
        <w:rPr>
          <w:rFonts w:hint="eastAsia" w:ascii="宋体" w:hAnsi="宋体" w:cs="宋体"/>
          <w:color w:val="000000"/>
          <w:sz w:val="21"/>
          <w:szCs w:val="21"/>
        </w:rPr>
        <w:t>筛下物粒度：筛下物粒径≤10mm</w:t>
      </w:r>
      <w:r>
        <w:rPr>
          <w:rFonts w:hint="eastAsia" w:ascii="宋体" w:hAnsi="宋体" w:cs="宋体"/>
          <w:color w:val="000000"/>
          <w:sz w:val="21"/>
          <w:szCs w:val="21"/>
          <w:lang w:eastAsia="zh-CN"/>
        </w:rPr>
        <w:t>。</w:t>
      </w:r>
    </w:p>
    <w:p>
      <w:pPr>
        <w:adjustRightInd w:val="0"/>
        <w:snapToGrid w:val="0"/>
        <w:spacing w:line="360" w:lineRule="auto"/>
        <w:rPr>
          <w:rFonts w:ascii="宋体" w:hAnsi="宋体" w:cs="宋体"/>
          <w:color w:val="000000"/>
          <w:sz w:val="21"/>
          <w:szCs w:val="21"/>
        </w:rPr>
      </w:pPr>
      <w:r>
        <w:rPr>
          <w:rFonts w:ascii="宋体" w:hAnsi="宋体" w:cs="宋体"/>
          <w:color w:val="000000"/>
          <w:sz w:val="21"/>
          <w:szCs w:val="21"/>
        </w:rPr>
        <w:t>7.3.1</w:t>
      </w:r>
      <w:r>
        <w:rPr>
          <w:rFonts w:hint="eastAsia" w:ascii="宋体" w:hAnsi="宋体" w:cs="宋体"/>
          <w:color w:val="000000"/>
          <w:sz w:val="21"/>
          <w:szCs w:val="21"/>
          <w:lang w:val="en-US" w:eastAsia="zh-CN"/>
        </w:rPr>
        <w:t>2</w:t>
      </w:r>
      <w:r>
        <w:rPr>
          <w:rFonts w:hint="eastAsia" w:ascii="宋体" w:hAnsi="宋体" w:cs="宋体"/>
          <w:color w:val="000000"/>
          <w:sz w:val="21"/>
          <w:szCs w:val="21"/>
        </w:rPr>
        <w:t>设备正常运行时周边一米内按GB12348-1990 工业企业厂界噪声标准II类混合区评价标准，测得噪音分贝应低于75 dB（A）。</w:t>
      </w:r>
    </w:p>
    <w:p>
      <w:pPr>
        <w:spacing w:line="360" w:lineRule="auto"/>
        <w:rPr>
          <w:rFonts w:hint="eastAsia" w:ascii="宋体" w:hAnsi="宋体" w:cs="宋体"/>
          <w:color w:val="000000"/>
          <w:sz w:val="21"/>
          <w:szCs w:val="21"/>
        </w:rPr>
      </w:pPr>
      <w:r>
        <w:rPr>
          <w:rFonts w:ascii="宋体" w:hAnsi="宋体" w:cs="宋体"/>
          <w:color w:val="000000"/>
          <w:sz w:val="21"/>
          <w:szCs w:val="21"/>
        </w:rPr>
        <w:t>7.3.1</w:t>
      </w:r>
      <w:r>
        <w:rPr>
          <w:rFonts w:hint="eastAsia" w:ascii="宋体" w:hAnsi="宋体" w:cs="宋体"/>
          <w:color w:val="000000"/>
          <w:sz w:val="21"/>
          <w:szCs w:val="21"/>
          <w:lang w:val="en-US" w:eastAsia="zh-CN"/>
        </w:rPr>
        <w:t>3</w:t>
      </w:r>
      <w:r>
        <w:rPr>
          <w:rFonts w:hint="eastAsia" w:ascii="宋体" w:hAnsi="宋体" w:cs="宋体"/>
          <w:color w:val="000000"/>
          <w:sz w:val="21"/>
          <w:szCs w:val="21"/>
        </w:rPr>
        <w:t>设备能实现就地控制和粗碎煤机联锁保护控制，满足技术规范书的要求。</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16" w:name="_Toc3865542"/>
      <w:r>
        <w:rPr>
          <w:rFonts w:hint="eastAsia"/>
          <w:color w:val="000000"/>
          <w:sz w:val="21"/>
          <w:szCs w:val="21"/>
        </w:rPr>
        <w:t>8．质量保证</w:t>
      </w:r>
      <w:bookmarkEnd w:id="16"/>
    </w:p>
    <w:p>
      <w:pPr>
        <w:autoSpaceDE w:val="0"/>
        <w:autoSpaceDN w:val="0"/>
        <w:adjustRightInd w:val="0"/>
        <w:snapToGrid w:val="0"/>
        <w:spacing w:line="360" w:lineRule="auto"/>
        <w:jc w:val="left"/>
        <w:rPr>
          <w:rFonts w:hint="eastAsia" w:ascii="宋体" w:hAnsi="宋体" w:cs="宋体"/>
          <w:color w:val="000000"/>
          <w:sz w:val="21"/>
          <w:szCs w:val="21"/>
        </w:rPr>
      </w:pPr>
      <w:r>
        <w:rPr>
          <w:rFonts w:ascii="宋体" w:hAnsi="宋体" w:cs="宋体"/>
          <w:color w:val="000000"/>
          <w:sz w:val="21"/>
          <w:szCs w:val="21"/>
        </w:rPr>
        <w:t>8</w:t>
      </w:r>
      <w:r>
        <w:rPr>
          <w:rFonts w:hint="eastAsia" w:ascii="宋体" w:hAnsi="宋体" w:cs="宋体"/>
          <w:color w:val="000000"/>
          <w:sz w:val="21"/>
          <w:szCs w:val="21"/>
        </w:rPr>
        <w:t>.1投标方保证所供设备是全面按ISO9001：2004标准设计和制造的，其质量管理模式是通过认证和有效的。</w:t>
      </w:r>
    </w:p>
    <w:p>
      <w:pPr>
        <w:tabs>
          <w:tab w:val="left" w:pos="350"/>
          <w:tab w:val="left" w:pos="378"/>
          <w:tab w:val="left" w:pos="448"/>
        </w:tabs>
        <w:spacing w:line="360" w:lineRule="auto"/>
        <w:rPr>
          <w:rFonts w:ascii="宋体" w:hAnsi="宋体" w:cs="宋体"/>
          <w:color w:val="000000"/>
          <w:sz w:val="21"/>
          <w:szCs w:val="21"/>
        </w:rPr>
      </w:pPr>
      <w:r>
        <w:rPr>
          <w:rFonts w:ascii="宋体" w:hAnsi="宋体" w:cs="宋体"/>
          <w:color w:val="000000"/>
          <w:sz w:val="21"/>
          <w:szCs w:val="21"/>
        </w:rPr>
        <w:t>8</w:t>
      </w:r>
      <w:r>
        <w:rPr>
          <w:rFonts w:hint="eastAsia" w:ascii="宋体" w:hAnsi="宋体" w:cs="宋体"/>
          <w:color w:val="000000"/>
          <w:sz w:val="21"/>
          <w:szCs w:val="21"/>
        </w:rPr>
        <w:t>.2本项目质保期为：</w:t>
      </w:r>
      <w:r>
        <w:rPr>
          <w:rFonts w:hint="eastAsia" w:ascii="宋体" w:hAnsi="宋体" w:cs="宋体"/>
          <w:color w:val="000000"/>
          <w:sz w:val="21"/>
          <w:szCs w:val="21"/>
          <w:u w:val="single"/>
        </w:rPr>
        <w:t>项目竣工验收后12个月</w:t>
      </w:r>
      <w:r>
        <w:rPr>
          <w:rFonts w:hint="eastAsia" w:ascii="宋体" w:hAnsi="宋体" w:cs="宋体"/>
          <w:color w:val="000000"/>
          <w:sz w:val="21"/>
          <w:szCs w:val="21"/>
        </w:rPr>
        <w:t>。质保期内设备正常运行过程中产生的任何因设计、制造、安装等原因产生的故障，投标方应在接到招标方通知后的四十八小时内，派专业检修人员到达现场消除故障，费用由投标方负责。</w:t>
      </w:r>
    </w:p>
    <w:p>
      <w:pPr>
        <w:tabs>
          <w:tab w:val="left" w:pos="350"/>
          <w:tab w:val="left" w:pos="378"/>
          <w:tab w:val="left" w:pos="448"/>
        </w:tabs>
        <w:spacing w:line="360" w:lineRule="auto"/>
        <w:rPr>
          <w:rFonts w:ascii="宋体" w:hAnsi="宋体" w:cs="宋体"/>
          <w:color w:val="000000"/>
          <w:sz w:val="21"/>
          <w:szCs w:val="21"/>
        </w:rPr>
      </w:pPr>
      <w:r>
        <w:rPr>
          <w:rFonts w:ascii="宋体" w:hAnsi="宋体" w:cs="宋体"/>
          <w:color w:val="000000"/>
          <w:sz w:val="21"/>
          <w:szCs w:val="21"/>
        </w:rPr>
        <w:t>8</w:t>
      </w:r>
      <w:r>
        <w:rPr>
          <w:rFonts w:hint="eastAsia" w:ascii="宋体" w:hAnsi="宋体" w:cs="宋体"/>
          <w:color w:val="000000"/>
          <w:sz w:val="21"/>
          <w:szCs w:val="21"/>
        </w:rPr>
        <w:t>.</w:t>
      </w:r>
      <w:r>
        <w:rPr>
          <w:rFonts w:ascii="宋体" w:hAnsi="宋体" w:cs="宋体"/>
          <w:color w:val="000000"/>
          <w:sz w:val="21"/>
          <w:szCs w:val="21"/>
        </w:rPr>
        <w:t>3</w:t>
      </w:r>
      <w:r>
        <w:rPr>
          <w:rFonts w:hint="eastAsia" w:ascii="宋体" w:hAnsi="宋体" w:cs="宋体"/>
          <w:color w:val="000000"/>
          <w:sz w:val="21"/>
          <w:szCs w:val="21"/>
        </w:rPr>
        <w:t>本项目质保期为1年，包括施工质量及投标方方提供的备件、材料。质保期内如有质量问题投标方负责无偿修复。</w:t>
      </w:r>
    </w:p>
    <w:p>
      <w:pPr>
        <w:tabs>
          <w:tab w:val="left" w:pos="350"/>
          <w:tab w:val="left" w:pos="378"/>
          <w:tab w:val="left" w:pos="448"/>
        </w:tabs>
        <w:spacing w:line="360" w:lineRule="auto"/>
        <w:rPr>
          <w:rFonts w:hint="eastAsia" w:ascii="宋体" w:hAnsi="宋体" w:cs="宋体"/>
          <w:color w:val="000000"/>
          <w:sz w:val="21"/>
          <w:szCs w:val="21"/>
        </w:rPr>
      </w:pPr>
      <w:r>
        <w:rPr>
          <w:rFonts w:ascii="宋体" w:hAnsi="宋体" w:cs="宋体"/>
          <w:color w:val="000000"/>
          <w:sz w:val="21"/>
          <w:szCs w:val="21"/>
        </w:rPr>
        <w:t>8.4</w:t>
      </w:r>
      <w:r>
        <w:rPr>
          <w:rFonts w:hint="eastAsia" w:ascii="宋体" w:hAnsi="宋体" w:cs="宋体"/>
          <w:color w:val="000000"/>
          <w:sz w:val="21"/>
          <w:szCs w:val="21"/>
        </w:rPr>
        <w:t>质保期内，投标方售后服务人员应随叫随到，投标方接到招标方通知后，售后服务人员保证在48小时内到达现场，进行修复或更换。</w:t>
      </w:r>
    </w:p>
    <w:p>
      <w:pPr>
        <w:tabs>
          <w:tab w:val="left" w:pos="350"/>
          <w:tab w:val="left" w:pos="378"/>
          <w:tab w:val="left" w:pos="448"/>
        </w:tabs>
        <w:spacing w:line="360" w:lineRule="auto"/>
        <w:rPr>
          <w:rFonts w:hint="eastAsia" w:ascii="宋体" w:hAnsi="宋体" w:cs="宋体"/>
          <w:color w:val="000000"/>
          <w:sz w:val="21"/>
          <w:szCs w:val="21"/>
        </w:rPr>
      </w:pPr>
      <w:r>
        <w:rPr>
          <w:rFonts w:ascii="宋体" w:hAnsi="宋体" w:cs="宋体"/>
          <w:color w:val="000000"/>
          <w:sz w:val="21"/>
          <w:szCs w:val="21"/>
        </w:rPr>
        <w:t>8</w:t>
      </w:r>
      <w:r>
        <w:rPr>
          <w:rFonts w:hint="eastAsia" w:ascii="宋体" w:hAnsi="宋体" w:cs="宋体"/>
          <w:color w:val="000000"/>
          <w:sz w:val="21"/>
          <w:szCs w:val="21"/>
        </w:rPr>
        <w:t>.</w:t>
      </w:r>
      <w:r>
        <w:rPr>
          <w:rFonts w:ascii="宋体" w:hAnsi="宋体" w:cs="宋体"/>
          <w:color w:val="000000"/>
          <w:sz w:val="21"/>
          <w:szCs w:val="21"/>
        </w:rPr>
        <w:t>5</w:t>
      </w:r>
      <w:r>
        <w:rPr>
          <w:rFonts w:hint="eastAsia" w:ascii="宋体" w:hAnsi="宋体" w:cs="宋体"/>
          <w:color w:val="000000"/>
          <w:sz w:val="21"/>
          <w:szCs w:val="21"/>
        </w:rPr>
        <w:t>承包方应认真按照制造厂技术要求、标准、规范和设计图纸要求以及承包方设备管理人员依据合同发出的指令施工，随时接受检查检验，并为检查检验提供便利条件。</w:t>
      </w:r>
    </w:p>
    <w:p>
      <w:pPr>
        <w:tabs>
          <w:tab w:val="left" w:pos="350"/>
          <w:tab w:val="left" w:pos="378"/>
          <w:tab w:val="left" w:pos="448"/>
        </w:tabs>
        <w:spacing w:line="360" w:lineRule="auto"/>
        <w:rPr>
          <w:rFonts w:hint="eastAsia" w:ascii="宋体" w:hAnsi="宋体" w:cs="宋体"/>
          <w:color w:val="000000"/>
          <w:sz w:val="21"/>
          <w:szCs w:val="21"/>
        </w:rPr>
      </w:pPr>
      <w:r>
        <w:rPr>
          <w:rFonts w:ascii="宋体" w:hAnsi="宋体" w:cs="宋体"/>
          <w:color w:val="000000"/>
          <w:sz w:val="21"/>
          <w:szCs w:val="21"/>
        </w:rPr>
        <w:t>8</w:t>
      </w:r>
      <w:r>
        <w:rPr>
          <w:rFonts w:hint="eastAsia" w:ascii="宋体" w:hAnsi="宋体" w:cs="宋体"/>
          <w:color w:val="000000"/>
          <w:sz w:val="21"/>
          <w:szCs w:val="21"/>
        </w:rPr>
        <w:t>.</w:t>
      </w:r>
      <w:r>
        <w:rPr>
          <w:rFonts w:ascii="宋体" w:hAnsi="宋体" w:cs="宋体"/>
          <w:color w:val="000000"/>
          <w:sz w:val="21"/>
          <w:szCs w:val="21"/>
        </w:rPr>
        <w:t>6</w:t>
      </w:r>
      <w:r>
        <w:rPr>
          <w:rFonts w:hint="eastAsia" w:ascii="宋体" w:hAnsi="宋体" w:cs="宋体"/>
          <w:color w:val="000000"/>
          <w:sz w:val="21"/>
          <w:szCs w:val="21"/>
        </w:rPr>
        <w:t>安装中如遇到疑难问题，及时上报并分析原因并制定处理方案。</w:t>
      </w:r>
    </w:p>
    <w:p>
      <w:pPr>
        <w:rPr>
          <w:rFonts w:ascii="宋体" w:hAnsi="Calibri"/>
          <w:bCs/>
          <w:color w:val="000000"/>
          <w:sz w:val="21"/>
          <w:szCs w:val="21"/>
        </w:rPr>
      </w:pPr>
      <w:r>
        <w:rPr>
          <w:rFonts w:ascii="宋体" w:hAnsi="Calibri"/>
          <w:bCs/>
          <w:color w:val="000000"/>
          <w:sz w:val="21"/>
          <w:szCs w:val="21"/>
        </w:rPr>
        <w:t>8</w:t>
      </w:r>
      <w:r>
        <w:rPr>
          <w:rFonts w:hint="eastAsia" w:ascii="宋体" w:hAnsi="Calibri"/>
          <w:bCs/>
          <w:color w:val="000000"/>
          <w:sz w:val="21"/>
          <w:szCs w:val="21"/>
        </w:rPr>
        <w:t>.</w:t>
      </w:r>
      <w:r>
        <w:rPr>
          <w:rFonts w:ascii="宋体" w:hAnsi="Calibri"/>
          <w:bCs/>
          <w:color w:val="000000"/>
          <w:sz w:val="21"/>
          <w:szCs w:val="21"/>
        </w:rPr>
        <w:t>7</w:t>
      </w:r>
      <w:r>
        <w:rPr>
          <w:rFonts w:hint="eastAsia" w:ascii="宋体" w:hAnsi="Calibri"/>
          <w:bCs/>
          <w:color w:val="000000"/>
          <w:sz w:val="21"/>
          <w:szCs w:val="21"/>
        </w:rPr>
        <w:t>质保期内如因投标方设备制造质量原因造成机组非停事故，非停一次扣除投标方50%质保金，非停两次的扣除投标方所有质保金。</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17" w:name="_Toc3865543"/>
      <w:r>
        <w:rPr>
          <w:rFonts w:hint="eastAsia"/>
          <w:color w:val="000000"/>
          <w:sz w:val="21"/>
          <w:szCs w:val="21"/>
        </w:rPr>
        <w:t>9．运输包装及储存</w:t>
      </w:r>
      <w:bookmarkEnd w:id="17"/>
    </w:p>
    <w:p>
      <w:pPr>
        <w:tabs>
          <w:tab w:val="left" w:pos="900"/>
        </w:tabs>
        <w:adjustRightInd w:val="0"/>
        <w:snapToGrid w:val="0"/>
        <w:spacing w:line="360" w:lineRule="auto"/>
        <w:rPr>
          <w:rFonts w:hint="eastAsia" w:ascii="宋体" w:hAnsi="宋体"/>
          <w:bCs/>
          <w:color w:val="000000"/>
          <w:sz w:val="21"/>
          <w:szCs w:val="21"/>
        </w:rPr>
      </w:pPr>
      <w:r>
        <w:rPr>
          <w:rFonts w:hint="eastAsia" w:ascii="宋体" w:hAnsi="宋体"/>
          <w:bCs/>
          <w:color w:val="000000"/>
          <w:sz w:val="21"/>
          <w:szCs w:val="21"/>
        </w:rPr>
        <w:t>9.1投标方在应投标书中明确运输及包装储存方式。</w:t>
      </w:r>
    </w:p>
    <w:p>
      <w:pPr>
        <w:tabs>
          <w:tab w:val="left" w:pos="900"/>
        </w:tabs>
        <w:adjustRightInd w:val="0"/>
        <w:snapToGrid w:val="0"/>
        <w:spacing w:line="360" w:lineRule="auto"/>
        <w:rPr>
          <w:rFonts w:hint="eastAsia" w:ascii="宋体" w:hAnsi="宋体"/>
          <w:bCs/>
          <w:color w:val="000000"/>
          <w:sz w:val="21"/>
          <w:szCs w:val="21"/>
          <w:u w:val="single"/>
        </w:rPr>
      </w:pPr>
      <w:r>
        <w:rPr>
          <w:rFonts w:hint="eastAsia" w:ascii="宋体" w:hAnsi="宋体"/>
          <w:bCs/>
          <w:color w:val="000000"/>
          <w:sz w:val="21"/>
          <w:szCs w:val="21"/>
        </w:rPr>
        <w:t>9.2本项目采购的设备及材料要求的交货地点为：</w:t>
      </w:r>
      <w:r>
        <w:rPr>
          <w:rFonts w:hint="eastAsia" w:ascii="宋体" w:hAnsi="宋体"/>
          <w:bCs/>
          <w:color w:val="000000"/>
          <w:sz w:val="21"/>
          <w:szCs w:val="21"/>
          <w:u w:val="single"/>
        </w:rPr>
        <w:t>神华准格尔能源有限责任公司矸石发电公司</w:t>
      </w:r>
    </w:p>
    <w:p>
      <w:pPr>
        <w:tabs>
          <w:tab w:val="left" w:pos="900"/>
        </w:tabs>
        <w:adjustRightInd w:val="0"/>
        <w:snapToGrid w:val="0"/>
        <w:spacing w:line="360" w:lineRule="auto"/>
        <w:rPr>
          <w:rFonts w:hint="eastAsia" w:ascii="宋体" w:hAnsi="宋体"/>
          <w:b/>
          <w:color w:val="000000"/>
          <w:sz w:val="21"/>
          <w:szCs w:val="21"/>
        </w:rPr>
      </w:pPr>
      <w:r>
        <w:rPr>
          <w:rFonts w:hint="eastAsia" w:ascii="宋体" w:hAnsi="宋体"/>
          <w:bCs/>
          <w:color w:val="000000"/>
          <w:sz w:val="21"/>
          <w:szCs w:val="21"/>
        </w:rPr>
        <w:t>9.3本项目所有设备及材料运输费及相关保险由投标方承担</w:t>
      </w:r>
      <w:r>
        <w:rPr>
          <w:rFonts w:hint="eastAsia" w:ascii="宋体" w:hAnsi="宋体"/>
          <w:b/>
          <w:color w:val="000000"/>
          <w:sz w:val="21"/>
          <w:szCs w:val="21"/>
        </w:rPr>
        <w:t>。</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18" w:name="_Toc3865544"/>
      <w:r>
        <w:rPr>
          <w:rFonts w:hint="eastAsia"/>
          <w:color w:val="000000"/>
          <w:sz w:val="21"/>
          <w:szCs w:val="21"/>
        </w:rPr>
        <w:t>10．资料交付</w:t>
      </w:r>
      <w:bookmarkEnd w:id="18"/>
    </w:p>
    <w:p>
      <w:pPr>
        <w:tabs>
          <w:tab w:val="left" w:pos="1260"/>
          <w:tab w:val="left" w:pos="1440"/>
        </w:tabs>
        <w:spacing w:line="360" w:lineRule="auto"/>
        <w:rPr>
          <w:rFonts w:hint="eastAsia" w:ascii="宋体" w:hAnsi="Calibri"/>
          <w:bCs/>
          <w:color w:val="000000"/>
          <w:sz w:val="21"/>
          <w:szCs w:val="21"/>
        </w:rPr>
      </w:pPr>
      <w:bookmarkStart w:id="19" w:name="_Hlk3825820"/>
      <w:r>
        <w:rPr>
          <w:rFonts w:ascii="宋体" w:hAnsi="宋体" w:cs="宋体"/>
          <w:color w:val="000000"/>
          <w:sz w:val="21"/>
          <w:szCs w:val="21"/>
        </w:rPr>
        <w:t>10</w:t>
      </w:r>
      <w:r>
        <w:rPr>
          <w:rFonts w:hint="eastAsia" w:ascii="宋体" w:hAnsi="宋体" w:cs="宋体"/>
          <w:color w:val="000000"/>
          <w:sz w:val="21"/>
          <w:szCs w:val="21"/>
        </w:rPr>
        <w:t xml:space="preserve">.1 </w:t>
      </w:r>
      <w:r>
        <w:rPr>
          <w:rFonts w:hint="eastAsia" w:ascii="宋体" w:hAnsi="Calibri"/>
          <w:bCs/>
          <w:color w:val="000000"/>
          <w:sz w:val="21"/>
          <w:szCs w:val="21"/>
        </w:rPr>
        <w:t>本项目竣工后一周内，投标方负责将以下各资料原件（各两份）移交</w:t>
      </w:r>
      <w:r>
        <w:rPr>
          <w:rFonts w:hint="eastAsia" w:ascii="宋体" w:hAnsi="Calibri"/>
          <w:bCs/>
          <w:color w:val="000000"/>
          <w:sz w:val="21"/>
          <w:szCs w:val="21"/>
          <w:lang w:eastAsia="zh-CN"/>
        </w:rPr>
        <w:t>招标方</w:t>
      </w:r>
      <w:r>
        <w:rPr>
          <w:rFonts w:hint="eastAsia" w:ascii="宋体" w:hAnsi="Calibri"/>
          <w:bCs/>
          <w:color w:val="000000"/>
          <w:sz w:val="21"/>
          <w:szCs w:val="21"/>
        </w:rPr>
        <w:t>档案室（移交前需经</w:t>
      </w:r>
      <w:r>
        <w:rPr>
          <w:rFonts w:hint="eastAsia" w:ascii="宋体" w:hAnsi="Calibri"/>
          <w:bCs/>
          <w:color w:val="000000"/>
          <w:sz w:val="21"/>
          <w:szCs w:val="21"/>
          <w:lang w:eastAsia="zh-CN"/>
        </w:rPr>
        <w:t>招标方</w:t>
      </w:r>
      <w:r>
        <w:rPr>
          <w:rFonts w:hint="eastAsia" w:ascii="宋体" w:hAnsi="Calibri"/>
          <w:bCs/>
          <w:color w:val="000000"/>
          <w:sz w:val="21"/>
          <w:szCs w:val="21"/>
        </w:rPr>
        <w:t>的生产技术部和综合检修部审核）。</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10</w:t>
      </w:r>
      <w:r>
        <w:rPr>
          <w:rFonts w:hint="eastAsia" w:ascii="宋体" w:hAnsi="Calibri"/>
          <w:bCs/>
          <w:color w:val="000000"/>
          <w:sz w:val="21"/>
          <w:szCs w:val="21"/>
        </w:rPr>
        <w:t>.1.1项目组织措施、技术措施、安全措施、开工报告、开关联系单及安全交底。</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10</w:t>
      </w:r>
      <w:r>
        <w:rPr>
          <w:rFonts w:hint="eastAsia" w:ascii="宋体" w:hAnsi="Calibri"/>
          <w:bCs/>
          <w:color w:val="000000"/>
          <w:sz w:val="21"/>
          <w:szCs w:val="21"/>
        </w:rPr>
        <w:t>.1.2．检修及相关试验、验收记录、项目文件包。</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10</w:t>
      </w:r>
      <w:r>
        <w:rPr>
          <w:rFonts w:hint="eastAsia" w:ascii="宋体" w:hAnsi="Calibri"/>
          <w:bCs/>
          <w:color w:val="000000"/>
          <w:sz w:val="21"/>
          <w:szCs w:val="21"/>
        </w:rPr>
        <w:t>.1.3．项目竣工验收报告及检修项目质量验收单。</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10</w:t>
      </w:r>
      <w:r>
        <w:rPr>
          <w:rFonts w:hint="eastAsia" w:ascii="宋体" w:hAnsi="Calibri"/>
          <w:bCs/>
          <w:color w:val="000000"/>
          <w:sz w:val="21"/>
          <w:szCs w:val="21"/>
        </w:rPr>
        <w:t>.1.4．隐蔽项验收单、返工验收单、异动报告。</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10</w:t>
      </w:r>
      <w:r>
        <w:rPr>
          <w:rFonts w:hint="eastAsia" w:ascii="宋体" w:hAnsi="Calibri"/>
          <w:bCs/>
          <w:color w:val="000000"/>
          <w:sz w:val="21"/>
          <w:szCs w:val="21"/>
        </w:rPr>
        <w:t>.1.5．详细的产品质量证明文件,包括材质、材质检验、焊接、热处理,加工质量,外形尺寸和性能检验等的证明</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10</w:t>
      </w:r>
      <w:r>
        <w:rPr>
          <w:rFonts w:hint="eastAsia" w:ascii="宋体" w:hAnsi="Calibri"/>
          <w:bCs/>
          <w:color w:val="000000"/>
          <w:sz w:val="21"/>
          <w:szCs w:val="21"/>
        </w:rPr>
        <w:t>.1.6．本项目实施期间所产生的一切技术资料。</w:t>
      </w:r>
    </w:p>
    <w:p>
      <w:pPr>
        <w:adjustRightInd w:val="0"/>
        <w:snapToGrid w:val="0"/>
        <w:spacing w:line="360" w:lineRule="auto"/>
        <w:rPr>
          <w:rFonts w:hint="eastAsia" w:ascii="宋体" w:hAnsi="宋体" w:cs="宋体"/>
          <w:color w:val="000000"/>
          <w:sz w:val="21"/>
          <w:szCs w:val="21"/>
        </w:rPr>
      </w:pPr>
      <w:r>
        <w:rPr>
          <w:rFonts w:ascii="宋体" w:hAnsi="宋体" w:cs="宋体"/>
          <w:color w:val="000000"/>
          <w:sz w:val="21"/>
          <w:szCs w:val="21"/>
        </w:rPr>
        <w:t>10</w:t>
      </w:r>
      <w:r>
        <w:rPr>
          <w:rFonts w:hint="eastAsia" w:ascii="宋体" w:hAnsi="宋体" w:cs="宋体"/>
          <w:color w:val="000000"/>
          <w:sz w:val="21"/>
          <w:szCs w:val="21"/>
        </w:rPr>
        <w:t>.2投标方交付的图纸资料的交付进度应满足项目进度的要求。资料包括但不限于以下清单：</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A 设备外形图；</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B 设备基础图；</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C 电气原理图及控制资料：就地信号端子转接箱内部安装及端子排接线图；一次仪表安装接线图；各种箱柜的外形尺寸、基础图；</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D 筛分布料器与程控系统连锁的相关图纸资料，控制逻辑等。</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E 提供纸版图纸3份，电子版图纸1份</w:t>
      </w:r>
    </w:p>
    <w:p>
      <w:pPr>
        <w:adjustRightInd w:val="0"/>
        <w:snapToGrid w:val="0"/>
        <w:spacing w:line="360" w:lineRule="auto"/>
        <w:ind w:firstLine="480"/>
        <w:rPr>
          <w:rFonts w:hint="eastAsia" w:ascii="宋体" w:hAnsi="宋体" w:cs="宋体"/>
          <w:color w:val="000000"/>
          <w:sz w:val="21"/>
          <w:szCs w:val="21"/>
        </w:rPr>
      </w:pPr>
      <w:r>
        <w:rPr>
          <w:rFonts w:hint="eastAsia" w:ascii="宋体" w:hAnsi="宋体" w:cs="宋体"/>
          <w:color w:val="000000"/>
          <w:sz w:val="21"/>
          <w:szCs w:val="21"/>
        </w:rPr>
        <w:t>F分包外购的部件和设备的质量合格证书;</w:t>
      </w:r>
    </w:p>
    <w:p>
      <w:pPr>
        <w:tabs>
          <w:tab w:val="left" w:pos="1260"/>
          <w:tab w:val="left" w:pos="1440"/>
        </w:tabs>
        <w:spacing w:line="360" w:lineRule="auto"/>
        <w:ind w:firstLine="420" w:firstLineChars="200"/>
        <w:rPr>
          <w:rFonts w:hint="eastAsia" w:ascii="宋体" w:hAnsi="宋体" w:cs="宋体"/>
          <w:color w:val="000000"/>
          <w:sz w:val="21"/>
          <w:szCs w:val="21"/>
        </w:rPr>
      </w:pPr>
      <w:r>
        <w:rPr>
          <w:rFonts w:hint="eastAsia" w:ascii="宋体" w:hAnsi="宋体" w:cs="宋体"/>
          <w:color w:val="000000"/>
          <w:sz w:val="21"/>
          <w:szCs w:val="21"/>
        </w:rPr>
        <w:t>G 主要材料的质量合格证;</w:t>
      </w:r>
    </w:p>
    <w:bookmarkEnd w:id="19"/>
    <w:p>
      <w:pPr>
        <w:pStyle w:val="3"/>
        <w:ind w:firstLine="0" w:firstLineChars="0"/>
        <w:rPr>
          <w:rFonts w:hint="eastAsia"/>
          <w:color w:val="000000"/>
          <w:sz w:val="21"/>
          <w:szCs w:val="21"/>
        </w:rPr>
      </w:pPr>
      <w:bookmarkStart w:id="20" w:name="_Toc3865545"/>
      <w:r>
        <w:rPr>
          <w:rFonts w:hint="eastAsia"/>
          <w:color w:val="000000"/>
          <w:sz w:val="21"/>
          <w:szCs w:val="21"/>
        </w:rPr>
        <w:t>11．培训及售后服务</w:t>
      </w:r>
      <w:bookmarkEnd w:id="20"/>
    </w:p>
    <w:p>
      <w:pPr>
        <w:rPr>
          <w:rFonts w:hint="eastAsia"/>
          <w:b/>
          <w:color w:val="000000"/>
          <w:sz w:val="21"/>
          <w:szCs w:val="21"/>
        </w:rPr>
      </w:pPr>
      <w:bookmarkStart w:id="21" w:name="_Toc14849"/>
      <w:bookmarkStart w:id="22" w:name="_Toc14786"/>
      <w:r>
        <w:rPr>
          <w:rFonts w:hint="eastAsia"/>
          <w:b/>
          <w:color w:val="000000"/>
          <w:sz w:val="21"/>
          <w:szCs w:val="21"/>
        </w:rPr>
        <w:t>1</w:t>
      </w:r>
      <w:r>
        <w:rPr>
          <w:b/>
          <w:color w:val="000000"/>
          <w:sz w:val="21"/>
          <w:szCs w:val="21"/>
        </w:rPr>
        <w:t>1.1</w:t>
      </w:r>
      <w:r>
        <w:rPr>
          <w:rFonts w:hint="eastAsia"/>
          <w:b/>
          <w:color w:val="000000"/>
          <w:sz w:val="21"/>
          <w:szCs w:val="21"/>
        </w:rPr>
        <w:t>工器具要求</w:t>
      </w:r>
      <w:bookmarkEnd w:id="21"/>
    </w:p>
    <w:p>
      <w:pPr>
        <w:spacing w:line="360" w:lineRule="auto"/>
        <w:rPr>
          <w:rFonts w:hint="eastAsia" w:ascii="Calibri" w:hAnsi="Calibri"/>
          <w:color w:val="000000"/>
          <w:sz w:val="21"/>
          <w:szCs w:val="21"/>
        </w:rPr>
      </w:pPr>
      <w:r>
        <w:rPr>
          <w:rFonts w:hint="eastAsia" w:ascii="宋体" w:hAnsi="宋体"/>
          <w:color w:val="000000"/>
          <w:sz w:val="21"/>
          <w:szCs w:val="21"/>
        </w:rPr>
        <w:t>1</w:t>
      </w:r>
      <w:r>
        <w:rPr>
          <w:rFonts w:ascii="宋体" w:hAnsi="宋体"/>
          <w:color w:val="000000"/>
          <w:sz w:val="21"/>
          <w:szCs w:val="21"/>
        </w:rPr>
        <w:t>11.1.1</w:t>
      </w:r>
      <w:r>
        <w:rPr>
          <w:rFonts w:hint="eastAsia" w:ascii="Calibri" w:hAnsi="Calibri"/>
          <w:b/>
          <w:color w:val="000000"/>
          <w:sz w:val="21"/>
          <w:szCs w:val="21"/>
        </w:rPr>
        <w:t>本次项目工程使用的专用工具：（由招标方提供）</w:t>
      </w:r>
    </w:p>
    <w:tbl>
      <w:tblPr>
        <w:tblStyle w:val="9"/>
        <w:tblW w:w="9102"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660"/>
        <w:gridCol w:w="1116"/>
        <w:gridCol w:w="3540"/>
        <w:gridCol w:w="1017"/>
        <w:gridCol w:w="176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340" w:hRule="atLeast"/>
          <w:tblHeader/>
          <w:jc w:val="center"/>
        </w:trPr>
        <w:tc>
          <w:tcPr>
            <w:tcW w:w="1660" w:type="dxa"/>
            <w:vAlign w:val="center"/>
          </w:tcPr>
          <w:p>
            <w:pPr>
              <w:tabs>
                <w:tab w:val="left" w:pos="0"/>
              </w:tabs>
              <w:jc w:val="center"/>
              <w:rPr>
                <w:rFonts w:hint="eastAsia" w:ascii="Calibri" w:hAnsi="Calibri"/>
                <w:b/>
                <w:color w:val="000000"/>
                <w:sz w:val="21"/>
                <w:szCs w:val="21"/>
              </w:rPr>
            </w:pPr>
            <w:r>
              <w:rPr>
                <w:rFonts w:hint="eastAsia" w:ascii="Calibri" w:hAnsi="Calibri"/>
                <w:b/>
                <w:color w:val="000000"/>
                <w:sz w:val="21"/>
                <w:szCs w:val="21"/>
              </w:rPr>
              <w:t>序号</w:t>
            </w:r>
          </w:p>
        </w:tc>
        <w:tc>
          <w:tcPr>
            <w:tcW w:w="1116" w:type="dxa"/>
            <w:vAlign w:val="center"/>
          </w:tcPr>
          <w:p>
            <w:pPr>
              <w:rPr>
                <w:rFonts w:hint="eastAsia" w:ascii="Calibri" w:hAnsi="Calibri"/>
                <w:b/>
                <w:color w:val="000000"/>
                <w:sz w:val="21"/>
                <w:szCs w:val="21"/>
              </w:rPr>
            </w:pPr>
            <w:r>
              <w:rPr>
                <w:rFonts w:hint="eastAsia" w:ascii="Calibri" w:hAnsi="Calibri"/>
                <w:b/>
                <w:color w:val="000000"/>
                <w:sz w:val="21"/>
                <w:szCs w:val="21"/>
              </w:rPr>
              <w:t>专业</w:t>
            </w:r>
          </w:p>
        </w:tc>
        <w:tc>
          <w:tcPr>
            <w:tcW w:w="3540" w:type="dxa"/>
            <w:vAlign w:val="center"/>
          </w:tcPr>
          <w:p>
            <w:pPr>
              <w:rPr>
                <w:rFonts w:hint="eastAsia" w:ascii="Calibri" w:hAnsi="Calibri"/>
                <w:b/>
                <w:color w:val="000000"/>
                <w:sz w:val="21"/>
                <w:szCs w:val="21"/>
              </w:rPr>
            </w:pPr>
            <w:r>
              <w:rPr>
                <w:rFonts w:hint="eastAsia" w:ascii="Calibri" w:hAnsi="Calibri"/>
                <w:b/>
                <w:color w:val="000000"/>
                <w:sz w:val="21"/>
                <w:szCs w:val="21"/>
              </w:rPr>
              <w:t>工器具名称</w:t>
            </w:r>
          </w:p>
        </w:tc>
        <w:tc>
          <w:tcPr>
            <w:tcW w:w="1017" w:type="dxa"/>
            <w:vAlign w:val="center"/>
          </w:tcPr>
          <w:p>
            <w:pPr>
              <w:rPr>
                <w:rFonts w:hint="eastAsia" w:ascii="Calibri" w:hAnsi="Calibri"/>
                <w:b/>
                <w:color w:val="000000"/>
                <w:sz w:val="21"/>
                <w:szCs w:val="21"/>
              </w:rPr>
            </w:pPr>
            <w:r>
              <w:rPr>
                <w:rFonts w:hint="eastAsia" w:ascii="Calibri" w:hAnsi="Calibri"/>
                <w:b/>
                <w:color w:val="000000"/>
                <w:sz w:val="21"/>
                <w:szCs w:val="21"/>
              </w:rPr>
              <w:t>责任人</w:t>
            </w:r>
          </w:p>
        </w:tc>
        <w:tc>
          <w:tcPr>
            <w:tcW w:w="1769" w:type="dxa"/>
            <w:vAlign w:val="center"/>
          </w:tcPr>
          <w:p>
            <w:pPr>
              <w:rPr>
                <w:rFonts w:hint="eastAsia" w:ascii="Calibri" w:hAnsi="Calibri"/>
                <w:b/>
                <w:color w:val="000000"/>
                <w:sz w:val="21"/>
                <w:szCs w:val="21"/>
              </w:rPr>
            </w:pPr>
            <w:r>
              <w:rPr>
                <w:rFonts w:hint="eastAsia" w:ascii="Calibri" w:hAnsi="Calibri"/>
                <w:b/>
                <w:color w:val="000000"/>
                <w:sz w:val="21"/>
                <w:szCs w:val="21"/>
              </w:rPr>
              <w:t>检验完成时间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340" w:hRule="atLeast"/>
          <w:jc w:val="center"/>
        </w:trPr>
        <w:tc>
          <w:tcPr>
            <w:tcW w:w="1660" w:type="dxa"/>
            <w:vAlign w:val="center"/>
          </w:tcPr>
          <w:p>
            <w:pPr>
              <w:numPr>
                <w:ilvl w:val="0"/>
                <w:numId w:val="1"/>
              </w:numPr>
              <w:jc w:val="center"/>
              <w:rPr>
                <w:rFonts w:hint="eastAsia" w:ascii="Calibri" w:hAnsi="Calibri"/>
                <w:color w:val="000000"/>
                <w:sz w:val="21"/>
                <w:szCs w:val="21"/>
              </w:rPr>
            </w:pPr>
          </w:p>
        </w:tc>
        <w:tc>
          <w:tcPr>
            <w:tcW w:w="1116" w:type="dxa"/>
            <w:vAlign w:val="center"/>
          </w:tcPr>
          <w:p>
            <w:pPr>
              <w:rPr>
                <w:rFonts w:hint="eastAsia" w:ascii="Calibri" w:hAnsi="Calibri"/>
                <w:color w:val="000000"/>
                <w:sz w:val="21"/>
                <w:szCs w:val="21"/>
              </w:rPr>
            </w:pPr>
          </w:p>
        </w:tc>
        <w:tc>
          <w:tcPr>
            <w:tcW w:w="3540" w:type="dxa"/>
            <w:vAlign w:val="center"/>
          </w:tcPr>
          <w:p>
            <w:pPr>
              <w:rPr>
                <w:rFonts w:hint="eastAsia" w:ascii="Calibri" w:hAnsi="Calibri"/>
                <w:color w:val="000000"/>
                <w:sz w:val="21"/>
                <w:szCs w:val="21"/>
              </w:rPr>
            </w:pPr>
          </w:p>
        </w:tc>
        <w:tc>
          <w:tcPr>
            <w:tcW w:w="1017" w:type="dxa"/>
            <w:vAlign w:val="top"/>
          </w:tcPr>
          <w:p>
            <w:pPr>
              <w:rPr>
                <w:rFonts w:hint="eastAsia" w:ascii="Calibri" w:hAnsi="Calibri"/>
                <w:color w:val="000000"/>
                <w:sz w:val="21"/>
                <w:szCs w:val="21"/>
              </w:rPr>
            </w:pPr>
          </w:p>
        </w:tc>
        <w:tc>
          <w:tcPr>
            <w:tcW w:w="1769" w:type="dxa"/>
            <w:vAlign w:val="top"/>
          </w:tcPr>
          <w:p>
            <w:pPr>
              <w:rPr>
                <w:rFonts w:ascii="Calibri" w:hAnsi="Calibri"/>
                <w:color w:val="00000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340" w:hRule="atLeast"/>
          <w:jc w:val="center"/>
        </w:trPr>
        <w:tc>
          <w:tcPr>
            <w:tcW w:w="1660" w:type="dxa"/>
            <w:tcBorders>
              <w:top w:val="single" w:color="000000" w:sz="6" w:space="0"/>
              <w:left w:val="single" w:color="000000" w:sz="12" w:space="0"/>
              <w:bottom w:val="single" w:color="000000" w:sz="6" w:space="0"/>
              <w:right w:val="single" w:color="000000" w:sz="6" w:space="0"/>
            </w:tcBorders>
            <w:vAlign w:val="center"/>
          </w:tcPr>
          <w:p>
            <w:pPr>
              <w:numPr>
                <w:ilvl w:val="0"/>
                <w:numId w:val="1"/>
              </w:numPr>
              <w:autoSpaceDE w:val="0"/>
              <w:autoSpaceDN w:val="0"/>
              <w:adjustRightInd w:val="0"/>
              <w:jc w:val="center"/>
              <w:rPr>
                <w:rFonts w:hint="eastAsia" w:ascii="Calibri" w:hAnsi="Calibri"/>
                <w:color w:val="000000"/>
                <w:sz w:val="21"/>
                <w:szCs w:val="21"/>
              </w:rPr>
            </w:pPr>
          </w:p>
        </w:tc>
        <w:tc>
          <w:tcPr>
            <w:tcW w:w="1116" w:type="dxa"/>
            <w:tcBorders>
              <w:top w:val="single" w:color="000000" w:sz="6" w:space="0"/>
              <w:left w:val="single" w:color="000000" w:sz="6" w:space="0"/>
              <w:bottom w:val="single" w:color="000000" w:sz="6" w:space="0"/>
              <w:right w:val="single" w:color="000000" w:sz="6" w:space="0"/>
            </w:tcBorders>
            <w:vAlign w:val="center"/>
          </w:tcPr>
          <w:p>
            <w:pPr>
              <w:rPr>
                <w:rFonts w:hint="eastAsia" w:ascii="Calibri" w:hAnsi="Calibri"/>
                <w:color w:val="000000"/>
                <w:sz w:val="21"/>
                <w:szCs w:val="21"/>
              </w:rPr>
            </w:pPr>
          </w:p>
        </w:tc>
        <w:tc>
          <w:tcPr>
            <w:tcW w:w="3540" w:type="dxa"/>
            <w:tcBorders>
              <w:top w:val="single" w:color="000000" w:sz="6" w:space="0"/>
              <w:left w:val="single" w:color="000000" w:sz="6" w:space="0"/>
              <w:bottom w:val="single" w:color="000000" w:sz="6" w:space="0"/>
              <w:right w:val="single" w:color="000000" w:sz="6" w:space="0"/>
            </w:tcBorders>
            <w:vAlign w:val="center"/>
          </w:tcPr>
          <w:p>
            <w:pPr>
              <w:rPr>
                <w:rFonts w:hint="eastAsia" w:ascii="Calibri" w:hAnsi="Calibri"/>
                <w:color w:val="000000"/>
                <w:sz w:val="21"/>
                <w:szCs w:val="21"/>
              </w:rPr>
            </w:pPr>
          </w:p>
        </w:tc>
        <w:tc>
          <w:tcPr>
            <w:tcW w:w="1017" w:type="dxa"/>
            <w:tcBorders>
              <w:top w:val="single" w:color="000000" w:sz="6" w:space="0"/>
              <w:left w:val="single" w:color="000000" w:sz="6" w:space="0"/>
              <w:bottom w:val="single" w:color="000000" w:sz="6" w:space="0"/>
              <w:right w:val="single" w:color="000000" w:sz="6" w:space="0"/>
            </w:tcBorders>
            <w:vAlign w:val="top"/>
          </w:tcPr>
          <w:p>
            <w:pPr>
              <w:rPr>
                <w:rFonts w:ascii="Calibri" w:hAnsi="Calibri"/>
                <w:color w:val="000000"/>
                <w:sz w:val="21"/>
                <w:szCs w:val="21"/>
              </w:rPr>
            </w:pPr>
          </w:p>
        </w:tc>
        <w:tc>
          <w:tcPr>
            <w:tcW w:w="1769" w:type="dxa"/>
            <w:tcBorders>
              <w:top w:val="single" w:color="000000" w:sz="6" w:space="0"/>
              <w:left w:val="single" w:color="000000" w:sz="6" w:space="0"/>
              <w:bottom w:val="single" w:color="000000" w:sz="6" w:space="0"/>
              <w:right w:val="single" w:color="000000" w:sz="12" w:space="0"/>
            </w:tcBorders>
            <w:vAlign w:val="top"/>
          </w:tcPr>
          <w:p>
            <w:pPr>
              <w:rPr>
                <w:rFonts w:ascii="Calibri" w:hAnsi="Calibri"/>
                <w:color w:val="000000"/>
                <w:sz w:val="21"/>
                <w:szCs w:val="21"/>
              </w:rPr>
            </w:pPr>
          </w:p>
        </w:tc>
      </w:tr>
    </w:tbl>
    <w:p>
      <w:pPr>
        <w:spacing w:line="360" w:lineRule="auto"/>
        <w:rPr>
          <w:rFonts w:hint="eastAsia" w:ascii="Calibri" w:hAnsi="Calibri"/>
          <w:b/>
          <w:color w:val="000000"/>
          <w:sz w:val="21"/>
          <w:szCs w:val="21"/>
        </w:rPr>
      </w:pPr>
      <w:r>
        <w:rPr>
          <w:rFonts w:ascii="宋体" w:hAnsi="宋体"/>
          <w:color w:val="000000"/>
          <w:sz w:val="21"/>
          <w:szCs w:val="21"/>
        </w:rPr>
        <w:t>11.1.2</w:t>
      </w:r>
      <w:r>
        <w:rPr>
          <w:rFonts w:hint="eastAsia" w:ascii="Calibri" w:hAnsi="Calibri"/>
          <w:b/>
          <w:color w:val="000000"/>
          <w:sz w:val="21"/>
          <w:szCs w:val="21"/>
        </w:rPr>
        <w:t>工器具清单：(由投标方自备)</w:t>
      </w:r>
    </w:p>
    <w:tbl>
      <w:tblPr>
        <w:tblStyle w:val="9"/>
        <w:tblpPr w:leftFromText="180" w:rightFromText="180" w:vertAnchor="text" w:horzAnchor="page" w:tblpX="1672" w:tblpY="143"/>
        <w:tblOverlap w:val="never"/>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17"/>
        <w:gridCol w:w="720"/>
        <w:gridCol w:w="711"/>
        <w:gridCol w:w="794"/>
        <w:gridCol w:w="794"/>
        <w:gridCol w:w="973"/>
        <w:gridCol w:w="1152"/>
        <w:gridCol w:w="1152"/>
        <w:gridCol w:w="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序号</w:t>
            </w:r>
          </w:p>
        </w:tc>
        <w:tc>
          <w:tcPr>
            <w:tcW w:w="1517"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工器具名称</w:t>
            </w:r>
          </w:p>
        </w:tc>
        <w:tc>
          <w:tcPr>
            <w:tcW w:w="720"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器具编号</w:t>
            </w:r>
          </w:p>
        </w:tc>
        <w:tc>
          <w:tcPr>
            <w:tcW w:w="711"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检查情况</w:t>
            </w:r>
          </w:p>
        </w:tc>
        <w:tc>
          <w:tcPr>
            <w:tcW w:w="794"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检查人</w:t>
            </w:r>
          </w:p>
        </w:tc>
        <w:tc>
          <w:tcPr>
            <w:tcW w:w="794"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报送人</w:t>
            </w:r>
          </w:p>
        </w:tc>
        <w:tc>
          <w:tcPr>
            <w:tcW w:w="973"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报送日期</w:t>
            </w:r>
          </w:p>
        </w:tc>
        <w:tc>
          <w:tcPr>
            <w:tcW w:w="1152"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投标方名称</w:t>
            </w:r>
          </w:p>
        </w:tc>
        <w:tc>
          <w:tcPr>
            <w:tcW w:w="1152"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招标方审核人</w:t>
            </w:r>
          </w:p>
        </w:tc>
        <w:tc>
          <w:tcPr>
            <w:tcW w:w="692" w:type="dxa"/>
            <w:vAlign w:val="center"/>
          </w:tcPr>
          <w:p>
            <w:pPr>
              <w:widowControl/>
              <w:autoSpaceDE w:val="0"/>
              <w:autoSpaceDN w:val="0"/>
              <w:adjustRightInd w:val="0"/>
              <w:spacing w:after="120"/>
              <w:jc w:val="left"/>
              <w:rPr>
                <w:rFonts w:ascii="宋体" w:hAnsi="宋体" w:cs="宋体"/>
                <w:color w:val="000000"/>
                <w:kern w:val="0"/>
                <w:sz w:val="21"/>
                <w:szCs w:val="21"/>
              </w:rPr>
            </w:pPr>
            <w:r>
              <w:rPr>
                <w:rFonts w:hint="eastAsia" w:ascii="宋体" w:hAnsi="宋体" w:cs="宋体"/>
                <w:color w:val="000000"/>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numPr>
                <w:ilvl w:val="0"/>
                <w:numId w:val="2"/>
              </w:numPr>
              <w:autoSpaceDE w:val="0"/>
              <w:autoSpaceDN w:val="0"/>
              <w:adjustRightInd w:val="0"/>
              <w:spacing w:after="120"/>
              <w:jc w:val="center"/>
              <w:rPr>
                <w:rFonts w:hint="eastAsia" w:ascii="Calibri" w:hAnsi="Calibri"/>
                <w:color w:val="000000"/>
                <w:sz w:val="21"/>
                <w:szCs w:val="21"/>
              </w:rPr>
            </w:pPr>
          </w:p>
        </w:tc>
        <w:tc>
          <w:tcPr>
            <w:tcW w:w="1517" w:type="dxa"/>
            <w:vAlign w:val="top"/>
          </w:tcPr>
          <w:p>
            <w:pPr>
              <w:autoSpaceDE w:val="0"/>
              <w:autoSpaceDN w:val="0"/>
              <w:adjustRightInd w:val="0"/>
              <w:spacing w:after="120"/>
              <w:rPr>
                <w:rFonts w:hint="eastAsia" w:ascii="Calibri" w:hAnsi="Calibri"/>
                <w:color w:val="000000"/>
                <w:sz w:val="21"/>
                <w:szCs w:val="21"/>
              </w:rPr>
            </w:pPr>
          </w:p>
        </w:tc>
        <w:tc>
          <w:tcPr>
            <w:tcW w:w="720" w:type="dxa"/>
            <w:vAlign w:val="top"/>
          </w:tcPr>
          <w:p>
            <w:pPr>
              <w:autoSpaceDE w:val="0"/>
              <w:autoSpaceDN w:val="0"/>
              <w:adjustRightInd w:val="0"/>
              <w:spacing w:after="120"/>
              <w:rPr>
                <w:rFonts w:hint="eastAsia" w:ascii="Calibri" w:hAnsi="Calibri"/>
                <w:color w:val="000000"/>
                <w:sz w:val="21"/>
                <w:szCs w:val="21"/>
              </w:rPr>
            </w:pPr>
          </w:p>
        </w:tc>
        <w:tc>
          <w:tcPr>
            <w:tcW w:w="711" w:type="dxa"/>
            <w:vAlign w:val="top"/>
          </w:tcPr>
          <w:p>
            <w:pPr>
              <w:autoSpaceDE w:val="0"/>
              <w:autoSpaceDN w:val="0"/>
              <w:adjustRightInd w:val="0"/>
              <w:spacing w:after="120"/>
              <w:rPr>
                <w:rFonts w:hint="eastAsia" w:ascii="Calibri" w:hAnsi="Calibri"/>
                <w:color w:val="000000"/>
                <w:sz w:val="21"/>
                <w:szCs w:val="21"/>
              </w:rPr>
            </w:pPr>
          </w:p>
        </w:tc>
        <w:tc>
          <w:tcPr>
            <w:tcW w:w="794" w:type="dxa"/>
            <w:vAlign w:val="top"/>
          </w:tcPr>
          <w:p>
            <w:pPr>
              <w:autoSpaceDE w:val="0"/>
              <w:autoSpaceDN w:val="0"/>
              <w:adjustRightInd w:val="0"/>
              <w:spacing w:after="120"/>
              <w:rPr>
                <w:rFonts w:hint="eastAsia" w:ascii="Calibri" w:hAnsi="Calibri"/>
                <w:color w:val="000000"/>
                <w:sz w:val="21"/>
                <w:szCs w:val="21"/>
              </w:rPr>
            </w:pPr>
          </w:p>
        </w:tc>
        <w:tc>
          <w:tcPr>
            <w:tcW w:w="794" w:type="dxa"/>
            <w:vAlign w:val="top"/>
          </w:tcPr>
          <w:p>
            <w:pPr>
              <w:autoSpaceDE w:val="0"/>
              <w:autoSpaceDN w:val="0"/>
              <w:adjustRightInd w:val="0"/>
              <w:spacing w:after="120"/>
              <w:rPr>
                <w:rFonts w:hint="eastAsia" w:ascii="Calibri" w:hAnsi="Calibri"/>
                <w:color w:val="000000"/>
                <w:sz w:val="21"/>
                <w:szCs w:val="21"/>
              </w:rPr>
            </w:pPr>
          </w:p>
        </w:tc>
        <w:tc>
          <w:tcPr>
            <w:tcW w:w="973" w:type="dxa"/>
            <w:vAlign w:val="top"/>
          </w:tcPr>
          <w:p>
            <w:pPr>
              <w:autoSpaceDE w:val="0"/>
              <w:autoSpaceDN w:val="0"/>
              <w:adjustRightInd w:val="0"/>
              <w:spacing w:after="120"/>
              <w:rPr>
                <w:rFonts w:hint="eastAsia" w:ascii="Calibri" w:hAnsi="Calibri"/>
                <w:color w:val="000000"/>
                <w:sz w:val="21"/>
                <w:szCs w:val="21"/>
              </w:rPr>
            </w:pPr>
          </w:p>
        </w:tc>
        <w:tc>
          <w:tcPr>
            <w:tcW w:w="1152" w:type="dxa"/>
            <w:vAlign w:val="top"/>
          </w:tcPr>
          <w:p>
            <w:pPr>
              <w:autoSpaceDE w:val="0"/>
              <w:autoSpaceDN w:val="0"/>
              <w:adjustRightInd w:val="0"/>
              <w:spacing w:after="120"/>
              <w:rPr>
                <w:rFonts w:hint="eastAsia" w:ascii="Calibri" w:hAnsi="Calibri"/>
                <w:color w:val="000000"/>
                <w:sz w:val="21"/>
                <w:szCs w:val="21"/>
              </w:rPr>
            </w:pPr>
          </w:p>
        </w:tc>
        <w:tc>
          <w:tcPr>
            <w:tcW w:w="1152" w:type="dxa"/>
            <w:vAlign w:val="top"/>
          </w:tcPr>
          <w:p>
            <w:pPr>
              <w:autoSpaceDE w:val="0"/>
              <w:autoSpaceDN w:val="0"/>
              <w:adjustRightInd w:val="0"/>
              <w:spacing w:after="120"/>
              <w:rPr>
                <w:rFonts w:hint="eastAsia" w:ascii="Calibri" w:hAnsi="Calibri"/>
                <w:color w:val="000000"/>
                <w:sz w:val="21"/>
                <w:szCs w:val="21"/>
              </w:rPr>
            </w:pPr>
          </w:p>
        </w:tc>
        <w:tc>
          <w:tcPr>
            <w:tcW w:w="692" w:type="dxa"/>
            <w:vAlign w:val="top"/>
          </w:tcPr>
          <w:p>
            <w:pPr>
              <w:autoSpaceDE w:val="0"/>
              <w:autoSpaceDN w:val="0"/>
              <w:adjustRightInd w:val="0"/>
              <w:spacing w:after="120"/>
              <w:rPr>
                <w:rFonts w:hint="eastAsia" w:ascii="Calibri"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numPr>
                <w:ilvl w:val="0"/>
                <w:numId w:val="2"/>
              </w:numPr>
              <w:autoSpaceDE w:val="0"/>
              <w:autoSpaceDN w:val="0"/>
              <w:adjustRightInd w:val="0"/>
              <w:spacing w:after="120"/>
              <w:jc w:val="center"/>
              <w:rPr>
                <w:rFonts w:hint="eastAsia" w:ascii="Calibri" w:hAnsi="Calibri"/>
                <w:color w:val="000000"/>
                <w:sz w:val="21"/>
                <w:szCs w:val="21"/>
              </w:rPr>
            </w:pPr>
          </w:p>
        </w:tc>
        <w:tc>
          <w:tcPr>
            <w:tcW w:w="1517" w:type="dxa"/>
            <w:vAlign w:val="top"/>
          </w:tcPr>
          <w:p>
            <w:pPr>
              <w:autoSpaceDE w:val="0"/>
              <w:autoSpaceDN w:val="0"/>
              <w:adjustRightInd w:val="0"/>
              <w:spacing w:after="120"/>
              <w:rPr>
                <w:rFonts w:hint="eastAsia" w:ascii="Calibri" w:hAnsi="Calibri"/>
                <w:color w:val="000000"/>
                <w:sz w:val="21"/>
                <w:szCs w:val="21"/>
              </w:rPr>
            </w:pPr>
            <w:r>
              <w:rPr>
                <w:rFonts w:hint="eastAsia" w:ascii="Calibri" w:hAnsi="Calibri"/>
                <w:color w:val="000000"/>
                <w:sz w:val="21"/>
                <w:szCs w:val="21"/>
              </w:rPr>
              <w:t>…………</w:t>
            </w:r>
          </w:p>
        </w:tc>
        <w:tc>
          <w:tcPr>
            <w:tcW w:w="720" w:type="dxa"/>
            <w:vAlign w:val="top"/>
          </w:tcPr>
          <w:p>
            <w:pPr>
              <w:autoSpaceDE w:val="0"/>
              <w:autoSpaceDN w:val="0"/>
              <w:adjustRightInd w:val="0"/>
              <w:spacing w:after="120"/>
              <w:rPr>
                <w:rFonts w:hint="eastAsia" w:ascii="Calibri" w:hAnsi="Calibri"/>
                <w:color w:val="000000"/>
                <w:sz w:val="21"/>
                <w:szCs w:val="21"/>
              </w:rPr>
            </w:pPr>
          </w:p>
        </w:tc>
        <w:tc>
          <w:tcPr>
            <w:tcW w:w="711" w:type="dxa"/>
            <w:vAlign w:val="top"/>
          </w:tcPr>
          <w:p>
            <w:pPr>
              <w:autoSpaceDE w:val="0"/>
              <w:autoSpaceDN w:val="0"/>
              <w:adjustRightInd w:val="0"/>
              <w:spacing w:after="120"/>
              <w:rPr>
                <w:rFonts w:hint="eastAsia" w:ascii="Calibri" w:hAnsi="Calibri"/>
                <w:color w:val="000000"/>
                <w:sz w:val="21"/>
                <w:szCs w:val="21"/>
              </w:rPr>
            </w:pPr>
          </w:p>
        </w:tc>
        <w:tc>
          <w:tcPr>
            <w:tcW w:w="794" w:type="dxa"/>
            <w:vAlign w:val="top"/>
          </w:tcPr>
          <w:p>
            <w:pPr>
              <w:autoSpaceDE w:val="0"/>
              <w:autoSpaceDN w:val="0"/>
              <w:adjustRightInd w:val="0"/>
              <w:spacing w:after="120"/>
              <w:rPr>
                <w:rFonts w:hint="eastAsia" w:ascii="Calibri" w:hAnsi="Calibri"/>
                <w:color w:val="000000"/>
                <w:sz w:val="21"/>
                <w:szCs w:val="21"/>
              </w:rPr>
            </w:pPr>
          </w:p>
        </w:tc>
        <w:tc>
          <w:tcPr>
            <w:tcW w:w="794" w:type="dxa"/>
            <w:vAlign w:val="top"/>
          </w:tcPr>
          <w:p>
            <w:pPr>
              <w:autoSpaceDE w:val="0"/>
              <w:autoSpaceDN w:val="0"/>
              <w:adjustRightInd w:val="0"/>
              <w:spacing w:after="120"/>
              <w:rPr>
                <w:rFonts w:hint="eastAsia" w:ascii="Calibri" w:hAnsi="Calibri"/>
                <w:color w:val="000000"/>
                <w:sz w:val="21"/>
                <w:szCs w:val="21"/>
              </w:rPr>
            </w:pPr>
          </w:p>
        </w:tc>
        <w:tc>
          <w:tcPr>
            <w:tcW w:w="973" w:type="dxa"/>
            <w:vAlign w:val="top"/>
          </w:tcPr>
          <w:p>
            <w:pPr>
              <w:autoSpaceDE w:val="0"/>
              <w:autoSpaceDN w:val="0"/>
              <w:adjustRightInd w:val="0"/>
              <w:spacing w:after="120"/>
              <w:rPr>
                <w:rFonts w:hint="eastAsia" w:ascii="Calibri" w:hAnsi="Calibri"/>
                <w:color w:val="000000"/>
                <w:sz w:val="21"/>
                <w:szCs w:val="21"/>
              </w:rPr>
            </w:pPr>
          </w:p>
        </w:tc>
        <w:tc>
          <w:tcPr>
            <w:tcW w:w="1152" w:type="dxa"/>
            <w:vAlign w:val="top"/>
          </w:tcPr>
          <w:p>
            <w:pPr>
              <w:autoSpaceDE w:val="0"/>
              <w:autoSpaceDN w:val="0"/>
              <w:adjustRightInd w:val="0"/>
              <w:spacing w:after="120"/>
              <w:rPr>
                <w:rFonts w:hint="eastAsia" w:ascii="Calibri" w:hAnsi="Calibri"/>
                <w:color w:val="000000"/>
                <w:sz w:val="21"/>
                <w:szCs w:val="21"/>
              </w:rPr>
            </w:pPr>
          </w:p>
        </w:tc>
        <w:tc>
          <w:tcPr>
            <w:tcW w:w="1152" w:type="dxa"/>
            <w:vAlign w:val="top"/>
          </w:tcPr>
          <w:p>
            <w:pPr>
              <w:autoSpaceDE w:val="0"/>
              <w:autoSpaceDN w:val="0"/>
              <w:adjustRightInd w:val="0"/>
              <w:spacing w:after="120"/>
              <w:rPr>
                <w:rFonts w:hint="eastAsia" w:ascii="Calibri" w:hAnsi="Calibri"/>
                <w:color w:val="000000"/>
                <w:sz w:val="21"/>
                <w:szCs w:val="21"/>
              </w:rPr>
            </w:pPr>
          </w:p>
        </w:tc>
        <w:tc>
          <w:tcPr>
            <w:tcW w:w="692" w:type="dxa"/>
            <w:vAlign w:val="top"/>
          </w:tcPr>
          <w:p>
            <w:pPr>
              <w:autoSpaceDE w:val="0"/>
              <w:autoSpaceDN w:val="0"/>
              <w:adjustRightInd w:val="0"/>
              <w:spacing w:after="120"/>
              <w:rPr>
                <w:rFonts w:hint="eastAsia" w:ascii="Calibri" w:hAnsi="Calibri"/>
                <w:color w:val="000000"/>
                <w:sz w:val="21"/>
                <w:szCs w:val="21"/>
              </w:rPr>
            </w:pPr>
          </w:p>
        </w:tc>
      </w:tr>
    </w:tbl>
    <w:p>
      <w:pPr>
        <w:tabs>
          <w:tab w:val="left" w:pos="1260"/>
          <w:tab w:val="left" w:pos="1440"/>
        </w:tabs>
        <w:spacing w:line="360" w:lineRule="auto"/>
        <w:rPr>
          <w:rFonts w:hint="eastAsia" w:ascii="宋体" w:hAnsi="Calibri"/>
          <w:bCs/>
          <w:color w:val="000000"/>
          <w:sz w:val="21"/>
          <w:szCs w:val="21"/>
        </w:rPr>
      </w:pPr>
      <w:r>
        <w:rPr>
          <w:rFonts w:hint="eastAsia" w:ascii="宋体" w:hAnsi="Calibri"/>
          <w:bCs/>
          <w:color w:val="000000"/>
          <w:sz w:val="21"/>
          <w:szCs w:val="21"/>
        </w:rPr>
        <w:t>1</w:t>
      </w:r>
      <w:r>
        <w:rPr>
          <w:rFonts w:ascii="宋体" w:hAnsi="Calibri"/>
          <w:bCs/>
          <w:color w:val="000000"/>
          <w:sz w:val="21"/>
          <w:szCs w:val="21"/>
        </w:rPr>
        <w:t>1.1.3</w:t>
      </w:r>
      <w:r>
        <w:rPr>
          <w:rFonts w:hint="eastAsia" w:ascii="宋体" w:hAnsi="Calibri"/>
          <w:bCs/>
          <w:color w:val="000000"/>
          <w:sz w:val="21"/>
          <w:szCs w:val="21"/>
        </w:rPr>
        <w:t>安装设备所使用的消耗性材料及现场文明生产布置所需物品由投标方负责,带入生产现场的工器具必须外观检查合格、全部有检验合格证，方能带入现场使用，</w:t>
      </w:r>
      <w:r>
        <w:rPr>
          <w:rFonts w:hint="eastAsia" w:ascii="宋体" w:hAnsi="Calibri"/>
          <w:bCs/>
          <w:color w:val="000000"/>
          <w:sz w:val="21"/>
          <w:szCs w:val="21"/>
          <w:lang w:eastAsia="zh-CN"/>
        </w:rPr>
        <w:t>招标方</w:t>
      </w:r>
      <w:r>
        <w:rPr>
          <w:rFonts w:hint="eastAsia" w:ascii="宋体" w:hAnsi="Calibri"/>
          <w:bCs/>
          <w:color w:val="000000"/>
          <w:sz w:val="21"/>
          <w:szCs w:val="21"/>
        </w:rPr>
        <w:t>的检修部门管理人员有权对这些工器具的质量进行检查和确认，并有权要求投标方停止使用其中的不合格用品。如果因为选用劣质工器具而造成检修返工或其它检修质量事故，责任由投标方负责。</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11.1.4</w:t>
      </w:r>
      <w:r>
        <w:rPr>
          <w:rFonts w:hint="eastAsia" w:ascii="宋体" w:hAnsi="Calibri"/>
          <w:bCs/>
          <w:color w:val="000000"/>
          <w:sz w:val="21"/>
          <w:szCs w:val="21"/>
        </w:rPr>
        <w:t>投标方自行负责的常用工器具、检测仪器、量具必须是正规厂家的合格产品，并符合</w:t>
      </w:r>
      <w:r>
        <w:rPr>
          <w:rFonts w:hint="eastAsia" w:ascii="宋体" w:hAnsi="Calibri"/>
          <w:bCs/>
          <w:color w:val="000000"/>
          <w:sz w:val="21"/>
          <w:szCs w:val="21"/>
          <w:lang w:eastAsia="zh-CN"/>
        </w:rPr>
        <w:t>招标方</w:t>
      </w:r>
      <w:r>
        <w:rPr>
          <w:rFonts w:hint="eastAsia" w:ascii="宋体" w:hAnsi="Calibri"/>
          <w:bCs/>
          <w:color w:val="000000"/>
          <w:sz w:val="21"/>
          <w:szCs w:val="21"/>
        </w:rPr>
        <w:t>的安全环保政策。</w:t>
      </w:r>
      <w:r>
        <w:rPr>
          <w:rFonts w:hint="eastAsia" w:ascii="宋体" w:hAnsi="Calibri"/>
          <w:bCs/>
          <w:color w:val="000000"/>
          <w:sz w:val="21"/>
          <w:szCs w:val="21"/>
          <w:lang w:eastAsia="zh-CN"/>
        </w:rPr>
        <w:t>招标方</w:t>
      </w:r>
      <w:r>
        <w:rPr>
          <w:rFonts w:hint="eastAsia" w:ascii="宋体" w:hAnsi="Calibri"/>
          <w:bCs/>
          <w:color w:val="000000"/>
          <w:sz w:val="21"/>
          <w:szCs w:val="21"/>
        </w:rPr>
        <w:t>的检修部门管理人员有权对这些工器具的质量进行检查和确认，并有权要求投标方停止使用其中的不合格用品。如果因为选用劣质工器具而造成检修返工或其它检修质量事故，责任由投标方负责。</w:t>
      </w:r>
    </w:p>
    <w:p>
      <w:pPr>
        <w:rPr>
          <w:rFonts w:hint="eastAsia"/>
          <w:b/>
          <w:color w:val="000000"/>
          <w:sz w:val="21"/>
          <w:szCs w:val="21"/>
        </w:rPr>
      </w:pPr>
      <w:bookmarkStart w:id="23" w:name="_Toc15288"/>
      <w:bookmarkStart w:id="24" w:name="_Toc31686"/>
      <w:r>
        <w:rPr>
          <w:rFonts w:hint="eastAsia"/>
          <w:b/>
          <w:color w:val="000000"/>
          <w:sz w:val="21"/>
          <w:szCs w:val="21"/>
        </w:rPr>
        <w:t>1</w:t>
      </w:r>
      <w:r>
        <w:rPr>
          <w:b/>
          <w:color w:val="000000"/>
          <w:sz w:val="21"/>
          <w:szCs w:val="21"/>
        </w:rPr>
        <w:t>1.2</w:t>
      </w:r>
      <w:r>
        <w:rPr>
          <w:rFonts w:hint="eastAsia"/>
          <w:b/>
          <w:color w:val="000000"/>
          <w:sz w:val="21"/>
          <w:szCs w:val="21"/>
        </w:rPr>
        <w:t>项目人员要求</w:t>
      </w:r>
      <w:bookmarkEnd w:id="23"/>
      <w:bookmarkEnd w:id="24"/>
    </w:p>
    <w:p>
      <w:pPr>
        <w:rPr>
          <w:rFonts w:hint="eastAsia"/>
          <w:b/>
          <w:color w:val="000000"/>
          <w:sz w:val="21"/>
          <w:szCs w:val="21"/>
        </w:rPr>
      </w:pPr>
      <w:r>
        <w:rPr>
          <w:b/>
          <w:color w:val="000000"/>
          <w:sz w:val="21"/>
          <w:szCs w:val="21"/>
        </w:rPr>
        <w:t>11.2.1</w:t>
      </w:r>
      <w:r>
        <w:rPr>
          <w:rFonts w:hint="eastAsia"/>
          <w:b/>
          <w:color w:val="000000"/>
          <w:sz w:val="21"/>
          <w:szCs w:val="21"/>
        </w:rPr>
        <w:t>人员配置</w:t>
      </w:r>
    </w:p>
    <w:p>
      <w:pPr>
        <w:tabs>
          <w:tab w:val="left" w:pos="1260"/>
          <w:tab w:val="left" w:pos="1440"/>
        </w:tabs>
        <w:spacing w:line="360" w:lineRule="auto"/>
        <w:ind w:firstLine="420" w:firstLineChars="200"/>
        <w:rPr>
          <w:rFonts w:ascii="宋体" w:hAnsi="宋体" w:cs="宋体"/>
          <w:snapToGrid w:val="0"/>
          <w:color w:val="000000"/>
          <w:sz w:val="21"/>
          <w:szCs w:val="21"/>
        </w:rPr>
      </w:pPr>
      <w:r>
        <w:rPr>
          <w:rFonts w:hint="eastAsia" w:ascii="宋体" w:hAnsi="Calibri"/>
          <w:bCs/>
          <w:color w:val="000000"/>
          <w:sz w:val="21"/>
          <w:szCs w:val="21"/>
        </w:rPr>
        <w:t>投标方按下表提供现场服务计划表，由招标方确认。如果此现场服务人及日数不能满足工程需要，招标方有权要求投标方增加现场服务人及日数，费用由投标方承担。</w:t>
      </w:r>
    </w:p>
    <w:p>
      <w:pPr>
        <w:adjustRightInd w:val="0"/>
        <w:snapToGrid w:val="0"/>
        <w:spacing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现 场 服 务 计 划 表</w:t>
      </w:r>
    </w:p>
    <w:tbl>
      <w:tblPr>
        <w:tblStyle w:val="9"/>
        <w:tblW w:w="9076" w:type="dxa"/>
        <w:jc w:val="center"/>
        <w:tblInd w:w="-555"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1526"/>
        <w:gridCol w:w="1660"/>
        <w:gridCol w:w="1588"/>
        <w:gridCol w:w="1140"/>
        <w:gridCol w:w="1201"/>
        <w:gridCol w:w="196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Ex>
        <w:trPr>
          <w:cantSplit/>
          <w:trHeight w:val="463" w:hRule="atLeast"/>
          <w:jc w:val="center"/>
        </w:trPr>
        <w:tc>
          <w:tcPr>
            <w:tcW w:w="1526" w:type="dxa"/>
            <w:vMerge w:val="restart"/>
            <w:vAlign w:val="center"/>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序号</w:t>
            </w:r>
          </w:p>
        </w:tc>
        <w:tc>
          <w:tcPr>
            <w:tcW w:w="1660" w:type="dxa"/>
            <w:vMerge w:val="restart"/>
            <w:vAlign w:val="center"/>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技术服务内容</w:t>
            </w:r>
          </w:p>
        </w:tc>
        <w:tc>
          <w:tcPr>
            <w:tcW w:w="1588" w:type="dxa"/>
            <w:vMerge w:val="restart"/>
            <w:vAlign w:val="center"/>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计划人/日数</w:t>
            </w:r>
          </w:p>
        </w:tc>
        <w:tc>
          <w:tcPr>
            <w:tcW w:w="2341" w:type="dxa"/>
            <w:gridSpan w:val="2"/>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派出人员构成</w:t>
            </w:r>
          </w:p>
        </w:tc>
        <w:tc>
          <w:tcPr>
            <w:tcW w:w="1961" w:type="dxa"/>
            <w:vMerge w:val="restart"/>
            <w:vAlign w:val="center"/>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Ex>
        <w:trPr>
          <w:cantSplit/>
          <w:trHeight w:val="400" w:hRule="atLeast"/>
          <w:jc w:val="center"/>
        </w:trPr>
        <w:tc>
          <w:tcPr>
            <w:tcW w:w="1526" w:type="dxa"/>
            <w:vMerge w:val="continue"/>
            <w:vAlign w:val="top"/>
          </w:tcPr>
          <w:p>
            <w:pPr>
              <w:spacing w:line="360" w:lineRule="auto"/>
              <w:rPr>
                <w:rFonts w:hint="eastAsia" w:ascii="宋体" w:hAnsi="宋体" w:cs="宋体"/>
                <w:color w:val="000000"/>
                <w:sz w:val="21"/>
                <w:szCs w:val="21"/>
              </w:rPr>
            </w:pPr>
          </w:p>
        </w:tc>
        <w:tc>
          <w:tcPr>
            <w:tcW w:w="1660" w:type="dxa"/>
            <w:vMerge w:val="continue"/>
            <w:vAlign w:val="top"/>
          </w:tcPr>
          <w:p>
            <w:pPr>
              <w:spacing w:line="360" w:lineRule="auto"/>
              <w:rPr>
                <w:rFonts w:hint="eastAsia" w:ascii="宋体" w:hAnsi="宋体" w:cs="宋体"/>
                <w:color w:val="000000"/>
                <w:sz w:val="21"/>
                <w:szCs w:val="21"/>
              </w:rPr>
            </w:pPr>
          </w:p>
        </w:tc>
        <w:tc>
          <w:tcPr>
            <w:tcW w:w="1588" w:type="dxa"/>
            <w:vMerge w:val="continue"/>
            <w:vAlign w:val="top"/>
          </w:tcPr>
          <w:p>
            <w:pPr>
              <w:spacing w:line="360" w:lineRule="auto"/>
              <w:rPr>
                <w:rFonts w:hint="eastAsia" w:ascii="宋体" w:hAnsi="宋体" w:cs="宋体"/>
                <w:color w:val="000000"/>
                <w:sz w:val="21"/>
                <w:szCs w:val="21"/>
              </w:rPr>
            </w:pPr>
          </w:p>
        </w:tc>
        <w:tc>
          <w:tcPr>
            <w:tcW w:w="1140" w:type="dxa"/>
            <w:vAlign w:val="center"/>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职称</w:t>
            </w:r>
          </w:p>
        </w:tc>
        <w:tc>
          <w:tcPr>
            <w:tcW w:w="1201"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人数</w:t>
            </w:r>
          </w:p>
        </w:tc>
        <w:tc>
          <w:tcPr>
            <w:tcW w:w="1961" w:type="dxa"/>
            <w:vMerge w:val="continue"/>
            <w:vAlign w:val="top"/>
          </w:tcPr>
          <w:p>
            <w:pPr>
              <w:spacing w:line="360" w:lineRule="auto"/>
              <w:rPr>
                <w:rFonts w:hint="eastAsia" w:ascii="宋体" w:hAnsi="宋体" w:cs="宋体"/>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Ex>
        <w:trPr>
          <w:trHeight w:val="440" w:hRule="atLeast"/>
          <w:jc w:val="center"/>
        </w:trPr>
        <w:tc>
          <w:tcPr>
            <w:tcW w:w="1526"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660"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 xml:space="preserve"> </w:t>
            </w:r>
          </w:p>
        </w:tc>
        <w:tc>
          <w:tcPr>
            <w:tcW w:w="1588"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 xml:space="preserve"> </w:t>
            </w:r>
          </w:p>
        </w:tc>
        <w:tc>
          <w:tcPr>
            <w:tcW w:w="1140"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201"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961"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Ex>
        <w:trPr>
          <w:trHeight w:val="760" w:hRule="atLeast"/>
          <w:jc w:val="center"/>
        </w:trPr>
        <w:tc>
          <w:tcPr>
            <w:tcW w:w="1526"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660"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 xml:space="preserve"> </w:t>
            </w:r>
          </w:p>
        </w:tc>
        <w:tc>
          <w:tcPr>
            <w:tcW w:w="1588"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 xml:space="preserve"> </w:t>
            </w:r>
          </w:p>
        </w:tc>
        <w:tc>
          <w:tcPr>
            <w:tcW w:w="1140"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201"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961"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Ex>
        <w:trPr>
          <w:cantSplit/>
          <w:trHeight w:val="417" w:hRule="atLeast"/>
          <w:jc w:val="center"/>
        </w:trPr>
        <w:tc>
          <w:tcPr>
            <w:tcW w:w="3186" w:type="dxa"/>
            <w:gridSpan w:val="2"/>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r>
              <w:rPr>
                <w:rFonts w:hint="eastAsia" w:ascii="宋体" w:hAnsi="宋体" w:cs="宋体"/>
                <w:snapToGrid w:val="0"/>
                <w:color w:val="000000"/>
                <w:sz w:val="21"/>
                <w:szCs w:val="21"/>
              </w:rPr>
              <w:t>合计</w:t>
            </w:r>
          </w:p>
        </w:tc>
        <w:tc>
          <w:tcPr>
            <w:tcW w:w="1588"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140"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201"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c>
          <w:tcPr>
            <w:tcW w:w="1961" w:type="dxa"/>
            <w:vAlign w:val="top"/>
          </w:tcPr>
          <w:p>
            <w:pPr>
              <w:adjustRightInd w:val="0"/>
              <w:snapToGrid w:val="0"/>
              <w:spacing w:before="31" w:beforeLines="10" w:after="31" w:afterLines="10" w:line="360" w:lineRule="auto"/>
              <w:jc w:val="center"/>
              <w:rPr>
                <w:rFonts w:hint="eastAsia" w:ascii="宋体" w:hAnsi="宋体" w:cs="宋体"/>
                <w:snapToGrid w:val="0"/>
                <w:color w:val="000000"/>
                <w:sz w:val="21"/>
                <w:szCs w:val="21"/>
              </w:rPr>
            </w:pPr>
          </w:p>
        </w:tc>
      </w:tr>
    </w:tbl>
    <w:p>
      <w:pPr>
        <w:rPr>
          <w:b/>
          <w:color w:val="000000"/>
          <w:sz w:val="21"/>
          <w:szCs w:val="21"/>
        </w:rPr>
      </w:pPr>
      <w:bookmarkStart w:id="25" w:name="_Toc7195"/>
    </w:p>
    <w:p>
      <w:pPr>
        <w:rPr>
          <w:rFonts w:hint="eastAsia"/>
          <w:b/>
          <w:color w:val="000000"/>
          <w:sz w:val="21"/>
          <w:szCs w:val="21"/>
        </w:rPr>
      </w:pPr>
      <w:r>
        <w:rPr>
          <w:b/>
          <w:color w:val="000000"/>
          <w:sz w:val="21"/>
          <w:szCs w:val="21"/>
        </w:rPr>
        <w:t>11.2.2</w:t>
      </w:r>
      <w:r>
        <w:rPr>
          <w:rFonts w:hint="eastAsia"/>
          <w:b/>
          <w:color w:val="000000"/>
          <w:sz w:val="21"/>
          <w:szCs w:val="21"/>
        </w:rPr>
        <w:t>须提供的参与项目人员况情况表</w:t>
      </w:r>
      <w:bookmarkEnd w:id="25"/>
    </w:p>
    <w:p>
      <w:pPr>
        <w:tabs>
          <w:tab w:val="left" w:pos="0"/>
        </w:tabs>
        <w:rPr>
          <w:rFonts w:hint="eastAsia" w:ascii="宋体" w:hAnsi="Calibri"/>
          <w:bCs/>
          <w:color w:val="000000"/>
          <w:sz w:val="21"/>
          <w:szCs w:val="21"/>
        </w:rPr>
      </w:pPr>
      <w:r>
        <w:rPr>
          <w:rFonts w:hint="eastAsia" w:ascii="宋体" w:hAnsi="Calibri"/>
          <w:bCs/>
          <w:color w:val="000000"/>
          <w:sz w:val="21"/>
          <w:szCs w:val="21"/>
        </w:rPr>
        <w:t>表1：</w:t>
      </w:r>
    </w:p>
    <w:p>
      <w:pPr>
        <w:tabs>
          <w:tab w:val="left" w:pos="0"/>
        </w:tabs>
        <w:jc w:val="center"/>
        <w:rPr>
          <w:rFonts w:hint="eastAsia" w:ascii="Calibri" w:hAnsi="Calibri"/>
          <w:color w:val="000000"/>
          <w:sz w:val="21"/>
          <w:szCs w:val="21"/>
        </w:rPr>
      </w:pPr>
      <w:r>
        <w:rPr>
          <w:rFonts w:hint="eastAsia" w:ascii="宋体" w:hAnsi="Calibri"/>
          <w:bCs/>
          <w:color w:val="000000"/>
          <w:sz w:val="21"/>
          <w:szCs w:val="21"/>
        </w:rPr>
        <w:t>项目总负责人委托书</w:t>
      </w:r>
    </w:p>
    <w:p>
      <w:pPr>
        <w:spacing w:line="360" w:lineRule="auto"/>
        <w:rPr>
          <w:rFonts w:hint="eastAsia" w:ascii="宋体" w:hAnsi="Calibri"/>
          <w:b/>
          <w:color w:val="000000"/>
          <w:sz w:val="21"/>
          <w:szCs w:val="21"/>
          <w:u w:val="single"/>
        </w:rPr>
      </w:pPr>
      <w:r>
        <w:rPr>
          <w:rFonts w:hint="eastAsia" w:ascii="宋体" w:hAnsi="Calibri"/>
          <w:color w:val="000000"/>
          <w:sz w:val="21"/>
          <w:szCs w:val="21"/>
        </w:rPr>
        <w:t>致：</w:t>
      </w:r>
      <w:r>
        <w:rPr>
          <w:rFonts w:hint="eastAsia" w:ascii="宋体" w:hAnsi="Calibri"/>
          <w:color w:val="000000"/>
          <w:sz w:val="21"/>
          <w:szCs w:val="21"/>
          <w:u w:val="single"/>
        </w:rPr>
        <w:t>神华准格尔能源有限责任公司</w:t>
      </w:r>
    </w:p>
    <w:p>
      <w:pPr>
        <w:spacing w:line="360" w:lineRule="auto"/>
        <w:rPr>
          <w:rFonts w:hint="eastAsia" w:ascii="宋体" w:hAnsi="Calibri"/>
          <w:color w:val="000000"/>
          <w:sz w:val="21"/>
          <w:szCs w:val="21"/>
        </w:rPr>
      </w:pPr>
    </w:p>
    <w:p>
      <w:pPr>
        <w:spacing w:line="360" w:lineRule="auto"/>
        <w:ind w:firstLine="420" w:firstLineChars="200"/>
        <w:rPr>
          <w:rFonts w:hint="eastAsia" w:ascii="宋体" w:hAnsi="Calibri"/>
          <w:color w:val="000000"/>
          <w:sz w:val="21"/>
          <w:szCs w:val="21"/>
        </w:rPr>
      </w:pPr>
      <w:r>
        <w:rPr>
          <w:rFonts w:hint="eastAsia" w:ascii="宋体" w:hAnsi="Calibri"/>
          <w:color w:val="000000"/>
          <w:sz w:val="21"/>
          <w:szCs w:val="21"/>
        </w:rPr>
        <w:t>兹委托我单位</w:t>
      </w:r>
      <w:r>
        <w:rPr>
          <w:rFonts w:hint="eastAsia" w:ascii="宋体" w:hAnsi="Calibri"/>
          <w:color w:val="000000"/>
          <w:sz w:val="21"/>
          <w:szCs w:val="21"/>
          <w:u w:val="single"/>
        </w:rPr>
        <w:t xml:space="preserve">                </w:t>
      </w:r>
      <w:r>
        <w:rPr>
          <w:rFonts w:hint="eastAsia" w:ascii="宋体" w:hAnsi="Calibri"/>
          <w:color w:val="000000"/>
          <w:sz w:val="21"/>
          <w:szCs w:val="21"/>
        </w:rPr>
        <w:t>为</w:t>
      </w:r>
      <w:r>
        <w:rPr>
          <w:rFonts w:hint="eastAsia" w:ascii="宋体" w:hAnsi="Calibri"/>
          <w:color w:val="000000"/>
          <w:kern w:val="24"/>
          <w:sz w:val="21"/>
          <w:szCs w:val="21"/>
          <w:u w:val="single"/>
        </w:rPr>
        <w:t>　　（项目名称）　</w:t>
      </w:r>
      <w:r>
        <w:rPr>
          <w:rFonts w:hint="eastAsia" w:ascii="宋体" w:hAnsi="Calibri"/>
          <w:color w:val="000000"/>
          <w:sz w:val="21"/>
          <w:szCs w:val="21"/>
          <w:u w:val="single"/>
        </w:rPr>
        <w:t>　</w:t>
      </w:r>
      <w:r>
        <w:rPr>
          <w:rFonts w:hint="eastAsia" w:ascii="宋体" w:hAnsi="Calibri"/>
          <w:color w:val="000000"/>
          <w:sz w:val="21"/>
          <w:szCs w:val="21"/>
        </w:rPr>
        <w:t>的项目总负责人。代表本单位负责处理</w:t>
      </w:r>
      <w:r>
        <w:rPr>
          <w:rFonts w:hint="eastAsia" w:ascii="宋体" w:hAnsi="Calibri"/>
          <w:color w:val="000000"/>
          <w:sz w:val="21"/>
          <w:szCs w:val="21"/>
          <w:u w:val="single"/>
        </w:rPr>
        <w:t>×××××××××</w:t>
      </w:r>
      <w:r>
        <w:rPr>
          <w:rFonts w:hint="eastAsia" w:ascii="宋体" w:hAnsi="宋体"/>
          <w:bCs/>
          <w:color w:val="000000"/>
          <w:sz w:val="21"/>
          <w:szCs w:val="21"/>
        </w:rPr>
        <w:t>项目</w:t>
      </w:r>
      <w:r>
        <w:rPr>
          <w:rFonts w:hint="eastAsia" w:ascii="宋体" w:hAnsi="Calibri"/>
          <w:color w:val="000000"/>
          <w:sz w:val="21"/>
          <w:szCs w:val="21"/>
        </w:rPr>
        <w:t>安装、调试过程中涉及到本单位权利和义务的一切工作。</w:t>
      </w:r>
    </w:p>
    <w:p>
      <w:pPr>
        <w:spacing w:line="360" w:lineRule="auto"/>
        <w:ind w:firstLine="420"/>
        <w:rPr>
          <w:rFonts w:hint="eastAsia" w:ascii="宋体" w:hAnsi="Calibri"/>
          <w:color w:val="000000"/>
          <w:sz w:val="21"/>
          <w:szCs w:val="21"/>
        </w:rPr>
      </w:pPr>
    </w:p>
    <w:p>
      <w:pPr>
        <w:spacing w:line="360" w:lineRule="auto"/>
        <w:ind w:firstLine="420"/>
        <w:rPr>
          <w:rFonts w:hint="eastAsia" w:ascii="宋体" w:hAnsi="Calibri"/>
          <w:color w:val="000000"/>
          <w:sz w:val="21"/>
          <w:szCs w:val="21"/>
        </w:rPr>
      </w:pPr>
    </w:p>
    <w:p>
      <w:pPr>
        <w:spacing w:line="360" w:lineRule="auto"/>
        <w:ind w:firstLine="420"/>
        <w:rPr>
          <w:rFonts w:hint="eastAsia" w:ascii="宋体" w:hAnsi="Calibri"/>
          <w:color w:val="000000"/>
          <w:sz w:val="21"/>
          <w:szCs w:val="21"/>
          <w:u w:val="single"/>
        </w:rPr>
      </w:pPr>
      <w:r>
        <w:rPr>
          <w:rFonts w:hint="eastAsia" w:ascii="宋体" w:hAnsi="Calibri"/>
          <w:color w:val="000000"/>
          <w:sz w:val="21"/>
          <w:szCs w:val="21"/>
        </w:rPr>
        <w:t>投标人：</w:t>
      </w:r>
      <w:r>
        <w:rPr>
          <w:rFonts w:hint="eastAsia" w:ascii="宋体" w:hAnsi="Calibri"/>
          <w:color w:val="000000"/>
          <w:sz w:val="21"/>
          <w:szCs w:val="21"/>
          <w:u w:val="single"/>
        </w:rPr>
        <w:t xml:space="preserve">       （盖章）        </w:t>
      </w:r>
    </w:p>
    <w:p>
      <w:pPr>
        <w:spacing w:line="360" w:lineRule="auto"/>
        <w:ind w:firstLine="420"/>
        <w:rPr>
          <w:rFonts w:hint="eastAsia" w:ascii="宋体" w:hAnsi="Calibri"/>
          <w:color w:val="000000"/>
          <w:sz w:val="21"/>
          <w:szCs w:val="21"/>
        </w:rPr>
      </w:pPr>
    </w:p>
    <w:p>
      <w:pPr>
        <w:spacing w:line="360" w:lineRule="auto"/>
        <w:ind w:firstLine="420"/>
        <w:rPr>
          <w:rFonts w:hint="eastAsia" w:ascii="宋体" w:hAnsi="Calibri"/>
          <w:color w:val="000000"/>
          <w:sz w:val="21"/>
          <w:szCs w:val="21"/>
        </w:rPr>
      </w:pPr>
      <w:r>
        <w:rPr>
          <w:rFonts w:hint="eastAsia" w:ascii="宋体" w:hAnsi="Calibri"/>
          <w:color w:val="000000"/>
          <w:sz w:val="21"/>
          <w:szCs w:val="21"/>
        </w:rPr>
        <w:t>法定代表人：</w:t>
      </w:r>
      <w:r>
        <w:rPr>
          <w:rFonts w:hint="eastAsia" w:ascii="宋体" w:hAnsi="Calibri"/>
          <w:color w:val="000000"/>
          <w:sz w:val="21"/>
          <w:szCs w:val="21"/>
          <w:u w:val="single"/>
        </w:rPr>
        <w:t xml:space="preserve">   （签字）         </w:t>
      </w:r>
    </w:p>
    <w:p>
      <w:pPr>
        <w:spacing w:line="360" w:lineRule="auto"/>
        <w:ind w:firstLine="420"/>
        <w:rPr>
          <w:rFonts w:hint="eastAsia" w:ascii="宋体" w:hAnsi="Calibri"/>
          <w:color w:val="000000"/>
          <w:sz w:val="21"/>
          <w:szCs w:val="21"/>
        </w:rPr>
      </w:pPr>
    </w:p>
    <w:p>
      <w:pPr>
        <w:spacing w:line="360" w:lineRule="auto"/>
        <w:ind w:firstLine="420"/>
        <w:rPr>
          <w:rFonts w:hint="eastAsia" w:ascii="宋体" w:hAnsi="Calibri"/>
          <w:color w:val="000000"/>
          <w:sz w:val="21"/>
          <w:szCs w:val="21"/>
          <w:u w:val="single"/>
        </w:rPr>
      </w:pPr>
      <w:r>
        <w:rPr>
          <w:rFonts w:hint="eastAsia" w:ascii="宋体" w:hAnsi="Calibri"/>
          <w:color w:val="000000"/>
          <w:sz w:val="21"/>
          <w:szCs w:val="21"/>
        </w:rPr>
        <w:t>被委托人：</w:t>
      </w:r>
      <w:r>
        <w:rPr>
          <w:rFonts w:hint="eastAsia" w:ascii="宋体" w:hAnsi="Calibri"/>
          <w:color w:val="000000"/>
          <w:sz w:val="21"/>
          <w:szCs w:val="21"/>
          <w:u w:val="single"/>
        </w:rPr>
        <w:t xml:space="preserve">        （签字）       </w:t>
      </w:r>
    </w:p>
    <w:p>
      <w:pPr>
        <w:spacing w:line="360" w:lineRule="auto"/>
        <w:ind w:firstLine="420"/>
        <w:rPr>
          <w:rFonts w:hint="eastAsia" w:ascii="宋体" w:hAnsi="Calibri"/>
          <w:color w:val="000000"/>
          <w:sz w:val="21"/>
          <w:szCs w:val="21"/>
        </w:rPr>
      </w:pPr>
    </w:p>
    <w:p>
      <w:pPr>
        <w:spacing w:line="360" w:lineRule="auto"/>
        <w:ind w:firstLine="420"/>
        <w:rPr>
          <w:rFonts w:hint="eastAsia" w:ascii="宋体" w:hAnsi="Calibri"/>
          <w:color w:val="000000"/>
          <w:sz w:val="21"/>
          <w:szCs w:val="21"/>
        </w:rPr>
      </w:pPr>
      <w:r>
        <w:rPr>
          <w:rFonts w:hint="eastAsia" w:ascii="宋体" w:hAnsi="Calibri"/>
          <w:color w:val="000000"/>
          <w:sz w:val="21"/>
          <w:szCs w:val="21"/>
        </w:rPr>
        <w:t>日期：</w:t>
      </w:r>
      <w:r>
        <w:rPr>
          <w:rFonts w:hint="eastAsia" w:ascii="宋体" w:hAnsi="Calibri"/>
          <w:color w:val="000000"/>
          <w:sz w:val="21"/>
          <w:szCs w:val="21"/>
          <w:u w:val="single"/>
        </w:rPr>
        <w:t xml:space="preserve">    </w:t>
      </w:r>
      <w:r>
        <w:rPr>
          <w:rFonts w:hint="eastAsia" w:ascii="宋体" w:hAnsi="Calibri"/>
          <w:color w:val="000000"/>
          <w:sz w:val="21"/>
          <w:szCs w:val="21"/>
        </w:rPr>
        <w:t>年</w:t>
      </w:r>
      <w:r>
        <w:rPr>
          <w:rFonts w:hint="eastAsia" w:ascii="宋体" w:hAnsi="Calibri"/>
          <w:color w:val="000000"/>
          <w:sz w:val="21"/>
          <w:szCs w:val="21"/>
          <w:u w:val="single"/>
        </w:rPr>
        <w:t xml:space="preserve">    </w:t>
      </w:r>
      <w:r>
        <w:rPr>
          <w:rFonts w:hint="eastAsia" w:ascii="宋体" w:hAnsi="Calibri"/>
          <w:color w:val="000000"/>
          <w:sz w:val="21"/>
          <w:szCs w:val="21"/>
        </w:rPr>
        <w:t>月</w:t>
      </w:r>
      <w:r>
        <w:rPr>
          <w:rFonts w:hint="eastAsia" w:ascii="宋体" w:hAnsi="Calibri"/>
          <w:color w:val="000000"/>
          <w:sz w:val="21"/>
          <w:szCs w:val="21"/>
          <w:u w:val="single"/>
        </w:rPr>
        <w:t xml:space="preserve">    </w:t>
      </w:r>
      <w:r>
        <w:rPr>
          <w:rFonts w:hint="eastAsia" w:ascii="宋体" w:hAnsi="Calibri"/>
          <w:color w:val="000000"/>
          <w:sz w:val="21"/>
          <w:szCs w:val="21"/>
        </w:rPr>
        <w:t>日</w:t>
      </w:r>
    </w:p>
    <w:p>
      <w:pPr>
        <w:spacing w:line="360" w:lineRule="auto"/>
        <w:ind w:firstLine="420"/>
        <w:rPr>
          <w:rFonts w:hint="eastAsia" w:ascii="宋体" w:hAnsi="Calibri"/>
          <w:color w:val="000000"/>
          <w:sz w:val="21"/>
          <w:szCs w:val="21"/>
        </w:rPr>
      </w:pPr>
    </w:p>
    <w:p>
      <w:pPr>
        <w:spacing w:line="360" w:lineRule="auto"/>
        <w:ind w:firstLine="420"/>
        <w:rPr>
          <w:rFonts w:hint="eastAsia" w:ascii="宋体" w:hAnsi="Calibri"/>
          <w:color w:val="000000"/>
          <w:sz w:val="21"/>
          <w:szCs w:val="21"/>
        </w:rPr>
      </w:pPr>
      <w:r>
        <w:rPr>
          <w:rFonts w:hint="eastAsia" w:ascii="宋体" w:hAnsi="Calibri"/>
          <w:color w:val="000000"/>
          <w:sz w:val="21"/>
          <w:szCs w:val="21"/>
        </w:rPr>
        <w:t>（注：合同实施过程中，更改本项目总负责人须经项目法人同意。）</w:t>
      </w:r>
    </w:p>
    <w:p>
      <w:pPr>
        <w:spacing w:line="360" w:lineRule="auto"/>
        <w:ind w:firstLine="420"/>
        <w:rPr>
          <w:rFonts w:hint="eastAsia" w:ascii="宋体" w:hAnsi="Calibri"/>
          <w:color w:val="000000"/>
          <w:sz w:val="21"/>
          <w:szCs w:val="21"/>
        </w:rPr>
        <w:sectPr>
          <w:footerReference r:id="rId3" w:type="default"/>
          <w:pgSz w:w="11906" w:h="16838"/>
          <w:pgMar w:top="1440" w:right="1134" w:bottom="1440" w:left="1418" w:header="851" w:footer="992" w:gutter="0"/>
          <w:cols w:space="720" w:num="1"/>
          <w:docGrid w:type="linesAndChars" w:linePitch="312" w:charSpace="0"/>
        </w:sectPr>
      </w:pPr>
    </w:p>
    <w:p>
      <w:pPr>
        <w:tabs>
          <w:tab w:val="left" w:pos="0"/>
        </w:tabs>
        <w:rPr>
          <w:rFonts w:hint="eastAsia" w:ascii="宋体" w:hAnsi="Calibri"/>
          <w:bCs/>
          <w:color w:val="000000"/>
          <w:sz w:val="21"/>
          <w:szCs w:val="21"/>
        </w:rPr>
      </w:pPr>
      <w:r>
        <w:rPr>
          <w:rFonts w:hint="eastAsia" w:ascii="宋体" w:hAnsi="Calibri"/>
          <w:bCs/>
          <w:color w:val="000000"/>
          <w:sz w:val="21"/>
          <w:szCs w:val="21"/>
        </w:rPr>
        <w:t>表2：</w:t>
      </w:r>
    </w:p>
    <w:p>
      <w:pPr>
        <w:tabs>
          <w:tab w:val="left" w:pos="0"/>
        </w:tabs>
        <w:jc w:val="center"/>
        <w:rPr>
          <w:rFonts w:hint="eastAsia" w:ascii="Calibri" w:hAnsi="Calibri"/>
          <w:bCs/>
          <w:color w:val="000000"/>
          <w:sz w:val="21"/>
          <w:szCs w:val="21"/>
        </w:rPr>
      </w:pPr>
      <w:r>
        <w:rPr>
          <w:rFonts w:hint="eastAsia" w:ascii="宋体" w:hAnsi="Calibri"/>
          <w:bCs/>
          <w:color w:val="000000"/>
          <w:sz w:val="21"/>
          <w:szCs w:val="21"/>
        </w:rPr>
        <w:t>拟从事本项目的技术人员情况表</w:t>
      </w:r>
    </w:p>
    <w:p>
      <w:pPr>
        <w:adjustRightInd w:val="0"/>
        <w:snapToGrid w:val="0"/>
        <w:spacing w:line="360" w:lineRule="auto"/>
        <w:rPr>
          <w:rFonts w:hint="eastAsia" w:ascii="宋体" w:hAnsi="Calibri"/>
          <w:color w:val="000000"/>
          <w:sz w:val="21"/>
          <w:szCs w:val="21"/>
        </w:rPr>
      </w:pPr>
    </w:p>
    <w:tbl>
      <w:tblPr>
        <w:tblStyle w:val="9"/>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2"/>
        <w:gridCol w:w="868"/>
        <w:gridCol w:w="1832"/>
        <w:gridCol w:w="1442"/>
        <w:gridCol w:w="1581"/>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820" w:type="dxa"/>
            <w:gridSpan w:val="7"/>
            <w:vAlign w:val="center"/>
          </w:tcPr>
          <w:p>
            <w:pPr>
              <w:tabs>
                <w:tab w:val="left" w:pos="6300"/>
              </w:tabs>
              <w:snapToGrid w:val="0"/>
              <w:spacing w:line="360" w:lineRule="auto"/>
              <w:ind w:left="478" w:leftChars="228"/>
              <w:jc w:val="center"/>
              <w:rPr>
                <w:rFonts w:hint="eastAsia" w:ascii="宋体" w:hAnsi="Calibri"/>
                <w:color w:val="000000"/>
                <w:sz w:val="21"/>
                <w:szCs w:val="21"/>
              </w:rPr>
            </w:pPr>
            <w:r>
              <w:rPr>
                <w:rFonts w:hint="eastAsia" w:ascii="宋体" w:hAnsi="Calibri"/>
                <w:color w:val="000000"/>
                <w:sz w:val="21"/>
                <w:szCs w:val="21"/>
              </w:rPr>
              <w:t>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6" w:type="dxa"/>
            <w:vAlign w:val="center"/>
          </w:tcPr>
          <w:p>
            <w:pPr>
              <w:tabs>
                <w:tab w:val="left" w:pos="6300"/>
              </w:tabs>
              <w:snapToGrid w:val="0"/>
              <w:spacing w:line="360" w:lineRule="auto"/>
              <w:jc w:val="center"/>
              <w:rPr>
                <w:rFonts w:hint="eastAsia" w:ascii="宋体" w:hAnsi="Calibri"/>
                <w:color w:val="000000"/>
                <w:sz w:val="21"/>
                <w:szCs w:val="21"/>
              </w:rPr>
            </w:pPr>
            <w:r>
              <w:rPr>
                <w:rFonts w:hint="eastAsia" w:ascii="宋体" w:hAnsi="Calibri"/>
                <w:color w:val="000000"/>
                <w:sz w:val="21"/>
                <w:szCs w:val="21"/>
              </w:rPr>
              <w:t>姓名</w:t>
            </w:r>
          </w:p>
        </w:tc>
        <w:tc>
          <w:tcPr>
            <w:tcW w:w="880" w:type="dxa"/>
            <w:gridSpan w:val="2"/>
            <w:vAlign w:val="center"/>
          </w:tcPr>
          <w:p>
            <w:pPr>
              <w:tabs>
                <w:tab w:val="left" w:pos="6300"/>
              </w:tabs>
              <w:snapToGrid w:val="0"/>
              <w:spacing w:line="360" w:lineRule="auto"/>
              <w:rPr>
                <w:rFonts w:hint="eastAsia" w:ascii="宋体" w:hAnsi="Calibri"/>
                <w:color w:val="000000"/>
                <w:sz w:val="21"/>
                <w:szCs w:val="21"/>
              </w:rPr>
            </w:pPr>
            <w:r>
              <w:rPr>
                <w:rFonts w:hint="eastAsia" w:ascii="宋体" w:hAnsi="Calibri"/>
                <w:color w:val="000000"/>
                <w:sz w:val="21"/>
                <w:szCs w:val="21"/>
              </w:rPr>
              <w:t>年龄</w:t>
            </w:r>
          </w:p>
        </w:tc>
        <w:tc>
          <w:tcPr>
            <w:tcW w:w="1832" w:type="dxa"/>
            <w:vAlign w:val="center"/>
          </w:tcPr>
          <w:p>
            <w:pPr>
              <w:tabs>
                <w:tab w:val="left" w:pos="6300"/>
              </w:tabs>
              <w:snapToGrid w:val="0"/>
              <w:spacing w:line="360" w:lineRule="auto"/>
              <w:rPr>
                <w:rFonts w:hint="eastAsia" w:ascii="宋体" w:hAnsi="Calibri"/>
                <w:color w:val="000000"/>
                <w:sz w:val="21"/>
                <w:szCs w:val="21"/>
              </w:rPr>
            </w:pPr>
            <w:r>
              <w:rPr>
                <w:rFonts w:hint="eastAsia" w:ascii="宋体" w:hAnsi="Calibri"/>
                <w:color w:val="000000"/>
                <w:sz w:val="21"/>
                <w:szCs w:val="21"/>
              </w:rPr>
              <w:t>职称、执业资格</w:t>
            </w:r>
          </w:p>
        </w:tc>
        <w:tc>
          <w:tcPr>
            <w:tcW w:w="1442" w:type="dxa"/>
            <w:vAlign w:val="center"/>
          </w:tcPr>
          <w:p>
            <w:pPr>
              <w:tabs>
                <w:tab w:val="left" w:pos="6300"/>
              </w:tabs>
              <w:snapToGrid w:val="0"/>
              <w:spacing w:line="360" w:lineRule="auto"/>
              <w:jc w:val="center"/>
              <w:rPr>
                <w:rFonts w:hint="eastAsia" w:ascii="宋体" w:hAnsi="Calibri"/>
                <w:color w:val="000000"/>
                <w:sz w:val="21"/>
                <w:szCs w:val="21"/>
              </w:rPr>
            </w:pPr>
            <w:r>
              <w:rPr>
                <w:rFonts w:hint="eastAsia" w:ascii="宋体" w:hAnsi="Calibri"/>
                <w:color w:val="000000"/>
                <w:sz w:val="21"/>
                <w:szCs w:val="21"/>
              </w:rPr>
              <w:t>专业</w:t>
            </w:r>
          </w:p>
        </w:tc>
        <w:tc>
          <w:tcPr>
            <w:tcW w:w="1581" w:type="dxa"/>
            <w:vAlign w:val="center"/>
          </w:tcPr>
          <w:p>
            <w:pPr>
              <w:tabs>
                <w:tab w:val="left" w:pos="6300"/>
              </w:tabs>
              <w:snapToGrid w:val="0"/>
              <w:spacing w:line="360" w:lineRule="auto"/>
              <w:ind w:firstLine="210" w:firstLineChars="100"/>
              <w:rPr>
                <w:rFonts w:hint="eastAsia" w:ascii="宋体" w:hAnsi="Calibri"/>
                <w:color w:val="000000"/>
                <w:sz w:val="21"/>
                <w:szCs w:val="21"/>
              </w:rPr>
            </w:pPr>
            <w:r>
              <w:rPr>
                <w:rFonts w:hint="eastAsia" w:ascii="宋体" w:hAnsi="Calibri"/>
                <w:color w:val="000000"/>
                <w:sz w:val="21"/>
                <w:szCs w:val="21"/>
              </w:rPr>
              <w:t>工作年限</w:t>
            </w:r>
          </w:p>
        </w:tc>
        <w:tc>
          <w:tcPr>
            <w:tcW w:w="1729" w:type="dxa"/>
            <w:vAlign w:val="center"/>
          </w:tcPr>
          <w:p>
            <w:pPr>
              <w:tabs>
                <w:tab w:val="left" w:pos="6300"/>
              </w:tabs>
              <w:snapToGrid w:val="0"/>
              <w:spacing w:line="360" w:lineRule="auto"/>
              <w:ind w:firstLine="210" w:firstLineChars="100"/>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6"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880" w:type="dxa"/>
            <w:gridSpan w:val="2"/>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83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44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581"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729"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6"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880" w:type="dxa"/>
            <w:gridSpan w:val="2"/>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83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44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581"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729"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6"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880" w:type="dxa"/>
            <w:gridSpan w:val="2"/>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83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44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581"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729"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9" w:hRule="atLeast"/>
        </w:trPr>
        <w:tc>
          <w:tcPr>
            <w:tcW w:w="8820" w:type="dxa"/>
            <w:gridSpan w:val="7"/>
            <w:vAlign w:val="center"/>
          </w:tcPr>
          <w:p>
            <w:pPr>
              <w:tabs>
                <w:tab w:val="left" w:pos="6300"/>
              </w:tabs>
              <w:snapToGrid w:val="0"/>
              <w:spacing w:line="360" w:lineRule="auto"/>
              <w:ind w:left="478" w:leftChars="228"/>
              <w:jc w:val="center"/>
              <w:rPr>
                <w:rFonts w:hint="eastAsia" w:ascii="宋体" w:hAnsi="Calibri"/>
                <w:color w:val="000000"/>
                <w:sz w:val="21"/>
                <w:szCs w:val="21"/>
              </w:rPr>
            </w:pPr>
            <w:r>
              <w:rPr>
                <w:rFonts w:hint="eastAsia" w:ascii="宋体" w:hAnsi="Calibri"/>
                <w:color w:val="000000"/>
                <w:sz w:val="21"/>
                <w:szCs w:val="21"/>
              </w:rPr>
              <w:t>计划用于本项目的主要技术人员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gridSpan w:val="2"/>
            <w:vAlign w:val="center"/>
          </w:tcPr>
          <w:p>
            <w:pPr>
              <w:tabs>
                <w:tab w:val="left" w:pos="6300"/>
              </w:tabs>
              <w:snapToGrid w:val="0"/>
              <w:spacing w:line="360" w:lineRule="auto"/>
              <w:jc w:val="center"/>
              <w:rPr>
                <w:rFonts w:hint="eastAsia" w:ascii="宋体" w:hAnsi="Calibri"/>
                <w:color w:val="000000"/>
                <w:sz w:val="21"/>
                <w:szCs w:val="21"/>
              </w:rPr>
            </w:pPr>
            <w:r>
              <w:rPr>
                <w:rFonts w:hint="eastAsia" w:ascii="宋体" w:hAnsi="Calibri"/>
                <w:color w:val="000000"/>
                <w:sz w:val="21"/>
                <w:szCs w:val="21"/>
              </w:rPr>
              <w:t>姓名</w:t>
            </w:r>
          </w:p>
        </w:tc>
        <w:tc>
          <w:tcPr>
            <w:tcW w:w="868" w:type="dxa"/>
            <w:vAlign w:val="center"/>
          </w:tcPr>
          <w:p>
            <w:pPr>
              <w:tabs>
                <w:tab w:val="left" w:pos="6300"/>
              </w:tabs>
              <w:snapToGrid w:val="0"/>
              <w:spacing w:line="360" w:lineRule="auto"/>
              <w:rPr>
                <w:rFonts w:hint="eastAsia" w:ascii="宋体" w:hAnsi="Calibri"/>
                <w:color w:val="000000"/>
                <w:sz w:val="21"/>
                <w:szCs w:val="21"/>
              </w:rPr>
            </w:pPr>
            <w:r>
              <w:rPr>
                <w:rFonts w:hint="eastAsia" w:ascii="宋体" w:hAnsi="Calibri"/>
                <w:color w:val="000000"/>
                <w:sz w:val="21"/>
                <w:szCs w:val="21"/>
              </w:rPr>
              <w:t>年龄</w:t>
            </w:r>
          </w:p>
        </w:tc>
        <w:tc>
          <w:tcPr>
            <w:tcW w:w="1832" w:type="dxa"/>
            <w:vAlign w:val="center"/>
          </w:tcPr>
          <w:p>
            <w:pPr>
              <w:tabs>
                <w:tab w:val="left" w:pos="6300"/>
              </w:tabs>
              <w:snapToGrid w:val="0"/>
              <w:spacing w:line="360" w:lineRule="auto"/>
              <w:rPr>
                <w:rFonts w:hint="eastAsia" w:ascii="宋体" w:hAnsi="Calibri"/>
                <w:color w:val="000000"/>
                <w:sz w:val="21"/>
                <w:szCs w:val="21"/>
              </w:rPr>
            </w:pPr>
            <w:r>
              <w:rPr>
                <w:rFonts w:hint="eastAsia" w:ascii="宋体" w:hAnsi="Calibri"/>
                <w:color w:val="000000"/>
                <w:sz w:val="21"/>
                <w:szCs w:val="21"/>
              </w:rPr>
              <w:t>职称、执业资格</w:t>
            </w:r>
          </w:p>
        </w:tc>
        <w:tc>
          <w:tcPr>
            <w:tcW w:w="1442" w:type="dxa"/>
            <w:vAlign w:val="center"/>
          </w:tcPr>
          <w:p>
            <w:pPr>
              <w:tabs>
                <w:tab w:val="left" w:pos="6300"/>
              </w:tabs>
              <w:snapToGrid w:val="0"/>
              <w:spacing w:line="360" w:lineRule="auto"/>
              <w:jc w:val="center"/>
              <w:rPr>
                <w:rFonts w:hint="eastAsia" w:ascii="宋体" w:hAnsi="Calibri"/>
                <w:color w:val="000000"/>
                <w:sz w:val="21"/>
                <w:szCs w:val="21"/>
              </w:rPr>
            </w:pPr>
            <w:r>
              <w:rPr>
                <w:rFonts w:hint="eastAsia" w:ascii="宋体" w:hAnsi="Calibri"/>
                <w:color w:val="000000"/>
                <w:sz w:val="21"/>
                <w:szCs w:val="21"/>
              </w:rPr>
              <w:t>专业</w:t>
            </w:r>
          </w:p>
        </w:tc>
        <w:tc>
          <w:tcPr>
            <w:tcW w:w="1581" w:type="dxa"/>
            <w:vAlign w:val="center"/>
          </w:tcPr>
          <w:p>
            <w:pPr>
              <w:tabs>
                <w:tab w:val="left" w:pos="6300"/>
              </w:tabs>
              <w:snapToGrid w:val="0"/>
              <w:spacing w:line="360" w:lineRule="auto"/>
              <w:ind w:firstLine="210" w:firstLineChars="100"/>
              <w:rPr>
                <w:rFonts w:hint="eastAsia" w:ascii="宋体" w:hAnsi="Calibri"/>
                <w:color w:val="000000"/>
                <w:sz w:val="21"/>
                <w:szCs w:val="21"/>
              </w:rPr>
            </w:pPr>
            <w:r>
              <w:rPr>
                <w:rFonts w:hint="eastAsia" w:ascii="宋体" w:hAnsi="Calibri"/>
                <w:color w:val="000000"/>
                <w:sz w:val="21"/>
                <w:szCs w:val="21"/>
              </w:rPr>
              <w:t>工作年限</w:t>
            </w:r>
          </w:p>
        </w:tc>
        <w:tc>
          <w:tcPr>
            <w:tcW w:w="1729" w:type="dxa"/>
            <w:vAlign w:val="center"/>
          </w:tcPr>
          <w:p>
            <w:pPr>
              <w:tabs>
                <w:tab w:val="left" w:pos="6300"/>
              </w:tabs>
              <w:snapToGrid w:val="0"/>
              <w:spacing w:line="360" w:lineRule="auto"/>
              <w:ind w:firstLine="210" w:firstLineChars="100"/>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gridSpan w:val="2"/>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868"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83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44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581"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729"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gridSpan w:val="2"/>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868"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83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44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581"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729"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gridSpan w:val="2"/>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868"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83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44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581"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729"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gridSpan w:val="2"/>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868"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83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44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581"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729"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gridSpan w:val="2"/>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868"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83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442"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581"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c>
          <w:tcPr>
            <w:tcW w:w="1729" w:type="dxa"/>
            <w:vAlign w:val="center"/>
          </w:tcPr>
          <w:p>
            <w:pPr>
              <w:tabs>
                <w:tab w:val="left" w:pos="6300"/>
              </w:tabs>
              <w:snapToGrid w:val="0"/>
              <w:spacing w:line="360" w:lineRule="auto"/>
              <w:ind w:left="478" w:leftChars="228"/>
              <w:jc w:val="center"/>
              <w:rPr>
                <w:rFonts w:hint="eastAsia" w:ascii="宋体" w:hAnsi="Calibri"/>
                <w:color w:val="000000"/>
                <w:sz w:val="21"/>
                <w:szCs w:val="21"/>
              </w:rPr>
            </w:pPr>
          </w:p>
        </w:tc>
      </w:tr>
    </w:tbl>
    <w:p>
      <w:pPr>
        <w:adjustRightInd w:val="0"/>
        <w:snapToGrid w:val="0"/>
        <w:spacing w:line="360" w:lineRule="auto"/>
        <w:rPr>
          <w:rFonts w:hint="eastAsia" w:ascii="宋体" w:hAnsi="Calibri"/>
          <w:b/>
          <w:color w:val="000000"/>
          <w:sz w:val="21"/>
          <w:szCs w:val="21"/>
        </w:rPr>
      </w:pPr>
    </w:p>
    <w:p>
      <w:pPr>
        <w:tabs>
          <w:tab w:val="left" w:pos="0"/>
        </w:tabs>
        <w:rPr>
          <w:rFonts w:hint="eastAsia" w:ascii="宋体" w:hAnsi="Calibri"/>
          <w:bCs/>
          <w:color w:val="000000"/>
          <w:sz w:val="21"/>
          <w:szCs w:val="21"/>
        </w:rPr>
      </w:pPr>
      <w:r>
        <w:rPr>
          <w:rFonts w:hint="eastAsia" w:ascii="宋体" w:hAnsi="Calibri"/>
          <w:color w:val="000000"/>
          <w:spacing w:val="40"/>
          <w:sz w:val="21"/>
          <w:szCs w:val="21"/>
        </w:rPr>
        <w:br w:type="page"/>
      </w:r>
      <w:r>
        <w:rPr>
          <w:rFonts w:hint="eastAsia" w:ascii="宋体" w:hAnsi="Calibri"/>
          <w:bCs/>
          <w:color w:val="000000"/>
          <w:sz w:val="21"/>
          <w:szCs w:val="21"/>
        </w:rPr>
        <w:t>表3：</w:t>
      </w:r>
    </w:p>
    <w:p>
      <w:pPr>
        <w:tabs>
          <w:tab w:val="left" w:pos="0"/>
        </w:tabs>
        <w:jc w:val="center"/>
        <w:rPr>
          <w:rFonts w:hint="eastAsia" w:ascii="宋体" w:hAnsi="Calibri"/>
          <w:color w:val="000000"/>
          <w:sz w:val="21"/>
          <w:szCs w:val="21"/>
        </w:rPr>
      </w:pPr>
      <w:r>
        <w:rPr>
          <w:rFonts w:hint="eastAsia" w:ascii="宋体" w:hAnsi="Calibri"/>
          <w:bCs/>
          <w:color w:val="000000"/>
          <w:sz w:val="21"/>
          <w:szCs w:val="21"/>
        </w:rPr>
        <w:t>本项目主要技术人员简历表</w:t>
      </w:r>
    </w:p>
    <w:p>
      <w:pPr>
        <w:rPr>
          <w:rFonts w:hint="eastAsia" w:ascii="宋体" w:hAnsi="Calibri"/>
          <w:color w:val="000000"/>
          <w:sz w:val="21"/>
          <w:szCs w:val="21"/>
        </w:rPr>
      </w:pPr>
    </w:p>
    <w:tbl>
      <w:tblPr>
        <w:tblStyle w:val="9"/>
        <w:tblW w:w="83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1230"/>
        <w:gridCol w:w="900"/>
        <w:gridCol w:w="1800"/>
        <w:gridCol w:w="1711"/>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8" w:type="dxa"/>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姓  名</w:t>
            </w:r>
          </w:p>
        </w:tc>
        <w:tc>
          <w:tcPr>
            <w:tcW w:w="1230" w:type="dxa"/>
            <w:vAlign w:val="center"/>
          </w:tcPr>
          <w:p>
            <w:pPr>
              <w:spacing w:line="360" w:lineRule="auto"/>
              <w:jc w:val="center"/>
              <w:rPr>
                <w:rFonts w:hint="eastAsia" w:ascii="宋体" w:hAnsi="Calibri"/>
                <w:color w:val="000000"/>
                <w:sz w:val="21"/>
                <w:szCs w:val="21"/>
              </w:rPr>
            </w:pPr>
          </w:p>
        </w:tc>
        <w:tc>
          <w:tcPr>
            <w:tcW w:w="900" w:type="dxa"/>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年龄</w:t>
            </w:r>
          </w:p>
        </w:tc>
        <w:tc>
          <w:tcPr>
            <w:tcW w:w="1800" w:type="dxa"/>
            <w:vAlign w:val="center"/>
          </w:tcPr>
          <w:p>
            <w:pPr>
              <w:spacing w:line="360" w:lineRule="auto"/>
              <w:jc w:val="center"/>
              <w:rPr>
                <w:rFonts w:hint="eastAsia" w:ascii="宋体" w:hAnsi="Calibri"/>
                <w:color w:val="000000"/>
                <w:sz w:val="21"/>
                <w:szCs w:val="21"/>
              </w:rPr>
            </w:pPr>
          </w:p>
        </w:tc>
        <w:tc>
          <w:tcPr>
            <w:tcW w:w="1711" w:type="dxa"/>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专业</w:t>
            </w:r>
          </w:p>
        </w:tc>
        <w:tc>
          <w:tcPr>
            <w:tcW w:w="1173" w:type="dxa"/>
            <w:vAlign w:val="center"/>
          </w:tcPr>
          <w:p>
            <w:pPr>
              <w:spacing w:line="360" w:lineRule="auto"/>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jc w:val="center"/>
        </w:trPr>
        <w:tc>
          <w:tcPr>
            <w:tcW w:w="1578" w:type="dxa"/>
            <w:tcBorders>
              <w:bottom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职   称</w:t>
            </w:r>
          </w:p>
        </w:tc>
        <w:tc>
          <w:tcPr>
            <w:tcW w:w="1230" w:type="dxa"/>
            <w:tcBorders>
              <w:bottom w:val="single" w:color="auto" w:sz="4" w:space="0"/>
            </w:tcBorders>
            <w:vAlign w:val="center"/>
          </w:tcPr>
          <w:p>
            <w:pPr>
              <w:spacing w:line="360" w:lineRule="auto"/>
              <w:jc w:val="center"/>
              <w:rPr>
                <w:rFonts w:hint="eastAsia" w:ascii="宋体" w:hAnsi="Calibri"/>
                <w:color w:val="000000"/>
                <w:sz w:val="21"/>
                <w:szCs w:val="21"/>
              </w:rPr>
            </w:pPr>
          </w:p>
        </w:tc>
        <w:tc>
          <w:tcPr>
            <w:tcW w:w="900" w:type="dxa"/>
            <w:tcBorders>
              <w:bottom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职务</w:t>
            </w:r>
          </w:p>
        </w:tc>
        <w:tc>
          <w:tcPr>
            <w:tcW w:w="1800" w:type="dxa"/>
            <w:tcBorders>
              <w:bottom w:val="single" w:color="auto" w:sz="4" w:space="0"/>
            </w:tcBorders>
            <w:vAlign w:val="center"/>
          </w:tcPr>
          <w:p>
            <w:pPr>
              <w:spacing w:line="360" w:lineRule="auto"/>
              <w:jc w:val="center"/>
              <w:rPr>
                <w:rFonts w:hint="eastAsia" w:ascii="宋体" w:hAnsi="Calibri"/>
                <w:color w:val="000000"/>
                <w:sz w:val="21"/>
                <w:szCs w:val="21"/>
              </w:rPr>
            </w:pPr>
          </w:p>
        </w:tc>
        <w:tc>
          <w:tcPr>
            <w:tcW w:w="1711" w:type="dxa"/>
            <w:tcBorders>
              <w:bottom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拟在担任职务</w:t>
            </w:r>
          </w:p>
        </w:tc>
        <w:tc>
          <w:tcPr>
            <w:tcW w:w="1173" w:type="dxa"/>
            <w:tcBorders>
              <w:bottom w:val="single" w:color="auto" w:sz="4" w:space="0"/>
            </w:tcBorders>
            <w:vAlign w:val="center"/>
          </w:tcPr>
          <w:p>
            <w:pPr>
              <w:spacing w:line="360" w:lineRule="auto"/>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78" w:type="dxa"/>
            <w:tcBorders>
              <w:bottom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执业资格</w:t>
            </w:r>
          </w:p>
        </w:tc>
        <w:tc>
          <w:tcPr>
            <w:tcW w:w="6814" w:type="dxa"/>
            <w:gridSpan w:val="5"/>
            <w:tcBorders>
              <w:bottom w:val="single" w:color="auto" w:sz="4" w:space="0"/>
            </w:tcBorders>
            <w:vAlign w:val="center"/>
          </w:tcPr>
          <w:p>
            <w:pPr>
              <w:spacing w:line="360" w:lineRule="auto"/>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78" w:type="dxa"/>
            <w:tcBorders>
              <w:bottom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毕业学校</w:t>
            </w:r>
          </w:p>
        </w:tc>
        <w:tc>
          <w:tcPr>
            <w:tcW w:w="3930" w:type="dxa"/>
            <w:gridSpan w:val="3"/>
            <w:tcBorders>
              <w:bottom w:val="single" w:color="auto" w:sz="4" w:space="0"/>
            </w:tcBorders>
            <w:vAlign w:val="center"/>
          </w:tcPr>
          <w:p>
            <w:pPr>
              <w:spacing w:line="360" w:lineRule="auto"/>
              <w:jc w:val="center"/>
              <w:rPr>
                <w:rFonts w:hint="eastAsia" w:ascii="宋体" w:hAnsi="Calibri"/>
                <w:color w:val="000000"/>
                <w:sz w:val="21"/>
                <w:szCs w:val="21"/>
              </w:rPr>
            </w:pPr>
          </w:p>
        </w:tc>
        <w:tc>
          <w:tcPr>
            <w:tcW w:w="1711" w:type="dxa"/>
            <w:tcBorders>
              <w:bottom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毕业时间</w:t>
            </w:r>
          </w:p>
        </w:tc>
        <w:tc>
          <w:tcPr>
            <w:tcW w:w="1173" w:type="dxa"/>
            <w:tcBorders>
              <w:bottom w:val="single" w:color="auto" w:sz="4" w:space="0"/>
            </w:tcBorders>
            <w:vAlign w:val="center"/>
          </w:tcPr>
          <w:p>
            <w:pPr>
              <w:spacing w:line="360" w:lineRule="auto"/>
              <w:jc w:val="center"/>
              <w:rPr>
                <w:rFonts w:hint="eastAsia" w:ascii="宋体" w:hAnsi="Calibri"/>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jc w:val="center"/>
        </w:trPr>
        <w:tc>
          <w:tcPr>
            <w:tcW w:w="8392"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8" w:type="dxa"/>
            <w:tcBorders>
              <w:top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年  月</w:t>
            </w:r>
          </w:p>
        </w:tc>
        <w:tc>
          <w:tcPr>
            <w:tcW w:w="3930" w:type="dxa"/>
            <w:gridSpan w:val="3"/>
            <w:tcBorders>
              <w:top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参加过类似项目名称</w:t>
            </w:r>
          </w:p>
        </w:tc>
        <w:tc>
          <w:tcPr>
            <w:tcW w:w="1711" w:type="dxa"/>
            <w:tcBorders>
              <w:top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担任何职</w:t>
            </w:r>
          </w:p>
        </w:tc>
        <w:tc>
          <w:tcPr>
            <w:tcW w:w="1173" w:type="dxa"/>
            <w:tcBorders>
              <w:top w:val="single" w:color="auto" w:sz="4" w:space="0"/>
            </w:tcBorders>
            <w:vAlign w:val="center"/>
          </w:tcPr>
          <w:p>
            <w:pPr>
              <w:spacing w:line="360" w:lineRule="auto"/>
              <w:jc w:val="center"/>
              <w:rPr>
                <w:rFonts w:hint="eastAsia" w:ascii="宋体" w:hAnsi="Calibri"/>
                <w:color w:val="000000"/>
                <w:sz w:val="21"/>
                <w:szCs w:val="21"/>
              </w:rPr>
            </w:pPr>
            <w:r>
              <w:rPr>
                <w:rFonts w:hint="eastAsia" w:ascii="宋体" w:hAnsi="Calibri"/>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jc w:val="center"/>
        </w:trPr>
        <w:tc>
          <w:tcPr>
            <w:tcW w:w="1578" w:type="dxa"/>
            <w:vAlign w:val="center"/>
          </w:tcPr>
          <w:p>
            <w:pPr>
              <w:spacing w:line="360" w:lineRule="auto"/>
              <w:jc w:val="center"/>
              <w:rPr>
                <w:rFonts w:hint="eastAsia" w:ascii="宋体" w:hAnsi="Calibri"/>
                <w:color w:val="000000"/>
                <w:sz w:val="21"/>
                <w:szCs w:val="21"/>
              </w:rPr>
            </w:pPr>
          </w:p>
          <w:p>
            <w:pPr>
              <w:spacing w:line="360" w:lineRule="auto"/>
              <w:jc w:val="center"/>
              <w:rPr>
                <w:rFonts w:hint="eastAsia" w:ascii="宋体" w:hAnsi="Calibri"/>
                <w:color w:val="000000"/>
                <w:sz w:val="21"/>
                <w:szCs w:val="21"/>
              </w:rPr>
            </w:pPr>
          </w:p>
          <w:p>
            <w:pPr>
              <w:spacing w:line="360" w:lineRule="auto"/>
              <w:jc w:val="center"/>
              <w:rPr>
                <w:rFonts w:hint="eastAsia" w:ascii="宋体" w:hAnsi="Calibri"/>
                <w:color w:val="000000"/>
                <w:sz w:val="21"/>
                <w:szCs w:val="21"/>
              </w:rPr>
            </w:pPr>
          </w:p>
          <w:p>
            <w:pPr>
              <w:spacing w:line="360" w:lineRule="auto"/>
              <w:jc w:val="center"/>
              <w:rPr>
                <w:rFonts w:hint="eastAsia" w:ascii="宋体" w:hAnsi="Calibri"/>
                <w:color w:val="000000"/>
                <w:sz w:val="21"/>
                <w:szCs w:val="21"/>
              </w:rPr>
            </w:pPr>
          </w:p>
          <w:p>
            <w:pPr>
              <w:spacing w:line="360" w:lineRule="auto"/>
              <w:jc w:val="center"/>
              <w:rPr>
                <w:rFonts w:hint="eastAsia" w:ascii="宋体" w:hAnsi="Calibri"/>
                <w:color w:val="000000"/>
                <w:sz w:val="21"/>
                <w:szCs w:val="21"/>
              </w:rPr>
            </w:pPr>
          </w:p>
          <w:p>
            <w:pPr>
              <w:spacing w:line="360" w:lineRule="auto"/>
              <w:jc w:val="center"/>
              <w:rPr>
                <w:rFonts w:hint="eastAsia" w:ascii="宋体" w:hAnsi="Calibri"/>
                <w:color w:val="000000"/>
                <w:sz w:val="21"/>
                <w:szCs w:val="21"/>
              </w:rPr>
            </w:pPr>
          </w:p>
        </w:tc>
        <w:tc>
          <w:tcPr>
            <w:tcW w:w="3930" w:type="dxa"/>
            <w:gridSpan w:val="3"/>
            <w:vAlign w:val="center"/>
          </w:tcPr>
          <w:p>
            <w:pPr>
              <w:spacing w:line="360" w:lineRule="auto"/>
              <w:jc w:val="center"/>
              <w:rPr>
                <w:rFonts w:hint="eastAsia" w:ascii="宋体" w:hAnsi="Calibri"/>
                <w:color w:val="000000"/>
                <w:sz w:val="21"/>
                <w:szCs w:val="21"/>
              </w:rPr>
            </w:pPr>
          </w:p>
        </w:tc>
        <w:tc>
          <w:tcPr>
            <w:tcW w:w="1711" w:type="dxa"/>
            <w:vAlign w:val="center"/>
          </w:tcPr>
          <w:p>
            <w:pPr>
              <w:spacing w:line="360" w:lineRule="auto"/>
              <w:jc w:val="center"/>
              <w:rPr>
                <w:rFonts w:hint="eastAsia" w:ascii="宋体" w:hAnsi="Calibri"/>
                <w:color w:val="000000"/>
                <w:sz w:val="21"/>
                <w:szCs w:val="21"/>
              </w:rPr>
            </w:pPr>
          </w:p>
        </w:tc>
        <w:tc>
          <w:tcPr>
            <w:tcW w:w="1173" w:type="dxa"/>
            <w:vAlign w:val="center"/>
          </w:tcPr>
          <w:p>
            <w:pPr>
              <w:spacing w:line="360" w:lineRule="auto"/>
              <w:jc w:val="center"/>
              <w:rPr>
                <w:rFonts w:hint="eastAsia" w:ascii="宋体" w:hAnsi="Calibri"/>
                <w:color w:val="000000"/>
                <w:sz w:val="21"/>
                <w:szCs w:val="21"/>
              </w:rPr>
            </w:pPr>
          </w:p>
        </w:tc>
      </w:tr>
    </w:tbl>
    <w:p>
      <w:pPr>
        <w:spacing w:line="360" w:lineRule="auto"/>
        <w:rPr>
          <w:rFonts w:hint="eastAsia" w:ascii="宋体" w:hAnsi="Calibri"/>
          <w:color w:val="000000"/>
          <w:sz w:val="21"/>
          <w:szCs w:val="21"/>
        </w:rPr>
      </w:pPr>
    </w:p>
    <w:p>
      <w:pPr>
        <w:spacing w:line="360" w:lineRule="auto"/>
        <w:rPr>
          <w:rFonts w:hint="eastAsia" w:ascii="宋体" w:hAnsi="Calibri"/>
          <w:color w:val="000000"/>
          <w:sz w:val="21"/>
          <w:szCs w:val="21"/>
        </w:rPr>
      </w:pPr>
    </w:p>
    <w:p>
      <w:pPr>
        <w:spacing w:line="360" w:lineRule="auto"/>
        <w:rPr>
          <w:rFonts w:hint="eastAsia" w:ascii="宋体" w:hAnsi="Calibri"/>
          <w:color w:val="000000"/>
          <w:sz w:val="21"/>
          <w:szCs w:val="21"/>
        </w:rPr>
      </w:pPr>
    </w:p>
    <w:p>
      <w:pPr>
        <w:spacing w:line="360" w:lineRule="auto"/>
        <w:rPr>
          <w:rFonts w:hint="eastAsia" w:ascii="宋体" w:hAnsi="Calibri"/>
          <w:color w:val="000000"/>
          <w:sz w:val="21"/>
          <w:szCs w:val="21"/>
        </w:rPr>
        <w:sectPr>
          <w:pgSz w:w="11906" w:h="16838"/>
          <w:pgMar w:top="1440" w:right="1134" w:bottom="1440" w:left="1418" w:header="851" w:footer="992" w:gutter="0"/>
          <w:cols w:space="720" w:num="1"/>
          <w:docGrid w:type="linesAndChars" w:linePitch="312" w:charSpace="0"/>
        </w:sectPr>
      </w:pPr>
    </w:p>
    <w:p>
      <w:pPr>
        <w:tabs>
          <w:tab w:val="left" w:pos="0"/>
        </w:tabs>
        <w:rPr>
          <w:rFonts w:hint="eastAsia" w:ascii="宋体" w:hAnsi="Calibri"/>
          <w:bCs/>
          <w:color w:val="000000"/>
          <w:sz w:val="21"/>
          <w:szCs w:val="21"/>
        </w:rPr>
      </w:pPr>
      <w:r>
        <w:rPr>
          <w:rFonts w:hint="eastAsia" w:ascii="宋体" w:hAnsi="Calibri"/>
          <w:bCs/>
          <w:color w:val="000000"/>
          <w:sz w:val="21"/>
          <w:szCs w:val="21"/>
        </w:rPr>
        <w:t>表</w:t>
      </w:r>
      <w:r>
        <w:rPr>
          <w:rFonts w:ascii="宋体" w:hAnsi="Calibri"/>
          <w:bCs/>
          <w:color w:val="000000"/>
          <w:sz w:val="21"/>
          <w:szCs w:val="21"/>
        </w:rPr>
        <w:t>3</w:t>
      </w:r>
      <w:r>
        <w:rPr>
          <w:rFonts w:hint="eastAsia" w:ascii="宋体" w:hAnsi="Calibri"/>
          <w:bCs/>
          <w:color w:val="000000"/>
          <w:sz w:val="21"/>
          <w:szCs w:val="21"/>
        </w:rPr>
        <w:t>：</w:t>
      </w:r>
    </w:p>
    <w:p>
      <w:pPr>
        <w:spacing w:line="360" w:lineRule="auto"/>
        <w:ind w:firstLine="210" w:firstLineChars="100"/>
        <w:jc w:val="center"/>
        <w:rPr>
          <w:rFonts w:hint="eastAsia" w:ascii="宋体" w:hAnsi="Calibri"/>
          <w:bCs/>
          <w:color w:val="000000"/>
          <w:sz w:val="21"/>
          <w:szCs w:val="21"/>
        </w:rPr>
      </w:pPr>
      <w:r>
        <w:rPr>
          <w:rFonts w:hint="eastAsia" w:ascii="宋体" w:hAnsi="Calibri"/>
          <w:bCs/>
          <w:color w:val="000000"/>
          <w:sz w:val="21"/>
          <w:szCs w:val="21"/>
        </w:rPr>
        <w:t>投标方项目负责人情况表</w:t>
      </w:r>
    </w:p>
    <w:tbl>
      <w:tblPr>
        <w:tblStyle w:val="9"/>
        <w:tblW w:w="13900" w:type="dxa"/>
        <w:tblInd w:w="0" w:type="dxa"/>
        <w:tblLayout w:type="fixed"/>
        <w:tblCellMar>
          <w:top w:w="0" w:type="dxa"/>
          <w:left w:w="108" w:type="dxa"/>
          <w:bottom w:w="0" w:type="dxa"/>
          <w:right w:w="108" w:type="dxa"/>
        </w:tblCellMar>
      </w:tblPr>
      <w:tblGrid>
        <w:gridCol w:w="626"/>
        <w:gridCol w:w="597"/>
        <w:gridCol w:w="596"/>
        <w:gridCol w:w="596"/>
        <w:gridCol w:w="597"/>
        <w:gridCol w:w="606"/>
        <w:gridCol w:w="961"/>
        <w:gridCol w:w="1003"/>
        <w:gridCol w:w="1352"/>
        <w:gridCol w:w="868"/>
        <w:gridCol w:w="816"/>
        <w:gridCol w:w="796"/>
        <w:gridCol w:w="694"/>
        <w:gridCol w:w="839"/>
        <w:gridCol w:w="1063"/>
        <w:gridCol w:w="597"/>
        <w:gridCol w:w="596"/>
        <w:gridCol w:w="697"/>
      </w:tblGrid>
      <w:tr>
        <w:tblPrEx>
          <w:tblLayout w:type="fixed"/>
          <w:tblCellMar>
            <w:top w:w="0" w:type="dxa"/>
            <w:left w:w="108" w:type="dxa"/>
            <w:bottom w:w="0" w:type="dxa"/>
            <w:right w:w="108" w:type="dxa"/>
          </w:tblCellMar>
        </w:tblPrEx>
        <w:trPr>
          <w:trHeight w:val="90" w:hRule="atLeast"/>
        </w:trPr>
        <w:tc>
          <w:tcPr>
            <w:tcW w:w="626" w:type="dxa"/>
            <w:tcBorders>
              <w:top w:val="single" w:color="auto" w:sz="4" w:space="0"/>
              <w:left w:val="single" w:color="auto" w:sz="4" w:space="0"/>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序号</w:t>
            </w:r>
          </w:p>
        </w:tc>
        <w:tc>
          <w:tcPr>
            <w:tcW w:w="597"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来自何单位</w:t>
            </w:r>
          </w:p>
        </w:tc>
        <w:tc>
          <w:tcPr>
            <w:tcW w:w="596"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是否长期投标方</w:t>
            </w:r>
          </w:p>
        </w:tc>
        <w:tc>
          <w:tcPr>
            <w:tcW w:w="596"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姓名</w:t>
            </w:r>
          </w:p>
        </w:tc>
        <w:tc>
          <w:tcPr>
            <w:tcW w:w="597"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性别</w:t>
            </w:r>
          </w:p>
        </w:tc>
        <w:tc>
          <w:tcPr>
            <w:tcW w:w="606"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职务</w:t>
            </w:r>
          </w:p>
        </w:tc>
        <w:tc>
          <w:tcPr>
            <w:tcW w:w="961"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工种(专业)</w:t>
            </w:r>
          </w:p>
        </w:tc>
        <w:tc>
          <w:tcPr>
            <w:tcW w:w="1003"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身份证号</w:t>
            </w:r>
          </w:p>
        </w:tc>
        <w:tc>
          <w:tcPr>
            <w:tcW w:w="1352"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特种作业证编号</w:t>
            </w:r>
          </w:p>
        </w:tc>
        <w:tc>
          <w:tcPr>
            <w:tcW w:w="868"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籍贯（住址）</w:t>
            </w:r>
          </w:p>
        </w:tc>
        <w:tc>
          <w:tcPr>
            <w:tcW w:w="816"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联系电话</w:t>
            </w:r>
          </w:p>
        </w:tc>
        <w:tc>
          <w:tcPr>
            <w:tcW w:w="796"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服务部门</w:t>
            </w:r>
          </w:p>
        </w:tc>
        <w:tc>
          <w:tcPr>
            <w:tcW w:w="694"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服务部门联系人</w:t>
            </w:r>
          </w:p>
        </w:tc>
        <w:tc>
          <w:tcPr>
            <w:tcW w:w="839"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入厂任务</w:t>
            </w:r>
          </w:p>
        </w:tc>
        <w:tc>
          <w:tcPr>
            <w:tcW w:w="1063"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人身意外保险编号</w:t>
            </w:r>
          </w:p>
        </w:tc>
        <w:tc>
          <w:tcPr>
            <w:tcW w:w="597"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备注</w:t>
            </w:r>
          </w:p>
        </w:tc>
        <w:tc>
          <w:tcPr>
            <w:tcW w:w="596"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年龄</w:t>
            </w:r>
          </w:p>
        </w:tc>
        <w:tc>
          <w:tcPr>
            <w:tcW w:w="697" w:type="dxa"/>
            <w:tcBorders>
              <w:top w:val="single" w:color="auto" w:sz="4" w:space="0"/>
              <w:left w:val="nil"/>
              <w:bottom w:val="single" w:color="auto" w:sz="4" w:space="0"/>
              <w:right w:val="single" w:color="auto" w:sz="4" w:space="0"/>
            </w:tcBorders>
            <w:shd w:val="clear" w:color="000000" w:fill="BFBFBF"/>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投标方总人数</w:t>
            </w:r>
          </w:p>
        </w:tc>
      </w:tr>
      <w:tr>
        <w:tblPrEx>
          <w:tblLayout w:type="fixed"/>
          <w:tblCellMar>
            <w:top w:w="0" w:type="dxa"/>
            <w:left w:w="108" w:type="dxa"/>
            <w:bottom w:w="0" w:type="dxa"/>
            <w:right w:w="108" w:type="dxa"/>
          </w:tblCellMar>
        </w:tblPrEx>
        <w:trPr>
          <w:trHeight w:val="602" w:hRule="atLeast"/>
        </w:trPr>
        <w:tc>
          <w:tcPr>
            <w:tcW w:w="6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0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96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0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35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6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1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7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3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6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blPrEx>
          <w:tblLayout w:type="fixed"/>
          <w:tblCellMar>
            <w:top w:w="0" w:type="dxa"/>
            <w:left w:w="108" w:type="dxa"/>
            <w:bottom w:w="0" w:type="dxa"/>
            <w:right w:w="108" w:type="dxa"/>
          </w:tblCellMar>
        </w:tblPrEx>
        <w:trPr>
          <w:trHeight w:val="602" w:hRule="atLeast"/>
        </w:trPr>
        <w:tc>
          <w:tcPr>
            <w:tcW w:w="6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2</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0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96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0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35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6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1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7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3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6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blPrEx>
          <w:tblLayout w:type="fixed"/>
          <w:tblCellMar>
            <w:top w:w="0" w:type="dxa"/>
            <w:left w:w="108" w:type="dxa"/>
            <w:bottom w:w="0" w:type="dxa"/>
            <w:right w:w="108" w:type="dxa"/>
          </w:tblCellMar>
        </w:tblPrEx>
        <w:trPr>
          <w:trHeight w:val="602" w:hRule="atLeast"/>
        </w:trPr>
        <w:tc>
          <w:tcPr>
            <w:tcW w:w="6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3</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0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96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0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35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6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1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7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3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6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blPrEx>
          <w:tblLayout w:type="fixed"/>
          <w:tblCellMar>
            <w:top w:w="0" w:type="dxa"/>
            <w:left w:w="108" w:type="dxa"/>
            <w:bottom w:w="0" w:type="dxa"/>
            <w:right w:w="108" w:type="dxa"/>
          </w:tblCellMar>
        </w:tblPrEx>
        <w:trPr>
          <w:trHeight w:val="621" w:hRule="atLeast"/>
        </w:trPr>
        <w:tc>
          <w:tcPr>
            <w:tcW w:w="6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0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96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0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35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6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1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7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3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6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5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9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bl>
    <w:p>
      <w:pPr>
        <w:rPr>
          <w:rFonts w:hint="eastAsia" w:ascii="宋体" w:hAnsi="Calibri"/>
          <w:bCs/>
          <w:color w:val="000000"/>
          <w:sz w:val="21"/>
          <w:szCs w:val="21"/>
        </w:rPr>
        <w:sectPr>
          <w:pgSz w:w="16838" w:h="11906" w:orient="landscape"/>
          <w:pgMar w:top="1418" w:right="1440" w:bottom="1134" w:left="1440" w:header="851" w:footer="992" w:gutter="0"/>
          <w:cols w:space="720" w:num="1"/>
          <w:docGrid w:type="linesAndChars" w:linePitch="312" w:charSpace="0"/>
        </w:sectPr>
      </w:pPr>
    </w:p>
    <w:p>
      <w:pPr>
        <w:tabs>
          <w:tab w:val="left" w:pos="0"/>
        </w:tabs>
        <w:rPr>
          <w:rFonts w:hint="eastAsia" w:ascii="宋体" w:hAnsi="Calibri"/>
          <w:bCs/>
          <w:color w:val="000000"/>
          <w:sz w:val="21"/>
          <w:szCs w:val="21"/>
        </w:rPr>
      </w:pPr>
      <w:r>
        <w:rPr>
          <w:rFonts w:hint="eastAsia" w:ascii="宋体" w:hAnsi="Calibri"/>
          <w:bCs/>
          <w:color w:val="000000"/>
          <w:sz w:val="21"/>
          <w:szCs w:val="21"/>
        </w:rPr>
        <w:t>表</w:t>
      </w:r>
      <w:r>
        <w:rPr>
          <w:rFonts w:ascii="宋体" w:hAnsi="Calibri"/>
          <w:bCs/>
          <w:color w:val="000000"/>
          <w:sz w:val="21"/>
          <w:szCs w:val="21"/>
        </w:rPr>
        <w:t>4</w:t>
      </w:r>
      <w:r>
        <w:rPr>
          <w:rFonts w:hint="eastAsia" w:ascii="宋体" w:hAnsi="Calibri"/>
          <w:bCs/>
          <w:color w:val="000000"/>
          <w:sz w:val="21"/>
          <w:szCs w:val="21"/>
        </w:rPr>
        <w:t>：</w:t>
      </w:r>
    </w:p>
    <w:p>
      <w:pPr>
        <w:spacing w:line="360" w:lineRule="auto"/>
        <w:ind w:firstLine="210" w:firstLineChars="100"/>
        <w:jc w:val="center"/>
        <w:rPr>
          <w:rFonts w:hint="eastAsia" w:ascii="宋体" w:hAnsi="Calibri"/>
          <w:bCs/>
          <w:color w:val="000000"/>
          <w:sz w:val="21"/>
          <w:szCs w:val="21"/>
        </w:rPr>
      </w:pPr>
      <w:r>
        <w:rPr>
          <w:rFonts w:hint="eastAsia" w:ascii="宋体" w:hAnsi="Calibri"/>
          <w:bCs/>
          <w:color w:val="000000"/>
          <w:sz w:val="21"/>
          <w:szCs w:val="21"/>
        </w:rPr>
        <w:t>从事本项目的技术、施工人员情况表</w:t>
      </w:r>
    </w:p>
    <w:tbl>
      <w:tblPr>
        <w:tblStyle w:val="9"/>
        <w:tblW w:w="13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684"/>
        <w:gridCol w:w="683"/>
        <w:gridCol w:w="684"/>
        <w:gridCol w:w="683"/>
        <w:gridCol w:w="684"/>
        <w:gridCol w:w="759"/>
        <w:gridCol w:w="684"/>
        <w:gridCol w:w="847"/>
        <w:gridCol w:w="707"/>
        <w:gridCol w:w="684"/>
        <w:gridCol w:w="684"/>
        <w:gridCol w:w="683"/>
        <w:gridCol w:w="684"/>
        <w:gridCol w:w="683"/>
        <w:gridCol w:w="684"/>
        <w:gridCol w:w="683"/>
        <w:gridCol w:w="684"/>
        <w:gridCol w:w="683"/>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1" w:hRule="atLeast"/>
        </w:trPr>
        <w:tc>
          <w:tcPr>
            <w:tcW w:w="709"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序号</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来自何单位</w:t>
            </w:r>
          </w:p>
        </w:tc>
        <w:tc>
          <w:tcPr>
            <w:tcW w:w="683"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是否长期投标方</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姓名</w:t>
            </w:r>
          </w:p>
        </w:tc>
        <w:tc>
          <w:tcPr>
            <w:tcW w:w="683"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性别</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职务</w:t>
            </w:r>
          </w:p>
        </w:tc>
        <w:tc>
          <w:tcPr>
            <w:tcW w:w="759"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工种(专业)</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身份证号</w:t>
            </w:r>
          </w:p>
        </w:tc>
        <w:tc>
          <w:tcPr>
            <w:tcW w:w="847"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特种作业证编号</w:t>
            </w:r>
          </w:p>
        </w:tc>
        <w:tc>
          <w:tcPr>
            <w:tcW w:w="707"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籍贯（住址）</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联系电话</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服务部门</w:t>
            </w:r>
          </w:p>
        </w:tc>
        <w:tc>
          <w:tcPr>
            <w:tcW w:w="683"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服务部门联系人</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入厂任务</w:t>
            </w:r>
          </w:p>
        </w:tc>
        <w:tc>
          <w:tcPr>
            <w:tcW w:w="683"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人身意外保险编号</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备注</w:t>
            </w:r>
          </w:p>
        </w:tc>
        <w:tc>
          <w:tcPr>
            <w:tcW w:w="683"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培训开始时间</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培训结束时间</w:t>
            </w:r>
          </w:p>
        </w:tc>
        <w:tc>
          <w:tcPr>
            <w:tcW w:w="683"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安规考试成绩</w:t>
            </w:r>
          </w:p>
        </w:tc>
        <w:tc>
          <w:tcPr>
            <w:tcW w:w="684" w:type="dxa"/>
            <w:shd w:val="clear" w:color="auto" w:fill="C0C0C0"/>
            <w:vAlign w:val="center"/>
          </w:tcPr>
          <w:p>
            <w:pPr>
              <w:widowControl/>
              <w:autoSpaceDE w:val="0"/>
              <w:autoSpaceDN w:val="0"/>
              <w:adjustRightInd w:val="0"/>
              <w:spacing w:after="120"/>
              <w:jc w:val="center"/>
              <w:rPr>
                <w:rFonts w:ascii="宋体" w:hAnsi="宋体" w:cs="宋体"/>
                <w:color w:val="000000"/>
                <w:kern w:val="0"/>
                <w:sz w:val="21"/>
                <w:szCs w:val="21"/>
              </w:rPr>
            </w:pPr>
            <w:r>
              <w:rPr>
                <w:rFonts w:hint="eastAsia" w:ascii="宋体" w:hAnsi="宋体" w:cs="宋体"/>
                <w:color w:val="000000"/>
                <w:kern w:val="0"/>
                <w:sz w:val="21"/>
                <w:szCs w:val="21"/>
              </w:rPr>
              <w:t>开工时间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trPr>
        <w:tc>
          <w:tcPr>
            <w:tcW w:w="709" w:type="dxa"/>
            <w:vAlign w:val="top"/>
          </w:tcPr>
          <w:p>
            <w:pPr>
              <w:numPr>
                <w:ilvl w:val="0"/>
                <w:numId w:val="3"/>
              </w:numPr>
              <w:tabs>
                <w:tab w:val="left" w:pos="1260"/>
                <w:tab w:val="left" w:pos="1440"/>
              </w:tabs>
              <w:autoSpaceDE w:val="0"/>
              <w:autoSpaceDN w:val="0"/>
              <w:adjustRightInd w:val="0"/>
              <w:spacing w:after="120" w:line="360" w:lineRule="auto"/>
              <w:jc w:val="center"/>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759"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847"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707"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trPr>
        <w:tc>
          <w:tcPr>
            <w:tcW w:w="709" w:type="dxa"/>
            <w:vAlign w:val="top"/>
          </w:tcPr>
          <w:p>
            <w:pPr>
              <w:numPr>
                <w:ilvl w:val="0"/>
                <w:numId w:val="3"/>
              </w:numPr>
              <w:tabs>
                <w:tab w:val="left" w:pos="1260"/>
                <w:tab w:val="left" w:pos="1440"/>
              </w:tabs>
              <w:autoSpaceDE w:val="0"/>
              <w:autoSpaceDN w:val="0"/>
              <w:adjustRightInd w:val="0"/>
              <w:spacing w:after="120" w:line="360" w:lineRule="auto"/>
              <w:jc w:val="center"/>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759"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847"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707"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trPr>
        <w:tc>
          <w:tcPr>
            <w:tcW w:w="709" w:type="dxa"/>
            <w:vAlign w:val="top"/>
          </w:tcPr>
          <w:p>
            <w:pPr>
              <w:numPr>
                <w:ilvl w:val="0"/>
                <w:numId w:val="3"/>
              </w:numPr>
              <w:tabs>
                <w:tab w:val="left" w:pos="1260"/>
                <w:tab w:val="left" w:pos="1440"/>
              </w:tabs>
              <w:autoSpaceDE w:val="0"/>
              <w:autoSpaceDN w:val="0"/>
              <w:adjustRightInd w:val="0"/>
              <w:spacing w:after="120" w:line="360" w:lineRule="auto"/>
              <w:jc w:val="center"/>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759"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847"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707"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trPr>
        <w:tc>
          <w:tcPr>
            <w:tcW w:w="709"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r>
              <w:rPr>
                <w:rFonts w:hint="eastAsia" w:ascii="宋体" w:hAnsi="Calibri"/>
                <w:bCs/>
                <w:color w:val="000000"/>
                <w:sz w:val="21"/>
                <w:szCs w:val="21"/>
              </w:rPr>
              <w:t>…</w:t>
            </w: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759"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847"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707"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3"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c>
          <w:tcPr>
            <w:tcW w:w="684" w:type="dxa"/>
            <w:vAlign w:val="top"/>
          </w:tcPr>
          <w:p>
            <w:pPr>
              <w:tabs>
                <w:tab w:val="left" w:pos="1260"/>
                <w:tab w:val="left" w:pos="1440"/>
              </w:tabs>
              <w:autoSpaceDE w:val="0"/>
              <w:autoSpaceDN w:val="0"/>
              <w:adjustRightInd w:val="0"/>
              <w:spacing w:after="120" w:line="360" w:lineRule="auto"/>
              <w:rPr>
                <w:rFonts w:hint="eastAsia" w:ascii="宋体" w:hAnsi="Calibri"/>
                <w:bCs/>
                <w:color w:val="000000"/>
                <w:sz w:val="21"/>
                <w:szCs w:val="21"/>
              </w:rPr>
            </w:pPr>
          </w:p>
        </w:tc>
      </w:tr>
    </w:tbl>
    <w:p>
      <w:pPr>
        <w:tabs>
          <w:tab w:val="left" w:pos="1800"/>
          <w:tab w:val="left" w:pos="1980"/>
        </w:tabs>
        <w:spacing w:line="360" w:lineRule="auto"/>
        <w:rPr>
          <w:rFonts w:hint="eastAsia" w:ascii="宋体" w:hAnsi="Calibri"/>
          <w:b/>
          <w:color w:val="000000"/>
          <w:sz w:val="21"/>
          <w:szCs w:val="21"/>
        </w:rPr>
      </w:pPr>
    </w:p>
    <w:p>
      <w:pPr>
        <w:spacing w:line="360" w:lineRule="auto"/>
        <w:ind w:firstLine="420" w:firstLineChars="200"/>
        <w:jc w:val="left"/>
        <w:rPr>
          <w:rFonts w:hint="eastAsia" w:ascii="宋体" w:hAnsi="Calibri"/>
          <w:color w:val="000000"/>
          <w:sz w:val="21"/>
          <w:szCs w:val="21"/>
        </w:rPr>
      </w:pPr>
      <w:r>
        <w:rPr>
          <w:rFonts w:hint="eastAsia" w:ascii="宋体" w:hAnsi="Calibri"/>
          <w:b/>
          <w:color w:val="000000"/>
          <w:sz w:val="21"/>
          <w:szCs w:val="21"/>
        </w:rPr>
        <w:t>要求：</w:t>
      </w:r>
      <w:r>
        <w:rPr>
          <w:rFonts w:hint="eastAsia" w:ascii="宋体" w:hAnsi="Calibri"/>
          <w:bCs/>
          <w:color w:val="000000"/>
          <w:sz w:val="21"/>
          <w:szCs w:val="21"/>
        </w:rPr>
        <w:t>施工安装人员为能胜任的，具备与有关专业和职位相称的资格、技能和经验的人员。招标方可以要求投标方调离或更换为执行本合同而安排的任何人员，只要招标方认为该人员：（1）坚持错误行为；（2）不胜任或疏忽其职责；（3）不能遵守本合同的规定，投标方应任命一名合适的替代人员。</w:t>
      </w:r>
    </w:p>
    <w:p>
      <w:pPr>
        <w:spacing w:line="360" w:lineRule="auto"/>
        <w:ind w:firstLine="210" w:firstLineChars="100"/>
        <w:jc w:val="left"/>
        <w:rPr>
          <w:rFonts w:hint="eastAsia" w:ascii="宋体" w:hAnsi="Calibri"/>
          <w:b/>
          <w:color w:val="000000"/>
          <w:sz w:val="21"/>
          <w:szCs w:val="21"/>
        </w:rPr>
      </w:pPr>
    </w:p>
    <w:p>
      <w:pPr>
        <w:spacing w:line="360" w:lineRule="auto"/>
        <w:ind w:firstLine="210" w:firstLineChars="100"/>
        <w:jc w:val="left"/>
        <w:rPr>
          <w:rFonts w:hint="eastAsia" w:ascii="宋体" w:hAnsi="Calibri"/>
          <w:b/>
          <w:color w:val="000000"/>
          <w:sz w:val="21"/>
          <w:szCs w:val="21"/>
        </w:rPr>
        <w:sectPr>
          <w:pgSz w:w="16838" w:h="11906" w:orient="landscape"/>
          <w:pgMar w:top="1418" w:right="1440" w:bottom="1134" w:left="1440" w:header="851" w:footer="992" w:gutter="0"/>
          <w:cols w:space="720" w:num="1"/>
          <w:docGrid w:type="linesAndChars" w:linePitch="312" w:charSpace="0"/>
        </w:sectPr>
      </w:pPr>
    </w:p>
    <w:p>
      <w:pPr>
        <w:rPr>
          <w:rFonts w:hint="eastAsia"/>
          <w:b/>
          <w:color w:val="000000"/>
          <w:sz w:val="21"/>
          <w:szCs w:val="21"/>
        </w:rPr>
      </w:pPr>
      <w:bookmarkStart w:id="26" w:name="_Toc16609"/>
      <w:r>
        <w:rPr>
          <w:b/>
          <w:color w:val="000000"/>
          <w:sz w:val="21"/>
          <w:szCs w:val="21"/>
        </w:rPr>
        <w:t>11.3</w:t>
      </w:r>
      <w:r>
        <w:rPr>
          <w:rFonts w:hint="eastAsia"/>
          <w:b/>
          <w:color w:val="000000"/>
          <w:sz w:val="21"/>
          <w:szCs w:val="21"/>
        </w:rPr>
        <w:t>施工安装人员职责</w:t>
      </w:r>
      <w:bookmarkEnd w:id="26"/>
    </w:p>
    <w:p>
      <w:pPr>
        <w:tabs>
          <w:tab w:val="left" w:pos="1260"/>
          <w:tab w:val="left" w:pos="1440"/>
        </w:tabs>
        <w:spacing w:line="360" w:lineRule="auto"/>
        <w:rPr>
          <w:rFonts w:hint="eastAsia" w:ascii="宋体" w:hAnsi="宋体"/>
          <w:bCs/>
          <w:color w:val="000000"/>
          <w:sz w:val="21"/>
          <w:szCs w:val="21"/>
        </w:rPr>
      </w:pPr>
      <w:r>
        <w:rPr>
          <w:rFonts w:ascii="宋体" w:hAnsi="宋体"/>
          <w:bCs/>
          <w:color w:val="000000"/>
          <w:sz w:val="21"/>
          <w:szCs w:val="21"/>
        </w:rPr>
        <w:t>11.</w:t>
      </w:r>
      <w:r>
        <w:rPr>
          <w:rFonts w:hint="eastAsia" w:ascii="宋体" w:hAnsi="宋体"/>
          <w:bCs/>
          <w:color w:val="000000"/>
          <w:sz w:val="21"/>
          <w:szCs w:val="21"/>
        </w:rPr>
        <w:t>3.1项目经理</w:t>
      </w:r>
      <w:r>
        <w:rPr>
          <w:rFonts w:ascii="宋体" w:hAnsi="宋体"/>
          <w:bCs/>
          <w:color w:val="000000"/>
          <w:sz w:val="21"/>
          <w:szCs w:val="21"/>
        </w:rPr>
        <w:t>：全面</w:t>
      </w:r>
      <w:r>
        <w:rPr>
          <w:rFonts w:hint="eastAsia" w:ascii="宋体" w:hAnsi="宋体"/>
          <w:bCs/>
          <w:color w:val="000000"/>
          <w:sz w:val="21"/>
          <w:szCs w:val="21"/>
        </w:rPr>
        <w:t>负责本项目</w:t>
      </w:r>
      <w:r>
        <w:rPr>
          <w:rFonts w:ascii="宋体" w:hAnsi="宋体"/>
          <w:bCs/>
          <w:color w:val="000000"/>
          <w:sz w:val="21"/>
          <w:szCs w:val="21"/>
        </w:rPr>
        <w:t>的组织领导、管理工作，并协调</w:t>
      </w:r>
      <w:r>
        <w:rPr>
          <w:rFonts w:hint="eastAsia" w:ascii="宋体" w:hAnsi="宋体"/>
          <w:bCs/>
          <w:color w:val="000000"/>
          <w:sz w:val="21"/>
          <w:szCs w:val="21"/>
          <w:lang w:eastAsia="zh-CN"/>
        </w:rPr>
        <w:t>招标方</w:t>
      </w:r>
      <w:r>
        <w:rPr>
          <w:rFonts w:ascii="宋体" w:hAnsi="宋体"/>
          <w:bCs/>
          <w:color w:val="000000"/>
          <w:sz w:val="21"/>
          <w:szCs w:val="21"/>
        </w:rPr>
        <w:t>相关部门顺利完成此次检修任务，严格</w:t>
      </w:r>
      <w:r>
        <w:rPr>
          <w:rFonts w:hint="eastAsia" w:ascii="宋体" w:hAnsi="宋体"/>
          <w:bCs/>
          <w:color w:val="000000"/>
          <w:sz w:val="21"/>
          <w:szCs w:val="21"/>
        </w:rPr>
        <w:t>监督项目</w:t>
      </w:r>
      <w:r>
        <w:rPr>
          <w:rFonts w:ascii="宋体" w:hAnsi="宋体"/>
          <w:bCs/>
          <w:color w:val="000000"/>
          <w:sz w:val="21"/>
          <w:szCs w:val="21"/>
        </w:rPr>
        <w:t>工作中的执行情况</w:t>
      </w:r>
      <w:r>
        <w:rPr>
          <w:rFonts w:hint="eastAsia" w:ascii="宋体" w:hAnsi="宋体"/>
          <w:bCs/>
          <w:color w:val="000000"/>
          <w:sz w:val="21"/>
          <w:szCs w:val="21"/>
        </w:rPr>
        <w:t>。</w:t>
      </w:r>
    </w:p>
    <w:p>
      <w:pPr>
        <w:tabs>
          <w:tab w:val="left" w:pos="1260"/>
          <w:tab w:val="left" w:pos="1440"/>
        </w:tabs>
        <w:spacing w:line="360" w:lineRule="auto"/>
        <w:rPr>
          <w:rFonts w:ascii="宋体" w:hAnsi="宋体"/>
          <w:bCs/>
          <w:color w:val="000000"/>
          <w:sz w:val="21"/>
          <w:szCs w:val="21"/>
        </w:rPr>
      </w:pPr>
      <w:r>
        <w:rPr>
          <w:rFonts w:ascii="宋体" w:hAnsi="宋体"/>
          <w:bCs/>
          <w:color w:val="000000"/>
          <w:sz w:val="21"/>
          <w:szCs w:val="21"/>
        </w:rPr>
        <w:t>11.</w:t>
      </w:r>
      <w:r>
        <w:rPr>
          <w:rFonts w:hint="eastAsia" w:ascii="宋体" w:hAnsi="宋体"/>
          <w:bCs/>
          <w:color w:val="000000"/>
          <w:sz w:val="21"/>
          <w:szCs w:val="21"/>
        </w:rPr>
        <w:t>3.2</w:t>
      </w:r>
      <w:r>
        <w:rPr>
          <w:rFonts w:ascii="宋体" w:hAnsi="宋体"/>
          <w:bCs/>
          <w:color w:val="000000"/>
          <w:sz w:val="21"/>
          <w:szCs w:val="21"/>
        </w:rPr>
        <w:t>现场技术负责人：负责</w:t>
      </w:r>
      <w:r>
        <w:rPr>
          <w:rFonts w:hint="eastAsia" w:ascii="宋体" w:hAnsi="宋体"/>
          <w:bCs/>
          <w:color w:val="000000"/>
          <w:sz w:val="21"/>
          <w:szCs w:val="21"/>
        </w:rPr>
        <w:t>本项目</w:t>
      </w:r>
      <w:r>
        <w:rPr>
          <w:rFonts w:ascii="宋体" w:hAnsi="宋体"/>
          <w:bCs/>
          <w:color w:val="000000"/>
          <w:sz w:val="21"/>
          <w:szCs w:val="21"/>
        </w:rPr>
        <w:t>工作过程中的技术规范，严格执行、监督。</w:t>
      </w:r>
    </w:p>
    <w:p>
      <w:pPr>
        <w:tabs>
          <w:tab w:val="left" w:pos="1260"/>
          <w:tab w:val="left" w:pos="1440"/>
        </w:tabs>
        <w:spacing w:line="360" w:lineRule="auto"/>
        <w:rPr>
          <w:rFonts w:ascii="宋体" w:hAnsi="宋体"/>
          <w:bCs/>
          <w:color w:val="000000"/>
          <w:sz w:val="21"/>
          <w:szCs w:val="21"/>
        </w:rPr>
      </w:pPr>
      <w:r>
        <w:rPr>
          <w:rFonts w:ascii="宋体" w:hAnsi="宋体"/>
          <w:bCs/>
          <w:color w:val="000000"/>
          <w:sz w:val="21"/>
          <w:szCs w:val="21"/>
        </w:rPr>
        <w:t>11.</w:t>
      </w:r>
      <w:r>
        <w:rPr>
          <w:rFonts w:hint="eastAsia" w:ascii="宋体" w:hAnsi="宋体"/>
          <w:bCs/>
          <w:color w:val="000000"/>
          <w:sz w:val="21"/>
          <w:szCs w:val="21"/>
        </w:rPr>
        <w:t>3.3专职或兼职</w:t>
      </w:r>
      <w:r>
        <w:rPr>
          <w:rFonts w:ascii="宋体" w:hAnsi="宋体"/>
          <w:bCs/>
          <w:color w:val="000000"/>
          <w:sz w:val="21"/>
          <w:szCs w:val="21"/>
        </w:rPr>
        <w:t>安全员：负责指导、监督工作全过程的安全管理工作，加强对检修现场安全作业的指导和监督，确保此次检修工作中无习惯性违章、无不安全事件发生，无设备损坏，无人身轻伤，保障此次</w:t>
      </w:r>
      <w:r>
        <w:rPr>
          <w:rFonts w:hint="eastAsia" w:ascii="宋体" w:hAnsi="宋体"/>
          <w:bCs/>
          <w:color w:val="000000"/>
          <w:sz w:val="21"/>
          <w:szCs w:val="21"/>
        </w:rPr>
        <w:t>项目</w:t>
      </w:r>
      <w:r>
        <w:rPr>
          <w:rFonts w:ascii="宋体" w:hAnsi="宋体"/>
          <w:bCs/>
          <w:color w:val="000000"/>
          <w:sz w:val="21"/>
          <w:szCs w:val="21"/>
        </w:rPr>
        <w:t>工作的顺利进行；对施工各阶段的安全技术措施进行及时监督、检查，同时参加电厂</w:t>
      </w:r>
      <w:r>
        <w:rPr>
          <w:rFonts w:hint="eastAsia" w:ascii="宋体" w:hAnsi="宋体"/>
          <w:bCs/>
          <w:color w:val="000000"/>
          <w:sz w:val="21"/>
          <w:szCs w:val="21"/>
        </w:rPr>
        <w:t>安全环保监察站</w:t>
      </w:r>
      <w:r>
        <w:rPr>
          <w:rFonts w:ascii="宋体" w:hAnsi="宋体"/>
          <w:bCs/>
          <w:color w:val="000000"/>
          <w:sz w:val="21"/>
          <w:szCs w:val="21"/>
        </w:rPr>
        <w:t>门组织召开的安全例会。</w:t>
      </w:r>
    </w:p>
    <w:p>
      <w:pPr>
        <w:tabs>
          <w:tab w:val="left" w:pos="1260"/>
          <w:tab w:val="left" w:pos="1440"/>
        </w:tabs>
        <w:spacing w:line="360" w:lineRule="auto"/>
        <w:rPr>
          <w:rFonts w:ascii="宋体" w:hAnsi="宋体"/>
          <w:bCs/>
          <w:color w:val="000000"/>
          <w:sz w:val="21"/>
          <w:szCs w:val="21"/>
        </w:rPr>
      </w:pPr>
      <w:r>
        <w:rPr>
          <w:rFonts w:ascii="宋体" w:hAnsi="宋体"/>
          <w:bCs/>
          <w:color w:val="000000"/>
          <w:sz w:val="21"/>
          <w:szCs w:val="21"/>
        </w:rPr>
        <w:t>11.</w:t>
      </w:r>
      <w:r>
        <w:rPr>
          <w:rFonts w:hint="eastAsia" w:ascii="宋体" w:hAnsi="宋体"/>
          <w:bCs/>
          <w:color w:val="000000"/>
          <w:sz w:val="21"/>
          <w:szCs w:val="21"/>
        </w:rPr>
        <w:t>3.4</w:t>
      </w:r>
      <w:r>
        <w:rPr>
          <w:rFonts w:ascii="宋体" w:hAnsi="宋体"/>
          <w:bCs/>
          <w:color w:val="000000"/>
          <w:sz w:val="21"/>
          <w:szCs w:val="21"/>
        </w:rPr>
        <w:t>项目部各岗位成员要按照自己的职责及负责具体事项，有计划、有安排、有针对性地组织开展安全、质量和规范、规程执行情况的检查，清楚本次</w:t>
      </w:r>
      <w:r>
        <w:rPr>
          <w:rFonts w:hint="eastAsia" w:ascii="宋体" w:hAnsi="宋体"/>
          <w:bCs/>
          <w:color w:val="000000"/>
          <w:sz w:val="21"/>
          <w:szCs w:val="21"/>
        </w:rPr>
        <w:t>项目的</w:t>
      </w:r>
      <w:r>
        <w:rPr>
          <w:rFonts w:ascii="宋体" w:hAnsi="宋体"/>
          <w:bCs/>
          <w:color w:val="000000"/>
          <w:sz w:val="21"/>
          <w:szCs w:val="21"/>
        </w:rPr>
        <w:t>安全风险、质量目标、技术标准等，确保检修工作按照预期计划安全、高质、高效完成。</w:t>
      </w:r>
      <w:bookmarkStart w:id="27" w:name="_Toc19694"/>
    </w:p>
    <w:p>
      <w:pPr>
        <w:rPr>
          <w:rFonts w:hint="eastAsia"/>
          <w:b/>
          <w:color w:val="000000"/>
          <w:sz w:val="21"/>
          <w:szCs w:val="21"/>
        </w:rPr>
      </w:pPr>
      <w:r>
        <w:rPr>
          <w:rFonts w:hint="eastAsia"/>
          <w:b/>
          <w:color w:val="000000"/>
          <w:sz w:val="21"/>
          <w:szCs w:val="21"/>
        </w:rPr>
        <w:t>1</w:t>
      </w:r>
      <w:r>
        <w:rPr>
          <w:b/>
          <w:color w:val="000000"/>
          <w:sz w:val="21"/>
          <w:szCs w:val="21"/>
        </w:rPr>
        <w:t>1.4</w:t>
      </w:r>
      <w:r>
        <w:rPr>
          <w:rFonts w:hint="eastAsia"/>
          <w:b/>
          <w:color w:val="000000"/>
          <w:sz w:val="21"/>
          <w:szCs w:val="21"/>
        </w:rPr>
        <w:t>人员服务要求</w:t>
      </w:r>
      <w:bookmarkEnd w:id="27"/>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4.1 现场服务计划</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4.1.1 投标方现场技术服务人员的目的是保证所提供的设备安全、正常使用。投标方要派出合格的、能独立解决问题的现场服务人员。</w:t>
      </w:r>
    </w:p>
    <w:p>
      <w:pPr>
        <w:tabs>
          <w:tab w:val="left" w:pos="1920"/>
          <w:tab w:val="left" w:pos="4140"/>
        </w:tabs>
        <w:autoSpaceDE w:val="0"/>
        <w:autoSpaceDN w:val="0"/>
        <w:adjustRightInd w:val="0"/>
        <w:snapToGrid w:val="0"/>
        <w:spacing w:line="360" w:lineRule="auto"/>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4.1.2 现场服务人员的工作时间应与现场要求相一致，以满足现场施工、调试、和运行的要求。招标方不再因投标方现场服务人员的加班和节假日而另付费用。</w:t>
      </w:r>
    </w:p>
    <w:p>
      <w:pPr>
        <w:tabs>
          <w:tab w:val="left" w:pos="1920"/>
          <w:tab w:val="left" w:pos="4140"/>
        </w:tabs>
        <w:autoSpaceDE w:val="0"/>
        <w:autoSpaceDN w:val="0"/>
        <w:adjustRightInd w:val="0"/>
        <w:snapToGrid w:val="0"/>
        <w:spacing w:line="360" w:lineRule="auto"/>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4.1.3 未经招标方同意,投标方不得随意更换现场服务人员。同时,投标方须及时更换招标方认为不合格的投标方现场服务人员。</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4.2 现场服务人员要求</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4.2.1 遵守法纪，遵守现场的各项规章和制度, 遵守电业安全工作规程。</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4.2.2 有较强的责任感和事业心，按时到位。</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4.2.3 了解施工工艺设计，熟悉其施工技术要求，有相同或相近机组的现场工作经验，能够正确地进行现场指导。</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4.2.4  身体健康，适应现场工作的条件。</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4.3  现场服务人员的职责</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4.3.1 投标方现场服务人员的任务主要包括设备到货后的开箱检验、卸货、设备质量问题的处理、施工安装和调试、现场培训、参加试运和性能验收试验。</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4.3.2 在安装和调试前，投标方技术服务人员应向招标方技术交底，讲解和示范将要进行的程序和方法。</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4.3.3 投标方现场服务人员应有权全权处理现场出现的一切技术。如现场发生质量问题，投标方现场人员要在招标方规定的时间内处理解决。</w:t>
      </w:r>
    </w:p>
    <w:p>
      <w:pPr>
        <w:tabs>
          <w:tab w:val="left" w:pos="1920"/>
          <w:tab w:val="left" w:pos="4140"/>
        </w:tabs>
        <w:autoSpaceDE w:val="0"/>
        <w:autoSpaceDN w:val="0"/>
        <w:adjustRightInd w:val="0"/>
        <w:snapToGrid w:val="0"/>
        <w:spacing w:line="360" w:lineRule="auto"/>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4.3.4  投标方对其现场服务人员的一切行为负全部责任。</w:t>
      </w:r>
    </w:p>
    <w:p>
      <w:pPr>
        <w:tabs>
          <w:tab w:val="left" w:pos="1920"/>
          <w:tab w:val="left" w:pos="4140"/>
        </w:tabs>
        <w:autoSpaceDE w:val="0"/>
        <w:autoSpaceDN w:val="0"/>
        <w:adjustRightInd w:val="0"/>
        <w:snapToGrid w:val="0"/>
        <w:spacing w:line="360" w:lineRule="auto"/>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4.3.5  投标方现场服务人员的正常来去和更换事先与招标方协商。</w:t>
      </w:r>
    </w:p>
    <w:p>
      <w:pPr>
        <w:tabs>
          <w:tab w:val="left" w:pos="1920"/>
          <w:tab w:val="left" w:pos="4140"/>
        </w:tabs>
        <w:autoSpaceDE w:val="0"/>
        <w:autoSpaceDN w:val="0"/>
        <w:adjustRightInd w:val="0"/>
        <w:snapToGrid w:val="0"/>
        <w:spacing w:line="360" w:lineRule="auto"/>
        <w:ind w:left="1"/>
        <w:rPr>
          <w:rFonts w:hint="eastAsia" w:ascii="宋体" w:hAnsi="Calibri" w:cs="宋体"/>
          <w:snapToGrid w:val="0"/>
          <w:color w:val="000000"/>
          <w:kern w:val="0"/>
          <w:sz w:val="21"/>
          <w:szCs w:val="21"/>
        </w:rPr>
      </w:pPr>
      <w:r>
        <w:rPr>
          <w:rFonts w:ascii="宋体" w:hAnsi="Calibri" w:cs="宋体"/>
          <w:snapToGrid w:val="0"/>
          <w:color w:val="000000"/>
          <w:kern w:val="0"/>
          <w:sz w:val="21"/>
          <w:szCs w:val="21"/>
        </w:rPr>
        <w:t>11.</w:t>
      </w:r>
      <w:r>
        <w:rPr>
          <w:rFonts w:hint="eastAsia" w:ascii="宋体" w:hAnsi="Calibri" w:cs="宋体"/>
          <w:snapToGrid w:val="0"/>
          <w:color w:val="000000"/>
          <w:kern w:val="0"/>
          <w:sz w:val="21"/>
          <w:szCs w:val="21"/>
        </w:rPr>
        <w:t>4.4  现场服务工作方式</w:t>
      </w:r>
    </w:p>
    <w:p>
      <w:pPr>
        <w:spacing w:line="360" w:lineRule="auto"/>
        <w:rPr>
          <w:rFonts w:hint="eastAsia" w:ascii="宋体" w:hAnsi="宋体"/>
          <w:bCs/>
          <w:color w:val="000000"/>
          <w:sz w:val="21"/>
          <w:szCs w:val="21"/>
        </w:rPr>
      </w:pPr>
      <w:r>
        <w:rPr>
          <w:rFonts w:hint="eastAsia" w:ascii="宋体" w:hAnsi="Calibri" w:cs="宋体"/>
          <w:snapToGrid w:val="0"/>
          <w:color w:val="000000"/>
          <w:kern w:val="0"/>
          <w:sz w:val="21"/>
          <w:szCs w:val="21"/>
        </w:rPr>
        <w:t xml:space="preserve">     投标方技术人员到达工地后，应经过双方代表的共同商定，制定出总的工作进度计划。投标方技术人员应根据工作进度进行工作。工作进度的任何修改应由双方代表协商作出。</w:t>
      </w:r>
    </w:p>
    <w:p>
      <w:pPr>
        <w:spacing w:line="360" w:lineRule="auto"/>
        <w:jc w:val="left"/>
        <w:rPr>
          <w:rFonts w:hint="eastAsia" w:ascii="宋体" w:hAnsi="宋体"/>
          <w:b/>
          <w:color w:val="000000"/>
          <w:sz w:val="21"/>
          <w:szCs w:val="21"/>
        </w:rPr>
      </w:pPr>
      <w:r>
        <w:rPr>
          <w:rFonts w:ascii="宋体" w:hAnsi="宋体"/>
          <w:b/>
          <w:color w:val="000000"/>
          <w:sz w:val="21"/>
          <w:szCs w:val="21"/>
        </w:rPr>
        <w:t>11.</w:t>
      </w:r>
      <w:r>
        <w:rPr>
          <w:rFonts w:hint="eastAsia" w:ascii="宋体" w:hAnsi="宋体"/>
          <w:b/>
          <w:color w:val="000000"/>
          <w:sz w:val="21"/>
          <w:szCs w:val="21"/>
        </w:rPr>
        <w:t>4.5投标方入厂出口资料</w:t>
      </w:r>
    </w:p>
    <w:p>
      <w:pPr>
        <w:jc w:val="center"/>
        <w:rPr>
          <w:rFonts w:hint="eastAsia" w:ascii="仿宋_GB2312" w:hAnsi="Calibri" w:eastAsia="仿宋_GB2312"/>
          <w:b/>
          <w:color w:val="000000"/>
          <w:sz w:val="21"/>
          <w:szCs w:val="21"/>
        </w:rPr>
      </w:pPr>
      <w:r>
        <w:rPr>
          <w:rFonts w:hint="eastAsia" w:ascii="仿宋_GB2312" w:hAnsi="Calibri" w:eastAsia="仿宋_GB2312"/>
          <w:b/>
          <w:color w:val="000000"/>
          <w:sz w:val="21"/>
          <w:szCs w:val="21"/>
          <w:lang w:eastAsia="zh-CN"/>
        </w:rPr>
        <w:t>招标方</w:t>
      </w:r>
      <w:r>
        <w:rPr>
          <w:rFonts w:hint="eastAsia" w:ascii="仿宋_GB2312" w:hAnsi="Calibri" w:eastAsia="仿宋_GB2312"/>
          <w:b/>
          <w:color w:val="000000"/>
          <w:sz w:val="21"/>
          <w:szCs w:val="21"/>
        </w:rPr>
        <w:t xml:space="preserve">承包商提供入厂资料清单  </w:t>
      </w:r>
    </w:p>
    <w:tbl>
      <w:tblPr>
        <w:tblStyle w:val="9"/>
        <w:tblW w:w="868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5398"/>
        <w:gridCol w:w="1704"/>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序号</w:t>
            </w:r>
          </w:p>
        </w:tc>
        <w:tc>
          <w:tcPr>
            <w:tcW w:w="5398" w:type="dxa"/>
            <w:vAlign w:val="center"/>
          </w:tcPr>
          <w:p>
            <w:pPr>
              <w:ind w:firstLine="930" w:firstLineChars="443"/>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提供资料明细</w:t>
            </w:r>
          </w:p>
        </w:tc>
        <w:tc>
          <w:tcPr>
            <w:tcW w:w="1704" w:type="dxa"/>
            <w:vAlign w:val="center"/>
          </w:tcPr>
          <w:p>
            <w:pPr>
              <w:ind w:firstLine="102" w:firstLineChars="49"/>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合格、不合格</w:t>
            </w:r>
          </w:p>
        </w:tc>
        <w:tc>
          <w:tcPr>
            <w:tcW w:w="852" w:type="dxa"/>
            <w:vAlign w:val="center"/>
          </w:tcPr>
          <w:p>
            <w:pPr>
              <w:ind w:firstLine="102" w:firstLineChars="49"/>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1</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企业资质、营业执照、安全生产许可证（可以是联合体）</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2</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承包商工作人员县级以上医院体检报告(涉及职业危害的进行职业健康体检）。</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3</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承包商人员人身意外保险或社保证明。</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4</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合同复印件。</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5</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与</w:t>
            </w:r>
            <w:r>
              <w:rPr>
                <w:rFonts w:hint="eastAsia" w:ascii="仿宋_GB2312" w:hAnsi="Calibri" w:eastAsia="仿宋_GB2312"/>
                <w:bCs/>
                <w:color w:val="000000"/>
                <w:sz w:val="21"/>
                <w:szCs w:val="21"/>
                <w:lang w:eastAsia="zh-CN"/>
              </w:rPr>
              <w:t>招标方</w:t>
            </w:r>
            <w:r>
              <w:rPr>
                <w:rFonts w:hint="eastAsia" w:ascii="仿宋_GB2312" w:hAnsi="Calibri" w:eastAsia="仿宋_GB2312"/>
                <w:bCs/>
                <w:color w:val="000000"/>
                <w:sz w:val="21"/>
                <w:szCs w:val="21"/>
              </w:rPr>
              <w:t>签订安全生产协议(安全环保监察站负责提供）</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6</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安全生产保证金交款收据复印件(安全环保监察站负责开交款证明）。</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7</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特种作业证复印件。</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2"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8</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施工人员身份证复印件，项目负责人应提供资格证书。100人以上施工单位应设专职安全员并提供安全员资格证书，100人以可设兼职安全员。</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9</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法人授权委托书（非法人来办理）、入厂手续必须由被授权人来安全环保监察站办理</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10</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签完字的施工方案复印件。</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11</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施工单位与施工人员签订的劳务合同。</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12</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本工程所有人员的基本信息列表。</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13</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开工联系单复印件(签完字）。</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14</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安全管理组织机构、安全管理制度(要有涉及人员按时到岗的内容)、事故应急预案。</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trPr>
        <w:tc>
          <w:tcPr>
            <w:tcW w:w="726"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15</w:t>
            </w:r>
          </w:p>
        </w:tc>
        <w:tc>
          <w:tcPr>
            <w:tcW w:w="5398" w:type="dxa"/>
            <w:vAlign w:val="center"/>
          </w:tcPr>
          <w:p>
            <w:pPr>
              <w:jc w:val="cente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工器具和劳动保护用品清单</w:t>
            </w:r>
          </w:p>
        </w:tc>
        <w:tc>
          <w:tcPr>
            <w:tcW w:w="1704" w:type="dxa"/>
            <w:vAlign w:val="center"/>
          </w:tcPr>
          <w:p>
            <w:pPr>
              <w:jc w:val="center"/>
              <w:rPr>
                <w:rFonts w:hint="eastAsia" w:ascii="仿宋_GB2312" w:hAnsi="Calibri" w:eastAsia="仿宋_GB2312"/>
                <w:bCs/>
                <w:color w:val="000000"/>
                <w:sz w:val="21"/>
                <w:szCs w:val="21"/>
              </w:rPr>
            </w:pPr>
          </w:p>
        </w:tc>
        <w:tc>
          <w:tcPr>
            <w:tcW w:w="852" w:type="dxa"/>
            <w:vAlign w:val="center"/>
          </w:tcPr>
          <w:p>
            <w:pPr>
              <w:jc w:val="center"/>
              <w:rPr>
                <w:rFonts w:hint="eastAsia" w:ascii="仿宋_GB2312" w:hAnsi="Calibri" w:eastAsia="仿宋_GB2312"/>
                <w:bCs/>
                <w:color w:val="000000"/>
                <w:sz w:val="21"/>
                <w:szCs w:val="21"/>
              </w:rPr>
            </w:pPr>
          </w:p>
        </w:tc>
      </w:tr>
    </w:tbl>
    <w:p>
      <w:pPr>
        <w:rPr>
          <w:rFonts w:hint="eastAsia" w:ascii="仿宋_GB2312" w:hAnsi="Calibri" w:eastAsia="仿宋_GB2312"/>
          <w:bCs/>
          <w:color w:val="000000"/>
          <w:sz w:val="21"/>
          <w:szCs w:val="21"/>
        </w:rPr>
      </w:pPr>
      <w:r>
        <w:rPr>
          <w:rFonts w:hint="eastAsia" w:ascii="仿宋_GB2312" w:hAnsi="Calibri" w:eastAsia="仿宋_GB2312"/>
          <w:bCs/>
          <w:color w:val="000000"/>
          <w:sz w:val="21"/>
          <w:szCs w:val="21"/>
        </w:rPr>
        <w:t>注：1、由授权委托人或法人到安全环保监察站办理以上相关手续2、完成上述手续后方可办理开工。3.承包商员工年龄为18周岁至60周岁。</w:t>
      </w:r>
    </w:p>
    <w:p>
      <w:pPr>
        <w:rPr>
          <w:rFonts w:hint="eastAsia"/>
          <w:b/>
          <w:color w:val="000000"/>
          <w:sz w:val="21"/>
          <w:szCs w:val="21"/>
        </w:rPr>
      </w:pPr>
      <w:bookmarkStart w:id="28" w:name="_Toc25434"/>
      <w:bookmarkStart w:id="29" w:name="_Toc15701"/>
      <w:r>
        <w:rPr>
          <w:rFonts w:hint="eastAsia"/>
          <w:b/>
          <w:color w:val="000000"/>
          <w:sz w:val="21"/>
          <w:szCs w:val="21"/>
        </w:rPr>
        <w:t>1</w:t>
      </w:r>
      <w:r>
        <w:rPr>
          <w:b/>
          <w:color w:val="000000"/>
          <w:sz w:val="21"/>
          <w:szCs w:val="21"/>
        </w:rPr>
        <w:t>1.5</w:t>
      </w:r>
      <w:r>
        <w:rPr>
          <w:rFonts w:hint="eastAsia"/>
          <w:b/>
          <w:color w:val="000000"/>
          <w:sz w:val="21"/>
          <w:szCs w:val="21"/>
        </w:rPr>
        <w:t>现场文明施工标准</w:t>
      </w:r>
      <w:bookmarkEnd w:id="28"/>
      <w:bookmarkEnd w:id="29"/>
      <w:r>
        <w:rPr>
          <w:rFonts w:hint="eastAsia"/>
          <w:b/>
          <w:color w:val="000000"/>
          <w:sz w:val="21"/>
          <w:szCs w:val="21"/>
        </w:rPr>
        <w:t xml:space="preserve"> </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11.5.1</w:t>
      </w:r>
      <w:r>
        <w:rPr>
          <w:rFonts w:hint="eastAsia" w:ascii="宋体" w:hAnsi="Calibri"/>
          <w:bCs/>
          <w:color w:val="000000"/>
          <w:sz w:val="21"/>
          <w:szCs w:val="21"/>
        </w:rPr>
        <w:t>.安装人员进入生产现场（办公室、控制室、值班室和检修班组室除外）必须带安全帽,着装符合《电业安全工作规程》要求，特殊工种还必须穿专用防护工作服和面具，作业现场秩序井然。</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11.5.2</w:t>
      </w:r>
      <w:r>
        <w:rPr>
          <w:rFonts w:hint="eastAsia" w:ascii="宋体" w:hAnsi="Calibri"/>
          <w:bCs/>
          <w:color w:val="000000"/>
          <w:sz w:val="21"/>
          <w:szCs w:val="21"/>
        </w:rPr>
        <w:t>.安装区域应设置围栏或者警戒线，挂警示牌和标志牌，施工现场装设围栏时，应留出人行通道；围栏不应当为全封闭式，需留有出入口。任何人不得跨越围栏并禁止进入。</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11.5.3</w:t>
      </w:r>
      <w:r>
        <w:rPr>
          <w:rFonts w:hint="eastAsia" w:ascii="宋体" w:hAnsi="Calibri"/>
          <w:bCs/>
          <w:color w:val="000000"/>
          <w:sz w:val="21"/>
          <w:szCs w:val="21"/>
        </w:rPr>
        <w:t>.在有废油产生的检修区域必须设立废油回收桶，废油回收后移交物资管理部统一处理，严禁随意丢弃造成环境污染。</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11.5.4</w:t>
      </w:r>
      <w:r>
        <w:rPr>
          <w:rFonts w:hint="eastAsia" w:ascii="宋体" w:hAnsi="Calibri"/>
          <w:bCs/>
          <w:color w:val="000000"/>
          <w:sz w:val="21"/>
          <w:szCs w:val="21"/>
        </w:rPr>
        <w:t>.安装、调试工作时有可能砸坏、污染地面时，应铺设胶皮等防护物品，但不得阻塞通道，不得妨碍消防器材的使用。</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11.5.5</w:t>
      </w:r>
      <w:r>
        <w:rPr>
          <w:rFonts w:hint="eastAsia" w:ascii="宋体" w:hAnsi="Calibri"/>
          <w:bCs/>
          <w:color w:val="000000"/>
          <w:sz w:val="21"/>
          <w:szCs w:val="21"/>
        </w:rPr>
        <w:t>.作业现场做到“三不落地”、“三无”、“三不乱”，每天收工前清扫现场。</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11.5.6</w:t>
      </w:r>
      <w:r>
        <w:rPr>
          <w:rFonts w:hint="eastAsia" w:ascii="宋体" w:hAnsi="Calibri"/>
          <w:bCs/>
          <w:color w:val="000000"/>
          <w:sz w:val="21"/>
          <w:szCs w:val="21"/>
        </w:rPr>
        <w:t>.检修现场各种图纸、记录本、登记本、工器具、材料、检修设备的部件均按定置摆放整齐，公共物品不受损坏。</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11.5.7</w:t>
      </w:r>
      <w:r>
        <w:rPr>
          <w:rFonts w:hint="eastAsia" w:ascii="宋体" w:hAnsi="Calibri"/>
          <w:bCs/>
          <w:color w:val="000000"/>
          <w:sz w:val="21"/>
          <w:szCs w:val="21"/>
        </w:rPr>
        <w:t>.安装调试工作结束后，必须做到工作面上无积水、积油、积灰，无杂物；做到安全栏杆全，沟道盖板全。</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11.5.8</w:t>
      </w:r>
      <w:r>
        <w:rPr>
          <w:rFonts w:hint="eastAsia" w:ascii="宋体" w:hAnsi="Calibri"/>
          <w:bCs/>
          <w:color w:val="000000"/>
          <w:sz w:val="21"/>
          <w:szCs w:val="21"/>
        </w:rPr>
        <w:t>.投标方安装调试修人员上、下班出入厂区必须整齐排成一队。</w:t>
      </w:r>
    </w:p>
    <w:p>
      <w:pPr>
        <w:rPr>
          <w:rFonts w:hint="eastAsia"/>
          <w:b/>
          <w:color w:val="000000"/>
          <w:sz w:val="21"/>
          <w:szCs w:val="21"/>
        </w:rPr>
      </w:pPr>
      <w:bookmarkStart w:id="30" w:name="_Toc4004"/>
      <w:bookmarkStart w:id="31" w:name="_Toc13130"/>
      <w:r>
        <w:rPr>
          <w:rFonts w:hint="eastAsia"/>
          <w:b/>
          <w:color w:val="000000"/>
          <w:sz w:val="21"/>
          <w:szCs w:val="21"/>
        </w:rPr>
        <w:t>1</w:t>
      </w:r>
      <w:r>
        <w:rPr>
          <w:b/>
          <w:color w:val="000000"/>
          <w:sz w:val="21"/>
          <w:szCs w:val="21"/>
        </w:rPr>
        <w:t>1.6</w:t>
      </w:r>
      <w:r>
        <w:rPr>
          <w:rFonts w:hint="eastAsia"/>
          <w:b/>
          <w:color w:val="000000"/>
          <w:sz w:val="21"/>
          <w:szCs w:val="21"/>
        </w:rPr>
        <w:t>．安全考试要求</w:t>
      </w:r>
      <w:bookmarkEnd w:id="30"/>
      <w:bookmarkEnd w:id="31"/>
    </w:p>
    <w:p>
      <w:pPr>
        <w:rPr>
          <w:rFonts w:hint="eastAsia"/>
          <w:b/>
          <w:color w:val="000000"/>
          <w:sz w:val="21"/>
          <w:szCs w:val="21"/>
        </w:rPr>
      </w:pPr>
      <w:r>
        <w:rPr>
          <w:b/>
          <w:color w:val="000000"/>
          <w:sz w:val="21"/>
          <w:szCs w:val="21"/>
        </w:rPr>
        <w:t>11.6.1</w:t>
      </w:r>
      <w:r>
        <w:rPr>
          <w:rFonts w:hint="eastAsia"/>
          <w:b/>
          <w:color w:val="000000"/>
          <w:sz w:val="21"/>
          <w:szCs w:val="21"/>
        </w:rPr>
        <w:t>．安全学习及考试</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11.6.1</w:t>
      </w:r>
      <w:r>
        <w:rPr>
          <w:rFonts w:hint="eastAsia" w:ascii="宋体" w:hAnsi="Calibri"/>
          <w:bCs/>
          <w:color w:val="000000"/>
          <w:sz w:val="21"/>
          <w:szCs w:val="21"/>
        </w:rPr>
        <w:t>.1各部门和所有投标方负责人，是本部门、本单位的安全第一责任人。</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11.6.1</w:t>
      </w:r>
      <w:r>
        <w:rPr>
          <w:rFonts w:hint="eastAsia" w:ascii="宋体" w:hAnsi="Calibri"/>
          <w:bCs/>
          <w:color w:val="000000"/>
          <w:sz w:val="21"/>
          <w:szCs w:val="21"/>
        </w:rPr>
        <w:t>.2承办单位的全体人员必须在入厂前进行三级安全教育并经考试合格后方可进入工作现场，即：神华准能</w:t>
      </w:r>
      <w:r>
        <w:rPr>
          <w:rFonts w:hint="eastAsia" w:ascii="宋体" w:hAnsi="Calibri"/>
          <w:bCs/>
          <w:color w:val="000000"/>
          <w:sz w:val="21"/>
          <w:szCs w:val="21"/>
          <w:lang w:eastAsia="zh-CN"/>
        </w:rPr>
        <w:t>招标方</w:t>
      </w:r>
      <w:r>
        <w:rPr>
          <w:rFonts w:hint="eastAsia" w:ascii="宋体" w:hAnsi="Calibri"/>
          <w:bCs/>
          <w:color w:val="000000"/>
          <w:sz w:val="21"/>
          <w:szCs w:val="21"/>
        </w:rPr>
        <w:t>内公司级安全教育、部门级安全教育、班组级安全教育。</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11.6.1</w:t>
      </w:r>
      <w:r>
        <w:rPr>
          <w:rFonts w:hint="eastAsia" w:ascii="宋体" w:hAnsi="Calibri"/>
          <w:bCs/>
          <w:color w:val="000000"/>
          <w:sz w:val="21"/>
          <w:szCs w:val="21"/>
        </w:rPr>
        <w:t>.3投标方，还需将专（兼）职安全员及各单位员工《安规》考试成绩报安全环保监察站备查；未考试者须参加神华准能</w:t>
      </w:r>
      <w:r>
        <w:rPr>
          <w:rFonts w:hint="eastAsia" w:ascii="宋体" w:hAnsi="Calibri"/>
          <w:bCs/>
          <w:color w:val="000000"/>
          <w:sz w:val="21"/>
          <w:szCs w:val="21"/>
          <w:lang w:eastAsia="zh-CN"/>
        </w:rPr>
        <w:t>招标方</w:t>
      </w:r>
      <w:r>
        <w:rPr>
          <w:rFonts w:hint="eastAsia" w:ascii="宋体" w:hAnsi="Calibri"/>
          <w:bCs/>
          <w:color w:val="000000"/>
          <w:sz w:val="21"/>
          <w:szCs w:val="21"/>
        </w:rPr>
        <w:t>安全环保监察站组织的统一考试。</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11.6.1</w:t>
      </w:r>
      <w:r>
        <w:rPr>
          <w:rFonts w:hint="eastAsia" w:ascii="宋体" w:hAnsi="Calibri"/>
          <w:bCs/>
          <w:color w:val="000000"/>
          <w:sz w:val="21"/>
          <w:szCs w:val="21"/>
        </w:rPr>
        <w:t>.4投标方均须和公司安全环保监察站签订“投标方施工安全环保协议”，并严格执行现场其他规章制度。</w:t>
      </w:r>
    </w:p>
    <w:p>
      <w:pPr>
        <w:tabs>
          <w:tab w:val="left" w:pos="1260"/>
          <w:tab w:val="left" w:pos="1440"/>
        </w:tabs>
        <w:spacing w:line="360" w:lineRule="auto"/>
        <w:rPr>
          <w:rFonts w:hint="eastAsia" w:ascii="宋体" w:hAnsi="Calibri"/>
          <w:bCs/>
          <w:color w:val="000000"/>
          <w:sz w:val="21"/>
          <w:szCs w:val="21"/>
        </w:rPr>
      </w:pPr>
      <w:r>
        <w:rPr>
          <w:rFonts w:ascii="宋体" w:hAnsi="Calibri"/>
          <w:bCs/>
          <w:color w:val="000000"/>
          <w:sz w:val="21"/>
          <w:szCs w:val="21"/>
        </w:rPr>
        <w:t>11.6.1</w:t>
      </w:r>
      <w:r>
        <w:rPr>
          <w:rFonts w:hint="eastAsia" w:ascii="宋体" w:hAnsi="Calibri"/>
          <w:bCs/>
          <w:color w:val="000000"/>
          <w:sz w:val="21"/>
          <w:szCs w:val="21"/>
        </w:rPr>
        <w:t>.5各部门和各投标方必须组织检修班组开好班前、班后会和开工、收工会。</w:t>
      </w:r>
    </w:p>
    <w:p>
      <w:pPr>
        <w:rPr>
          <w:rFonts w:hint="eastAsia"/>
          <w:b/>
          <w:color w:val="000000"/>
          <w:sz w:val="21"/>
          <w:szCs w:val="21"/>
        </w:rPr>
      </w:pPr>
      <w:bookmarkStart w:id="32" w:name="_Toc14706"/>
      <w:r>
        <w:rPr>
          <w:b/>
          <w:color w:val="000000"/>
          <w:sz w:val="21"/>
          <w:szCs w:val="21"/>
        </w:rPr>
        <w:t>11.6.2</w:t>
      </w:r>
      <w:r>
        <w:rPr>
          <w:rFonts w:hint="eastAsia"/>
          <w:b/>
          <w:color w:val="000000"/>
          <w:sz w:val="21"/>
          <w:szCs w:val="21"/>
        </w:rPr>
        <w:t>．考核规定</w:t>
      </w:r>
      <w:bookmarkEnd w:id="32"/>
    </w:p>
    <w:p>
      <w:pPr>
        <w:tabs>
          <w:tab w:val="left" w:pos="1260"/>
          <w:tab w:val="left" w:pos="1440"/>
        </w:tabs>
        <w:spacing w:line="360" w:lineRule="auto"/>
        <w:ind w:firstLine="210" w:firstLineChars="100"/>
        <w:rPr>
          <w:rFonts w:hint="eastAsia" w:ascii="宋体" w:hAnsi="Calibri"/>
          <w:bCs/>
          <w:color w:val="000000"/>
          <w:sz w:val="21"/>
          <w:szCs w:val="21"/>
        </w:rPr>
      </w:pPr>
      <w:r>
        <w:rPr>
          <w:rFonts w:hint="eastAsia" w:ascii="宋体" w:hAnsi="Calibri"/>
          <w:bCs/>
          <w:color w:val="000000"/>
          <w:sz w:val="21"/>
          <w:szCs w:val="21"/>
        </w:rPr>
        <w:t xml:space="preserve">  第一次的学习及安全考试不合格的投标方人员，进行补考。</w:t>
      </w:r>
    </w:p>
    <w:p>
      <w:pPr>
        <w:tabs>
          <w:tab w:val="left" w:pos="1260"/>
          <w:tab w:val="left" w:pos="1440"/>
        </w:tabs>
        <w:spacing w:line="360" w:lineRule="auto"/>
        <w:ind w:firstLine="210" w:firstLineChars="100"/>
        <w:rPr>
          <w:rFonts w:hint="eastAsia" w:ascii="宋体" w:hAnsi="Calibri"/>
          <w:bCs/>
          <w:color w:val="000000"/>
          <w:sz w:val="21"/>
          <w:szCs w:val="21"/>
        </w:rPr>
      </w:pPr>
      <w:r>
        <w:rPr>
          <w:rFonts w:hint="eastAsia" w:ascii="宋体" w:hAnsi="Calibri"/>
          <w:bCs/>
          <w:color w:val="000000"/>
          <w:sz w:val="21"/>
          <w:szCs w:val="21"/>
        </w:rPr>
        <w:t xml:space="preserve">  第二次补考不合格的安装调试员每人考核200元。</w:t>
      </w:r>
    </w:p>
    <w:p>
      <w:pPr>
        <w:tabs>
          <w:tab w:val="left" w:pos="1260"/>
          <w:tab w:val="left" w:pos="1440"/>
        </w:tabs>
        <w:spacing w:line="360" w:lineRule="auto"/>
        <w:ind w:firstLine="420" w:firstLineChars="200"/>
        <w:rPr>
          <w:rFonts w:hint="eastAsia" w:ascii="宋体" w:hAnsi="Calibri"/>
          <w:bCs/>
          <w:color w:val="000000"/>
          <w:sz w:val="21"/>
          <w:szCs w:val="21"/>
        </w:rPr>
      </w:pPr>
      <w:r>
        <w:rPr>
          <w:rFonts w:hint="eastAsia" w:ascii="宋体" w:hAnsi="Calibri"/>
          <w:bCs/>
          <w:color w:val="000000"/>
          <w:sz w:val="21"/>
          <w:szCs w:val="21"/>
        </w:rPr>
        <w:t>第三次补考不合格的检修人员进行重新更换。</w:t>
      </w:r>
      <w:bookmarkStart w:id="33" w:name="_Toc21810"/>
    </w:p>
    <w:p>
      <w:pPr>
        <w:rPr>
          <w:rFonts w:hint="eastAsia"/>
          <w:b/>
          <w:color w:val="000000"/>
          <w:sz w:val="21"/>
          <w:szCs w:val="21"/>
        </w:rPr>
      </w:pPr>
      <w:bookmarkStart w:id="34" w:name="_Toc23519"/>
      <w:r>
        <w:rPr>
          <w:rFonts w:hint="eastAsia"/>
          <w:b/>
          <w:color w:val="000000"/>
          <w:sz w:val="21"/>
          <w:szCs w:val="21"/>
        </w:rPr>
        <w:t>1</w:t>
      </w:r>
      <w:r>
        <w:rPr>
          <w:b/>
          <w:color w:val="000000"/>
          <w:sz w:val="21"/>
          <w:szCs w:val="21"/>
        </w:rPr>
        <w:t>1.7</w:t>
      </w:r>
      <w:r>
        <w:rPr>
          <w:rFonts w:hint="eastAsia"/>
          <w:b/>
          <w:color w:val="000000"/>
          <w:sz w:val="21"/>
          <w:szCs w:val="21"/>
        </w:rPr>
        <w:t>安全环保政策</w:t>
      </w:r>
      <w:bookmarkEnd w:id="33"/>
    </w:p>
    <w:bookmarkEnd w:id="34"/>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1．投标方必须和招标方签订《神华准能</w:t>
      </w:r>
      <w:r>
        <w:rPr>
          <w:rFonts w:hint="eastAsia" w:ascii="宋体" w:hAnsi="Calibri"/>
          <w:bCs/>
          <w:color w:val="000000"/>
          <w:sz w:val="21"/>
          <w:szCs w:val="21"/>
          <w:lang w:eastAsia="zh-CN"/>
        </w:rPr>
        <w:t>招标方</w:t>
      </w:r>
      <w:r>
        <w:rPr>
          <w:rFonts w:hint="eastAsia" w:ascii="宋体" w:hAnsi="Calibri"/>
          <w:bCs/>
          <w:color w:val="000000"/>
          <w:sz w:val="21"/>
          <w:szCs w:val="21"/>
        </w:rPr>
        <w:t>外委工程施工安全环保协议》并进行安全教育、考试，签订《神华准能</w:t>
      </w:r>
      <w:r>
        <w:rPr>
          <w:rFonts w:hint="eastAsia" w:ascii="宋体" w:hAnsi="Calibri"/>
          <w:bCs/>
          <w:color w:val="000000"/>
          <w:sz w:val="21"/>
          <w:szCs w:val="21"/>
          <w:lang w:eastAsia="zh-CN"/>
        </w:rPr>
        <w:t>招标方</w:t>
      </w:r>
      <w:r>
        <w:rPr>
          <w:rFonts w:hint="eastAsia" w:ascii="宋体" w:hAnsi="Calibri"/>
          <w:bCs/>
          <w:color w:val="000000"/>
          <w:sz w:val="21"/>
          <w:szCs w:val="21"/>
        </w:rPr>
        <w:t>外委工程施工安全环保协议》时应持有下列文件资料：</w:t>
      </w:r>
    </w:p>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1.1政府有关部门核发的营业执照、法人资格证书、组织机构代码证、税务登记证，到经营管理部审查备案；</w:t>
      </w:r>
    </w:p>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1.2施工所需的设备、工器具、安全防护措施、安全工器具、电动工器具及有害、个人防护用品、易燃易爆物品的清册按照招标方指定的模板进行提前填报并提供电子版；投标方自带的设备、工器具、安全防护措施、安全工器具、电动工器具、个人防护用品等，必须自检合格并自行贴有合格证。</w:t>
      </w:r>
    </w:p>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1.3施工人员体检证明（当地医院提供的体检证明材料）；</w:t>
      </w:r>
      <w:r>
        <w:rPr>
          <w:rFonts w:hint="eastAsia" w:ascii="宋体" w:hAnsi="Calibri"/>
          <w:bCs/>
          <w:color w:val="000000"/>
          <w:sz w:val="21"/>
          <w:szCs w:val="21"/>
        </w:rPr>
        <w:br w:type="textWrapping"/>
      </w:r>
      <w:r>
        <w:rPr>
          <w:rFonts w:ascii="宋体" w:hAnsi="Calibri"/>
          <w:bCs/>
          <w:color w:val="000000"/>
          <w:sz w:val="21"/>
          <w:szCs w:val="21"/>
        </w:rPr>
        <w:t>11.7.</w:t>
      </w:r>
      <w:r>
        <w:rPr>
          <w:rFonts w:hint="eastAsia" w:ascii="宋体" w:hAnsi="Calibri"/>
          <w:bCs/>
          <w:color w:val="000000"/>
          <w:sz w:val="21"/>
          <w:szCs w:val="21"/>
        </w:rPr>
        <w:t>1.4特种作业人员清单及相应证件。</w:t>
      </w:r>
    </w:p>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1.5所有人员的身份证（原件），必须年满18周岁，现场施工作业人员年龄不超过50周岁（管理人员及技术人员可以适当放宽，但必须提前告知招标方）；</w:t>
      </w:r>
    </w:p>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1.6如投标方法人代表不能到场签订《神华准能</w:t>
      </w:r>
      <w:r>
        <w:rPr>
          <w:rFonts w:hint="eastAsia" w:ascii="宋体" w:hAnsi="Calibri"/>
          <w:bCs/>
          <w:color w:val="000000"/>
          <w:sz w:val="21"/>
          <w:szCs w:val="21"/>
          <w:lang w:eastAsia="zh-CN"/>
        </w:rPr>
        <w:t>招标方</w:t>
      </w:r>
      <w:r>
        <w:rPr>
          <w:rFonts w:hint="eastAsia" w:ascii="宋体" w:hAnsi="Calibri"/>
          <w:bCs/>
          <w:color w:val="000000"/>
          <w:sz w:val="21"/>
          <w:szCs w:val="21"/>
        </w:rPr>
        <w:t>外委工程施工安全环保协议》，代表法人签订《神华准能</w:t>
      </w:r>
      <w:r>
        <w:rPr>
          <w:rFonts w:hint="eastAsia" w:ascii="宋体" w:hAnsi="Calibri"/>
          <w:bCs/>
          <w:color w:val="000000"/>
          <w:sz w:val="21"/>
          <w:szCs w:val="21"/>
          <w:lang w:eastAsia="zh-CN"/>
        </w:rPr>
        <w:t>招标方</w:t>
      </w:r>
      <w:r>
        <w:rPr>
          <w:rFonts w:hint="eastAsia" w:ascii="宋体" w:hAnsi="Calibri"/>
          <w:bCs/>
          <w:color w:val="000000"/>
          <w:sz w:val="21"/>
          <w:szCs w:val="21"/>
        </w:rPr>
        <w:t>外委工程施工安全环保协议》的负责人必须持有其法人代表亲自授予的法人委托书，并在签订《神华准能</w:t>
      </w:r>
      <w:r>
        <w:rPr>
          <w:rFonts w:hint="eastAsia" w:ascii="宋体" w:hAnsi="Calibri"/>
          <w:bCs/>
          <w:color w:val="000000"/>
          <w:sz w:val="21"/>
          <w:szCs w:val="21"/>
          <w:lang w:eastAsia="zh-CN"/>
        </w:rPr>
        <w:t>招标方</w:t>
      </w:r>
      <w:r>
        <w:rPr>
          <w:rFonts w:hint="eastAsia" w:ascii="宋体" w:hAnsi="Calibri"/>
          <w:bCs/>
          <w:color w:val="000000"/>
          <w:sz w:val="21"/>
          <w:szCs w:val="21"/>
        </w:rPr>
        <w:t>外委工程施工安全环保协议》时必须加盖合同专用章。</w:t>
      </w:r>
    </w:p>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1.7投标方法人代表亲自签字授权的现场安全员（20人以上（含20人）要指定现场专职安全员，20人以下要指定现场兼职安全员）委托书。</w:t>
      </w:r>
    </w:p>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1.8当招标方对投标方现场作业人员技能水平有要求时，投标方要携带要求人数相应等级的技能证明原件。</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2.现场安全管理</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2.1投标方必须坚决贯彻执行各级人民政府关于安全生产的一系列方针、政策、法规、条例和规定，必须采取一切必要措施和手段强化维修安全管理，提高安全维修水平，确定严格的安全维修秩序以保证现场人员和设备、设施在维修工作中的安全与健康。</w:t>
      </w:r>
    </w:p>
    <w:p>
      <w:pPr>
        <w:spacing w:line="360" w:lineRule="auto"/>
        <w:rPr>
          <w:rFonts w:hint="eastAsia" w:ascii="宋体" w:hAnsi="Calibri"/>
          <w:bCs/>
          <w:color w:val="000000"/>
          <w:sz w:val="21"/>
          <w:szCs w:val="21"/>
        </w:rPr>
      </w:pPr>
      <w:r>
        <w:rPr>
          <w:rFonts w:ascii="宋体" w:hAnsi="Calibri"/>
          <w:bCs/>
          <w:color w:val="000000"/>
          <w:sz w:val="21"/>
          <w:szCs w:val="21"/>
        </w:rPr>
        <w:t>11.7.</w:t>
      </w:r>
      <w:r>
        <w:rPr>
          <w:rFonts w:hint="eastAsia" w:ascii="宋体" w:hAnsi="Calibri"/>
          <w:bCs/>
          <w:color w:val="000000"/>
          <w:sz w:val="21"/>
          <w:szCs w:val="21"/>
        </w:rPr>
        <w:t>2.2投标方必须贯彻执行“安全第一、预防为主”的方针，严格执行国家电力公司《电业安全工作规程》、《安全生产工作规定》、《防止电力生产重大事故的二十五项重点要求》和</w:t>
      </w:r>
      <w:r>
        <w:rPr>
          <w:rFonts w:hint="eastAsia" w:ascii="宋体" w:hAnsi="Calibri"/>
          <w:bCs/>
          <w:color w:val="000000"/>
          <w:sz w:val="21"/>
          <w:szCs w:val="21"/>
          <w:lang w:eastAsia="zh-CN"/>
        </w:rPr>
        <w:t>招标方</w:t>
      </w:r>
      <w:r>
        <w:rPr>
          <w:rFonts w:hint="eastAsia" w:ascii="宋体" w:hAnsi="Calibri"/>
          <w:bCs/>
          <w:color w:val="000000"/>
          <w:sz w:val="21"/>
          <w:szCs w:val="21"/>
        </w:rPr>
        <w:t>有关安全工作的规定。</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2.3在</w:t>
      </w:r>
      <w:r>
        <w:rPr>
          <w:rFonts w:hint="eastAsia" w:ascii="宋体" w:hAnsi="Calibri"/>
          <w:color w:val="000000"/>
          <w:sz w:val="21"/>
          <w:szCs w:val="21"/>
          <w:lang w:eastAsia="zh-CN"/>
        </w:rPr>
        <w:t>招标方</w:t>
      </w:r>
      <w:r>
        <w:rPr>
          <w:rFonts w:hint="eastAsia" w:ascii="宋体" w:hAnsi="Calibri"/>
          <w:color w:val="000000"/>
          <w:sz w:val="21"/>
          <w:szCs w:val="21"/>
        </w:rPr>
        <w:t>工作的投标方行政一把手是本单位项目的安全第一责任人，必须亲自抓安全，亲自参加</w:t>
      </w:r>
      <w:r>
        <w:rPr>
          <w:rFonts w:hint="eastAsia" w:ascii="宋体" w:hAnsi="Calibri"/>
          <w:color w:val="000000"/>
          <w:sz w:val="21"/>
          <w:szCs w:val="21"/>
          <w:lang w:eastAsia="zh-CN"/>
        </w:rPr>
        <w:t>招标方</w:t>
      </w:r>
      <w:r>
        <w:rPr>
          <w:rFonts w:hint="eastAsia" w:ascii="宋体" w:hAnsi="Calibri"/>
          <w:color w:val="000000"/>
          <w:sz w:val="21"/>
          <w:szCs w:val="21"/>
        </w:rPr>
        <w:t>有关安全生产的各种会议，必须建立严密的安全监察网络和有效的安全保障体系。依据相关制度要求，投标方在现场必须配备专职或兼职安全员</w:t>
      </w:r>
      <w:r>
        <w:rPr>
          <w:rFonts w:hint="eastAsia" w:ascii="宋体" w:hAnsi="Calibri"/>
          <w:bCs/>
          <w:color w:val="000000"/>
          <w:sz w:val="21"/>
          <w:szCs w:val="21"/>
        </w:rPr>
        <w:t>（20人以上（含20人）要指定现场专职安全员，20人以下要指定现场兼职安全员）</w:t>
      </w:r>
      <w:r>
        <w:rPr>
          <w:rFonts w:hint="eastAsia" w:ascii="宋体" w:hAnsi="Calibri"/>
          <w:color w:val="000000"/>
          <w:sz w:val="21"/>
          <w:szCs w:val="21"/>
        </w:rPr>
        <w:t>。</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2.4投标方的安装工作票、动火票的工作负责人资格须经</w:t>
      </w:r>
      <w:r>
        <w:rPr>
          <w:rFonts w:hint="eastAsia" w:ascii="宋体" w:hAnsi="Calibri"/>
          <w:color w:val="000000"/>
          <w:sz w:val="21"/>
          <w:szCs w:val="21"/>
          <w:lang w:eastAsia="zh-CN"/>
        </w:rPr>
        <w:t>招标方</w:t>
      </w:r>
      <w:r>
        <w:rPr>
          <w:rFonts w:hint="eastAsia" w:ascii="宋体" w:hAnsi="Calibri"/>
          <w:color w:val="000000"/>
          <w:sz w:val="21"/>
          <w:szCs w:val="21"/>
        </w:rPr>
        <w:t>和投标方双方通过考试确认，工作票执行中的相关事项依据国家电力公司《电业安全工作规程》和</w:t>
      </w:r>
      <w:r>
        <w:rPr>
          <w:rFonts w:hint="eastAsia" w:ascii="宋体" w:hAnsi="Calibri"/>
          <w:color w:val="000000"/>
          <w:sz w:val="21"/>
          <w:szCs w:val="21"/>
          <w:lang w:eastAsia="zh-CN"/>
        </w:rPr>
        <w:t>招标方</w:t>
      </w:r>
      <w:r>
        <w:rPr>
          <w:rFonts w:hint="eastAsia" w:ascii="宋体" w:hAnsi="Calibri"/>
          <w:color w:val="000000"/>
          <w:sz w:val="21"/>
          <w:szCs w:val="21"/>
        </w:rPr>
        <w:t>有关工作票的相关规定执行。</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2.5投标方在本合同开始履行前，应按照</w:t>
      </w:r>
      <w:r>
        <w:rPr>
          <w:rFonts w:hint="eastAsia" w:ascii="宋体" w:hAnsi="Calibri"/>
          <w:color w:val="000000"/>
          <w:sz w:val="21"/>
          <w:szCs w:val="21"/>
          <w:lang w:eastAsia="zh-CN"/>
        </w:rPr>
        <w:t>招标方</w:t>
      </w:r>
      <w:r>
        <w:rPr>
          <w:rFonts w:hint="eastAsia" w:ascii="宋体" w:hAnsi="Calibri"/>
          <w:color w:val="000000"/>
          <w:sz w:val="21"/>
          <w:szCs w:val="21"/>
        </w:rPr>
        <w:t>要求制定出维修工作安全技术措施和防火防盗措施，经</w:t>
      </w:r>
      <w:r>
        <w:rPr>
          <w:rFonts w:hint="eastAsia" w:ascii="宋体" w:hAnsi="Calibri"/>
          <w:color w:val="000000"/>
          <w:sz w:val="21"/>
          <w:szCs w:val="21"/>
          <w:lang w:eastAsia="zh-CN"/>
        </w:rPr>
        <w:t>招标方</w:t>
      </w:r>
      <w:r>
        <w:rPr>
          <w:rFonts w:hint="eastAsia" w:ascii="宋体" w:hAnsi="Calibri"/>
          <w:color w:val="000000"/>
          <w:sz w:val="21"/>
          <w:szCs w:val="21"/>
        </w:rPr>
        <w:t>管理人员审核批准。</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2.6投标方在现场施工安装工作过程中，应接受</w:t>
      </w:r>
      <w:r>
        <w:rPr>
          <w:rFonts w:hint="eastAsia" w:ascii="宋体" w:hAnsi="Calibri"/>
          <w:color w:val="000000"/>
          <w:sz w:val="21"/>
          <w:szCs w:val="21"/>
          <w:lang w:eastAsia="zh-CN"/>
        </w:rPr>
        <w:t>招标方</w:t>
      </w:r>
      <w:r>
        <w:rPr>
          <w:rFonts w:hint="eastAsia" w:ascii="宋体" w:hAnsi="Calibri"/>
          <w:color w:val="000000"/>
          <w:sz w:val="21"/>
          <w:szCs w:val="21"/>
        </w:rPr>
        <w:t>管理人员的安全技术监督。</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2.7投标方员工在现场开工前，必须经过招标方三级安全教育（厂级、部门级、班组级）。</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2.8投标方员工在现场开工前，必须经过文件包考试合格后，方能进入现场工作。</w:t>
      </w:r>
    </w:p>
    <w:p>
      <w:pPr>
        <w:spacing w:line="360" w:lineRule="auto"/>
        <w:rPr>
          <w:rFonts w:hint="eastAsia" w:ascii="宋体" w:hAnsi="Calibri"/>
          <w:color w:val="000000"/>
          <w:sz w:val="21"/>
          <w:szCs w:val="21"/>
        </w:rPr>
      </w:pPr>
      <w:r>
        <w:rPr>
          <w:rFonts w:ascii="宋体" w:hAnsi="Calibri"/>
          <w:color w:val="000000"/>
          <w:sz w:val="21"/>
          <w:szCs w:val="21"/>
        </w:rPr>
        <w:t>11.7.</w:t>
      </w:r>
      <w:r>
        <w:rPr>
          <w:rFonts w:hint="eastAsia" w:ascii="宋体" w:hAnsi="Calibri"/>
          <w:color w:val="000000"/>
          <w:sz w:val="21"/>
          <w:szCs w:val="21"/>
        </w:rPr>
        <w:t>2.9投标方员工每日现场开工前，要开展安全交底活动，工作组成员要熟知工作中存在的风险，并严格按照招标方要求采取的安全措施执行。</w:t>
      </w:r>
    </w:p>
    <w:p>
      <w:pPr>
        <w:spacing w:line="360" w:lineRule="auto"/>
        <w:rPr>
          <w:rFonts w:hint="eastAsia" w:ascii="宋体" w:hAnsi="Calibri"/>
          <w:b/>
          <w:color w:val="000000"/>
          <w:sz w:val="21"/>
          <w:szCs w:val="21"/>
        </w:rPr>
      </w:pPr>
      <w:r>
        <w:rPr>
          <w:rFonts w:hint="eastAsia" w:ascii="宋体" w:hAnsi="Calibri"/>
          <w:b/>
          <w:color w:val="000000"/>
          <w:sz w:val="21"/>
          <w:szCs w:val="21"/>
        </w:rPr>
        <w:t>使用危险化学品清单：</w:t>
      </w:r>
    </w:p>
    <w:tbl>
      <w:tblPr>
        <w:tblStyle w:val="9"/>
        <w:tblW w:w="9889" w:type="dxa"/>
        <w:tblInd w:w="0" w:type="dxa"/>
        <w:tblLayout w:type="fixed"/>
        <w:tblCellMar>
          <w:top w:w="0" w:type="dxa"/>
          <w:left w:w="108" w:type="dxa"/>
          <w:bottom w:w="0" w:type="dxa"/>
          <w:right w:w="108" w:type="dxa"/>
        </w:tblCellMar>
      </w:tblPr>
      <w:tblGrid>
        <w:gridCol w:w="636"/>
        <w:gridCol w:w="1266"/>
        <w:gridCol w:w="636"/>
        <w:gridCol w:w="1056"/>
        <w:gridCol w:w="1056"/>
        <w:gridCol w:w="846"/>
        <w:gridCol w:w="1056"/>
        <w:gridCol w:w="1494"/>
        <w:gridCol w:w="1843"/>
      </w:tblGrid>
      <w:tr>
        <w:tblPrEx>
          <w:tblLayout w:type="fixed"/>
          <w:tblCellMar>
            <w:top w:w="0" w:type="dxa"/>
            <w:left w:w="108" w:type="dxa"/>
            <w:bottom w:w="0" w:type="dxa"/>
            <w:right w:w="108" w:type="dxa"/>
          </w:tblCellMar>
        </w:tblPrEx>
        <w:trPr>
          <w:trHeight w:val="270" w:hRule="atLeast"/>
        </w:trPr>
        <w:tc>
          <w:tcPr>
            <w:tcW w:w="636" w:type="dxa"/>
            <w:tcBorders>
              <w:top w:val="single" w:color="auto" w:sz="4" w:space="0"/>
              <w:left w:val="single" w:color="auto" w:sz="4" w:space="0"/>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序号</w:t>
            </w:r>
          </w:p>
        </w:tc>
        <w:tc>
          <w:tcPr>
            <w:tcW w:w="126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危化品名称</w:t>
            </w:r>
          </w:p>
        </w:tc>
        <w:tc>
          <w:tcPr>
            <w:tcW w:w="63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数量</w:t>
            </w:r>
          </w:p>
        </w:tc>
        <w:tc>
          <w:tcPr>
            <w:tcW w:w="105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存储方式</w:t>
            </w:r>
          </w:p>
        </w:tc>
        <w:tc>
          <w:tcPr>
            <w:tcW w:w="105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使用方式</w:t>
            </w:r>
          </w:p>
        </w:tc>
        <w:tc>
          <w:tcPr>
            <w:tcW w:w="84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报送人</w:t>
            </w:r>
          </w:p>
        </w:tc>
        <w:tc>
          <w:tcPr>
            <w:tcW w:w="105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报送日期</w:t>
            </w:r>
          </w:p>
        </w:tc>
        <w:tc>
          <w:tcPr>
            <w:tcW w:w="1494"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投标方名称</w:t>
            </w:r>
          </w:p>
        </w:tc>
        <w:tc>
          <w:tcPr>
            <w:tcW w:w="1843"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备注</w:t>
            </w:r>
          </w:p>
        </w:tc>
      </w:tr>
      <w:tr>
        <w:tblPrEx>
          <w:tblLayout w:type="fixed"/>
          <w:tblCellMar>
            <w:top w:w="0" w:type="dxa"/>
            <w:left w:w="108" w:type="dxa"/>
            <w:bottom w:w="0" w:type="dxa"/>
            <w:right w:w="108" w:type="dxa"/>
          </w:tblCellMar>
        </w:tblPrEx>
        <w:trPr>
          <w:trHeight w:val="270" w:hRule="atLeast"/>
        </w:trPr>
        <w:tc>
          <w:tcPr>
            <w:tcW w:w="63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1"/>
                <w:szCs w:val="21"/>
              </w:rPr>
            </w:pPr>
            <w:r>
              <w:rPr>
                <w:rFonts w:hint="eastAsia" w:ascii="宋体" w:hAnsi="宋体" w:cs="宋体"/>
                <w:color w:val="000000"/>
                <w:kern w:val="0"/>
                <w:sz w:val="21"/>
                <w:szCs w:val="21"/>
              </w:rPr>
              <w:t>1</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3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blPrEx>
          <w:tblLayout w:type="fixed"/>
          <w:tblCellMar>
            <w:top w:w="0" w:type="dxa"/>
            <w:left w:w="108" w:type="dxa"/>
            <w:bottom w:w="0" w:type="dxa"/>
            <w:right w:w="108" w:type="dxa"/>
          </w:tblCellMar>
        </w:tblPrEx>
        <w:trPr>
          <w:trHeight w:val="270" w:hRule="atLeast"/>
        </w:trPr>
        <w:tc>
          <w:tcPr>
            <w:tcW w:w="63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1"/>
                <w:szCs w:val="21"/>
              </w:rPr>
            </w:pPr>
            <w:r>
              <w:rPr>
                <w:rFonts w:hint="eastAsia" w:ascii="宋体" w:hAnsi="宋体" w:cs="宋体"/>
                <w:color w:val="000000"/>
                <w:kern w:val="0"/>
                <w:sz w:val="21"/>
                <w:szCs w:val="21"/>
              </w:rPr>
              <w:t>2</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3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blPrEx>
          <w:tblLayout w:type="fixed"/>
          <w:tblCellMar>
            <w:top w:w="0" w:type="dxa"/>
            <w:left w:w="108" w:type="dxa"/>
            <w:bottom w:w="0" w:type="dxa"/>
            <w:right w:w="108" w:type="dxa"/>
          </w:tblCellMar>
        </w:tblPrEx>
        <w:trPr>
          <w:trHeight w:val="270" w:hRule="atLeast"/>
        </w:trPr>
        <w:tc>
          <w:tcPr>
            <w:tcW w:w="63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1"/>
                <w:szCs w:val="21"/>
              </w:rPr>
            </w:pPr>
            <w:r>
              <w:rPr>
                <w:rFonts w:hint="eastAsia" w:ascii="宋体" w:hAnsi="宋体" w:cs="宋体"/>
                <w:color w:val="000000"/>
                <w:kern w:val="0"/>
                <w:sz w:val="21"/>
                <w:szCs w:val="21"/>
              </w:rPr>
              <w:t>…</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3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494"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84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bl>
    <w:p>
      <w:pPr>
        <w:spacing w:line="360" w:lineRule="auto"/>
        <w:rPr>
          <w:rFonts w:hint="eastAsia" w:ascii="宋体" w:hAnsi="Calibri"/>
          <w:b/>
          <w:color w:val="000000"/>
          <w:sz w:val="21"/>
          <w:szCs w:val="21"/>
        </w:rPr>
      </w:pPr>
      <w:r>
        <w:rPr>
          <w:rFonts w:hint="eastAsia" w:ascii="宋体" w:hAnsi="Calibri"/>
          <w:b/>
          <w:color w:val="000000"/>
          <w:sz w:val="21"/>
          <w:szCs w:val="21"/>
        </w:rPr>
        <w:t>劳动防护用品清单：</w:t>
      </w:r>
    </w:p>
    <w:tbl>
      <w:tblPr>
        <w:tblStyle w:val="9"/>
        <w:tblW w:w="9889" w:type="dxa"/>
        <w:tblInd w:w="0" w:type="dxa"/>
        <w:tblLayout w:type="fixed"/>
        <w:tblCellMar>
          <w:top w:w="0" w:type="dxa"/>
          <w:left w:w="108" w:type="dxa"/>
          <w:bottom w:w="0" w:type="dxa"/>
          <w:right w:w="108" w:type="dxa"/>
        </w:tblCellMar>
      </w:tblPr>
      <w:tblGrid>
        <w:gridCol w:w="656"/>
        <w:gridCol w:w="1896"/>
        <w:gridCol w:w="636"/>
        <w:gridCol w:w="426"/>
        <w:gridCol w:w="846"/>
        <w:gridCol w:w="846"/>
        <w:gridCol w:w="1056"/>
        <w:gridCol w:w="1266"/>
        <w:gridCol w:w="1266"/>
        <w:gridCol w:w="995"/>
      </w:tblGrid>
      <w:tr>
        <w:tblPrEx>
          <w:tblLayout w:type="fixed"/>
          <w:tblCellMar>
            <w:top w:w="0" w:type="dxa"/>
            <w:left w:w="108" w:type="dxa"/>
            <w:bottom w:w="0" w:type="dxa"/>
            <w:right w:w="108" w:type="dxa"/>
          </w:tblCellMar>
        </w:tblPrEx>
        <w:trPr>
          <w:trHeight w:val="600" w:hRule="atLeast"/>
        </w:trPr>
        <w:tc>
          <w:tcPr>
            <w:tcW w:w="656" w:type="dxa"/>
            <w:tcBorders>
              <w:top w:val="single" w:color="auto" w:sz="4" w:space="0"/>
              <w:left w:val="single" w:color="auto" w:sz="4" w:space="0"/>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序号</w:t>
            </w:r>
          </w:p>
        </w:tc>
        <w:tc>
          <w:tcPr>
            <w:tcW w:w="189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劳动防护用品名称</w:t>
            </w:r>
          </w:p>
        </w:tc>
        <w:tc>
          <w:tcPr>
            <w:tcW w:w="63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编号</w:t>
            </w:r>
          </w:p>
        </w:tc>
        <w:tc>
          <w:tcPr>
            <w:tcW w:w="42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检查情况</w:t>
            </w:r>
          </w:p>
        </w:tc>
        <w:tc>
          <w:tcPr>
            <w:tcW w:w="84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检查人</w:t>
            </w:r>
          </w:p>
        </w:tc>
        <w:tc>
          <w:tcPr>
            <w:tcW w:w="84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报送人</w:t>
            </w:r>
          </w:p>
        </w:tc>
        <w:tc>
          <w:tcPr>
            <w:tcW w:w="105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报送日期</w:t>
            </w:r>
          </w:p>
        </w:tc>
        <w:tc>
          <w:tcPr>
            <w:tcW w:w="126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投标方名称</w:t>
            </w:r>
          </w:p>
        </w:tc>
        <w:tc>
          <w:tcPr>
            <w:tcW w:w="1266"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招标方审核人</w:t>
            </w:r>
          </w:p>
        </w:tc>
        <w:tc>
          <w:tcPr>
            <w:tcW w:w="995" w:type="dxa"/>
            <w:tcBorders>
              <w:top w:val="single" w:color="auto" w:sz="4" w:space="0"/>
              <w:left w:val="nil"/>
              <w:bottom w:val="single" w:color="auto" w:sz="4" w:space="0"/>
              <w:right w:val="single" w:color="auto" w:sz="4" w:space="0"/>
            </w:tcBorders>
            <w:shd w:val="clear" w:color="000000" w:fill="D8D8D8"/>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备注</w:t>
            </w:r>
          </w:p>
        </w:tc>
      </w:tr>
      <w:tr>
        <w:tblPrEx>
          <w:tblLayout w:type="fixed"/>
          <w:tblCellMar>
            <w:top w:w="0" w:type="dxa"/>
            <w:left w:w="108" w:type="dxa"/>
            <w:bottom w:w="0" w:type="dxa"/>
            <w:right w:w="108" w:type="dxa"/>
          </w:tblCellMar>
        </w:tblPrEx>
        <w:trPr>
          <w:trHeight w:val="270" w:hRule="atLeast"/>
        </w:trPr>
        <w:tc>
          <w:tcPr>
            <w:tcW w:w="65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1"/>
                <w:szCs w:val="21"/>
              </w:rPr>
            </w:pPr>
            <w:r>
              <w:rPr>
                <w:rFonts w:hint="eastAsia" w:ascii="宋体" w:hAnsi="宋体" w:cs="宋体"/>
                <w:color w:val="000000"/>
                <w:kern w:val="0"/>
                <w:sz w:val="21"/>
                <w:szCs w:val="21"/>
              </w:rPr>
              <w:t>1</w:t>
            </w:r>
          </w:p>
        </w:tc>
        <w:tc>
          <w:tcPr>
            <w:tcW w:w="18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3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42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9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blPrEx>
          <w:tblLayout w:type="fixed"/>
          <w:tblCellMar>
            <w:top w:w="0" w:type="dxa"/>
            <w:left w:w="108" w:type="dxa"/>
            <w:bottom w:w="0" w:type="dxa"/>
            <w:right w:w="108" w:type="dxa"/>
          </w:tblCellMar>
        </w:tblPrEx>
        <w:trPr>
          <w:trHeight w:val="270" w:hRule="atLeast"/>
        </w:trPr>
        <w:tc>
          <w:tcPr>
            <w:tcW w:w="65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1"/>
                <w:szCs w:val="21"/>
              </w:rPr>
            </w:pPr>
            <w:r>
              <w:rPr>
                <w:rFonts w:hint="eastAsia" w:ascii="宋体" w:hAnsi="宋体" w:cs="宋体"/>
                <w:color w:val="000000"/>
                <w:kern w:val="0"/>
                <w:sz w:val="21"/>
                <w:szCs w:val="21"/>
              </w:rPr>
              <w:t>2</w:t>
            </w:r>
          </w:p>
        </w:tc>
        <w:tc>
          <w:tcPr>
            <w:tcW w:w="18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3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42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9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r>
        <w:tblPrEx>
          <w:tblLayout w:type="fixed"/>
          <w:tblCellMar>
            <w:top w:w="0" w:type="dxa"/>
            <w:left w:w="108" w:type="dxa"/>
            <w:bottom w:w="0" w:type="dxa"/>
            <w:right w:w="108" w:type="dxa"/>
          </w:tblCellMar>
        </w:tblPrEx>
        <w:trPr>
          <w:trHeight w:val="270" w:hRule="atLeast"/>
        </w:trPr>
        <w:tc>
          <w:tcPr>
            <w:tcW w:w="656"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1"/>
                <w:szCs w:val="21"/>
              </w:rPr>
            </w:pPr>
            <w:r>
              <w:rPr>
                <w:rFonts w:hint="eastAsia" w:ascii="宋体" w:hAnsi="宋体" w:cs="宋体"/>
                <w:color w:val="000000"/>
                <w:kern w:val="0"/>
                <w:sz w:val="21"/>
                <w:szCs w:val="21"/>
              </w:rPr>
              <w:t>……</w:t>
            </w:r>
          </w:p>
        </w:tc>
        <w:tc>
          <w:tcPr>
            <w:tcW w:w="189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63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42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84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0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126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c>
          <w:tcPr>
            <w:tcW w:w="99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1"/>
                <w:szCs w:val="21"/>
              </w:rPr>
            </w:pPr>
            <w:r>
              <w:rPr>
                <w:rFonts w:hint="eastAsia" w:ascii="宋体" w:hAnsi="宋体" w:cs="宋体"/>
                <w:color w:val="000000"/>
                <w:kern w:val="0"/>
                <w:sz w:val="21"/>
                <w:szCs w:val="21"/>
              </w:rPr>
              <w:t>　</w:t>
            </w:r>
          </w:p>
        </w:tc>
      </w:tr>
    </w:tbl>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35" w:name="_Toc3865546"/>
      <w:r>
        <w:rPr>
          <w:rFonts w:hint="eastAsia"/>
          <w:color w:val="000000"/>
          <w:sz w:val="21"/>
          <w:szCs w:val="21"/>
        </w:rPr>
        <w:t>12．其它</w:t>
      </w:r>
      <w:bookmarkEnd w:id="35"/>
    </w:p>
    <w:p>
      <w:pPr>
        <w:adjustRightInd w:val="0"/>
        <w:snapToGrid w:val="0"/>
        <w:spacing w:line="360" w:lineRule="auto"/>
        <w:rPr>
          <w:rFonts w:hint="eastAsia" w:ascii="宋体" w:hAnsi="宋体"/>
          <w:color w:val="000000"/>
          <w:sz w:val="21"/>
          <w:szCs w:val="21"/>
        </w:rPr>
      </w:pPr>
      <w:r>
        <w:rPr>
          <w:rFonts w:hint="eastAsia" w:ascii="宋体" w:hAnsi="宋体"/>
          <w:color w:val="000000"/>
          <w:sz w:val="21"/>
          <w:szCs w:val="21"/>
        </w:rPr>
        <w:t>12.1安装后应对设备进行补漆或改漆操作。油漆颜色按照招标方要求确定，满足并符合招标方现场要求。</w:t>
      </w:r>
    </w:p>
    <w:p>
      <w:pPr>
        <w:adjustRightInd w:val="0"/>
        <w:snapToGrid w:val="0"/>
        <w:spacing w:line="360" w:lineRule="auto"/>
        <w:rPr>
          <w:rFonts w:hint="eastAsia" w:ascii="宋体" w:hAnsi="宋体"/>
          <w:color w:val="000000"/>
          <w:sz w:val="21"/>
          <w:szCs w:val="21"/>
        </w:rPr>
      </w:pPr>
      <w:r>
        <w:rPr>
          <w:rFonts w:hint="eastAsia" w:ascii="宋体" w:hAnsi="宋体"/>
          <w:color w:val="000000"/>
          <w:sz w:val="21"/>
          <w:szCs w:val="21"/>
        </w:rPr>
        <w:t>12.2设备安装过程中因招标方空间、地下预埋物等原因增加的施工量、配件、土建测绘施工等一切原因产生费用由投标方负责，相关设计院所必须得到招标方认可；</w:t>
      </w:r>
    </w:p>
    <w:p>
      <w:pPr>
        <w:adjustRightInd w:val="0"/>
        <w:snapToGrid w:val="0"/>
        <w:spacing w:line="360" w:lineRule="auto"/>
        <w:rPr>
          <w:rFonts w:hint="eastAsia" w:ascii="宋体" w:hAnsi="宋体"/>
          <w:color w:val="000000"/>
          <w:sz w:val="21"/>
          <w:szCs w:val="21"/>
        </w:rPr>
      </w:pPr>
      <w:r>
        <w:rPr>
          <w:rFonts w:hint="eastAsia" w:ascii="宋体" w:hAnsi="宋体"/>
          <w:color w:val="000000"/>
          <w:sz w:val="21"/>
          <w:szCs w:val="21"/>
        </w:rPr>
        <w:t>12.3设备安装不允许影响到整体建筑框架，设备重量应在建筑的重载荷范围内。</w:t>
      </w:r>
    </w:p>
    <w:p>
      <w:pPr>
        <w:adjustRightInd w:val="0"/>
        <w:snapToGrid w:val="0"/>
        <w:spacing w:line="360" w:lineRule="auto"/>
        <w:rPr>
          <w:rFonts w:hint="eastAsia" w:ascii="宋体" w:hAnsi="宋体"/>
          <w:color w:val="000000"/>
          <w:sz w:val="21"/>
          <w:szCs w:val="21"/>
        </w:rPr>
      </w:pPr>
      <w:r>
        <w:rPr>
          <w:rFonts w:hint="eastAsia" w:ascii="宋体" w:hAnsi="宋体"/>
          <w:color w:val="000000"/>
          <w:sz w:val="21"/>
          <w:szCs w:val="21"/>
        </w:rPr>
        <w:t>12.4投标方所提供的调整颗粒度措施、采用设备选型、设备材质、设备品牌、现场施工方案等必须得到招标方认可。</w:t>
      </w:r>
    </w:p>
    <w:p>
      <w:pPr>
        <w:adjustRightInd w:val="0"/>
        <w:snapToGrid w:val="0"/>
        <w:spacing w:line="360" w:lineRule="auto"/>
        <w:rPr>
          <w:rFonts w:hint="eastAsia" w:ascii="宋体" w:hAnsi="宋体"/>
          <w:color w:val="000000"/>
          <w:sz w:val="21"/>
          <w:szCs w:val="21"/>
        </w:rPr>
      </w:pPr>
      <w:r>
        <w:rPr>
          <w:rFonts w:hint="eastAsia" w:ascii="宋体" w:hAnsi="宋体"/>
          <w:color w:val="000000"/>
          <w:sz w:val="21"/>
          <w:szCs w:val="21"/>
        </w:rPr>
        <w:t>12.</w:t>
      </w:r>
      <w:r>
        <w:rPr>
          <w:rFonts w:ascii="宋体" w:hAnsi="宋体"/>
          <w:color w:val="000000"/>
          <w:sz w:val="21"/>
          <w:szCs w:val="21"/>
        </w:rPr>
        <w:t>5</w:t>
      </w:r>
      <w:r>
        <w:rPr>
          <w:rFonts w:hint="eastAsia" w:ascii="宋体" w:hAnsi="宋体"/>
          <w:color w:val="000000"/>
          <w:sz w:val="21"/>
          <w:szCs w:val="21"/>
        </w:rPr>
        <w:t>设备机务、电气、热工部分均按照招标方现场要求进行治理和预埋。</w:t>
      </w:r>
    </w:p>
    <w:bookmarkEnd w:id="22"/>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36" w:name="_Toc3865547"/>
      <w:r>
        <w:rPr>
          <w:rFonts w:hint="eastAsia"/>
          <w:color w:val="000000"/>
          <w:sz w:val="21"/>
          <w:szCs w:val="21"/>
        </w:rPr>
        <w:t>13．结算及付款方式</w:t>
      </w:r>
      <w:bookmarkEnd w:id="36"/>
    </w:p>
    <w:p>
      <w:pPr>
        <w:spacing w:line="420" w:lineRule="auto"/>
        <w:rPr>
          <w:rFonts w:hint="eastAsia" w:ascii="宋体" w:hAnsi="宋体" w:cs="宋体"/>
          <w:color w:val="000000"/>
          <w:sz w:val="21"/>
          <w:szCs w:val="21"/>
        </w:rPr>
      </w:pPr>
      <w:r>
        <w:rPr>
          <w:rFonts w:ascii="宋体" w:hAnsi="宋体" w:cs="宋体"/>
          <w:color w:val="000000"/>
          <w:sz w:val="21"/>
          <w:szCs w:val="21"/>
        </w:rPr>
        <w:t>13</w:t>
      </w:r>
      <w:r>
        <w:rPr>
          <w:rFonts w:hint="eastAsia" w:ascii="宋体" w:hAnsi="宋体" w:cs="宋体"/>
          <w:color w:val="000000"/>
          <w:sz w:val="21"/>
          <w:szCs w:val="21"/>
        </w:rPr>
        <w:t>.1本工程价款为固定总价，执行期间不作任何调整，包括直接费、间接费、规费、安装调试费、人工费、劳动保险费、材料费、机械费、现场经费、设施设备费、安全文明施工费、人工调差、材料价差、机械价差、政策性调整、施工措施费、税费、各种风险费等所有费用。</w:t>
      </w:r>
    </w:p>
    <w:p>
      <w:pPr>
        <w:spacing w:line="420" w:lineRule="auto"/>
        <w:rPr>
          <w:rFonts w:hint="eastAsia" w:ascii="宋体" w:hAnsi="宋体" w:cs="宋体"/>
          <w:color w:val="000000"/>
          <w:sz w:val="21"/>
          <w:szCs w:val="21"/>
        </w:rPr>
      </w:pPr>
      <w:r>
        <w:rPr>
          <w:rFonts w:ascii="宋体" w:hAnsi="宋体" w:cs="宋体"/>
          <w:color w:val="000000"/>
          <w:sz w:val="21"/>
          <w:szCs w:val="21"/>
        </w:rPr>
        <w:t>13</w:t>
      </w:r>
      <w:r>
        <w:rPr>
          <w:rFonts w:hint="eastAsia" w:ascii="宋体" w:hAnsi="宋体" w:cs="宋体"/>
          <w:color w:val="000000"/>
          <w:sz w:val="21"/>
          <w:szCs w:val="21"/>
        </w:rPr>
        <w:t>.2 在投标方安装好一台筛分机设备后，对该设备试运行168小时。在168小时试运行期内若未达到招标方《技术协议》要求，即未通过验收。投标方在15日内完成对该设备的改造由此所产生的一切费用，均由投标方自行承担。</w:t>
      </w:r>
    </w:p>
    <w:p>
      <w:pPr>
        <w:spacing w:line="360" w:lineRule="auto"/>
        <w:jc w:val="left"/>
        <w:rPr>
          <w:rFonts w:hint="eastAsia" w:ascii="宋体" w:hAnsi="宋体" w:cs="宋体"/>
          <w:color w:val="000000"/>
          <w:sz w:val="21"/>
          <w:szCs w:val="21"/>
        </w:rPr>
      </w:pPr>
      <w:r>
        <w:rPr>
          <w:rFonts w:ascii="宋体" w:hAnsi="宋体" w:cs="宋体"/>
          <w:color w:val="000000"/>
          <w:sz w:val="21"/>
          <w:szCs w:val="21"/>
        </w:rPr>
        <w:t>13</w:t>
      </w:r>
      <w:r>
        <w:rPr>
          <w:rFonts w:hint="eastAsia" w:ascii="宋体" w:hAnsi="宋体" w:cs="宋体"/>
          <w:color w:val="000000"/>
          <w:sz w:val="21"/>
          <w:szCs w:val="21"/>
        </w:rPr>
        <w:t>.3安装好的一台设备验收合格后，招标方出具验收报告并支付给投标方合同费用的90%，剩余合同总费用的10%待质保期满并无任何问题后一次性付清。</w:t>
      </w:r>
    </w:p>
    <w:p>
      <w:pPr>
        <w:rPr>
          <w:rFonts w:ascii="Calibri" w:hAnsi="Calibri"/>
          <w:color w:val="000000"/>
          <w:sz w:val="21"/>
          <w:szCs w:val="21"/>
        </w:rPr>
      </w:pPr>
      <w:r>
        <w:rPr>
          <w:rFonts w:ascii="宋体" w:hAnsi="宋体" w:cs="宋体"/>
          <w:color w:val="000000"/>
          <w:sz w:val="21"/>
          <w:szCs w:val="21"/>
        </w:rPr>
        <w:t>13</w:t>
      </w:r>
      <w:r>
        <w:rPr>
          <w:rFonts w:hint="eastAsia" w:ascii="宋体" w:hAnsi="宋体" w:cs="宋体"/>
          <w:color w:val="000000"/>
          <w:sz w:val="21"/>
          <w:szCs w:val="21"/>
        </w:rPr>
        <w:t>.</w:t>
      </w:r>
      <w:r>
        <w:rPr>
          <w:rFonts w:ascii="宋体" w:hAnsi="宋体" w:cs="宋体"/>
          <w:color w:val="000000"/>
          <w:sz w:val="21"/>
          <w:szCs w:val="21"/>
        </w:rPr>
        <w:t>4</w:t>
      </w:r>
      <w:r>
        <w:rPr>
          <w:rFonts w:hint="eastAsia" w:ascii="宋体" w:hAnsi="宋体" w:cs="宋体"/>
          <w:color w:val="000000"/>
          <w:sz w:val="21"/>
          <w:szCs w:val="21"/>
        </w:rPr>
        <w:t xml:space="preserve"> 招标方可根据资金周转情况，部分或全部以银行承兑汇票方式结算。</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37" w:name="_Toc3865548"/>
      <w:r>
        <w:rPr>
          <w:rFonts w:hint="eastAsia"/>
          <w:color w:val="000000"/>
          <w:sz w:val="21"/>
          <w:szCs w:val="21"/>
        </w:rPr>
        <w:t>14．双方责任</w:t>
      </w:r>
      <w:bookmarkEnd w:id="37"/>
    </w:p>
    <w:p>
      <w:pPr>
        <w:widowControl/>
        <w:autoSpaceDE w:val="0"/>
        <w:autoSpaceDN w:val="0"/>
        <w:spacing w:line="360" w:lineRule="auto"/>
        <w:textAlignment w:val="bottom"/>
        <w:rPr>
          <w:rFonts w:hint="eastAsia" w:ascii="宋体" w:hAnsi="宋体" w:cs="宋体"/>
          <w:color w:val="000000"/>
          <w:sz w:val="21"/>
          <w:szCs w:val="21"/>
        </w:rPr>
      </w:pPr>
      <w:r>
        <w:rPr>
          <w:rFonts w:hint="eastAsia" w:ascii="宋体" w:hAnsi="宋体" w:cs="宋体"/>
          <w:color w:val="000000"/>
          <w:sz w:val="21"/>
          <w:szCs w:val="21"/>
        </w:rPr>
        <w:t>14.1投标方责任</w:t>
      </w:r>
    </w:p>
    <w:p>
      <w:pPr>
        <w:widowControl/>
        <w:autoSpaceDE w:val="0"/>
        <w:autoSpaceDN w:val="0"/>
        <w:spacing w:line="360" w:lineRule="auto"/>
        <w:textAlignment w:val="bottom"/>
        <w:rPr>
          <w:rFonts w:hint="eastAsia" w:ascii="宋体" w:hAnsi="宋体" w:cs="宋体"/>
          <w:color w:val="000000"/>
          <w:sz w:val="21"/>
          <w:szCs w:val="21"/>
        </w:rPr>
      </w:pPr>
      <w:r>
        <w:rPr>
          <w:rFonts w:hint="eastAsia" w:ascii="宋体" w:hAnsi="宋体" w:cs="宋体"/>
          <w:color w:val="000000"/>
          <w:sz w:val="21"/>
          <w:szCs w:val="21"/>
        </w:rPr>
        <w:t>14.1.1投标方必须按照本技术规范书要求，严格执行本技术规范书的各项条款。</w:t>
      </w:r>
    </w:p>
    <w:p>
      <w:pPr>
        <w:widowControl/>
        <w:autoSpaceDE w:val="0"/>
        <w:autoSpaceDN w:val="0"/>
        <w:spacing w:line="360" w:lineRule="auto"/>
        <w:textAlignment w:val="bottom"/>
        <w:rPr>
          <w:rFonts w:hint="eastAsia" w:ascii="宋体" w:hAnsi="宋体" w:cs="宋体"/>
          <w:color w:val="000000"/>
          <w:sz w:val="21"/>
          <w:szCs w:val="21"/>
        </w:rPr>
      </w:pPr>
      <w:r>
        <w:rPr>
          <w:rFonts w:hint="eastAsia" w:ascii="宋体" w:hAnsi="宋体" w:cs="宋体"/>
          <w:color w:val="000000"/>
          <w:sz w:val="21"/>
          <w:szCs w:val="21"/>
        </w:rPr>
        <w:t>14.1.2投标方不得以他人的名义投标；不得串通投标；不得以行贿手段谋取中标或者不如实提供有关情况、文件、证明等资料及以其他弄虚作假方式投标。</w:t>
      </w:r>
    </w:p>
    <w:p>
      <w:pPr>
        <w:spacing w:line="360" w:lineRule="auto"/>
        <w:rPr>
          <w:rFonts w:hint="eastAsia" w:ascii="宋体" w:hAnsi="宋体" w:cs="宋体"/>
          <w:color w:val="000000"/>
          <w:sz w:val="21"/>
          <w:szCs w:val="21"/>
        </w:rPr>
      </w:pPr>
      <w:r>
        <w:rPr>
          <w:rFonts w:hint="eastAsia" w:ascii="宋体" w:hAnsi="宋体" w:cs="宋体"/>
          <w:color w:val="000000"/>
          <w:sz w:val="21"/>
          <w:szCs w:val="21"/>
        </w:rPr>
        <w:t>14.1.3遵守招标方有关部门对厂内交通、环境保护和安全生产等管理规定，按规定办理有关手续。</w:t>
      </w:r>
    </w:p>
    <w:p>
      <w:pPr>
        <w:spacing w:line="360" w:lineRule="auto"/>
        <w:rPr>
          <w:rFonts w:hint="eastAsia" w:ascii="宋体" w:hAnsi="宋体" w:cs="宋体"/>
          <w:color w:val="000000"/>
          <w:sz w:val="21"/>
          <w:szCs w:val="21"/>
        </w:rPr>
      </w:pPr>
      <w:r>
        <w:rPr>
          <w:rFonts w:hint="eastAsia" w:ascii="宋体" w:hAnsi="宋体" w:cs="宋体"/>
          <w:color w:val="000000"/>
          <w:sz w:val="21"/>
          <w:szCs w:val="21"/>
        </w:rPr>
        <w:t>14.1.4施工前，投标方向招标方提交特殊工种人员的相关证件。</w:t>
      </w:r>
    </w:p>
    <w:p>
      <w:pPr>
        <w:spacing w:line="360" w:lineRule="auto"/>
        <w:rPr>
          <w:rFonts w:hint="eastAsia" w:ascii="宋体" w:hAnsi="宋体" w:cs="宋体"/>
          <w:color w:val="000000"/>
          <w:sz w:val="21"/>
          <w:szCs w:val="21"/>
        </w:rPr>
      </w:pPr>
      <w:r>
        <w:rPr>
          <w:rFonts w:hint="eastAsia" w:ascii="宋体" w:hAnsi="宋体" w:cs="宋体"/>
          <w:color w:val="000000"/>
          <w:sz w:val="21"/>
          <w:szCs w:val="21"/>
        </w:rPr>
        <w:t>14.1.5根据招标方提供的资料及现场实际情况进行设计施工。</w:t>
      </w:r>
    </w:p>
    <w:p>
      <w:pPr>
        <w:spacing w:line="360" w:lineRule="auto"/>
        <w:rPr>
          <w:rFonts w:hint="eastAsia" w:ascii="宋体" w:hAnsi="宋体" w:cs="宋体"/>
          <w:color w:val="000000"/>
          <w:sz w:val="21"/>
          <w:szCs w:val="21"/>
        </w:rPr>
      </w:pPr>
      <w:r>
        <w:rPr>
          <w:rFonts w:hint="eastAsia" w:ascii="宋体" w:hAnsi="宋体" w:cs="宋体"/>
          <w:color w:val="000000"/>
          <w:sz w:val="21"/>
          <w:szCs w:val="21"/>
        </w:rPr>
        <w:t>14.1.6 投标方保证所提供的技术和备件是成熟的、可靠的。</w:t>
      </w:r>
    </w:p>
    <w:p>
      <w:pPr>
        <w:spacing w:line="360" w:lineRule="auto"/>
        <w:rPr>
          <w:rFonts w:hint="eastAsia" w:ascii="宋体" w:hAnsi="宋体" w:cs="宋体"/>
          <w:color w:val="000000"/>
          <w:sz w:val="21"/>
          <w:szCs w:val="21"/>
        </w:rPr>
      </w:pPr>
      <w:r>
        <w:rPr>
          <w:rFonts w:hint="eastAsia" w:ascii="宋体" w:hAnsi="宋体" w:cs="宋体"/>
          <w:color w:val="000000"/>
          <w:sz w:val="21"/>
          <w:szCs w:val="21"/>
        </w:rPr>
        <w:t>14.1.7投标方对所提供的产品及设备质量负责。</w:t>
      </w:r>
    </w:p>
    <w:p>
      <w:pPr>
        <w:spacing w:line="360" w:lineRule="auto"/>
        <w:rPr>
          <w:rFonts w:hint="eastAsia" w:ascii="宋体" w:hAnsi="宋体" w:cs="宋体"/>
          <w:color w:val="000000"/>
          <w:sz w:val="21"/>
          <w:szCs w:val="21"/>
        </w:rPr>
      </w:pPr>
      <w:r>
        <w:rPr>
          <w:rFonts w:hint="eastAsia" w:ascii="宋体" w:hAnsi="宋体" w:cs="宋体"/>
          <w:color w:val="000000"/>
          <w:sz w:val="21"/>
          <w:szCs w:val="21"/>
        </w:rPr>
        <w:t>14.1.8投标方对施工的安全、质量、工期全过程负责。</w:t>
      </w:r>
    </w:p>
    <w:p>
      <w:pPr>
        <w:widowControl/>
        <w:autoSpaceDE w:val="0"/>
        <w:autoSpaceDN w:val="0"/>
        <w:spacing w:line="360" w:lineRule="auto"/>
        <w:textAlignment w:val="bottom"/>
        <w:rPr>
          <w:rFonts w:hint="eastAsia" w:ascii="宋体" w:hAnsi="宋体" w:cs="宋体"/>
          <w:color w:val="000000"/>
          <w:sz w:val="21"/>
          <w:szCs w:val="21"/>
        </w:rPr>
      </w:pPr>
      <w:r>
        <w:rPr>
          <w:rFonts w:hint="eastAsia" w:ascii="宋体" w:hAnsi="宋体" w:cs="宋体"/>
          <w:color w:val="000000"/>
          <w:sz w:val="21"/>
          <w:szCs w:val="21"/>
        </w:rPr>
        <w:t>14.2招标方责任</w:t>
      </w:r>
    </w:p>
    <w:p>
      <w:pPr>
        <w:widowControl/>
        <w:autoSpaceDE w:val="0"/>
        <w:autoSpaceDN w:val="0"/>
        <w:spacing w:line="360" w:lineRule="auto"/>
        <w:textAlignment w:val="bottom"/>
        <w:rPr>
          <w:rFonts w:hint="eastAsia" w:ascii="宋体" w:hAnsi="宋体" w:cs="宋体"/>
          <w:color w:val="000000"/>
          <w:sz w:val="21"/>
          <w:szCs w:val="21"/>
        </w:rPr>
      </w:pPr>
      <w:r>
        <w:rPr>
          <w:rFonts w:hint="eastAsia" w:ascii="宋体" w:hAnsi="宋体" w:cs="宋体"/>
          <w:color w:val="000000"/>
          <w:sz w:val="21"/>
          <w:szCs w:val="21"/>
        </w:rPr>
        <w:t>14.2.1招标方负责投标方的资质审核和安全监督，并提供现场施工条件。</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38" w:name="_Toc3865549"/>
      <w:r>
        <w:rPr>
          <w:rFonts w:hint="eastAsia"/>
          <w:color w:val="000000"/>
          <w:sz w:val="21"/>
          <w:szCs w:val="21"/>
        </w:rPr>
        <w:t>15．报价要求</w:t>
      </w:r>
      <w:bookmarkEnd w:id="38"/>
    </w:p>
    <w:p>
      <w:pPr>
        <w:spacing w:line="360" w:lineRule="auto"/>
        <w:jc w:val="left"/>
        <w:rPr>
          <w:rFonts w:hint="eastAsia" w:ascii="宋体" w:hAnsi="宋体" w:cs="宋体"/>
          <w:color w:val="000000"/>
          <w:sz w:val="21"/>
          <w:szCs w:val="21"/>
        </w:rPr>
      </w:pPr>
      <w:r>
        <w:rPr>
          <w:rFonts w:ascii="宋体" w:hAnsi="宋体" w:cs="宋体"/>
          <w:color w:val="000000"/>
          <w:sz w:val="21"/>
          <w:szCs w:val="21"/>
        </w:rPr>
        <w:t>15</w:t>
      </w:r>
      <w:r>
        <w:rPr>
          <w:rFonts w:hint="eastAsia" w:ascii="宋体" w:hAnsi="宋体" w:cs="宋体"/>
          <w:color w:val="000000"/>
          <w:sz w:val="21"/>
          <w:szCs w:val="21"/>
        </w:rPr>
        <w:t>.1．报价说明：报价表中的报价总金额为完成本招标文件中规定的全部工作内容的费用。没有填写费用的项目，将被认为此项费用己包含在报价总金额中。</w:t>
      </w:r>
    </w:p>
    <w:p>
      <w:pPr>
        <w:spacing w:line="360" w:lineRule="auto"/>
        <w:ind w:firstLine="210" w:firstLineChars="100"/>
        <w:jc w:val="left"/>
        <w:rPr>
          <w:rFonts w:hint="eastAsia" w:ascii="宋体" w:hAnsi="宋体"/>
          <w:color w:val="000000"/>
          <w:sz w:val="21"/>
          <w:szCs w:val="21"/>
        </w:rPr>
      </w:pPr>
      <w:r>
        <w:rPr>
          <w:rFonts w:ascii="宋体" w:hAnsi="宋体" w:cs="宋体"/>
          <w:color w:val="000000"/>
          <w:sz w:val="21"/>
          <w:szCs w:val="21"/>
        </w:rPr>
        <w:t>15</w:t>
      </w:r>
      <w:r>
        <w:rPr>
          <w:rFonts w:hint="eastAsia" w:ascii="宋体" w:hAnsi="宋体" w:cs="宋体"/>
          <w:color w:val="000000"/>
          <w:sz w:val="21"/>
          <w:szCs w:val="21"/>
        </w:rPr>
        <w:t>.2．报价表：投标单位根据本招标文件的内容及要求，作出以下内容的详细预算书（测算过程），最后形成如下汇总表：</w:t>
      </w:r>
    </w:p>
    <w:p>
      <w:pPr>
        <w:spacing w:line="360" w:lineRule="auto"/>
        <w:jc w:val="center"/>
        <w:rPr>
          <w:rFonts w:hint="eastAsia" w:ascii="宋体" w:hAnsi="宋体" w:cs="宋体"/>
          <w:color w:val="000000"/>
          <w:sz w:val="21"/>
          <w:szCs w:val="21"/>
        </w:rPr>
      </w:pPr>
      <w:r>
        <w:rPr>
          <w:rFonts w:hint="eastAsia" w:ascii="宋体" w:hAnsi="宋体"/>
          <w:color w:val="000000"/>
          <w:sz w:val="21"/>
          <w:szCs w:val="21"/>
        </w:rPr>
        <w:t>筛分布料器</w:t>
      </w:r>
      <w:r>
        <w:rPr>
          <w:rFonts w:hint="eastAsia" w:ascii="宋体" w:hAnsi="宋体" w:cs="宋体"/>
          <w:color w:val="000000"/>
          <w:sz w:val="21"/>
          <w:szCs w:val="21"/>
        </w:rPr>
        <w:t>报价汇总表</w:t>
      </w:r>
    </w:p>
    <w:tbl>
      <w:tblPr>
        <w:tblStyle w:val="9"/>
        <w:tblW w:w="88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1258"/>
        <w:gridCol w:w="1311"/>
        <w:gridCol w:w="2534"/>
        <w:gridCol w:w="1684"/>
        <w:gridCol w:w="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1314" w:type="dxa"/>
            <w:vAlign w:val="top"/>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 xml:space="preserve">            </w:t>
            </w:r>
            <w:r>
              <w:rPr>
                <w:rFonts w:hint="eastAsia" w:ascii="宋体" w:hAnsi="宋体" w:cs="宋体"/>
                <w:color w:val="000000"/>
                <w:sz w:val="21"/>
                <w:szCs w:val="21"/>
              </w:rPr>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0</wp:posOffset>
                      </wp:positionV>
                      <wp:extent cx="838200" cy="639445"/>
                      <wp:effectExtent l="3175" t="3810" r="12065" b="12065"/>
                      <wp:wrapNone/>
                      <wp:docPr id="6" name="直接连接符 6"/>
                      <wp:cNvGraphicFramePr/>
                      <a:graphic xmlns:a="http://schemas.openxmlformats.org/drawingml/2006/main">
                        <a:graphicData uri="http://schemas.microsoft.com/office/word/2010/wordprocessingShape">
                          <wps:wsp>
                            <wps:cNvCnPr/>
                            <wps:spPr>
                              <a:xfrm>
                                <a:off x="0" y="0"/>
                                <a:ext cx="838200" cy="639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65pt;margin-top:0pt;height:50.35pt;width:66pt;z-index:251659264;mso-width-relative:page;mso-height-relative:page;" filled="f" stroked="t" coordsize="21600,21600" o:gfxdata="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bbegfVAAAABwEAAA8AAAAA&#10;AAAAAQAgAAAAIgAAAGRycy9kb3ducmV2LnhtbFBLAQIUABQAAAAIAIdO4kAkmaU83gEAAJoDAAAO&#10;AAAAAAAAAAEAIAAAACQBAABkcnMvZTJvRG9jLnhtbFBLBQYAAAAABgAGAFkBAAB0BQAAAAA=&#10;">
                      <v:fill on="f" focussize="0,0"/>
                      <v:stroke color="#000000" joinstyle="round"/>
                      <v:imagedata o:title=""/>
                      <o:lock v:ext="edit" aspectratio="f"/>
                    </v:line>
                  </w:pict>
                </mc:Fallback>
              </mc:AlternateContent>
            </w:r>
            <w:r>
              <w:rPr>
                <w:rFonts w:hint="eastAsia" w:ascii="宋体" w:hAnsi="宋体" w:cs="宋体"/>
                <w:color w:val="000000"/>
                <w:sz w:val="21"/>
                <w:szCs w:val="21"/>
              </w:rPr>
              <w:t xml:space="preserve">    项目</w:t>
            </w:r>
          </w:p>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报价</w:t>
            </w:r>
          </w:p>
        </w:tc>
        <w:tc>
          <w:tcPr>
            <w:tcW w:w="1258"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设备费用</w:t>
            </w:r>
          </w:p>
        </w:tc>
        <w:tc>
          <w:tcPr>
            <w:tcW w:w="1311"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人工费</w:t>
            </w:r>
          </w:p>
        </w:tc>
        <w:tc>
          <w:tcPr>
            <w:tcW w:w="2534"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常用工器具、检测仪器、量具的使用费、消耗性材料费</w:t>
            </w:r>
          </w:p>
        </w:tc>
        <w:tc>
          <w:tcPr>
            <w:tcW w:w="1684"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管理费及利润</w:t>
            </w:r>
          </w:p>
        </w:tc>
        <w:tc>
          <w:tcPr>
            <w:tcW w:w="726" w:type="dxa"/>
            <w:vAlign w:val="center"/>
          </w:tcPr>
          <w:p>
            <w:pPr>
              <w:spacing w:line="360" w:lineRule="auto"/>
              <w:jc w:val="left"/>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14" w:type="dxa"/>
            <w:vAlign w:val="top"/>
          </w:tcPr>
          <w:p>
            <w:pPr>
              <w:spacing w:line="360" w:lineRule="auto"/>
              <w:jc w:val="left"/>
              <w:rPr>
                <w:rFonts w:hint="eastAsia" w:ascii="宋体" w:hAnsi="宋体" w:cs="宋体"/>
                <w:color w:val="000000"/>
                <w:sz w:val="21"/>
                <w:szCs w:val="21"/>
              </w:rPr>
            </w:pPr>
          </w:p>
        </w:tc>
        <w:tc>
          <w:tcPr>
            <w:tcW w:w="1258" w:type="dxa"/>
            <w:vAlign w:val="top"/>
          </w:tcPr>
          <w:p>
            <w:pPr>
              <w:spacing w:line="360" w:lineRule="auto"/>
              <w:jc w:val="left"/>
              <w:rPr>
                <w:rFonts w:hint="eastAsia" w:ascii="宋体" w:hAnsi="宋体" w:cs="宋体"/>
                <w:color w:val="000000"/>
                <w:sz w:val="21"/>
                <w:szCs w:val="21"/>
              </w:rPr>
            </w:pPr>
          </w:p>
        </w:tc>
        <w:tc>
          <w:tcPr>
            <w:tcW w:w="1311" w:type="dxa"/>
            <w:vAlign w:val="top"/>
          </w:tcPr>
          <w:p>
            <w:pPr>
              <w:spacing w:line="360" w:lineRule="auto"/>
              <w:jc w:val="left"/>
              <w:rPr>
                <w:rFonts w:hint="eastAsia" w:ascii="宋体" w:hAnsi="宋体" w:cs="宋体"/>
                <w:color w:val="000000"/>
                <w:sz w:val="21"/>
                <w:szCs w:val="21"/>
              </w:rPr>
            </w:pPr>
          </w:p>
        </w:tc>
        <w:tc>
          <w:tcPr>
            <w:tcW w:w="2534" w:type="dxa"/>
            <w:vAlign w:val="top"/>
          </w:tcPr>
          <w:p>
            <w:pPr>
              <w:spacing w:line="360" w:lineRule="auto"/>
              <w:jc w:val="left"/>
              <w:rPr>
                <w:rFonts w:hint="eastAsia" w:ascii="宋体" w:hAnsi="宋体" w:cs="宋体"/>
                <w:color w:val="000000"/>
                <w:sz w:val="21"/>
                <w:szCs w:val="21"/>
              </w:rPr>
            </w:pPr>
          </w:p>
        </w:tc>
        <w:tc>
          <w:tcPr>
            <w:tcW w:w="1684" w:type="dxa"/>
            <w:vAlign w:val="top"/>
          </w:tcPr>
          <w:p>
            <w:pPr>
              <w:spacing w:line="360" w:lineRule="auto"/>
              <w:jc w:val="left"/>
              <w:rPr>
                <w:rFonts w:hint="eastAsia" w:ascii="宋体" w:hAnsi="宋体" w:cs="宋体"/>
                <w:color w:val="000000"/>
                <w:sz w:val="21"/>
                <w:szCs w:val="21"/>
              </w:rPr>
            </w:pPr>
          </w:p>
        </w:tc>
        <w:tc>
          <w:tcPr>
            <w:tcW w:w="726" w:type="dxa"/>
            <w:vAlign w:val="top"/>
          </w:tcPr>
          <w:p>
            <w:pPr>
              <w:spacing w:line="360" w:lineRule="auto"/>
              <w:jc w:val="left"/>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14" w:type="dxa"/>
            <w:vAlign w:val="top"/>
          </w:tcPr>
          <w:p>
            <w:pPr>
              <w:spacing w:line="360" w:lineRule="auto"/>
              <w:jc w:val="left"/>
              <w:rPr>
                <w:rFonts w:hint="eastAsia" w:ascii="宋体" w:hAnsi="宋体" w:cs="宋体"/>
                <w:color w:val="000000"/>
                <w:sz w:val="21"/>
                <w:szCs w:val="21"/>
              </w:rPr>
            </w:pPr>
          </w:p>
        </w:tc>
        <w:tc>
          <w:tcPr>
            <w:tcW w:w="1258" w:type="dxa"/>
            <w:vAlign w:val="top"/>
          </w:tcPr>
          <w:p>
            <w:pPr>
              <w:spacing w:line="360" w:lineRule="auto"/>
              <w:jc w:val="left"/>
              <w:rPr>
                <w:rFonts w:hint="eastAsia" w:ascii="宋体" w:hAnsi="宋体" w:cs="宋体"/>
                <w:color w:val="000000"/>
                <w:sz w:val="21"/>
                <w:szCs w:val="21"/>
              </w:rPr>
            </w:pPr>
          </w:p>
        </w:tc>
        <w:tc>
          <w:tcPr>
            <w:tcW w:w="1311" w:type="dxa"/>
            <w:vAlign w:val="top"/>
          </w:tcPr>
          <w:p>
            <w:pPr>
              <w:spacing w:line="360" w:lineRule="auto"/>
              <w:jc w:val="left"/>
              <w:rPr>
                <w:rFonts w:hint="eastAsia" w:ascii="宋体" w:hAnsi="宋体" w:cs="宋体"/>
                <w:color w:val="000000"/>
                <w:sz w:val="21"/>
                <w:szCs w:val="21"/>
              </w:rPr>
            </w:pPr>
          </w:p>
        </w:tc>
        <w:tc>
          <w:tcPr>
            <w:tcW w:w="2534" w:type="dxa"/>
            <w:vAlign w:val="top"/>
          </w:tcPr>
          <w:p>
            <w:pPr>
              <w:spacing w:line="360" w:lineRule="auto"/>
              <w:jc w:val="left"/>
              <w:rPr>
                <w:rFonts w:hint="eastAsia" w:ascii="宋体" w:hAnsi="宋体" w:cs="宋体"/>
                <w:color w:val="000000"/>
                <w:sz w:val="21"/>
                <w:szCs w:val="21"/>
              </w:rPr>
            </w:pPr>
          </w:p>
        </w:tc>
        <w:tc>
          <w:tcPr>
            <w:tcW w:w="1684" w:type="dxa"/>
            <w:vAlign w:val="top"/>
          </w:tcPr>
          <w:p>
            <w:pPr>
              <w:spacing w:line="360" w:lineRule="auto"/>
              <w:jc w:val="left"/>
              <w:rPr>
                <w:rFonts w:hint="eastAsia" w:ascii="宋体" w:hAnsi="宋体" w:cs="宋体"/>
                <w:color w:val="000000"/>
                <w:sz w:val="21"/>
                <w:szCs w:val="21"/>
              </w:rPr>
            </w:pPr>
          </w:p>
        </w:tc>
        <w:tc>
          <w:tcPr>
            <w:tcW w:w="726" w:type="dxa"/>
            <w:vAlign w:val="top"/>
          </w:tcPr>
          <w:p>
            <w:pPr>
              <w:spacing w:line="360" w:lineRule="auto"/>
              <w:jc w:val="left"/>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314" w:type="dxa"/>
            <w:vAlign w:val="top"/>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合计</w:t>
            </w:r>
          </w:p>
        </w:tc>
        <w:tc>
          <w:tcPr>
            <w:tcW w:w="1258" w:type="dxa"/>
            <w:vAlign w:val="top"/>
          </w:tcPr>
          <w:p>
            <w:pPr>
              <w:spacing w:line="360" w:lineRule="auto"/>
              <w:jc w:val="left"/>
              <w:rPr>
                <w:rFonts w:hint="eastAsia" w:ascii="宋体" w:hAnsi="宋体" w:cs="宋体"/>
                <w:color w:val="000000"/>
                <w:sz w:val="21"/>
                <w:szCs w:val="21"/>
              </w:rPr>
            </w:pPr>
          </w:p>
        </w:tc>
        <w:tc>
          <w:tcPr>
            <w:tcW w:w="1311" w:type="dxa"/>
            <w:vAlign w:val="top"/>
          </w:tcPr>
          <w:p>
            <w:pPr>
              <w:spacing w:line="360" w:lineRule="auto"/>
              <w:jc w:val="left"/>
              <w:rPr>
                <w:rFonts w:hint="eastAsia" w:ascii="宋体" w:hAnsi="宋体" w:cs="宋体"/>
                <w:color w:val="000000"/>
                <w:sz w:val="21"/>
                <w:szCs w:val="21"/>
              </w:rPr>
            </w:pPr>
          </w:p>
        </w:tc>
        <w:tc>
          <w:tcPr>
            <w:tcW w:w="2534" w:type="dxa"/>
            <w:vAlign w:val="top"/>
          </w:tcPr>
          <w:p>
            <w:pPr>
              <w:spacing w:line="360" w:lineRule="auto"/>
              <w:jc w:val="left"/>
              <w:rPr>
                <w:rFonts w:hint="eastAsia" w:ascii="宋体" w:hAnsi="宋体" w:cs="宋体"/>
                <w:color w:val="000000"/>
                <w:sz w:val="21"/>
                <w:szCs w:val="21"/>
              </w:rPr>
            </w:pPr>
          </w:p>
        </w:tc>
        <w:tc>
          <w:tcPr>
            <w:tcW w:w="1684" w:type="dxa"/>
            <w:vAlign w:val="top"/>
          </w:tcPr>
          <w:p>
            <w:pPr>
              <w:spacing w:line="360" w:lineRule="auto"/>
              <w:jc w:val="left"/>
              <w:rPr>
                <w:rFonts w:hint="eastAsia" w:ascii="宋体" w:hAnsi="宋体" w:cs="宋体"/>
                <w:color w:val="000000"/>
                <w:sz w:val="21"/>
                <w:szCs w:val="21"/>
              </w:rPr>
            </w:pPr>
          </w:p>
        </w:tc>
        <w:tc>
          <w:tcPr>
            <w:tcW w:w="726" w:type="dxa"/>
            <w:vAlign w:val="top"/>
          </w:tcPr>
          <w:p>
            <w:pPr>
              <w:spacing w:line="360" w:lineRule="auto"/>
              <w:jc w:val="left"/>
              <w:rPr>
                <w:rFonts w:hint="eastAsia" w:ascii="宋体"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50" w:hRule="atLeast"/>
          <w:jc w:val="center"/>
        </w:trPr>
        <w:tc>
          <w:tcPr>
            <w:tcW w:w="1314" w:type="dxa"/>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报价</w:t>
            </w:r>
          </w:p>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总金额</w:t>
            </w:r>
          </w:p>
        </w:tc>
        <w:tc>
          <w:tcPr>
            <w:tcW w:w="7513" w:type="dxa"/>
            <w:gridSpan w:val="5"/>
            <w:vAlign w:val="center"/>
          </w:tcPr>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                         (总报价含</w:t>
            </w:r>
            <w:r>
              <w:rPr>
                <w:rFonts w:ascii="宋体" w:hAnsi="宋体" w:cs="宋体"/>
                <w:color w:val="000000"/>
                <w:sz w:val="21"/>
                <w:szCs w:val="21"/>
              </w:rPr>
              <w:t xml:space="preserve">   </w:t>
            </w:r>
            <w:r>
              <w:rPr>
                <w:rFonts w:hint="eastAsia" w:ascii="宋体" w:hAnsi="宋体" w:cs="宋体"/>
                <w:color w:val="000000"/>
                <w:sz w:val="21"/>
                <w:szCs w:val="21"/>
              </w:rPr>
              <w:t>增值税金)。</w:t>
            </w:r>
          </w:p>
        </w:tc>
      </w:tr>
    </w:tbl>
    <w:p>
      <w:pPr>
        <w:spacing w:line="360" w:lineRule="auto"/>
        <w:jc w:val="left"/>
        <w:rPr>
          <w:rFonts w:ascii="宋体" w:hAnsi="宋体" w:cs="宋体"/>
          <w:color w:val="000000"/>
          <w:sz w:val="21"/>
          <w:szCs w:val="21"/>
        </w:rPr>
      </w:pPr>
    </w:p>
    <w:p>
      <w:pPr>
        <w:spacing w:line="360" w:lineRule="auto"/>
        <w:jc w:val="left"/>
        <w:rPr>
          <w:rFonts w:hint="eastAsia" w:ascii="宋体" w:hAnsi="宋体" w:cs="宋体"/>
          <w:color w:val="000000"/>
          <w:sz w:val="21"/>
          <w:szCs w:val="21"/>
        </w:rPr>
      </w:pPr>
      <w:r>
        <w:rPr>
          <w:rFonts w:hint="eastAsia" w:ascii="宋体" w:hAnsi="宋体" w:cs="宋体"/>
          <w:color w:val="000000"/>
          <w:sz w:val="21"/>
          <w:szCs w:val="21"/>
        </w:rPr>
        <w:t>（注：1.此报价表可以扩展；2.此报价表为汇总。）</w:t>
      </w:r>
    </w:p>
    <w:p>
      <w:pPr>
        <w:pStyle w:val="3"/>
        <w:keepNext/>
        <w:keepLines/>
        <w:pageBreakBefore w:val="0"/>
        <w:widowControl w:val="0"/>
        <w:kinsoku/>
        <w:wordWrap/>
        <w:overflowPunct/>
        <w:topLinePunct w:val="0"/>
        <w:autoSpaceDE/>
        <w:autoSpaceDN/>
        <w:bidi w:val="0"/>
        <w:adjustRightInd/>
        <w:snapToGrid/>
        <w:spacing w:before="0" w:after="0"/>
        <w:ind w:firstLine="0" w:firstLineChars="0"/>
        <w:textAlignment w:val="auto"/>
        <w:outlineLvl w:val="0"/>
        <w:rPr>
          <w:rFonts w:hint="eastAsia"/>
          <w:color w:val="000000"/>
          <w:sz w:val="21"/>
          <w:szCs w:val="21"/>
        </w:rPr>
      </w:pPr>
      <w:bookmarkStart w:id="39" w:name="_Toc3865550"/>
      <w:r>
        <w:rPr>
          <w:rFonts w:hint="eastAsia"/>
          <w:color w:val="000000"/>
          <w:sz w:val="21"/>
          <w:szCs w:val="21"/>
        </w:rPr>
        <w:t>16．交货进度</w:t>
      </w:r>
      <w:bookmarkEnd w:id="39"/>
    </w:p>
    <w:p>
      <w:pPr>
        <w:widowControl/>
        <w:autoSpaceDE w:val="0"/>
        <w:autoSpaceDN w:val="0"/>
        <w:spacing w:line="360" w:lineRule="auto"/>
        <w:textAlignment w:val="bottom"/>
        <w:rPr>
          <w:rFonts w:hint="eastAsia" w:ascii="宋体" w:hAnsi="宋体" w:cs="宋体"/>
          <w:color w:val="000000"/>
          <w:sz w:val="21"/>
          <w:szCs w:val="21"/>
        </w:rPr>
      </w:pPr>
      <w:r>
        <w:rPr>
          <w:rFonts w:hint="eastAsia" w:ascii="宋体" w:hAnsi="宋体" w:cs="宋体"/>
          <w:color w:val="000000"/>
          <w:sz w:val="21"/>
          <w:szCs w:val="21"/>
        </w:rPr>
        <w:t>16.1 交货进度的起始时间为合同签订的时间。</w:t>
      </w:r>
    </w:p>
    <w:p>
      <w:pPr>
        <w:widowControl/>
        <w:autoSpaceDE w:val="0"/>
        <w:autoSpaceDN w:val="0"/>
        <w:spacing w:line="360" w:lineRule="auto"/>
        <w:textAlignment w:val="bottom"/>
        <w:rPr>
          <w:rFonts w:hint="eastAsia" w:ascii="宋体" w:hAnsi="宋体" w:cs="宋体"/>
          <w:color w:val="000000"/>
          <w:sz w:val="21"/>
          <w:szCs w:val="21"/>
        </w:rPr>
      </w:pPr>
      <w:r>
        <w:rPr>
          <w:rFonts w:hint="eastAsia" w:ascii="宋体" w:hAnsi="宋体" w:cs="宋体"/>
          <w:color w:val="000000"/>
          <w:sz w:val="21"/>
          <w:szCs w:val="21"/>
        </w:rPr>
        <w:t>16.2 自</w:t>
      </w:r>
      <w:r>
        <w:rPr>
          <w:rFonts w:hint="eastAsia" w:ascii="宋体" w:hAnsi="宋体" w:cs="宋体"/>
          <w:color w:val="000000"/>
          <w:sz w:val="24"/>
          <w:szCs w:val="24"/>
        </w:rPr>
        <w:t>签订合同之日起1个月内</w:t>
      </w:r>
      <w:r>
        <w:rPr>
          <w:rFonts w:hint="eastAsia" w:ascii="宋体" w:hAnsi="宋体" w:cs="宋体"/>
          <w:color w:val="000000"/>
          <w:sz w:val="21"/>
          <w:szCs w:val="21"/>
        </w:rPr>
        <w:t>。</w:t>
      </w:r>
    </w:p>
    <w:p>
      <w:pPr>
        <w:widowControl/>
        <w:autoSpaceDE w:val="0"/>
        <w:autoSpaceDN w:val="0"/>
        <w:spacing w:line="360" w:lineRule="auto"/>
        <w:textAlignment w:val="bottom"/>
        <w:rPr>
          <w:rFonts w:hint="eastAsia"/>
          <w:b w:val="0"/>
          <w:bCs/>
          <w:color w:val="000000"/>
          <w:sz w:val="21"/>
          <w:szCs w:val="21"/>
          <w:highlight w:val="green"/>
        </w:rPr>
      </w:pPr>
      <w:r>
        <w:rPr>
          <w:rFonts w:hint="eastAsia" w:ascii="宋体" w:hAnsi="宋体" w:cs="宋体"/>
          <w:color w:val="000000"/>
          <w:sz w:val="21"/>
          <w:szCs w:val="21"/>
        </w:rPr>
        <w:t>16.3 设备交货地点为神</w:t>
      </w:r>
      <w:r>
        <w:rPr>
          <w:rFonts w:hint="eastAsia" w:ascii="宋体" w:hAnsi="宋体" w:cs="宋体"/>
          <w:color w:val="auto"/>
          <w:sz w:val="21"/>
          <w:szCs w:val="21"/>
          <w:highlight w:val="none"/>
        </w:rPr>
        <w:t>华准能矸电厂区</w:t>
      </w:r>
      <w:bookmarkEnd w:id="2"/>
      <w:r>
        <w:rPr>
          <w:rFonts w:hint="eastAsia" w:ascii="宋体" w:hAnsi="宋体" w:cs="宋体"/>
          <w:color w:val="auto"/>
          <w:sz w:val="21"/>
          <w:szCs w:val="21"/>
          <w:highlight w:val="none"/>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金山简仿宋">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17</w:t>
                          </w:r>
                          <w:r>
                            <w:rPr>
                              <w:sz w:val="18"/>
                            </w:rPr>
                            <w:fldChar w:fldCharType="end"/>
                          </w:r>
                          <w:r>
                            <w:rPr>
                              <w:sz w:val="18"/>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Dp&#10;Z8kWtwEAAFQDAAAOAAAAAAAAAAEAIAAAAB4BAABkcnMvZTJvRG9jLnhtbFBLBQYAAAAABgAGAFkB&#10;AABHBQAAAAA=&#10;">
              <v:fill on="f" focussize="0,0"/>
              <v:stroke on="f"/>
              <v:imagedata o:title=""/>
              <o:lock v:ext="edit" aspectratio="f"/>
              <v:textbox inset="0mm,0mm,0mm,0mm" style="mso-fit-shape-to-text:t;">
                <w:txbxContent>
                  <w:p>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17</w:t>
                    </w:r>
                    <w:r>
                      <w:rPr>
                        <w:sz w:val="18"/>
                      </w:rPr>
                      <w:fldChar w:fldCharType="end"/>
                    </w:r>
                    <w:r>
                      <w:rPr>
                        <w:sz w:val="18"/>
                      </w:rPr>
                      <w:t xml:space="preserve"> 页</w:t>
                    </w:r>
                  </w:p>
                </w:txbxContent>
              </v:textbox>
            </v:shape>
          </w:pict>
        </mc:Fallback>
      </mc:AlternateContent>
    </w:r>
    <w:r>
      <w:rPr>
        <w:rFonts w:hint="eastAsia"/>
        <w:color w:val="000080"/>
      </w:rPr>
      <w:t xml:space="preserve">    </w:t>
    </w:r>
    <w:r>
      <w:rPr>
        <w:color w:val="000080"/>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61564"/>
    <w:multiLevelType w:val="multilevel"/>
    <w:tmpl w:val="0C361564"/>
    <w:lvl w:ilvl="0" w:tentative="0">
      <w:start w:val="1"/>
      <w:numFmt w:val="decimal"/>
      <w:lvlText w:val="%1"/>
      <w:lvlJc w:val="center"/>
      <w:pPr>
        <w:tabs>
          <w:tab w:val="left" w:pos="0"/>
        </w:tabs>
        <w:ind w:left="0" w:firstLine="288"/>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B71F03"/>
    <w:multiLevelType w:val="multilevel"/>
    <w:tmpl w:val="0FB71F03"/>
    <w:lvl w:ilvl="0" w:tentative="0">
      <w:start w:val="1"/>
      <w:numFmt w:val="decimal"/>
      <w:lvlText w:val="%1"/>
      <w:lvlJc w:val="center"/>
      <w:pPr>
        <w:tabs>
          <w:tab w:val="left" w:pos="0"/>
        </w:tabs>
        <w:ind w:left="0" w:firstLine="288"/>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8237A84"/>
    <w:multiLevelType w:val="multilevel"/>
    <w:tmpl w:val="58237A84"/>
    <w:lvl w:ilvl="0" w:tentative="0">
      <w:start w:val="1"/>
      <w:numFmt w:val="decimal"/>
      <w:lvlText w:val="%1"/>
      <w:lvlJc w:val="center"/>
      <w:pPr>
        <w:tabs>
          <w:tab w:val="left" w:pos="0"/>
        </w:tabs>
        <w:ind w:left="0" w:firstLine="28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9514BC"/>
    <w:rsid w:val="61951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4">
    <w:name w:val="Body Text First Indent"/>
    <w:basedOn w:val="5"/>
    <w:qFormat/>
    <w:uiPriority w:val="0"/>
    <w:pPr>
      <w:spacing w:after="120"/>
      <w:ind w:firstLine="420" w:firstLineChars="100"/>
      <w:jc w:val="both"/>
    </w:pPr>
    <w:rPr>
      <w:sz w:val="24"/>
    </w:rPr>
  </w:style>
  <w:style w:type="paragraph" w:styleId="5">
    <w:name w:val="Body Text"/>
    <w:basedOn w:val="1"/>
    <w:qFormat/>
    <w:uiPriority w:val="0"/>
    <w:pPr>
      <w:jc w:val="center"/>
    </w:pPr>
    <w:rPr>
      <w:sz w:val="52"/>
    </w:rPr>
  </w:style>
  <w:style w:type="paragraph" w:styleId="6">
    <w:name w:val="Normal Indent"/>
    <w:basedOn w:val="1"/>
    <w:qFormat/>
    <w:uiPriority w:val="0"/>
    <w:pPr>
      <w:ind w:firstLine="420"/>
    </w:pPr>
    <w:rPr>
      <w:rFonts w:ascii="金山简仿宋" w:hAnsi="Courier New"/>
      <w:sz w:val="28"/>
      <w:szCs w:val="20"/>
    </w:rPr>
  </w:style>
  <w:style w:type="paragraph" w:styleId="7">
    <w:name w:val="footer"/>
    <w:basedOn w:val="1"/>
    <w:next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2019-07-19T06:52:00Z</dcterms:created>
  <dc:creator>Administrator</dc:creator>
  <cp:lastModifiedBy>Administrator</cp:lastModifiedBy>
  <dcterms:modified xsi:type="dcterms:W3CDTF">2019-07-19T06:52:51Z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