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仿宋" w:hAnsi="仿宋" w:eastAsia="仿宋" w:cs="仿宋"/>
          <w:color w:val="auto"/>
          <w:sz w:val="24"/>
          <w:szCs w:val="24"/>
          <w:highlight w:val="none"/>
          <w:lang w:val="en-US" w:eastAsia="zh-CN"/>
        </w:rPr>
      </w:pPr>
      <w:bookmarkStart w:id="0" w:name="_Toc7333"/>
      <w:r>
        <w:rPr>
          <w:rFonts w:hint="eastAsia" w:ascii="仿宋" w:hAnsi="仿宋" w:eastAsia="仿宋" w:cs="仿宋"/>
          <w:color w:val="auto"/>
          <w:sz w:val="24"/>
          <w:szCs w:val="24"/>
          <w:highlight w:val="none"/>
          <w:lang w:val="en-US" w:eastAsia="zh-CN"/>
        </w:rPr>
        <w:t>公告附件：</w:t>
      </w:r>
      <w:bookmarkStart w:id="3" w:name="_GoBack"/>
      <w:bookmarkEnd w:id="3"/>
    </w:p>
    <w:p>
      <w:pPr>
        <w:pStyle w:val="2"/>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箱式变电站设备技术要求</w:t>
      </w:r>
      <w:bookmarkEnd w:id="0"/>
    </w:p>
    <w:p>
      <w:pPr>
        <w:adjustRightInd w:val="0"/>
        <w:spacing w:line="360" w:lineRule="auto"/>
        <w:rPr>
          <w:rFonts w:ascii="宋体" w:hAnsi="宋体" w:cs="宋体"/>
          <w:b/>
          <w:color w:val="auto"/>
          <w:sz w:val="21"/>
          <w:szCs w:val="21"/>
          <w:highlight w:val="none"/>
        </w:rPr>
      </w:pPr>
      <w:r>
        <w:rPr>
          <w:rFonts w:hint="eastAsia" w:ascii="宋体" w:hAnsi="宋体" w:cs="宋体"/>
          <w:b/>
          <w:color w:val="auto"/>
          <w:sz w:val="21"/>
          <w:szCs w:val="21"/>
          <w:highlight w:val="none"/>
        </w:rPr>
        <w:t>1.货物需求</w:t>
      </w:r>
    </w:p>
    <w:p>
      <w:pPr>
        <w:tabs>
          <w:tab w:val="left" w:pos="360"/>
          <w:tab w:val="left" w:pos="1080"/>
        </w:tabs>
        <w:autoSpaceDE w:val="0"/>
        <w:autoSpaceDN w:val="0"/>
        <w:adjustRightIn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1.1 货物需求一览表</w:t>
      </w:r>
    </w:p>
    <w:tbl>
      <w:tblPr>
        <w:tblStyle w:val="5"/>
        <w:tblW w:w="8933" w:type="dxa"/>
        <w:tblInd w:w="130" w:type="dxa"/>
        <w:tblLayout w:type="fixed"/>
        <w:tblCellMar>
          <w:top w:w="0" w:type="dxa"/>
          <w:left w:w="108" w:type="dxa"/>
          <w:bottom w:w="0" w:type="dxa"/>
          <w:right w:w="108" w:type="dxa"/>
        </w:tblCellMar>
      </w:tblPr>
      <w:tblGrid>
        <w:gridCol w:w="888"/>
        <w:gridCol w:w="3579"/>
        <w:gridCol w:w="820"/>
        <w:gridCol w:w="830"/>
        <w:gridCol w:w="2816"/>
      </w:tblGrid>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3579" w:type="dxa"/>
            <w:tcBorders>
              <w:top w:val="single" w:color="auto" w:sz="4" w:space="0"/>
              <w:left w:val="nil"/>
              <w:bottom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货物名称</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单位</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交货时间</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3579" w:type="dxa"/>
            <w:tcBorders>
              <w:top w:val="nil"/>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黍地沟站电锅炉箱式变电站250kVA 10\0.4\0.23KV</w:t>
            </w:r>
          </w:p>
        </w:tc>
        <w:tc>
          <w:tcPr>
            <w:tcW w:w="8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十九沟站箱式变电站200kVA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北黄土沟站箱式变电站160kVA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樊家站箱式变电站200kVA </w:t>
            </w:r>
          </w:p>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694"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天城站箱式变电站200kVA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前石门站箱式变电站160kVA10\0.4\0.23KV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新店子站箱式变电站250kVA10\0.4\0.23KV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鸡鸣驿站箱式变电站250kVA </w:t>
            </w:r>
          </w:p>
          <w:p>
            <w:pPr>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庙沟站电锅炉箱式变电站200kVA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三支树站电锅炉箱式变电站200kVA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11</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王桂窑站电锅炉箱式变电站250kVA10\0.4\0.23KV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12</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清水河站箱式变电站250kVA10\0.4\0.23KV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13</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老牛湾站箱式变电站200kVA10\0.4\0.23KV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14</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黄河桥箱式变电站200kVA </w:t>
            </w:r>
          </w:p>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625"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二道河站电锅炉箱式变电站315kVA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bl>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1.2交货地点：神华准能大准铁路黍地沟站、十九沟站、北黄土沟站、樊家站、天成站前石门站、新店子站、鸡鸣驿站、庙沟站、三支树站、王桂窑站、清水河站、老牛湾站、黄河桥工务工区</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二道河站</w:t>
      </w:r>
      <w:r>
        <w:rPr>
          <w:rFonts w:hint="eastAsia" w:ascii="宋体" w:hAnsi="宋体" w:cs="宋体"/>
          <w:bCs/>
          <w:color w:val="auto"/>
          <w:sz w:val="21"/>
          <w:szCs w:val="21"/>
          <w:highlight w:val="none"/>
        </w:rPr>
        <w:t>。</w:t>
      </w:r>
    </w:p>
    <w:p>
      <w:pPr>
        <w:spacing w:line="400" w:lineRule="exact"/>
        <w:rPr>
          <w:rFonts w:ascii="宋体" w:cs="宋体"/>
          <w:b/>
          <w:color w:val="auto"/>
          <w:sz w:val="21"/>
          <w:szCs w:val="21"/>
          <w:highlight w:val="none"/>
        </w:rPr>
      </w:pPr>
      <w:bookmarkStart w:id="1" w:name="_Toc470074028"/>
      <w:r>
        <w:rPr>
          <w:rFonts w:hint="eastAsia" w:ascii="宋体" w:cs="宋体"/>
          <w:b/>
          <w:color w:val="auto"/>
          <w:sz w:val="21"/>
          <w:szCs w:val="21"/>
          <w:highlight w:val="none"/>
        </w:rPr>
        <w:t>2.设备规格及使用条件</w:t>
      </w:r>
      <w:bookmarkEnd w:id="1"/>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2.1设备名称</w:t>
      </w:r>
    </w:p>
    <w:p>
      <w:p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2.1.1设备名称：箱式变电站。</w:t>
      </w:r>
    </w:p>
    <w:p>
      <w:p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2.1.2生产厂家及型号：</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2.2设备用途</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箱式变电站为大准铁路沿线各站场电锅炉提供低压电源。</w:t>
      </w:r>
    </w:p>
    <w:p>
      <w:pPr>
        <w:spacing w:line="360" w:lineRule="auto"/>
        <w:jc w:val="left"/>
        <w:rPr>
          <w:rFonts w:ascii="宋体" w:hAnsi="宋体" w:cs="宋体"/>
          <w:b/>
          <w:color w:val="auto"/>
          <w:sz w:val="21"/>
          <w:szCs w:val="21"/>
          <w:highlight w:val="none"/>
        </w:rPr>
      </w:pPr>
      <w:r>
        <w:rPr>
          <w:rFonts w:hint="eastAsia" w:ascii="宋体" w:hAnsi="宋体" w:cs="宋体"/>
          <w:b/>
          <w:bCs/>
          <w:color w:val="auto"/>
          <w:sz w:val="21"/>
          <w:szCs w:val="21"/>
          <w:highlight w:val="none"/>
        </w:rPr>
        <w:t>3.设备规格及要求</w:t>
      </w:r>
    </w:p>
    <w:p>
      <w:pPr>
        <w:numPr>
          <w:ilvl w:val="0"/>
          <w:numId w:val="1"/>
        </w:numPr>
        <w:tabs>
          <w:tab w:val="left" w:pos="526"/>
          <w:tab w:val="clear" w:pos="425"/>
        </w:tabs>
        <w:spacing w:line="360" w:lineRule="auto"/>
        <w:rPr>
          <w:rFonts w:ascii="宋体" w:hAnsi="宋体" w:cs="宋体"/>
          <w:b/>
          <w:bCs/>
          <w:color w:val="auto"/>
          <w:sz w:val="21"/>
          <w:szCs w:val="21"/>
          <w:highlight w:val="none"/>
        </w:rPr>
      </w:pPr>
      <w:r>
        <w:rPr>
          <w:rFonts w:hint="eastAsia" w:ascii="宋体" w:hAnsi="宋体" w:cs="宋体"/>
          <w:b/>
          <w:bCs/>
          <w:color w:val="auto"/>
          <w:sz w:val="21"/>
          <w:szCs w:val="21"/>
          <w:highlight w:val="none"/>
        </w:rPr>
        <w:t>技术要求</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3.1.1箱式变电站技术要求</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3.1.1.1总体要求</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箱式变电站由高压柜、低压配电屏、配电变压器及外壳四部分组成，*</w:t>
      </w:r>
      <w:r>
        <w:rPr>
          <w:rFonts w:hint="eastAsia" w:hAnsi="宋体" w:cs="宋体"/>
          <w:b/>
          <w:bCs/>
          <w:color w:val="auto"/>
          <w:sz w:val="21"/>
          <w:szCs w:val="21"/>
          <w:highlight w:val="none"/>
        </w:rPr>
        <w:t>变压器选用卷绕铁心变压器</w:t>
      </w:r>
      <w:r>
        <w:rPr>
          <w:rFonts w:hint="eastAsia" w:hAnsi="宋体" w:cs="宋体"/>
          <w:color w:val="auto"/>
          <w:sz w:val="21"/>
          <w:szCs w:val="21"/>
          <w:highlight w:val="none"/>
        </w:rPr>
        <w:t>即S13□10-□kVA，10±□%/0.4；10kV进线选用</w:t>
      </w:r>
      <w:r>
        <w:rPr>
          <w:rFonts w:hint="eastAsia" w:hAnsi="宋体" w:cs="宋体"/>
          <w:color w:val="auto"/>
          <w:sz w:val="21"/>
          <w:szCs w:val="21"/>
          <w:highlight w:val="none"/>
          <w:lang w:eastAsia="zh-CN"/>
        </w:rPr>
        <w:t>真空断路器</w:t>
      </w:r>
      <w:r>
        <w:rPr>
          <w:rFonts w:hint="eastAsia" w:hAnsi="宋体" w:cs="宋体"/>
          <w:color w:val="auto"/>
          <w:sz w:val="21"/>
          <w:szCs w:val="21"/>
          <w:highlight w:val="none"/>
        </w:rPr>
        <w:t>，变压器</w:t>
      </w:r>
      <w:r>
        <w:rPr>
          <w:rFonts w:hint="eastAsia" w:hAnsi="宋体" w:cs="宋体"/>
          <w:color w:val="auto"/>
          <w:sz w:val="21"/>
          <w:szCs w:val="21"/>
          <w:highlight w:val="none"/>
          <w:lang w:eastAsia="zh-CN"/>
        </w:rPr>
        <w:t>引</w:t>
      </w:r>
      <w:r>
        <w:rPr>
          <w:rFonts w:hint="eastAsia" w:hAnsi="宋体" w:cs="宋体"/>
          <w:color w:val="auto"/>
          <w:sz w:val="21"/>
          <w:szCs w:val="21"/>
          <w:highlight w:val="none"/>
        </w:rPr>
        <w:t>线采用优质负荷开关+熔断器组合，低压采用</w:t>
      </w:r>
      <w:r>
        <w:rPr>
          <w:rFonts w:hint="eastAsia" w:hAnsi="宋体" w:cs="宋体"/>
          <w:color w:val="auto"/>
          <w:sz w:val="21"/>
          <w:szCs w:val="21"/>
          <w:highlight w:val="none"/>
          <w:lang w:eastAsia="zh-CN"/>
        </w:rPr>
        <w:t>西门子、</w:t>
      </w:r>
      <w:r>
        <w:rPr>
          <w:rFonts w:hint="eastAsia" w:hAnsi="宋体" w:cs="宋体"/>
          <w:color w:val="auto"/>
          <w:sz w:val="21"/>
          <w:szCs w:val="21"/>
          <w:highlight w:val="none"/>
          <w:lang w:val="en-US" w:eastAsia="zh-CN"/>
        </w:rPr>
        <w:t>ABB、施耐德等</w:t>
      </w:r>
      <w:r>
        <w:rPr>
          <w:rFonts w:hint="eastAsia" w:hAnsi="宋体" w:cs="宋体"/>
          <w:color w:val="auto"/>
          <w:sz w:val="21"/>
          <w:szCs w:val="21"/>
          <w:highlight w:val="none"/>
        </w:rPr>
        <w:t>国际知名品牌断路器。10kV采用630A母线，电缆带电指示装置。高、低压进出线均采用电缆进出线。</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3.1.1.2高压进线柜</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10kV开关柜为TXGN-12型固定开关柜，10kV断路器采用德国原装进口特锐德ISM永磁机构真空断路器。在单元柜上设有断路器、CT、避雷器、带电显示器、保护装置。</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（1）开关柜技术参数</w:t>
      </w:r>
    </w:p>
    <w:tbl>
      <w:tblPr>
        <w:tblStyle w:val="5"/>
        <w:tblW w:w="8122" w:type="dxa"/>
        <w:jc w:val="center"/>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362"/>
        <w:gridCol w:w="860"/>
        <w:gridCol w:w="2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6" w:hRule="atLeast"/>
          <w:jc w:val="center"/>
        </w:trPr>
        <w:tc>
          <w:tcPr>
            <w:tcW w:w="959" w:type="dxa"/>
            <w:tcBorders>
              <w:bottom w:val="single" w:color="auto" w:sz="4" w:space="0"/>
            </w:tcBorders>
            <w:vAlign w:val="center"/>
          </w:tcPr>
          <w:p>
            <w:pPr>
              <w:pStyle w:val="6"/>
              <w:spacing w:line="360" w:lineRule="auto"/>
              <w:rPr>
                <w:rFonts w:hAnsi="宋体" w:cs="宋体"/>
                <w:color w:val="auto"/>
                <w:sz w:val="21"/>
                <w:szCs w:val="21"/>
                <w:highlight w:val="none"/>
              </w:rPr>
            </w:pPr>
            <w:r>
              <w:rPr>
                <w:rFonts w:hint="eastAsia" w:hAnsi="宋体" w:cs="宋体"/>
                <w:color w:val="auto"/>
                <w:sz w:val="21"/>
                <w:szCs w:val="21"/>
                <w:highlight w:val="none"/>
              </w:rPr>
              <w:t>序号</w:t>
            </w:r>
          </w:p>
        </w:tc>
        <w:tc>
          <w:tcPr>
            <w:tcW w:w="3362" w:type="dxa"/>
            <w:tcBorders>
              <w:bottom w:val="single" w:color="auto" w:sz="4" w:space="0"/>
            </w:tcBorders>
            <w:vAlign w:val="center"/>
          </w:tcPr>
          <w:p>
            <w:pPr>
              <w:pStyle w:val="6"/>
              <w:spacing w:line="360" w:lineRule="auto"/>
              <w:rPr>
                <w:rFonts w:hAnsi="宋体" w:cs="宋体"/>
                <w:color w:val="auto"/>
                <w:sz w:val="21"/>
                <w:szCs w:val="21"/>
                <w:highlight w:val="none"/>
              </w:rPr>
            </w:pPr>
            <w:r>
              <w:rPr>
                <w:rFonts w:hint="eastAsia" w:hAnsi="宋体" w:cs="宋体"/>
                <w:color w:val="auto"/>
                <w:sz w:val="21"/>
                <w:szCs w:val="21"/>
                <w:highlight w:val="none"/>
              </w:rPr>
              <w:t>名   称</w:t>
            </w:r>
          </w:p>
        </w:tc>
        <w:tc>
          <w:tcPr>
            <w:tcW w:w="860" w:type="dxa"/>
            <w:tcBorders>
              <w:bottom w:val="single" w:color="auto" w:sz="4" w:space="0"/>
            </w:tcBorders>
            <w:vAlign w:val="center"/>
          </w:tcPr>
          <w:p>
            <w:pPr>
              <w:pStyle w:val="6"/>
              <w:spacing w:line="360" w:lineRule="auto"/>
              <w:rPr>
                <w:rFonts w:hAnsi="宋体" w:cs="宋体"/>
                <w:color w:val="auto"/>
                <w:sz w:val="21"/>
                <w:szCs w:val="21"/>
                <w:highlight w:val="none"/>
              </w:rPr>
            </w:pPr>
            <w:r>
              <w:rPr>
                <w:rFonts w:hint="eastAsia" w:hAnsi="宋体" w:cs="宋体"/>
                <w:color w:val="auto"/>
                <w:sz w:val="21"/>
                <w:szCs w:val="21"/>
                <w:highlight w:val="none"/>
              </w:rPr>
              <w:t>单位</w:t>
            </w:r>
          </w:p>
        </w:tc>
        <w:tc>
          <w:tcPr>
            <w:tcW w:w="2941" w:type="dxa"/>
            <w:tcBorders>
              <w:bottom w:val="single" w:color="auto" w:sz="4" w:space="0"/>
              <w:right w:val="single" w:color="auto" w:sz="4" w:space="0"/>
            </w:tcBorders>
            <w:vAlign w:val="center"/>
          </w:tcPr>
          <w:p>
            <w:pPr>
              <w:pStyle w:val="6"/>
              <w:spacing w:line="360" w:lineRule="auto"/>
              <w:rPr>
                <w:rFonts w:hAnsi="宋体" w:cs="宋体"/>
                <w:color w:val="auto"/>
                <w:sz w:val="21"/>
                <w:szCs w:val="21"/>
                <w:highlight w:val="none"/>
              </w:rPr>
            </w:pPr>
            <w:r>
              <w:rPr>
                <w:rFonts w:hint="eastAsia" w:hAnsi="宋体" w:cs="宋体"/>
                <w:color w:val="auto"/>
                <w:sz w:val="21"/>
                <w:szCs w:val="21"/>
                <w:highlight w:val="none"/>
              </w:rPr>
              <w:t>数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1</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额定电压</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kV</w:t>
            </w:r>
          </w:p>
        </w:tc>
        <w:tc>
          <w:tcPr>
            <w:tcW w:w="2941" w:type="dxa"/>
            <w:tcBorders>
              <w:right w:val="single" w:color="auto" w:sz="4" w:space="0"/>
            </w:tcBorders>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2</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额定电流</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A</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进线630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3</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额定短路开断电流</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kA</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4</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额定短路关合电流（峰值）</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kA</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5</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动稳定电流</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kA</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6</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热稳定电流（4秒）</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kA</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7</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控制电源：</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V</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220AC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8</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制冷、照明电源：</w:t>
            </w:r>
          </w:p>
        </w:tc>
        <w:tc>
          <w:tcPr>
            <w:tcW w:w="860"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V</w:t>
            </w: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220AC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959"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9</w:t>
            </w:r>
          </w:p>
        </w:tc>
        <w:tc>
          <w:tcPr>
            <w:tcW w:w="3362" w:type="dxa"/>
            <w:vAlign w:val="center"/>
          </w:tcPr>
          <w:p>
            <w:pPr>
              <w:pStyle w:val="6"/>
              <w:spacing w:line="240" w:lineRule="auto"/>
              <w:jc w:val="both"/>
              <w:rPr>
                <w:rFonts w:hAnsi="宋体" w:cs="宋体"/>
                <w:color w:val="auto"/>
                <w:sz w:val="21"/>
                <w:szCs w:val="21"/>
                <w:highlight w:val="none"/>
              </w:rPr>
            </w:pPr>
            <w:r>
              <w:rPr>
                <w:rFonts w:hint="eastAsia" w:hAnsi="宋体" w:cs="宋体"/>
                <w:color w:val="auto"/>
                <w:sz w:val="21"/>
                <w:szCs w:val="21"/>
                <w:highlight w:val="none"/>
              </w:rPr>
              <w:t>防护等级</w:t>
            </w:r>
          </w:p>
        </w:tc>
        <w:tc>
          <w:tcPr>
            <w:tcW w:w="860" w:type="dxa"/>
            <w:vAlign w:val="center"/>
          </w:tcPr>
          <w:p>
            <w:pPr>
              <w:pStyle w:val="6"/>
              <w:spacing w:line="240" w:lineRule="auto"/>
              <w:rPr>
                <w:rFonts w:hAnsi="宋体" w:cs="宋体"/>
                <w:color w:val="auto"/>
                <w:sz w:val="21"/>
                <w:szCs w:val="21"/>
                <w:highlight w:val="none"/>
              </w:rPr>
            </w:pPr>
          </w:p>
        </w:tc>
        <w:tc>
          <w:tcPr>
            <w:tcW w:w="2941" w:type="dxa"/>
            <w:vAlign w:val="center"/>
          </w:tcPr>
          <w:p>
            <w:pPr>
              <w:pStyle w:val="6"/>
              <w:spacing w:line="240" w:lineRule="auto"/>
              <w:rPr>
                <w:rFonts w:hAnsi="宋体" w:cs="宋体"/>
                <w:color w:val="auto"/>
                <w:sz w:val="21"/>
                <w:szCs w:val="21"/>
                <w:highlight w:val="none"/>
              </w:rPr>
            </w:pPr>
            <w:r>
              <w:rPr>
                <w:rFonts w:hint="eastAsia" w:hAnsi="宋体" w:cs="宋体"/>
                <w:color w:val="auto"/>
                <w:sz w:val="21"/>
                <w:szCs w:val="21"/>
                <w:highlight w:val="none"/>
              </w:rPr>
              <w:t>IP3X</w:t>
            </w:r>
          </w:p>
        </w:tc>
      </w:tr>
    </w:tbl>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（2）电缆接头无线测温</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采用电子无线测温装置</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温度测量范围：-55～+125℃</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精度：±0.5℃(-30～+105℃)</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供电：AA 3.6V 锂电池，理论&gt;12年，保证&gt;8年</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射频标准：ZIGBEE </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传感器采用变频发送方式。</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3.1.1.3 高压出线柜</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（1）高压变压器出线回路选用FL（R）N36-12系列负荷开关。</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（2）负荷开关回路，其额定参数，技术要求，型式试验项目和方式、标志、包装、运输、储存等要求、产品性能符合GB3906-91《3～35KV交流金属封闭开关设备》、IEC298的规定。</w:t>
      </w:r>
    </w:p>
    <w:p>
      <w:pPr>
        <w:spacing w:line="360" w:lineRule="auto"/>
        <w:rPr>
          <w:rFonts w:ascii="宋体" w:hAnsi="宋体" w:cs="宋体"/>
          <w:color w:val="auto"/>
          <w:sz w:val="21"/>
          <w:szCs w:val="21"/>
          <w:highlight w:val="none"/>
        </w:rPr>
      </w:pPr>
      <w:r>
        <w:rPr>
          <w:rFonts w:hint="eastAsia" w:ascii="宋体" w:hAnsi="宋体" w:cs="宋体"/>
          <w:bCs/>
          <w:color w:val="auto"/>
          <w:sz w:val="21"/>
          <w:szCs w:val="21"/>
          <w:highlight w:val="none"/>
        </w:rPr>
        <w:t>3.1.1.4 PT柜</w:t>
      </w:r>
      <w:r>
        <w:rPr>
          <w:rFonts w:hint="eastAsia" w:ascii="宋体" w:hAnsi="宋体" w:cs="宋体"/>
          <w:color w:val="auto"/>
          <w:sz w:val="21"/>
          <w:szCs w:val="21"/>
          <w:highlight w:val="none"/>
        </w:rPr>
        <w:t xml:space="preserve"> </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（1）PT型式：户内型环氧树脂浇注绝缘，全绝缘结构；</w:t>
      </w:r>
    </w:p>
    <w:p>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（2）采用齿合式隔离开关,旋转式蜗杆操作机构；</w:t>
      </w:r>
    </w:p>
    <w:p>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（3）开关柜内装设照明灯，隔离开关断点可视；</w:t>
      </w:r>
    </w:p>
    <w:p>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（4）隔离开关与柜门间具备可靠闭锁，防止误操作。</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3.1.1.5 变压器</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（1）变压器选用S13-M型油浸卷铁心电力变压器；</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（2）变压器连接组别为D，Yn11，分接头系列：±2×2.5%；</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（3）变压器短路阻抗Ud%=4；</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（4）变压器室应装设可靠的安全防护网或遮拦。</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3.1.1.6低压配电柜</w:t>
      </w:r>
    </w:p>
    <w:p>
      <w:pPr>
        <w:spacing w:line="360" w:lineRule="auto"/>
        <w:ind w:firstLine="210" w:firstLineChars="100"/>
        <w:rPr>
          <w:rFonts w:ascii="宋体" w:hAnsi="宋体" w:cs="宋体"/>
          <w:bCs/>
          <w:color w:val="auto"/>
          <w:sz w:val="21"/>
          <w:szCs w:val="21"/>
          <w:highlight w:val="none"/>
        </w:rPr>
      </w:pPr>
      <w:r>
        <w:rPr>
          <w:rFonts w:hint="eastAsia" w:ascii="宋体" w:hAnsi="宋体" w:cs="宋体"/>
          <w:bCs/>
          <w:color w:val="auto"/>
          <w:sz w:val="21"/>
          <w:szCs w:val="21"/>
          <w:highlight w:val="none"/>
        </w:rPr>
        <w:t>（1）结构</w:t>
      </w:r>
    </w:p>
    <w:p>
      <w:pPr>
        <w:pStyle w:val="3"/>
        <w:numPr>
          <w:ilvl w:val="0"/>
          <w:numId w:val="2"/>
        </w:numPr>
        <w:spacing w:line="360" w:lineRule="auto"/>
        <w:rPr>
          <w:rFonts w:hAnsi="宋体" w:cs="宋体"/>
          <w:color w:val="auto"/>
          <w:sz w:val="21"/>
          <w:szCs w:val="21"/>
          <w:highlight w:val="none"/>
        </w:rPr>
      </w:pPr>
      <w:r>
        <w:rPr>
          <w:rFonts w:hint="eastAsia" w:hAnsi="宋体" w:cs="宋体"/>
          <w:color w:val="auto"/>
          <w:sz w:val="21"/>
          <w:szCs w:val="21"/>
          <w:highlight w:val="none"/>
        </w:rPr>
        <w:t>柜体：选用低压固定柜柜型，防护等级：不低于IP3X，柜体在首先进行防锈处理后，使用耐久性喷塑处理，保证柜体25年防腐蚀。低压配电柜采用GGD改进柜型，单柜外形尺寸不大于：宽×深×高＝800*500*1800mm。</w:t>
      </w:r>
    </w:p>
    <w:p>
      <w:pPr>
        <w:numPr>
          <w:ilvl w:val="0"/>
          <w:numId w:val="2"/>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柜内应安装指示灯、按钮、计量测量仪表、操作开关等元器件，应排列整齐、层次分明、便于维修和拆装，并留有足够的空间。</w:t>
      </w:r>
    </w:p>
    <w:p>
      <w:pPr>
        <w:numPr>
          <w:ilvl w:val="0"/>
          <w:numId w:val="2"/>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柜内配线采用乙烯树脂绝缘铜芯电线或性能相同产品，可动部分过渡应柔软，并能承受住挠曲而不致疲劳损伤，柜内配线应有线号。</w:t>
      </w:r>
    </w:p>
    <w:p>
      <w:pPr>
        <w:numPr>
          <w:ilvl w:val="0"/>
          <w:numId w:val="2"/>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端子排的设置</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a.端子排距屏顶及地面均不小于200mm，端子排间距不小于150mm。</w:t>
      </w:r>
    </w:p>
    <w:p>
      <w:pP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b.端子排的设置应使运行、检修、调试方便，应考虑设备与端子排的位置对应。端子排导电部分为铜质，端子的选用应根据回路载流量和所接电缆截面确定。每一安装单位端子排均在最后预留不少于5个端子。</w:t>
      </w:r>
    </w:p>
    <w:p>
      <w:pPr>
        <w:numPr>
          <w:ilvl w:val="0"/>
          <w:numId w:val="2"/>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柜内应有安全接地构件，连接处应保证可靠接地并有明显接地标记。</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（2）低压开关</w:t>
      </w:r>
    </w:p>
    <w:p>
      <w:pPr>
        <w:numPr>
          <w:ilvl w:val="0"/>
          <w:numId w:val="3"/>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主进开关选用进口品牌产品，技术水平不低于MT系列开关，开关选择ABB、施耐德或西门子公司产品；</w:t>
      </w:r>
    </w:p>
    <w:p>
      <w:pPr>
        <w:numPr>
          <w:ilvl w:val="0"/>
          <w:numId w:val="3"/>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额定电压: 400V；</w:t>
      </w:r>
    </w:p>
    <w:p>
      <w:pPr>
        <w:numPr>
          <w:ilvl w:val="0"/>
          <w:numId w:val="3"/>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额定壳架电流:见</w:t>
      </w:r>
      <w:r>
        <w:rPr>
          <w:rFonts w:hint="eastAsia" w:ascii="宋体" w:hAnsi="宋体" w:cs="宋体"/>
          <w:bCs/>
          <w:color w:val="auto"/>
          <w:sz w:val="21"/>
          <w:szCs w:val="21"/>
          <w:highlight w:val="none"/>
        </w:rPr>
        <w:t>低压开关配置情况表</w:t>
      </w:r>
      <w:r>
        <w:rPr>
          <w:rFonts w:hint="eastAsia" w:ascii="宋体" w:hAnsi="宋体" w:cs="宋体"/>
          <w:color w:val="auto"/>
          <w:sz w:val="21"/>
          <w:szCs w:val="21"/>
          <w:highlight w:val="none"/>
        </w:rPr>
        <w:t>；</w:t>
      </w:r>
    </w:p>
    <w:p>
      <w:pPr>
        <w:numPr>
          <w:ilvl w:val="0"/>
          <w:numId w:val="3"/>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额定电流：见</w:t>
      </w:r>
      <w:r>
        <w:rPr>
          <w:rFonts w:hint="eastAsia" w:ascii="宋体" w:hAnsi="宋体" w:cs="宋体"/>
          <w:bCs/>
          <w:color w:val="auto"/>
          <w:sz w:val="21"/>
          <w:szCs w:val="21"/>
          <w:highlight w:val="none"/>
        </w:rPr>
        <w:t>低压开关配置情况表</w:t>
      </w:r>
      <w:r>
        <w:rPr>
          <w:rFonts w:hint="eastAsia" w:ascii="宋体" w:hAnsi="宋体" w:cs="宋体"/>
          <w:color w:val="auto"/>
          <w:sz w:val="21"/>
          <w:szCs w:val="21"/>
          <w:highlight w:val="none"/>
        </w:rPr>
        <w:t xml:space="preserve">； </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（3）出线开关（手动）</w:t>
      </w:r>
    </w:p>
    <w:p>
      <w:pPr>
        <w:tabs>
          <w:tab w:val="left" w:pos="2422"/>
        </w:tabs>
        <w:spacing w:line="360" w:lineRule="auto"/>
        <w:ind w:left="397"/>
        <w:rPr>
          <w:rFonts w:ascii="宋体" w:hAnsi="宋体" w:cs="宋体"/>
          <w:b/>
          <w:color w:val="auto"/>
          <w:sz w:val="21"/>
          <w:szCs w:val="21"/>
          <w:highlight w:val="none"/>
        </w:rPr>
      </w:pPr>
      <w:r>
        <w:rPr>
          <w:rFonts w:hint="eastAsia" w:ascii="宋体" w:hAnsi="宋体" w:cs="宋体"/>
          <w:color w:val="auto"/>
          <w:sz w:val="21"/>
          <w:szCs w:val="21"/>
          <w:highlight w:val="none"/>
        </w:rPr>
        <w:t>1）低压馈出断路器选择进口品牌产品，技术水平不低于NSX系列开关，开关选择ABB、施耐德或西门子公司产品。</w:t>
      </w:r>
    </w:p>
    <w:p>
      <w:pPr>
        <w:spacing w:line="360" w:lineRule="auto"/>
        <w:ind w:left="397"/>
        <w:rPr>
          <w:rFonts w:ascii="宋体" w:hAnsi="宋体" w:cs="宋体"/>
          <w:color w:val="auto"/>
          <w:sz w:val="21"/>
          <w:szCs w:val="21"/>
          <w:highlight w:val="none"/>
        </w:rPr>
      </w:pPr>
      <w:r>
        <w:rPr>
          <w:rFonts w:hint="eastAsia" w:ascii="宋体" w:hAnsi="宋体" w:cs="宋体"/>
          <w:color w:val="auto"/>
          <w:sz w:val="21"/>
          <w:szCs w:val="21"/>
          <w:highlight w:val="none"/>
        </w:rPr>
        <w:t>2）额定电压: 400V。</w:t>
      </w:r>
    </w:p>
    <w:p>
      <w:pPr>
        <w:spacing w:line="360" w:lineRule="auto"/>
        <w:ind w:left="397"/>
        <w:rPr>
          <w:rFonts w:ascii="宋体" w:hAnsi="宋体" w:cs="宋体"/>
          <w:color w:val="auto"/>
          <w:sz w:val="21"/>
          <w:szCs w:val="21"/>
          <w:highlight w:val="none"/>
        </w:rPr>
      </w:pPr>
      <w:r>
        <w:rPr>
          <w:rFonts w:hint="eastAsia" w:ascii="宋体" w:hAnsi="宋体" w:cs="宋体"/>
          <w:color w:val="auto"/>
          <w:sz w:val="21"/>
          <w:szCs w:val="21"/>
          <w:highlight w:val="none"/>
        </w:rPr>
        <w:t>3）额定电流: 低压出线3回路，见</w:t>
      </w:r>
      <w:r>
        <w:rPr>
          <w:rFonts w:hint="eastAsia" w:ascii="宋体" w:hAnsi="宋体" w:cs="宋体"/>
          <w:bCs/>
          <w:color w:val="auto"/>
          <w:sz w:val="21"/>
          <w:szCs w:val="21"/>
          <w:highlight w:val="none"/>
        </w:rPr>
        <w:t>低压开关配置情况表</w:t>
      </w:r>
      <w:r>
        <w:rPr>
          <w:rFonts w:hint="eastAsia" w:ascii="宋体" w:hAnsi="宋体" w:cs="宋体"/>
          <w:color w:val="auto"/>
          <w:sz w:val="21"/>
          <w:szCs w:val="21"/>
          <w:highlight w:val="none"/>
        </w:rPr>
        <w:t>：</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（4）低压开关配置情况表</w:t>
      </w:r>
    </w:p>
    <w:tbl>
      <w:tblPr>
        <w:tblStyle w:val="5"/>
        <w:tblW w:w="9386" w:type="dxa"/>
        <w:tblInd w:w="0" w:type="dxa"/>
        <w:tblLayout w:type="fixed"/>
        <w:tblCellMar>
          <w:top w:w="0" w:type="dxa"/>
          <w:left w:w="0" w:type="dxa"/>
          <w:bottom w:w="0" w:type="dxa"/>
          <w:right w:w="0" w:type="dxa"/>
        </w:tblCellMar>
      </w:tblPr>
      <w:tblGrid>
        <w:gridCol w:w="685"/>
        <w:gridCol w:w="1434"/>
        <w:gridCol w:w="929"/>
        <w:gridCol w:w="884"/>
        <w:gridCol w:w="848"/>
        <w:gridCol w:w="962"/>
        <w:gridCol w:w="928"/>
        <w:gridCol w:w="849"/>
        <w:gridCol w:w="939"/>
        <w:gridCol w:w="928"/>
      </w:tblGrid>
      <w:tr>
        <w:tblPrEx>
          <w:tblLayout w:type="fixed"/>
          <w:tblCellMar>
            <w:top w:w="0" w:type="dxa"/>
            <w:left w:w="0" w:type="dxa"/>
            <w:bottom w:w="0" w:type="dxa"/>
            <w:right w:w="0" w:type="dxa"/>
          </w:tblCellMar>
        </w:tblPrEx>
        <w:trPr>
          <w:trHeight w:val="270" w:hRule="atLeast"/>
        </w:trPr>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序号</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箱变安装地点</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低压主进开关（4p）</w:t>
            </w:r>
          </w:p>
        </w:tc>
        <w:tc>
          <w:tcPr>
            <w:tcW w:w="54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低压馈出开关（3p）</w:t>
            </w:r>
          </w:p>
        </w:tc>
      </w:tr>
      <w:tr>
        <w:tblPrEx>
          <w:tblLayout w:type="fixed"/>
          <w:tblCellMar>
            <w:top w:w="0" w:type="dxa"/>
            <w:left w:w="0" w:type="dxa"/>
            <w:bottom w:w="0" w:type="dxa"/>
            <w:right w:w="0" w:type="dxa"/>
          </w:tblCellMar>
        </w:tblPrEx>
        <w:trPr>
          <w:trHeight w:val="540" w:hRule="atLeast"/>
        </w:trPr>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auto"/>
                <w:sz w:val="21"/>
                <w:szCs w:val="21"/>
                <w:highlight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auto"/>
                <w:sz w:val="21"/>
                <w:szCs w:val="21"/>
                <w:highlight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壳架电流（A）</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额定电流（A）</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壳架电流（A）</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额定电流（A）</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壳架电流（A）</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额定电流（A）</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壳架电流（A）</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额定电流（A）</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黍地沟站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550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2</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十九沟站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北黄土沟站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樊家站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天城站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前石门站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7</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新店子站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550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8</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鸡鸣驿站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550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9</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庙沟站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10</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三支树站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11</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二道河站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550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12</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王桂窑站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500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13</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清水河站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550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14</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老牛湾站</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r>
        <w:tblPrEx>
          <w:tblLayout w:type="fixed"/>
          <w:tblCellMar>
            <w:top w:w="0" w:type="dxa"/>
            <w:left w:w="0" w:type="dxa"/>
            <w:bottom w:w="0" w:type="dxa"/>
            <w:right w:w="0"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15</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黄河桥工务工区</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630</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400</w:t>
            </w:r>
          </w:p>
        </w:tc>
        <w:tc>
          <w:tcPr>
            <w:tcW w:w="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360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160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63</w:t>
            </w:r>
          </w:p>
        </w:tc>
      </w:tr>
    </w:tbl>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3.1.1.7无功补偿</w:t>
      </w:r>
    </w:p>
    <w:p>
      <w:pPr>
        <w:numPr>
          <w:ilvl w:val="0"/>
          <w:numId w:val="4"/>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低压采用自动投切无功补偿装置，补偿容量按变压器容量的25～30％进行补偿，具体补偿容量以附页图纸为准。</w:t>
      </w:r>
    </w:p>
    <w:p>
      <w:pPr>
        <w:numPr>
          <w:ilvl w:val="0"/>
          <w:numId w:val="4"/>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补偿电容器采用BSMJ系列自愈式并联电容器。</w:t>
      </w:r>
    </w:p>
    <w:p>
      <w:pPr>
        <w:numPr>
          <w:ilvl w:val="0"/>
          <w:numId w:val="4"/>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采用低压微型断路器、接触器投切方式。</w:t>
      </w:r>
    </w:p>
    <w:p>
      <w:pPr>
        <w:numPr>
          <w:ilvl w:val="0"/>
          <w:numId w:val="4"/>
        </w:num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 xml:space="preserve">无功补偿控制器应具有的功能特点：全数字化设计，人机界面采用大屏幕LCD中文液晶显示器；模块化组装，外表流线设计；可实时显示电网功率因数、电压、电流、有功功率、无功功率电压总畸变率、频率等电参数（A、B、C三相）；设置参数中文提示，数字输入；控制程序支持等容、编码两种投切方式；具有手动补偿、自动补偿两种工作方式。 </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3.1.1.8计量</w:t>
      </w:r>
    </w:p>
    <w:p>
      <w:pPr>
        <w:pStyle w:val="3"/>
        <w:spacing w:line="360" w:lineRule="auto"/>
        <w:ind w:firstLine="480"/>
        <w:rPr>
          <w:rFonts w:hAnsi="宋体" w:cs="宋体"/>
          <w:color w:val="auto"/>
          <w:sz w:val="21"/>
          <w:szCs w:val="21"/>
          <w:highlight w:val="none"/>
        </w:rPr>
      </w:pPr>
      <w:r>
        <w:rPr>
          <w:rFonts w:hint="eastAsia" w:hAnsi="宋体" w:cs="宋体"/>
          <w:color w:val="auto"/>
          <w:sz w:val="21"/>
          <w:szCs w:val="21"/>
          <w:highlight w:val="none"/>
        </w:rPr>
        <w:t>箱变采用高供低计计量方式，计量与测量共用一组电流互感器，精度应满足0.5级。计量表计安装在低压柜内，计量表计选择三相电子式有功电度表，计量精度满足有功1级。计量二次专用线采用单股铜线分黄、绿、红三色，电压回路二次线为1.5mm</w:t>
      </w:r>
      <w:r>
        <w:rPr>
          <w:rFonts w:hint="eastAsia" w:hAnsi="宋体" w:cs="宋体"/>
          <w:color w:val="auto"/>
          <w:sz w:val="21"/>
          <w:szCs w:val="21"/>
          <w:highlight w:val="none"/>
          <w:vertAlign w:val="superscript"/>
        </w:rPr>
        <w:t>2</w:t>
      </w:r>
      <w:r>
        <w:rPr>
          <w:rFonts w:hint="eastAsia" w:hAnsi="宋体" w:cs="宋体"/>
          <w:color w:val="auto"/>
          <w:sz w:val="21"/>
          <w:szCs w:val="21"/>
          <w:highlight w:val="none"/>
        </w:rPr>
        <w:t>、电流回路二次线为2.5mm</w:t>
      </w:r>
      <w:r>
        <w:rPr>
          <w:rFonts w:hint="eastAsia" w:hAnsi="宋体" w:cs="宋体"/>
          <w:color w:val="auto"/>
          <w:sz w:val="21"/>
          <w:szCs w:val="21"/>
          <w:highlight w:val="none"/>
          <w:vertAlign w:val="superscript"/>
        </w:rPr>
        <w:t>2</w:t>
      </w:r>
      <w:r>
        <w:rPr>
          <w:rFonts w:hint="eastAsia" w:hAnsi="宋体" w:cs="宋体"/>
          <w:color w:val="auto"/>
          <w:sz w:val="21"/>
          <w:szCs w:val="21"/>
          <w:highlight w:val="none"/>
        </w:rPr>
        <w:t xml:space="preserve">。 </w:t>
      </w:r>
    </w:p>
    <w:p>
      <w:pPr>
        <w:pStyle w:val="3"/>
        <w:spacing w:line="360" w:lineRule="auto"/>
        <w:rPr>
          <w:rFonts w:hAnsi="宋体" w:cs="宋体"/>
          <w:bCs/>
          <w:color w:val="auto"/>
          <w:sz w:val="21"/>
          <w:szCs w:val="21"/>
          <w:highlight w:val="none"/>
        </w:rPr>
      </w:pPr>
      <w:r>
        <w:rPr>
          <w:rFonts w:hint="eastAsia" w:hAnsi="宋体" w:cs="宋体"/>
          <w:bCs/>
          <w:color w:val="auto"/>
          <w:sz w:val="21"/>
          <w:szCs w:val="21"/>
          <w:highlight w:val="none"/>
        </w:rPr>
        <w:t>3.1.1.9箱体要求</w:t>
      </w:r>
    </w:p>
    <w:p>
      <w:pPr>
        <w:pStyle w:val="3"/>
        <w:spacing w:line="360" w:lineRule="auto"/>
        <w:ind w:firstLine="420" w:firstLineChars="200"/>
        <w:rPr>
          <w:rFonts w:hAnsi="宋体" w:cs="宋体"/>
          <w:color w:val="auto"/>
          <w:sz w:val="21"/>
          <w:szCs w:val="21"/>
          <w:highlight w:val="none"/>
        </w:rPr>
      </w:pPr>
      <w:r>
        <w:rPr>
          <w:rFonts w:hint="eastAsia" w:hAnsi="宋体" w:cs="宋体"/>
          <w:bCs/>
          <w:color w:val="auto"/>
          <w:sz w:val="21"/>
          <w:szCs w:val="21"/>
          <w:highlight w:val="none"/>
        </w:rPr>
        <w:t>（1）箱体采用高精度焊装一体式结构。</w:t>
      </w:r>
      <w:r>
        <w:rPr>
          <w:rFonts w:hint="eastAsia" w:hAnsi="宋体" w:cs="宋体"/>
          <w:color w:val="auto"/>
          <w:sz w:val="21"/>
          <w:szCs w:val="21"/>
          <w:highlight w:val="none"/>
        </w:rPr>
        <w:t>箱体应符合GBJ17-88《箱变结构设计规范》、GB/T17467-1998《高压/低压预装式变电站》、DL/T537-2002《高压/低压预装式变电站选用导则》等标准。</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2）箱体采用双层、密封、防腐蚀、隔温结构，内部采用钢板及阻燃绝缘隔板严密分割成高压室、变压器室、低压室，各室防护等级为IP3X。双层箱体必须都采用2mm厚度以上的冷轧钢板（或不锈钢板）制作，双层之间必须有建设部允许的防火隔温材料。箱变内部采用钢板或阻燃绝缘隔板严格分成高压室、变压器室、低压室等。箱体的底架部件由槽钢焊接而成，框架及门采用优质冷轧钢板（或不锈钢板），框架钢板厚度不得小于2.5mm，门和顶盖钢板厚度不得小于2mm。箱变所有门轴必须采用不锈钢材料制作，防止摩擦部位生锈，箱变所有锁盒采用户外铝合金锁盒。</w:t>
      </w:r>
    </w:p>
    <w:p>
      <w:pPr>
        <w:pStyle w:val="3"/>
        <w:spacing w:line="360" w:lineRule="auto"/>
        <w:ind w:firstLine="420" w:firstLineChars="200"/>
        <w:rPr>
          <w:rFonts w:hAnsi="宋体" w:cs="宋体"/>
          <w:b/>
          <w:color w:val="auto"/>
          <w:sz w:val="21"/>
          <w:szCs w:val="21"/>
          <w:highlight w:val="none"/>
        </w:rPr>
      </w:pPr>
      <w:r>
        <w:rPr>
          <w:rFonts w:hint="eastAsia" w:hAnsi="宋体" w:cs="宋体"/>
          <w:color w:val="auto"/>
          <w:sz w:val="21"/>
          <w:szCs w:val="21"/>
          <w:highlight w:val="none"/>
        </w:rPr>
        <w:t>（3）箱体金属构件应进行在25年内不锈蚀的防腐处理，箱变双层箱体冷轧钢板采用喷砂、热喷锌、喷锌加防腐、喷户外高档聚氨酯面漆防腐处理，不锈钢板采用喷砂、喷户外高档聚氨酯面漆防腐处理。金属材料经防腐处理后表面覆盖层应有牢固的附着力，并均匀一致。箱体底架槽钢必须经过喷砂、喷锌处理后，采用沥青漆重度防腐处理，保证底架20年不生锈。</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（4）箱体密封所采用的密封条必须是长寿命、高弹性产品，高压和低压的进出线电缆孔采用方便于密封的敲落孔并配有足够数量的密封胶圈。</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5）箱体外壳必须设计足够的机械强度，在起吊、运输和隧道内搬运、安装时不会变形或损伤；箱变外壳必须设计有方便钩挂的吊装机构，并保证吊装机构与箱体重心的协调，不会导致吊装过程中箱变倾斜；设计的外壳形状应不易积尘、积水；尽量少用外露紧固件，以免螺钉穿通外壳使水导入壳内；对穿通外壳的孔，均应采取相应的密封措施；外壳的盖和座若采用铰链联结，应将铰链设计在外壳的内侧，制成暗铰链。外壳应防水、防震、防腐、防尘、防电燃。</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（6）变压器应安装滑道，当变压器检修或出现故障在箱变内无法解决的情况下，可将变压器抽出。变压器室采用通风结构，门板为防尘通风百叶窗门。</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7）所有门应向外开，开启角度大于100°，并设置定位装置。门有密封措施，并装有把手和暗锁，门的设计尺寸与所装设备的尺寸相配合。设门控自动开闭的照明设施。箱体顶盖应有明显散水坡度，不应小于5°，顶盖边沿应设有滴水沿，防止雨水回流进入箱体。</w:t>
      </w:r>
    </w:p>
    <w:p>
      <w:pPr>
        <w:pStyle w:val="3"/>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8）箱式变电站的箱体应设专用接地导体，该接地导体上应设有与接地网相连接的固定接地端子，箱变内部各个隔室接地端子数量不少于2个，箱变外部接地端子数量不少于四个，并应有明显的接地标志。接地端子为直径不小于12mm的钢质螺栓。箱式变电站的金属骨架，高压配电装置、低压配电装置和变压器室的金属支架均应有符合技术条件的接地端子，并与专用接地导体可靠地连接在一起，箱变的接地电阻应小于1欧姆。</w:t>
      </w:r>
    </w:p>
    <w:p>
      <w:pPr>
        <w:pStyle w:val="3"/>
        <w:spacing w:line="360" w:lineRule="auto"/>
        <w:rPr>
          <w:rFonts w:hint="eastAsia" w:hAnsi="宋体" w:eastAsia="宋体" w:cs="宋体"/>
          <w:b/>
          <w:bCs/>
          <w:color w:val="auto"/>
          <w:sz w:val="21"/>
          <w:szCs w:val="21"/>
          <w:highlight w:val="none"/>
          <w:lang w:val="en-US" w:eastAsia="zh-CN"/>
        </w:rPr>
      </w:pPr>
      <w:r>
        <w:rPr>
          <w:rFonts w:hint="eastAsia" w:hAnsi="宋体" w:cs="宋体"/>
          <w:b/>
          <w:bCs/>
          <w:color w:val="auto"/>
          <w:sz w:val="21"/>
          <w:szCs w:val="21"/>
          <w:highlight w:val="none"/>
        </w:rPr>
        <w:t>*3.1.3.1投标方负责：负责箱式变压器的</w:t>
      </w:r>
      <w:r>
        <w:rPr>
          <w:rFonts w:hint="eastAsia" w:hAnsi="宋体" w:cs="宋体"/>
          <w:b/>
          <w:bCs/>
          <w:color w:val="auto"/>
          <w:sz w:val="21"/>
          <w:szCs w:val="21"/>
          <w:highlight w:val="none"/>
          <w:lang w:val="en-US" w:eastAsia="zh-CN"/>
        </w:rPr>
        <w:t>电缆接入、整体调试及配合整体项目</w:t>
      </w:r>
      <w:r>
        <w:rPr>
          <w:rFonts w:hint="eastAsia" w:hAnsi="宋体" w:cs="宋体"/>
          <w:b/>
          <w:bCs/>
          <w:color w:val="auto"/>
          <w:sz w:val="21"/>
          <w:szCs w:val="21"/>
          <w:highlight w:val="none"/>
        </w:rPr>
        <w:t>安装</w:t>
      </w:r>
      <w:r>
        <w:rPr>
          <w:rFonts w:hint="eastAsia" w:hAnsi="宋体" w:cs="宋体"/>
          <w:b/>
          <w:bCs/>
          <w:color w:val="auto"/>
          <w:sz w:val="21"/>
          <w:szCs w:val="21"/>
          <w:highlight w:val="none"/>
          <w:lang w:val="en-US" w:eastAsia="zh-CN"/>
        </w:rPr>
        <w:t>工程</w:t>
      </w:r>
      <w:r>
        <w:rPr>
          <w:rFonts w:hint="eastAsia" w:hAnsi="宋体" w:cs="宋体"/>
          <w:b/>
          <w:bCs/>
          <w:color w:val="auto"/>
          <w:sz w:val="21"/>
          <w:szCs w:val="21"/>
          <w:highlight w:val="none"/>
          <w:lang w:eastAsia="zh-CN"/>
        </w:rPr>
        <w:t>。</w:t>
      </w:r>
      <w:r>
        <w:rPr>
          <w:rFonts w:hint="eastAsia" w:ascii="宋体" w:hAnsi="宋体" w:cs="宋体"/>
          <w:b/>
          <w:bCs/>
          <w:color w:val="auto"/>
          <w:sz w:val="21"/>
          <w:szCs w:val="21"/>
          <w:highlight w:val="none"/>
        </w:rPr>
        <w:t>投标</w:t>
      </w:r>
      <w:r>
        <w:rPr>
          <w:rFonts w:hint="eastAsia" w:hAnsi="宋体" w:cs="宋体"/>
          <w:b/>
          <w:bCs/>
          <w:color w:val="auto"/>
          <w:sz w:val="21"/>
          <w:szCs w:val="21"/>
          <w:highlight w:val="none"/>
          <w:lang w:val="en-US" w:eastAsia="zh-CN"/>
        </w:rPr>
        <w:t>方</w:t>
      </w:r>
      <w:r>
        <w:rPr>
          <w:rFonts w:hint="eastAsia" w:ascii="宋体" w:hAnsi="宋体" w:cs="宋体"/>
          <w:b/>
          <w:bCs/>
          <w:color w:val="auto"/>
          <w:sz w:val="21"/>
          <w:szCs w:val="21"/>
          <w:highlight w:val="none"/>
        </w:rPr>
        <w:t>须具有住房和城乡建设部颁发的电力工程施工总承包三级或以上资质。</w:t>
      </w:r>
    </w:p>
    <w:p>
      <w:pPr>
        <w:pStyle w:val="3"/>
        <w:spacing w:line="360" w:lineRule="auto"/>
        <w:rPr>
          <w:rFonts w:hAnsi="宋体" w:cs="宋体"/>
          <w:color w:val="auto"/>
          <w:sz w:val="21"/>
          <w:szCs w:val="21"/>
          <w:highlight w:val="none"/>
        </w:rPr>
      </w:pPr>
      <w:r>
        <w:rPr>
          <w:rFonts w:hint="eastAsia" w:hAnsi="宋体" w:cs="宋体"/>
          <w:bCs/>
          <w:color w:val="auto"/>
          <w:sz w:val="21"/>
          <w:szCs w:val="21"/>
          <w:highlight w:val="none"/>
        </w:rPr>
        <w:t>3.1.3.</w:t>
      </w:r>
      <w:r>
        <w:rPr>
          <w:rFonts w:hint="eastAsia" w:hAnsi="宋体" w:cs="宋体"/>
          <w:color w:val="auto"/>
          <w:sz w:val="21"/>
          <w:szCs w:val="21"/>
          <w:highlight w:val="none"/>
        </w:rPr>
        <w:t>2所有安装工作所需工具、配件、材料、管道及供电线路的碰接均由投标方自行解决。对于此次工程的施工要求遵守《铁路电力工程设备安装标准》（80）铁机字1817；中华人民共和国《电力工程电缆设计规范》GB50217-2007。</w:t>
      </w:r>
    </w:p>
    <w:p>
      <w:pPr>
        <w:spacing w:line="36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3.1.3.</w:t>
      </w:r>
      <w:r>
        <w:rPr>
          <w:rFonts w:hint="eastAsia" w:ascii="宋体" w:hAnsi="宋体" w:cs="宋体"/>
          <w:bCs/>
          <w:color w:val="auto"/>
          <w:sz w:val="21"/>
          <w:szCs w:val="21"/>
          <w:highlight w:val="none"/>
          <w:lang w:val="en-US" w:eastAsia="zh-CN"/>
        </w:rPr>
        <w:t>3</w:t>
      </w:r>
      <w:r>
        <w:rPr>
          <w:rFonts w:hint="eastAsia" w:ascii="宋体" w:hAnsi="宋体" w:cs="宋体"/>
          <w:bCs/>
          <w:color w:val="auto"/>
          <w:sz w:val="21"/>
          <w:szCs w:val="21"/>
          <w:highlight w:val="none"/>
        </w:rPr>
        <w:t>投标方根据现场进行设计，设计经甲方确认后方可生产。</w:t>
      </w:r>
    </w:p>
    <w:p>
      <w:pPr>
        <w:spacing w:line="360" w:lineRule="auto"/>
        <w:rPr>
          <w:rFonts w:ascii="宋体" w:hAnsi="宋体" w:cs="宋体"/>
          <w:b/>
          <w:color w:val="auto"/>
          <w:sz w:val="21"/>
          <w:szCs w:val="21"/>
          <w:highlight w:val="none"/>
        </w:rPr>
      </w:pPr>
      <w:r>
        <w:rPr>
          <w:rFonts w:hint="eastAsia" w:ascii="宋体" w:hAnsi="宋体" w:cs="宋体"/>
          <w:b/>
          <w:color w:val="auto"/>
          <w:sz w:val="21"/>
          <w:szCs w:val="21"/>
          <w:highlight w:val="none"/>
        </w:rPr>
        <w:t>3.2投标人按如下要求对投标设备的结构、性能进行详细描述。</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3.2.1设备的构造。</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3.2.2各部件的规格型号、生产厂家、技术参数。</w:t>
      </w:r>
    </w:p>
    <w:p>
      <w:pPr>
        <w:spacing w:line="360" w:lineRule="auto"/>
        <w:rPr>
          <w:rFonts w:ascii="宋体" w:hAnsi="宋体" w:cs="宋体"/>
          <w:bCs/>
          <w:color w:val="auto"/>
          <w:sz w:val="21"/>
          <w:szCs w:val="21"/>
          <w:highlight w:val="none"/>
        </w:rPr>
      </w:pPr>
      <w:r>
        <w:rPr>
          <w:rFonts w:hint="eastAsia" w:ascii="宋体" w:hAnsi="宋体" w:cs="宋体"/>
          <w:bCs/>
          <w:color w:val="auto"/>
          <w:sz w:val="21"/>
          <w:szCs w:val="21"/>
          <w:highlight w:val="none"/>
        </w:rPr>
        <w:t>3.2.3每项设备的主要技术指标。</w:t>
      </w:r>
    </w:p>
    <w:p>
      <w:pPr>
        <w:spacing w:line="360" w:lineRule="auto"/>
        <w:jc w:val="left"/>
        <w:rPr>
          <w:rFonts w:ascii="宋体" w:hAnsi="宋体" w:cs="宋体"/>
          <w:b/>
          <w:bCs/>
          <w:color w:val="auto"/>
          <w:sz w:val="21"/>
          <w:szCs w:val="21"/>
          <w:highlight w:val="none"/>
        </w:rPr>
      </w:pPr>
      <w:r>
        <w:rPr>
          <w:rFonts w:hint="eastAsia" w:ascii="宋体" w:hAnsi="宋体" w:cs="宋体"/>
          <w:bCs/>
          <w:color w:val="auto"/>
          <w:sz w:val="21"/>
          <w:szCs w:val="21"/>
          <w:highlight w:val="none"/>
        </w:rPr>
        <w:t>3.2.4其它技术描述。</w:t>
      </w:r>
    </w:p>
    <w:p>
      <w:pPr>
        <w:spacing w:line="360" w:lineRule="auto"/>
        <w:rPr>
          <w:rFonts w:ascii="宋体" w:hAnsi="宋体" w:cs="宋体"/>
          <w:color w:val="auto"/>
          <w:sz w:val="21"/>
          <w:szCs w:val="21"/>
          <w:highlight w:val="none"/>
        </w:rPr>
      </w:pPr>
      <w:r>
        <w:rPr>
          <w:rFonts w:hint="eastAsia" w:ascii="宋体" w:hAnsi="宋体" w:cs="宋体"/>
          <w:b/>
          <w:bCs/>
          <w:color w:val="auto"/>
          <w:sz w:val="21"/>
          <w:szCs w:val="21"/>
          <w:highlight w:val="none"/>
        </w:rPr>
        <w:t>4.供货范围</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完整的、全新的、符合制造标准的、满足本技术规范书各项条件及技术要求的标准配置。其中包括安装调试设备所必需的全部零件和材料（如连接件、电气安装材料等）。供货范围详见下表(可不限于此）。</w:t>
      </w:r>
    </w:p>
    <w:tbl>
      <w:tblPr>
        <w:tblStyle w:val="5"/>
        <w:tblW w:w="8933" w:type="dxa"/>
        <w:tblInd w:w="130" w:type="dxa"/>
        <w:tblLayout w:type="fixed"/>
        <w:tblCellMar>
          <w:top w:w="0" w:type="dxa"/>
          <w:left w:w="108" w:type="dxa"/>
          <w:bottom w:w="0" w:type="dxa"/>
          <w:right w:w="108" w:type="dxa"/>
        </w:tblCellMar>
      </w:tblPr>
      <w:tblGrid>
        <w:gridCol w:w="888"/>
        <w:gridCol w:w="3579"/>
        <w:gridCol w:w="820"/>
        <w:gridCol w:w="830"/>
        <w:gridCol w:w="2816"/>
      </w:tblGrid>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3579" w:type="dxa"/>
            <w:tcBorders>
              <w:top w:val="single" w:color="auto" w:sz="4" w:space="0"/>
              <w:left w:val="nil"/>
              <w:bottom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货物名称</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单位</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数量</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交货时间</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3579" w:type="dxa"/>
            <w:tcBorders>
              <w:top w:val="nil"/>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黍地沟站电锅炉箱式变电站250kVA 10\0.4\0.23KV</w:t>
            </w:r>
          </w:p>
        </w:tc>
        <w:tc>
          <w:tcPr>
            <w:tcW w:w="8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935"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十九沟站箱式变电站200kVA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北黄土沟站箱式变电站160kVA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樊家站箱式变电站200kVA </w:t>
            </w:r>
          </w:p>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天城站箱式变电站200kVA </w:t>
            </w:r>
          </w:p>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前石门站箱式变电站160kVA10\0.4\0.23KV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新店子站箱式变电站250kVA10\0.4\0.23KV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鸡鸣驿站箱式变电站250kVA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庙沟站电锅炉箱式变电站200kVA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三支树站电锅炉箱式变电站200kVA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1</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王桂窑站电锅炉箱式变电站250kVA10\0.4\0.23KV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12</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清水河站箱式变电站250kVA10\0.4\0.23KV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13</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老牛湾站箱式变电站200kVA10\0.4\0.23KV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14</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黄河桥箱式变电站200kVA </w:t>
            </w:r>
          </w:p>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二道河站电锅炉箱式变电站315kVA 10\0.4\0.23KV</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r>
        <w:tblPrEx>
          <w:tblLayout w:type="fixed"/>
          <w:tblCellMar>
            <w:top w:w="0" w:type="dxa"/>
            <w:left w:w="108" w:type="dxa"/>
            <w:bottom w:w="0" w:type="dxa"/>
            <w:right w:w="108" w:type="dxa"/>
          </w:tblCellMar>
        </w:tblPrEx>
        <w:trPr>
          <w:trHeight w:val="23" w:hRule="atLeast"/>
        </w:trPr>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16</w:t>
            </w:r>
          </w:p>
        </w:tc>
        <w:tc>
          <w:tcPr>
            <w:tcW w:w="3579"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配套工具GSA18V-LI往复锯双电一充4AH (配金属、木锯条各50支)</w:t>
            </w:r>
          </w:p>
        </w:tc>
        <w:tc>
          <w:tcPr>
            <w:tcW w:w="8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把</w:t>
            </w:r>
          </w:p>
        </w:tc>
        <w:tc>
          <w:tcPr>
            <w:tcW w:w="83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13</w:t>
            </w:r>
          </w:p>
        </w:tc>
        <w:tc>
          <w:tcPr>
            <w:tcW w:w="2816"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自签订合同之日起1个月</w:t>
            </w:r>
          </w:p>
        </w:tc>
      </w:tr>
    </w:tbl>
    <w:p>
      <w:pPr>
        <w:spacing w:line="360" w:lineRule="auto"/>
        <w:rPr>
          <w:rFonts w:ascii="宋体" w:hAnsi="宋体" w:cs="宋体"/>
          <w:b/>
          <w:color w:val="auto"/>
          <w:sz w:val="21"/>
          <w:szCs w:val="21"/>
          <w:highlight w:val="none"/>
        </w:rPr>
      </w:pPr>
      <w:r>
        <w:rPr>
          <w:rFonts w:hint="eastAsia" w:ascii="宋体" w:hAnsi="宋体" w:cs="宋体"/>
          <w:b/>
          <w:bCs/>
          <w:color w:val="auto"/>
          <w:sz w:val="21"/>
          <w:szCs w:val="21"/>
          <w:highlight w:val="none"/>
        </w:rPr>
        <w:t>5.技术资料</w:t>
      </w:r>
    </w:p>
    <w:p>
      <w:pPr>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5.1投标方必须随设备交付（但不仅限于此）的技术资料，基础资料（包括出厂测试报告）、《操作手册》、《配件图册》、《保养维修手册》各3套，合格证1套，并提供设备竣工档案2套，提供电子版操作规程及作业指导书（图文结合）。</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xml:space="preserve">5.1.2《保养维修手册》中要求详列有关检修方法及技术标准；详列设备的日常点检、安全注意事项。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5.1.3《操作手册》、《保养维修手册》、《配件图册》分开或集成均可以。</w:t>
      </w:r>
    </w:p>
    <w:p>
      <w:pPr>
        <w:spacing w:line="400" w:lineRule="exact"/>
        <w:rPr>
          <w:rFonts w:ascii="宋体" w:hAnsi="宋体" w:cs="宋体"/>
          <w:bCs/>
          <w:color w:val="auto"/>
          <w:sz w:val="21"/>
          <w:szCs w:val="21"/>
          <w:highlight w:val="none"/>
        </w:rPr>
      </w:pPr>
      <w:bookmarkStart w:id="2" w:name="_Toc470074031"/>
      <w:r>
        <w:rPr>
          <w:rFonts w:hint="eastAsia" w:ascii="宋体" w:hAnsi="宋体" w:cs="宋体"/>
          <w:color w:val="auto"/>
          <w:sz w:val="21"/>
          <w:szCs w:val="21"/>
          <w:highlight w:val="none"/>
        </w:rPr>
        <w:t>5.2</w:t>
      </w:r>
      <w:r>
        <w:rPr>
          <w:rFonts w:hint="eastAsia" w:ascii="宋体" w:hAnsi="宋体" w:cs="宋体"/>
          <w:bCs/>
          <w:color w:val="auto"/>
          <w:sz w:val="21"/>
          <w:szCs w:val="21"/>
          <w:highlight w:val="none"/>
        </w:rPr>
        <w:t>投标方必须交付全新的、完整的、与提供设备相符的、招标方认可的技术资料和图纸（包括纸质版本与电子版本）。对于缺失损坏、不符合要求的技术资料和图纸，投标方在30日内，补齐、更换。招标方将2套电子版文件，分别存储于U盘中与纸质版本一并交付。招标方出于培训目的，有权复制交付的技术资料和图纸。</w:t>
      </w:r>
    </w:p>
    <w:p>
      <w:pPr>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6.技术服务及培训</w:t>
      </w:r>
    </w:p>
    <w:p>
      <w:pPr>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6.1技术服务</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6.2技术培训</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投标方需派技术人员到招标方现场免费对操作、维修人员进行技术培训。通过培训能够使操作人员熟练掌握机器的各种功能，制作产品，使检修人员能清楚其构造原理，并能处理各种故障。</w:t>
      </w:r>
    </w:p>
    <w:p>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7.安装调试、考核验收</w:t>
      </w:r>
      <w:bookmarkEnd w:id="2"/>
    </w:p>
    <w:p>
      <w:pPr>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7.1安装调试</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7.1.1安装调试全部由投标方负责，包括设备的安装、调试、试运行。设备试运行期间，设备所出现的故障由投标方负责解决，招标方给予协助。</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7.1.2设备调试完成后，进行试运行，试运行由招标方操作人员在投标方技术人员的密切、具体指导下进行。</w:t>
      </w:r>
    </w:p>
    <w:p>
      <w:pPr>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7.2设备考核</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7.2.1设备考核期1个月，设备的故障次数不高于2次，故障累计时间不高于4小时。</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spacing w:line="400" w:lineRule="exact"/>
        <w:rPr>
          <w:rFonts w:ascii="宋体" w:hAnsi="宋体" w:cs="宋体"/>
          <w:bCs/>
          <w:color w:val="auto"/>
          <w:sz w:val="21"/>
          <w:szCs w:val="21"/>
          <w:highlight w:val="none"/>
        </w:rPr>
      </w:pPr>
      <w:r>
        <w:rPr>
          <w:rFonts w:hint="eastAsia" w:ascii="宋体" w:hAnsi="宋体" w:cs="宋体"/>
          <w:bCs/>
          <w:color w:val="auto"/>
          <w:sz w:val="21"/>
          <w:szCs w:val="21"/>
          <w:highlight w:val="none"/>
        </w:rPr>
        <w:t>7.3设备验收</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考核完成后，双方对设备进行验收。验收标准为本规范书规定的要求和相关标准、规范。</w:t>
      </w:r>
    </w:p>
    <w:p>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8.质量保证</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整机质量保证期为12个月。设备验收合格后，从签订完设备验收报告之日起进入质保期。在质量保证期内，因产品设计或制造质量原因造成的问题，由投标方负责免费维修或更换。</w:t>
      </w:r>
    </w:p>
    <w:p>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9.售后支持</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9.1在质保期内，如果出现故障，投标方在接到招标方书面通知后48小时内，指派技术服务人员到招标方使用现场，进行维修。</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9.2在整机质保期内，投标方指派技术服务人员到招标方使用单位进行回访和协助设备维护保养，费用由投标方承担。</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9.3投标方帮助和指导招标方解决使用中遇到的问题，对突发性故障和重大维修项目，将速派精干的服务工程师赴现场协助指导处理。</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9.4投标方根据招标方需要，保证长期提供优质、低价配件。</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9.5投标方根据招标方需要，保证长期提供配件图册、保养维修手册等技术资料。</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9.6投标方产品在技术改进后，应根据招标方需要，保证招标方设备的使用、维修及配件供应能够适应技术改进情况。</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r>
        <w:rPr>
          <w:rFonts w:hint="eastAsia" w:ascii="宋体" w:hAnsi="宋体" w:cs="宋体"/>
          <w:color w:val="auto"/>
          <w:sz w:val="21"/>
          <w:szCs w:val="21"/>
          <w:highlight w:val="none"/>
        </w:rPr>
        <w:t>9.8 投标方应在投标书中说明设备投入运行后，招标方向投标方正常订购配件时，投标方能给招标方多大幅度的优惠。说明如果招标方遇到配件急需时，投标方如何以最快的速度给予支持。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9E0D2"/>
    <w:multiLevelType w:val="multilevel"/>
    <w:tmpl w:val="AB39E0D2"/>
    <w:lvl w:ilvl="0" w:tentative="0">
      <w:start w:val="1"/>
      <w:numFmt w:val="decimal"/>
      <w:lvlText w:val="3.%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C9CC3E53"/>
    <w:multiLevelType w:val="singleLevel"/>
    <w:tmpl w:val="C9CC3E53"/>
    <w:lvl w:ilvl="0" w:tentative="0">
      <w:start w:val="1"/>
      <w:numFmt w:val="decimal"/>
      <w:lvlText w:val="(%1)"/>
      <w:lvlJc w:val="left"/>
      <w:pPr>
        <w:tabs>
          <w:tab w:val="left" w:pos="397"/>
        </w:tabs>
        <w:ind w:left="0" w:firstLine="397"/>
      </w:pPr>
      <w:rPr>
        <w:rFonts w:hint="default"/>
      </w:rPr>
    </w:lvl>
  </w:abstractNum>
  <w:abstractNum w:abstractNumId="2">
    <w:nsid w:val="0803B5ED"/>
    <w:multiLevelType w:val="singleLevel"/>
    <w:tmpl w:val="0803B5ED"/>
    <w:lvl w:ilvl="0" w:tentative="0">
      <w:start w:val="1"/>
      <w:numFmt w:val="decimal"/>
      <w:lvlText w:val="%1)"/>
      <w:lvlJc w:val="left"/>
      <w:pPr>
        <w:tabs>
          <w:tab w:val="left" w:pos="397"/>
        </w:tabs>
        <w:ind w:left="0" w:firstLine="397"/>
      </w:pPr>
      <w:rPr>
        <w:rFonts w:hint="default"/>
      </w:rPr>
    </w:lvl>
  </w:abstractNum>
  <w:abstractNum w:abstractNumId="3">
    <w:nsid w:val="62326D34"/>
    <w:multiLevelType w:val="singleLevel"/>
    <w:tmpl w:val="62326D34"/>
    <w:lvl w:ilvl="0" w:tentative="0">
      <w:start w:val="1"/>
      <w:numFmt w:val="decimal"/>
      <w:lvlText w:val="%1)"/>
      <w:lvlJc w:val="left"/>
      <w:pPr>
        <w:tabs>
          <w:tab w:val="left" w:pos="397"/>
        </w:tabs>
        <w:ind w:left="0" w:firstLine="397"/>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AB2C03"/>
    <w:rsid w:val="3DAB2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szCs w:val="20"/>
    </w:rPr>
  </w:style>
  <w:style w:type="paragraph" w:customStyle="1" w:styleId="6">
    <w:name w:val="表正文"/>
    <w:basedOn w:val="1"/>
    <w:qFormat/>
    <w:uiPriority w:val="0"/>
    <w:pPr>
      <w:adjustRightInd w:val="0"/>
      <w:spacing w:before="60" w:after="60"/>
      <w:jc w:val="center"/>
      <w:textAlignment w:val="baseline"/>
    </w:pPr>
    <w:rPr>
      <w:rFonts w:ascii="宋体"/>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2019-07-19T07:08:00Z</dcterms:created>
  <dc:creator>Administrator</dc:creator>
  <cp:lastModifiedBy>Administrator</cp:lastModifiedBy>
  <dcterms:modified xsi:type="dcterms:W3CDTF">2019-07-19T07:08:58Z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