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3" w:name="_GoBack"/>
      <w:bookmarkStart w:id="0" w:name="_Toc7333"/>
      <w:r>
        <w:rPr>
          <w:rFonts w:hint="eastAsia" w:ascii="仿宋" w:hAnsi="仿宋" w:eastAsia="仿宋" w:cs="仿宋"/>
          <w:sz w:val="24"/>
          <w:szCs w:val="24"/>
          <w:highlight w:val="none"/>
          <w:lang w:val="en-US" w:eastAsia="zh-CN"/>
        </w:rPr>
        <w:t>高压真空断路器、远动箱式开关站、10KV环网柜设备技术要求</w:t>
      </w:r>
      <w:bookmarkEnd w:id="0"/>
    </w:p>
    <w:bookmarkEnd w:id="3"/>
    <w:p>
      <w:pPr>
        <w:adjustRightInd w:val="0"/>
        <w:spacing w:line="360" w:lineRule="auto"/>
        <w:rPr>
          <w:rFonts w:ascii="宋体" w:hAnsi="宋体" w:cs="宋体"/>
          <w:b/>
          <w:sz w:val="21"/>
          <w:szCs w:val="21"/>
        </w:rPr>
      </w:pPr>
      <w:r>
        <w:rPr>
          <w:rFonts w:hint="eastAsia" w:ascii="宋体" w:hAnsi="宋体" w:cs="宋体"/>
          <w:b/>
          <w:sz w:val="21"/>
          <w:szCs w:val="21"/>
        </w:rPr>
        <w:t>1.货物需求</w:t>
      </w:r>
    </w:p>
    <w:p>
      <w:pPr>
        <w:tabs>
          <w:tab w:val="left" w:pos="360"/>
          <w:tab w:val="left" w:pos="1080"/>
        </w:tabs>
        <w:autoSpaceDE w:val="0"/>
        <w:autoSpaceDN w:val="0"/>
        <w:adjustRightInd w:val="0"/>
        <w:spacing w:line="400" w:lineRule="exact"/>
        <w:rPr>
          <w:rFonts w:ascii="宋体" w:hAnsi="宋体" w:cs="宋体"/>
          <w:sz w:val="21"/>
          <w:szCs w:val="21"/>
        </w:rPr>
      </w:pPr>
      <w:r>
        <w:rPr>
          <w:rFonts w:hint="eastAsia" w:ascii="宋体" w:hAnsi="宋体" w:cs="宋体"/>
          <w:sz w:val="21"/>
          <w:szCs w:val="21"/>
        </w:rPr>
        <w:t>1.1 货物需求一览表</w:t>
      </w:r>
    </w:p>
    <w:tbl>
      <w:tblPr>
        <w:tblStyle w:val="8"/>
        <w:tblW w:w="8863" w:type="dxa"/>
        <w:jc w:val="center"/>
        <w:tblInd w:w="0" w:type="dxa"/>
        <w:tblLayout w:type="fixed"/>
        <w:tblCellMar>
          <w:top w:w="0" w:type="dxa"/>
          <w:left w:w="108" w:type="dxa"/>
          <w:bottom w:w="0" w:type="dxa"/>
          <w:right w:w="108" w:type="dxa"/>
        </w:tblCellMar>
      </w:tblPr>
      <w:tblGrid>
        <w:gridCol w:w="757"/>
        <w:gridCol w:w="3097"/>
        <w:gridCol w:w="810"/>
        <w:gridCol w:w="930"/>
        <w:gridCol w:w="3269"/>
      </w:tblGrid>
      <w:tr>
        <w:tblPrEx>
          <w:tblLayout w:type="fixed"/>
          <w:tblCellMar>
            <w:top w:w="0" w:type="dxa"/>
            <w:left w:w="108" w:type="dxa"/>
            <w:bottom w:w="0" w:type="dxa"/>
            <w:right w:w="108" w:type="dxa"/>
          </w:tblCellMar>
        </w:tblPrEx>
        <w:trPr>
          <w:trHeight w:val="567" w:hRule="atLeast"/>
          <w:jc w:val="center"/>
        </w:trPr>
        <w:tc>
          <w:tcPr>
            <w:tcW w:w="7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 w:val="21"/>
                <w:szCs w:val="21"/>
              </w:rPr>
            </w:pPr>
            <w:r>
              <w:rPr>
                <w:rFonts w:hint="eastAsia" w:ascii="宋体" w:hAnsi="宋体" w:cs="宋体"/>
                <w:b/>
                <w:sz w:val="21"/>
                <w:szCs w:val="21"/>
              </w:rPr>
              <w:t>序号</w:t>
            </w:r>
          </w:p>
        </w:tc>
        <w:tc>
          <w:tcPr>
            <w:tcW w:w="3097"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cs="宋体"/>
                <w:b/>
                <w:sz w:val="21"/>
                <w:szCs w:val="21"/>
              </w:rPr>
            </w:pPr>
            <w:r>
              <w:rPr>
                <w:rFonts w:hint="eastAsia" w:ascii="宋体" w:hAnsi="宋体" w:cs="宋体"/>
                <w:b/>
                <w:sz w:val="21"/>
                <w:szCs w:val="21"/>
              </w:rPr>
              <w:t>货物名称</w:t>
            </w:r>
          </w:p>
        </w:tc>
        <w:tc>
          <w:tcPr>
            <w:tcW w:w="8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单位</w:t>
            </w:r>
          </w:p>
        </w:tc>
        <w:tc>
          <w:tcPr>
            <w:tcW w:w="93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数量</w:t>
            </w:r>
          </w:p>
        </w:tc>
        <w:tc>
          <w:tcPr>
            <w:tcW w:w="3269"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交货时间</w:t>
            </w:r>
          </w:p>
        </w:tc>
      </w:tr>
      <w:tr>
        <w:tblPrEx>
          <w:tblLayout w:type="fixed"/>
          <w:tblCellMar>
            <w:top w:w="0" w:type="dxa"/>
            <w:left w:w="108" w:type="dxa"/>
            <w:bottom w:w="0" w:type="dxa"/>
            <w:right w:w="108" w:type="dxa"/>
          </w:tblCellMar>
        </w:tblPrEx>
        <w:trPr>
          <w:trHeight w:val="400" w:hRule="atLeast"/>
          <w:jc w:val="center"/>
        </w:trPr>
        <w:tc>
          <w:tcPr>
            <w:tcW w:w="75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1</w:t>
            </w:r>
          </w:p>
        </w:tc>
        <w:tc>
          <w:tcPr>
            <w:tcW w:w="3097" w:type="dxa"/>
            <w:tcBorders>
              <w:top w:val="nil"/>
              <w:left w:val="nil"/>
              <w:bottom w:val="single" w:color="auto" w:sz="4" w:space="0"/>
              <w:right w:val="single" w:color="auto" w:sz="4" w:space="0"/>
            </w:tcBorders>
            <w:vAlign w:val="center"/>
          </w:tcPr>
          <w:p>
            <w:pPr>
              <w:tabs>
                <w:tab w:val="left" w:pos="0"/>
                <w:tab w:val="left" w:pos="1584"/>
              </w:tabs>
              <w:spacing w:line="360" w:lineRule="auto"/>
              <w:rPr>
                <w:rFonts w:ascii="宋体" w:hAnsi="宋体" w:cs="宋体"/>
                <w:bCs/>
                <w:sz w:val="21"/>
                <w:szCs w:val="21"/>
              </w:rPr>
            </w:pPr>
            <w:r>
              <w:rPr>
                <w:rFonts w:hint="eastAsia" w:ascii="宋体" w:hAnsi="宋体" w:cs="宋体"/>
                <w:sz w:val="21"/>
                <w:szCs w:val="21"/>
              </w:rPr>
              <w:t>远动箱式开关站</w:t>
            </w:r>
          </w:p>
        </w:tc>
        <w:tc>
          <w:tcPr>
            <w:tcW w:w="81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套</w:t>
            </w:r>
          </w:p>
        </w:tc>
        <w:tc>
          <w:tcPr>
            <w:tcW w:w="930" w:type="dxa"/>
            <w:tcBorders>
              <w:top w:val="nil"/>
              <w:left w:val="nil"/>
              <w:bottom w:val="single" w:color="auto" w:sz="4" w:space="0"/>
              <w:right w:val="single" w:color="auto" w:sz="4" w:space="0"/>
            </w:tcBorders>
            <w:vAlign w:val="center"/>
          </w:tcPr>
          <w:p>
            <w:pPr>
              <w:pStyle w:val="5"/>
              <w:spacing w:line="360" w:lineRule="auto"/>
              <w:jc w:val="center"/>
              <w:rPr>
                <w:rFonts w:ascii="宋体" w:hAnsi="宋体" w:cs="宋体"/>
                <w:bCs/>
                <w:sz w:val="21"/>
                <w:szCs w:val="21"/>
              </w:rPr>
            </w:pPr>
            <w:r>
              <w:rPr>
                <w:rFonts w:hint="eastAsia" w:ascii="宋体" w:hAnsi="宋体" w:cs="宋体"/>
                <w:bCs/>
                <w:sz w:val="21"/>
                <w:szCs w:val="21"/>
              </w:rPr>
              <w:t>5</w:t>
            </w:r>
          </w:p>
        </w:tc>
        <w:tc>
          <w:tcPr>
            <w:tcW w:w="3269"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Theme="minorEastAsia" w:hAnsiTheme="minorEastAsia" w:eastAsiaTheme="minorEastAsia" w:cstheme="minorEastAsia"/>
                <w:bCs/>
                <w:sz w:val="21"/>
                <w:szCs w:val="21"/>
              </w:rPr>
              <w:t>自签订合同之日起</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个月</w:t>
            </w:r>
          </w:p>
        </w:tc>
      </w:tr>
      <w:tr>
        <w:tblPrEx>
          <w:tblLayout w:type="fixed"/>
          <w:tblCellMar>
            <w:top w:w="0" w:type="dxa"/>
            <w:left w:w="108" w:type="dxa"/>
            <w:bottom w:w="0" w:type="dxa"/>
            <w:right w:w="108" w:type="dxa"/>
          </w:tblCellMar>
        </w:tblPrEx>
        <w:trPr>
          <w:trHeight w:val="400" w:hRule="atLeast"/>
          <w:jc w:val="center"/>
        </w:trPr>
        <w:tc>
          <w:tcPr>
            <w:tcW w:w="75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2</w:t>
            </w:r>
          </w:p>
        </w:tc>
        <w:tc>
          <w:tcPr>
            <w:tcW w:w="3097"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sz w:val="21"/>
                <w:szCs w:val="21"/>
              </w:rPr>
            </w:pPr>
            <w:r>
              <w:rPr>
                <w:rFonts w:hint="eastAsia" w:asciiTheme="minorEastAsia" w:hAnsiTheme="minorEastAsia" w:eastAsiaTheme="minorEastAsia" w:cstheme="minorEastAsia"/>
                <w:sz w:val="21"/>
                <w:szCs w:val="21"/>
              </w:rPr>
              <w:t>10kV环网柜</w:t>
            </w:r>
          </w:p>
        </w:tc>
        <w:tc>
          <w:tcPr>
            <w:tcW w:w="810"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bCs/>
                <w:sz w:val="21"/>
                <w:szCs w:val="21"/>
              </w:rPr>
            </w:pPr>
            <w:r>
              <w:rPr>
                <w:rFonts w:hint="eastAsia" w:asciiTheme="minorEastAsia" w:hAnsiTheme="minorEastAsia" w:eastAsiaTheme="minorEastAsia" w:cstheme="minorEastAsia"/>
                <w:color w:val="000000"/>
                <w:sz w:val="21"/>
                <w:szCs w:val="21"/>
              </w:rPr>
              <w:t>台</w:t>
            </w:r>
          </w:p>
        </w:tc>
        <w:tc>
          <w:tcPr>
            <w:tcW w:w="930"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bCs/>
                <w:sz w:val="21"/>
                <w:szCs w:val="21"/>
              </w:rPr>
            </w:pPr>
            <w:r>
              <w:rPr>
                <w:rFonts w:hint="eastAsia" w:asciiTheme="minorEastAsia" w:hAnsiTheme="minorEastAsia" w:eastAsiaTheme="minorEastAsia" w:cstheme="minorEastAsia"/>
                <w:color w:val="000000"/>
                <w:sz w:val="21"/>
                <w:szCs w:val="21"/>
              </w:rPr>
              <w:t>3</w:t>
            </w:r>
          </w:p>
        </w:tc>
        <w:tc>
          <w:tcPr>
            <w:tcW w:w="3269" w:type="dxa"/>
            <w:tcBorders>
              <w:top w:val="nil"/>
              <w:left w:val="nil"/>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自签订合同之日起</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个月</w:t>
            </w:r>
          </w:p>
        </w:tc>
      </w:tr>
      <w:tr>
        <w:tblPrEx>
          <w:tblLayout w:type="fixed"/>
          <w:tblCellMar>
            <w:top w:w="0" w:type="dxa"/>
            <w:left w:w="108" w:type="dxa"/>
            <w:bottom w:w="0" w:type="dxa"/>
            <w:right w:w="108" w:type="dxa"/>
          </w:tblCellMar>
        </w:tblPrEx>
        <w:trPr>
          <w:trHeight w:val="400" w:hRule="atLeast"/>
          <w:jc w:val="center"/>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Cs/>
                <w:sz w:val="21"/>
                <w:szCs w:val="21"/>
                <w:lang w:eastAsia="zh-CN"/>
              </w:rPr>
            </w:pPr>
            <w:r>
              <w:rPr>
                <w:rFonts w:hint="eastAsia" w:ascii="宋体" w:hAnsi="宋体" w:cs="宋体"/>
                <w:bCs/>
                <w:sz w:val="21"/>
                <w:szCs w:val="21"/>
                <w:lang w:val="en-US" w:eastAsia="zh-CN"/>
              </w:rPr>
              <w:t>3</w:t>
            </w:r>
          </w:p>
        </w:tc>
        <w:tc>
          <w:tcPr>
            <w:tcW w:w="3097" w:type="dxa"/>
            <w:tcBorders>
              <w:top w:val="single" w:color="auto" w:sz="4" w:space="0"/>
              <w:left w:val="nil"/>
              <w:bottom w:val="single" w:color="auto" w:sz="4" w:space="0"/>
              <w:right w:val="single" w:color="auto" w:sz="4" w:space="0"/>
            </w:tcBorders>
            <w:vAlign w:val="center"/>
          </w:tcPr>
          <w:p>
            <w:pPr>
              <w:tabs>
                <w:tab w:val="left" w:pos="0"/>
                <w:tab w:val="left" w:pos="1584"/>
              </w:tabs>
              <w:spacing w:line="360" w:lineRule="auto"/>
              <w:rPr>
                <w:rFonts w:ascii="宋体" w:hAnsi="宋体" w:cs="宋体"/>
                <w:sz w:val="21"/>
                <w:szCs w:val="21"/>
              </w:rPr>
            </w:pPr>
            <w:r>
              <w:rPr>
                <w:rFonts w:hint="eastAsia" w:ascii="宋体" w:hAnsi="宋体" w:cs="宋体"/>
                <w:sz w:val="21"/>
                <w:szCs w:val="21"/>
              </w:rPr>
              <w:t>高压真空断路器</w:t>
            </w:r>
          </w:p>
        </w:tc>
        <w:tc>
          <w:tcPr>
            <w:tcW w:w="8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台</w:t>
            </w:r>
          </w:p>
        </w:tc>
        <w:tc>
          <w:tcPr>
            <w:tcW w:w="930" w:type="dxa"/>
            <w:tcBorders>
              <w:top w:val="single" w:color="auto" w:sz="4" w:space="0"/>
              <w:left w:val="nil"/>
              <w:bottom w:val="single" w:color="auto" w:sz="4" w:space="0"/>
              <w:right w:val="single" w:color="auto" w:sz="4" w:space="0"/>
            </w:tcBorders>
            <w:vAlign w:val="center"/>
          </w:tcPr>
          <w:p>
            <w:pPr>
              <w:pStyle w:val="5"/>
              <w:spacing w:line="360" w:lineRule="auto"/>
              <w:jc w:val="center"/>
              <w:rPr>
                <w:rFonts w:ascii="宋体" w:hAnsi="宋体" w:cs="宋体"/>
                <w:bCs/>
                <w:sz w:val="21"/>
                <w:szCs w:val="21"/>
              </w:rPr>
            </w:pPr>
            <w:r>
              <w:rPr>
                <w:rFonts w:hint="eastAsia" w:ascii="宋体" w:hAnsi="宋体" w:cs="宋体"/>
                <w:bCs/>
                <w:sz w:val="21"/>
                <w:szCs w:val="21"/>
              </w:rPr>
              <w:t>10</w:t>
            </w:r>
          </w:p>
        </w:tc>
        <w:tc>
          <w:tcPr>
            <w:tcW w:w="3269"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自签订合同之日起</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个月</w:t>
            </w:r>
          </w:p>
        </w:tc>
      </w:tr>
    </w:tbl>
    <w:p>
      <w:pPr>
        <w:spacing w:line="360" w:lineRule="auto"/>
        <w:rPr>
          <w:rFonts w:hint="eastAsia" w:ascii="宋体" w:hAnsi="宋体" w:cs="宋体"/>
          <w:bCs/>
          <w:sz w:val="21"/>
          <w:szCs w:val="21"/>
        </w:rPr>
      </w:pPr>
      <w:r>
        <w:rPr>
          <w:rFonts w:hint="eastAsia" w:ascii="宋体" w:hAnsi="宋体" w:cs="宋体"/>
          <w:bCs/>
          <w:sz w:val="21"/>
          <w:szCs w:val="21"/>
        </w:rPr>
        <w:t>1.2交货地点：</w:t>
      </w:r>
    </w:p>
    <w:p>
      <w:pPr>
        <w:spacing w:line="360" w:lineRule="auto"/>
        <w:rPr>
          <w:rFonts w:hint="eastAsia" w:ascii="宋体" w:hAnsi="宋体" w:cs="宋体"/>
          <w:bCs/>
          <w:sz w:val="21"/>
          <w:szCs w:val="21"/>
        </w:rPr>
      </w:pPr>
      <w:r>
        <w:rPr>
          <w:rFonts w:hint="eastAsia" w:ascii="宋体" w:hAnsi="宋体" w:cs="宋体"/>
          <w:bCs/>
          <w:sz w:val="21"/>
          <w:szCs w:val="21"/>
        </w:rPr>
        <w:t>箱式开关站</w:t>
      </w:r>
      <w:r>
        <w:rPr>
          <w:rFonts w:hint="eastAsia" w:ascii="宋体" w:hAnsi="宋体" w:cs="宋体"/>
          <w:bCs/>
          <w:sz w:val="21"/>
          <w:szCs w:val="21"/>
          <w:lang w:eastAsia="zh-CN"/>
        </w:rPr>
        <w:t>：</w:t>
      </w:r>
      <w:r>
        <w:rPr>
          <w:rFonts w:hint="eastAsia" w:ascii="宋体" w:hAnsi="宋体" w:cs="宋体"/>
          <w:bCs/>
          <w:sz w:val="21"/>
          <w:szCs w:val="21"/>
        </w:rPr>
        <w:t>大准铁路</w:t>
      </w:r>
      <w:r>
        <w:rPr>
          <w:rFonts w:hint="eastAsia" w:ascii="宋体" w:hAnsi="宋体" w:cs="宋体"/>
          <w:sz w:val="21"/>
          <w:szCs w:val="21"/>
        </w:rPr>
        <w:t>窑沟站、大红城站、缸房夭站、庄头窑站、十九沟站</w:t>
      </w:r>
      <w:r>
        <w:rPr>
          <w:rFonts w:hint="eastAsia" w:ascii="宋体" w:hAnsi="宋体" w:cs="宋体"/>
          <w:bCs/>
          <w:sz w:val="21"/>
          <w:szCs w:val="21"/>
        </w:rPr>
        <w:t>；</w:t>
      </w:r>
    </w:p>
    <w:p>
      <w:pPr>
        <w:spacing w:line="360" w:lineRule="auto"/>
        <w:rPr>
          <w:rFonts w:hint="eastAsia" w:ascii="宋体" w:hAnsi="宋体" w:cs="宋体"/>
          <w:bCs/>
          <w:sz w:val="21"/>
          <w:szCs w:val="21"/>
        </w:rPr>
      </w:pPr>
      <w:r>
        <w:rPr>
          <w:rFonts w:hint="eastAsia" w:ascii="宋体" w:hAnsi="宋体" w:cs="宋体"/>
          <w:bCs/>
          <w:sz w:val="21"/>
          <w:szCs w:val="21"/>
        </w:rPr>
        <w:t>真空断路器</w:t>
      </w:r>
      <w:r>
        <w:rPr>
          <w:rFonts w:hint="eastAsia" w:ascii="宋体" w:hAnsi="宋体" w:cs="宋体"/>
          <w:bCs/>
          <w:sz w:val="21"/>
          <w:szCs w:val="21"/>
          <w:lang w:eastAsia="zh-CN"/>
        </w:rPr>
        <w:t>：</w:t>
      </w:r>
      <w:r>
        <w:rPr>
          <w:rFonts w:hint="eastAsia" w:ascii="宋体" w:hAnsi="宋体" w:cs="宋体"/>
          <w:bCs/>
          <w:sz w:val="21"/>
          <w:szCs w:val="21"/>
        </w:rPr>
        <w:t>黄河桥工务、老牛湾站、清水河站、王桂窑站、二道河站、三枝树站、庙沟站、鸡鸣驿站、新店子站、前石门站。</w:t>
      </w:r>
    </w:p>
    <w:p>
      <w:pPr>
        <w:spacing w:line="360" w:lineRule="auto"/>
        <w:rPr>
          <w:rFonts w:hint="eastAsia" w:ascii="宋体" w:hAnsi="宋体" w:eastAsia="宋体" w:cs="宋体"/>
          <w:bCs/>
          <w:sz w:val="21"/>
          <w:szCs w:val="21"/>
          <w:lang w:val="en-US" w:eastAsia="zh-CN"/>
        </w:rPr>
      </w:pPr>
      <w:r>
        <w:rPr>
          <w:rFonts w:hint="eastAsia" w:ascii="宋体" w:hAnsi="宋体" w:cs="宋体"/>
          <w:bCs/>
          <w:sz w:val="21"/>
          <w:szCs w:val="21"/>
          <w:lang w:val="en-US" w:eastAsia="zh-CN"/>
        </w:rPr>
        <w:t>10kV环网柜：鸡鸣驿站、清水河站、老牛湾站。</w:t>
      </w:r>
    </w:p>
    <w:p>
      <w:pPr>
        <w:spacing w:line="400" w:lineRule="exact"/>
        <w:rPr>
          <w:rFonts w:ascii="宋体" w:cs="宋体"/>
          <w:b/>
          <w:sz w:val="21"/>
          <w:szCs w:val="21"/>
        </w:rPr>
      </w:pPr>
      <w:bookmarkStart w:id="1" w:name="_Toc470074028"/>
      <w:r>
        <w:rPr>
          <w:rFonts w:hint="eastAsia" w:ascii="宋体" w:cs="宋体"/>
          <w:b/>
          <w:sz w:val="21"/>
          <w:szCs w:val="21"/>
        </w:rPr>
        <w:t>2.设备规格及使用条件</w:t>
      </w:r>
      <w:bookmarkEnd w:id="1"/>
    </w:p>
    <w:p>
      <w:pPr>
        <w:spacing w:line="360" w:lineRule="auto"/>
        <w:rPr>
          <w:rFonts w:ascii="宋体" w:hAnsi="宋体" w:cs="宋体"/>
          <w:bCs/>
          <w:sz w:val="21"/>
          <w:szCs w:val="21"/>
        </w:rPr>
      </w:pPr>
      <w:r>
        <w:rPr>
          <w:rFonts w:hint="eastAsia" w:ascii="宋体" w:hAnsi="宋体" w:cs="宋体"/>
          <w:bCs/>
          <w:sz w:val="21"/>
          <w:szCs w:val="21"/>
        </w:rPr>
        <w:t>*2.1设备名称</w:t>
      </w:r>
    </w:p>
    <w:p>
      <w:pPr>
        <w:spacing w:line="360" w:lineRule="auto"/>
        <w:rPr>
          <w:rFonts w:ascii="宋体" w:hAnsi="宋体" w:cs="宋体"/>
          <w:sz w:val="21"/>
          <w:szCs w:val="21"/>
        </w:rPr>
      </w:pPr>
      <w:r>
        <w:rPr>
          <w:rFonts w:hint="eastAsia" w:ascii="宋体" w:hAnsi="宋体" w:cs="宋体"/>
          <w:sz w:val="21"/>
          <w:szCs w:val="21"/>
        </w:rPr>
        <w:t>2.1.1设备名称：远动箱式开关站、</w:t>
      </w:r>
      <w:r>
        <w:rPr>
          <w:rFonts w:hint="eastAsia" w:asciiTheme="minorEastAsia" w:hAnsiTheme="minorEastAsia" w:eastAsiaTheme="minorEastAsia" w:cstheme="minorEastAsia"/>
          <w:sz w:val="21"/>
          <w:szCs w:val="21"/>
        </w:rPr>
        <w:t>10kV环网柜</w:t>
      </w:r>
      <w:r>
        <w:rPr>
          <w:rFonts w:hint="eastAsia" w:asciiTheme="minorEastAsia" w:hAnsiTheme="minorEastAsia" w:eastAsiaTheme="minorEastAsia" w:cstheme="minorEastAsia"/>
          <w:sz w:val="21"/>
          <w:szCs w:val="21"/>
          <w:lang w:eastAsia="zh-CN"/>
        </w:rPr>
        <w:t>、</w:t>
      </w:r>
      <w:r>
        <w:rPr>
          <w:rFonts w:hint="eastAsia" w:ascii="宋体" w:hAnsi="宋体" w:cs="宋体"/>
          <w:sz w:val="21"/>
          <w:szCs w:val="21"/>
        </w:rPr>
        <w:t>高压真空断路器。</w:t>
      </w:r>
    </w:p>
    <w:p>
      <w:pPr>
        <w:spacing w:line="360" w:lineRule="auto"/>
        <w:rPr>
          <w:rFonts w:ascii="宋体" w:hAnsi="宋体" w:cs="宋体"/>
          <w:sz w:val="21"/>
          <w:szCs w:val="21"/>
        </w:rPr>
      </w:pPr>
      <w:r>
        <w:rPr>
          <w:rFonts w:hint="eastAsia" w:ascii="宋体" w:hAnsi="宋体" w:cs="宋体"/>
          <w:sz w:val="21"/>
          <w:szCs w:val="21"/>
        </w:rPr>
        <w:t>2.1.2生产厂家及型号：</w:t>
      </w:r>
    </w:p>
    <w:p>
      <w:pPr>
        <w:spacing w:line="360" w:lineRule="auto"/>
        <w:rPr>
          <w:rFonts w:ascii="宋体" w:hAnsi="宋体" w:cs="宋体"/>
          <w:bCs/>
          <w:sz w:val="21"/>
          <w:szCs w:val="21"/>
        </w:rPr>
      </w:pPr>
      <w:r>
        <w:rPr>
          <w:rFonts w:hint="eastAsia" w:ascii="宋体" w:hAnsi="宋体" w:cs="宋体"/>
          <w:bCs/>
          <w:sz w:val="21"/>
          <w:szCs w:val="21"/>
        </w:rPr>
        <w:t>2.2设备用途</w:t>
      </w:r>
    </w:p>
    <w:p>
      <w:pPr>
        <w:spacing w:line="360" w:lineRule="auto"/>
        <w:ind w:firstLine="420" w:firstLineChars="200"/>
        <w:rPr>
          <w:rFonts w:ascii="宋体" w:hAnsi="宋体" w:cs="宋体"/>
          <w:sz w:val="21"/>
          <w:szCs w:val="21"/>
        </w:rPr>
      </w:pPr>
      <w:r>
        <w:rPr>
          <w:rFonts w:hint="eastAsia" w:ascii="宋体" w:hAnsi="宋体" w:cs="宋体"/>
          <w:sz w:val="21"/>
          <w:szCs w:val="21"/>
        </w:rPr>
        <w:t>远动箱式开关站用于10KV贯通线的远动及当地的闭合分段控制。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高压真空断路器用于控制和保护线路及用电设备。</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10kV环网柜用于高压电缆分支，对两台箱变分别供电。</w:t>
      </w:r>
    </w:p>
    <w:p>
      <w:pPr>
        <w:spacing w:line="360" w:lineRule="auto"/>
        <w:jc w:val="left"/>
        <w:rPr>
          <w:rFonts w:ascii="宋体" w:hAnsi="宋体" w:cs="宋体"/>
          <w:bCs/>
          <w:color w:val="000000"/>
          <w:sz w:val="21"/>
          <w:szCs w:val="21"/>
        </w:rPr>
      </w:pPr>
      <w:r>
        <w:rPr>
          <w:rFonts w:hint="eastAsia" w:ascii="宋体" w:hAnsi="宋体" w:cs="宋体"/>
          <w:b/>
          <w:bCs/>
          <w:sz w:val="21"/>
          <w:szCs w:val="21"/>
        </w:rPr>
        <w:t>3.设备规格及要求</w:t>
      </w:r>
    </w:p>
    <w:p>
      <w:pPr>
        <w:tabs>
          <w:tab w:val="left" w:pos="526"/>
        </w:tabs>
        <w:spacing w:line="360"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3.1</w:t>
      </w:r>
      <w:r>
        <w:rPr>
          <w:rFonts w:hint="eastAsia" w:ascii="宋体" w:hAnsi="宋体" w:cs="宋体"/>
          <w:b/>
          <w:bCs/>
          <w:color w:val="000000"/>
          <w:sz w:val="21"/>
          <w:szCs w:val="21"/>
        </w:rPr>
        <w:t>箱式远动开关站</w:t>
      </w:r>
      <w:r>
        <w:rPr>
          <w:rFonts w:hint="eastAsia" w:asciiTheme="minorEastAsia" w:hAnsiTheme="minorEastAsia" w:eastAsiaTheme="minorEastAsia" w:cstheme="minorEastAsia"/>
          <w:b/>
          <w:sz w:val="21"/>
          <w:szCs w:val="21"/>
        </w:rPr>
        <w:t>技术要求</w:t>
      </w:r>
    </w:p>
    <w:p>
      <w:pPr>
        <w:tabs>
          <w:tab w:val="left" w:pos="526"/>
        </w:tabs>
        <w:spacing w:line="360" w:lineRule="auto"/>
        <w:rPr>
          <w:rFonts w:ascii="宋体" w:hAnsi="宋体" w:cs="宋体"/>
          <w:bCs/>
          <w:color w:val="000000"/>
          <w:sz w:val="21"/>
          <w:szCs w:val="21"/>
        </w:rPr>
      </w:pPr>
      <w:r>
        <w:rPr>
          <w:rFonts w:hint="eastAsia" w:asciiTheme="minorEastAsia" w:hAnsiTheme="minorEastAsia" w:eastAsiaTheme="minorEastAsia" w:cstheme="minorEastAsia"/>
          <w:b/>
          <w:sz w:val="21"/>
          <w:szCs w:val="21"/>
        </w:rPr>
        <w:t>3.1.1</w:t>
      </w:r>
      <w:r>
        <w:rPr>
          <w:rFonts w:hint="eastAsia" w:ascii="宋体" w:hAnsi="宋体" w:cs="宋体"/>
          <w:b/>
          <w:bCs/>
          <w:color w:val="000000"/>
          <w:sz w:val="21"/>
          <w:szCs w:val="21"/>
          <w:lang w:val="en-US" w:eastAsia="zh-CN"/>
        </w:rPr>
        <w:t>每台</w:t>
      </w:r>
      <w:r>
        <w:rPr>
          <w:rFonts w:hint="eastAsia" w:ascii="宋体" w:hAnsi="宋体" w:cs="宋体"/>
          <w:b/>
          <w:bCs/>
          <w:color w:val="000000"/>
          <w:sz w:val="21"/>
          <w:szCs w:val="21"/>
        </w:rPr>
        <w:t>箱式远动开关站配置明细表</w:t>
      </w:r>
    </w:p>
    <w:tbl>
      <w:tblPr>
        <w:tblStyle w:val="8"/>
        <w:tblW w:w="884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8"/>
        <w:gridCol w:w="4148"/>
        <w:gridCol w:w="840"/>
        <w:gridCol w:w="1008"/>
        <w:gridCol w:w="20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b/>
                <w:color w:val="000000"/>
                <w:kern w:val="0"/>
                <w:sz w:val="21"/>
                <w:szCs w:val="21"/>
              </w:rPr>
            </w:pPr>
            <w:r>
              <w:rPr>
                <w:rFonts w:hint="eastAsia" w:ascii="新宋体" w:eastAsia="新宋体"/>
                <w:b/>
                <w:color w:val="000000"/>
                <w:kern w:val="0"/>
                <w:sz w:val="21"/>
                <w:szCs w:val="21"/>
              </w:rPr>
              <w:t>编号</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b/>
                <w:color w:val="000000"/>
                <w:kern w:val="0"/>
                <w:sz w:val="21"/>
                <w:szCs w:val="21"/>
              </w:rPr>
            </w:pPr>
            <w:r>
              <w:rPr>
                <w:rFonts w:hint="eastAsia" w:ascii="新宋体" w:eastAsia="新宋体"/>
                <w:b/>
                <w:color w:val="000000"/>
                <w:kern w:val="0"/>
                <w:sz w:val="21"/>
                <w:szCs w:val="21"/>
              </w:rPr>
              <w:t>设备名称</w:t>
            </w:r>
          </w:p>
        </w:tc>
        <w:tc>
          <w:tcPr>
            <w:tcW w:w="840"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b/>
                <w:color w:val="000000"/>
                <w:kern w:val="0"/>
                <w:sz w:val="21"/>
                <w:szCs w:val="21"/>
              </w:rPr>
            </w:pPr>
            <w:r>
              <w:rPr>
                <w:rFonts w:hint="eastAsia" w:ascii="新宋体" w:eastAsia="新宋体"/>
                <w:b/>
                <w:color w:val="000000"/>
                <w:kern w:val="0"/>
                <w:sz w:val="21"/>
                <w:szCs w:val="21"/>
              </w:rPr>
              <w:t>单位</w:t>
            </w:r>
          </w:p>
        </w:tc>
        <w:tc>
          <w:tcPr>
            <w:tcW w:w="100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b/>
                <w:color w:val="000000"/>
                <w:kern w:val="0"/>
                <w:sz w:val="21"/>
                <w:szCs w:val="21"/>
              </w:rPr>
            </w:pPr>
            <w:r>
              <w:rPr>
                <w:rFonts w:hint="eastAsia" w:ascii="新宋体" w:eastAsia="新宋体"/>
                <w:b/>
                <w:color w:val="000000"/>
                <w:kern w:val="0"/>
                <w:sz w:val="21"/>
                <w:szCs w:val="21"/>
              </w:rPr>
              <w:t>数量</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b/>
                <w:color w:val="000000"/>
                <w:kern w:val="0"/>
                <w:sz w:val="21"/>
                <w:szCs w:val="21"/>
              </w:rPr>
            </w:pPr>
            <w:r>
              <w:rPr>
                <w:rFonts w:hint="eastAsia" w:ascii="新宋体" w:eastAsia="新宋体"/>
                <w:b/>
                <w:color w:val="000000"/>
                <w:kern w:val="0"/>
                <w:sz w:val="21"/>
                <w:szCs w:val="21"/>
              </w:rPr>
              <w:t>安装地点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0" w:hRule="atLeast"/>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1</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环网柜</w:t>
            </w:r>
          </w:p>
        </w:tc>
        <w:tc>
          <w:tcPr>
            <w:tcW w:w="840"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台</w:t>
            </w:r>
          </w:p>
        </w:tc>
        <w:tc>
          <w:tcPr>
            <w:tcW w:w="100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hint="eastAsia" w:ascii="新宋体" w:eastAsia="新宋体"/>
                <w:color w:val="000000"/>
                <w:kern w:val="0"/>
                <w:sz w:val="21"/>
                <w:szCs w:val="21"/>
                <w:lang w:eastAsia="zh-CN"/>
              </w:rPr>
            </w:pPr>
            <w:r>
              <w:rPr>
                <w:rFonts w:hint="eastAsia" w:ascii="新宋体" w:eastAsia="新宋体"/>
                <w:color w:val="000000"/>
                <w:kern w:val="0"/>
                <w:sz w:val="21"/>
                <w:szCs w:val="21"/>
                <w:lang w:val="en-US" w:eastAsia="zh-CN"/>
              </w:rPr>
              <w:t>1</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沿线5个站点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2</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故障定位装置</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台</w:t>
            </w:r>
          </w:p>
        </w:tc>
        <w:tc>
          <w:tcPr>
            <w:tcW w:w="1008" w:type="dxa"/>
            <w:tcBorders>
              <w:top w:val="single" w:color="000000" w:sz="4" w:space="0"/>
              <w:left w:val="single" w:color="000000" w:sz="4" w:space="0"/>
              <w:bottom w:val="single" w:color="000000" w:sz="4" w:space="0"/>
              <w:right w:val="single" w:color="000000" w:sz="4" w:space="0"/>
            </w:tcBorders>
            <w:vAlign w:val="center"/>
          </w:tcPr>
          <w:p>
            <w:pPr>
              <w:widowControl/>
              <w:tabs>
                <w:tab w:val="left" w:pos="0"/>
                <w:tab w:val="left" w:pos="1584"/>
              </w:tabs>
              <w:spacing w:line="360" w:lineRule="auto"/>
              <w:jc w:val="center"/>
              <w:rPr>
                <w:rFonts w:hint="eastAsia" w:ascii="新宋体" w:eastAsia="新宋体"/>
                <w:color w:val="000000"/>
                <w:kern w:val="0"/>
                <w:sz w:val="21"/>
                <w:szCs w:val="21"/>
                <w:lang w:eastAsia="zh-CN"/>
              </w:rPr>
            </w:pPr>
            <w:r>
              <w:rPr>
                <w:rFonts w:hint="eastAsia" w:ascii="新宋体" w:eastAsia="新宋体"/>
                <w:color w:val="000000"/>
                <w:kern w:val="0"/>
                <w:sz w:val="21"/>
                <w:szCs w:val="21"/>
                <w:lang w:val="en-US" w:eastAsia="zh-CN"/>
              </w:rPr>
              <w:t>1</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沿线5个站点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8" w:hRule="atLeast"/>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ascii="新宋体" w:eastAsia="新宋体"/>
                <w:color w:val="000000"/>
                <w:kern w:val="0"/>
                <w:sz w:val="21"/>
                <w:szCs w:val="21"/>
              </w:rPr>
              <w:t>3</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光纤供货及敷设</w:t>
            </w:r>
          </w:p>
        </w:tc>
        <w:tc>
          <w:tcPr>
            <w:tcW w:w="840"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处</w:t>
            </w:r>
          </w:p>
        </w:tc>
        <w:tc>
          <w:tcPr>
            <w:tcW w:w="1008"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hint="eastAsia" w:ascii="新宋体" w:eastAsia="新宋体"/>
                <w:color w:val="000000"/>
                <w:kern w:val="0"/>
                <w:sz w:val="21"/>
                <w:szCs w:val="21"/>
                <w:lang w:eastAsia="zh-CN"/>
              </w:rPr>
            </w:pPr>
            <w:r>
              <w:rPr>
                <w:rFonts w:hint="eastAsia" w:ascii="新宋体" w:eastAsia="新宋体"/>
                <w:color w:val="000000"/>
                <w:kern w:val="0"/>
                <w:sz w:val="21"/>
                <w:szCs w:val="21"/>
                <w:lang w:val="en-US" w:eastAsia="zh-CN"/>
              </w:rPr>
              <w:t>1</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沿线5个站点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ascii="新宋体" w:eastAsia="新宋体"/>
                <w:color w:val="000000"/>
                <w:kern w:val="0"/>
                <w:sz w:val="21"/>
                <w:szCs w:val="21"/>
              </w:rPr>
              <w:t>4</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光纤连接尾纤</w:t>
            </w:r>
          </w:p>
        </w:tc>
        <w:tc>
          <w:tcPr>
            <w:tcW w:w="840"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条</w:t>
            </w:r>
          </w:p>
        </w:tc>
        <w:tc>
          <w:tcPr>
            <w:tcW w:w="1008"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hint="eastAsia" w:ascii="新宋体" w:eastAsia="新宋体"/>
                <w:color w:val="000000"/>
                <w:kern w:val="0"/>
                <w:sz w:val="21"/>
                <w:szCs w:val="21"/>
                <w:lang w:eastAsia="zh-CN"/>
              </w:rPr>
            </w:pPr>
            <w:r>
              <w:rPr>
                <w:rFonts w:hint="eastAsia" w:ascii="新宋体" w:eastAsia="新宋体"/>
                <w:color w:val="000000"/>
                <w:kern w:val="0"/>
                <w:sz w:val="21"/>
                <w:szCs w:val="21"/>
                <w:lang w:val="en-US" w:eastAsia="zh-CN"/>
              </w:rPr>
              <w:t>2</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沿线5个站点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ascii="新宋体" w:eastAsia="新宋体"/>
                <w:color w:val="000000"/>
                <w:kern w:val="0"/>
                <w:sz w:val="21"/>
                <w:szCs w:val="21"/>
              </w:rPr>
              <w:t>5</w:t>
            </w:r>
          </w:p>
        </w:tc>
        <w:tc>
          <w:tcPr>
            <w:tcW w:w="4148"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光纤收发器</w:t>
            </w:r>
          </w:p>
        </w:tc>
        <w:tc>
          <w:tcPr>
            <w:tcW w:w="840"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台</w:t>
            </w:r>
          </w:p>
        </w:tc>
        <w:tc>
          <w:tcPr>
            <w:tcW w:w="1008"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1584"/>
              </w:tabs>
              <w:spacing w:line="360" w:lineRule="auto"/>
              <w:jc w:val="center"/>
              <w:rPr>
                <w:rFonts w:hint="eastAsia" w:ascii="新宋体" w:eastAsia="新宋体"/>
                <w:color w:val="000000"/>
                <w:kern w:val="0"/>
                <w:sz w:val="21"/>
                <w:szCs w:val="21"/>
                <w:lang w:eastAsia="zh-CN"/>
              </w:rPr>
            </w:pPr>
            <w:r>
              <w:rPr>
                <w:rFonts w:hint="eastAsia" w:ascii="新宋体" w:eastAsia="新宋体"/>
                <w:color w:val="000000"/>
                <w:kern w:val="0"/>
                <w:sz w:val="21"/>
                <w:szCs w:val="21"/>
                <w:lang w:val="en-US" w:eastAsia="zh-CN"/>
              </w:rPr>
              <w:t>1</w:t>
            </w:r>
          </w:p>
        </w:tc>
        <w:tc>
          <w:tcPr>
            <w:tcW w:w="2013" w:type="dxa"/>
            <w:tcBorders>
              <w:top w:val="single" w:color="000000" w:sz="4" w:space="0"/>
              <w:left w:val="single" w:color="000000" w:sz="4" w:space="0"/>
              <w:bottom w:val="single" w:color="000000" w:sz="4" w:space="0"/>
              <w:right w:val="single" w:color="000000" w:sz="4" w:space="0"/>
            </w:tcBorders>
          </w:tcPr>
          <w:p>
            <w:pPr>
              <w:tabs>
                <w:tab w:val="left" w:pos="0"/>
                <w:tab w:val="left" w:pos="1584"/>
              </w:tabs>
              <w:spacing w:line="360" w:lineRule="auto"/>
              <w:jc w:val="center"/>
              <w:rPr>
                <w:rFonts w:ascii="新宋体" w:eastAsia="新宋体"/>
                <w:color w:val="000000"/>
                <w:kern w:val="0"/>
                <w:sz w:val="21"/>
                <w:szCs w:val="21"/>
              </w:rPr>
            </w:pPr>
            <w:r>
              <w:rPr>
                <w:rFonts w:hint="eastAsia" w:ascii="新宋体" w:eastAsia="新宋体"/>
                <w:color w:val="000000"/>
                <w:kern w:val="0"/>
                <w:sz w:val="21"/>
                <w:szCs w:val="21"/>
              </w:rPr>
              <w:t>沿线5个站点</w:t>
            </w:r>
          </w:p>
        </w:tc>
      </w:tr>
    </w:tbl>
    <w:p>
      <w:pPr>
        <w:tabs>
          <w:tab w:val="left" w:pos="526"/>
        </w:tabs>
        <w:spacing w:line="360" w:lineRule="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3.1.2环网柜技术要求</w:t>
      </w:r>
    </w:p>
    <w:p>
      <w:pPr>
        <w:tabs>
          <w:tab w:val="left" w:pos="360"/>
        </w:tabs>
        <w:spacing w:line="360" w:lineRule="auto"/>
        <w:rPr>
          <w:rFonts w:ascii="新宋体" w:eastAsia="新宋体"/>
          <w:color w:val="000000"/>
          <w:kern w:val="0"/>
          <w:sz w:val="21"/>
          <w:szCs w:val="21"/>
        </w:rPr>
      </w:pPr>
      <w:r>
        <w:rPr>
          <w:rFonts w:hint="eastAsia" w:ascii="宋体"/>
          <w:bCs/>
          <w:color w:val="000000"/>
          <w:sz w:val="21"/>
          <w:szCs w:val="21"/>
        </w:rPr>
        <w:t>*3</w:t>
      </w:r>
      <w:r>
        <w:rPr>
          <w:rFonts w:ascii="宋体"/>
          <w:bCs/>
          <w:color w:val="000000"/>
          <w:sz w:val="21"/>
          <w:szCs w:val="21"/>
        </w:rPr>
        <w:t>.</w:t>
      </w:r>
      <w:r>
        <w:rPr>
          <w:rFonts w:hint="eastAsia" w:ascii="宋体"/>
          <w:bCs/>
          <w:color w:val="000000"/>
          <w:sz w:val="21"/>
          <w:szCs w:val="21"/>
        </w:rPr>
        <w:t>1.2.1</w:t>
      </w:r>
      <w:r>
        <w:rPr>
          <w:rFonts w:hint="eastAsia" w:ascii="新宋体" w:eastAsia="新宋体"/>
          <w:color w:val="000000"/>
          <w:kern w:val="0"/>
          <w:sz w:val="21"/>
          <w:szCs w:val="21"/>
        </w:rPr>
        <w:t>环网柜总体（单套）构成及接线如下所示：</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4台LH-B-C/630-20的负荷开关；</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4套</w:t>
      </w:r>
      <w:r>
        <w:rPr>
          <w:rFonts w:hint="eastAsia" w:ascii="新宋体" w:eastAsia="新宋体"/>
          <w:color w:val="000000" w:themeColor="text1"/>
          <w:kern w:val="0"/>
          <w:sz w:val="21"/>
          <w:szCs w:val="21"/>
          <w:lang w:val="en-US" w:eastAsia="zh-CN"/>
          <w14:textFill>
            <w14:solidFill>
              <w14:schemeClr w14:val="tx1"/>
            </w14:solidFill>
          </w14:textFill>
        </w:rPr>
        <w:t xml:space="preserve"> </w:t>
      </w:r>
      <w:r>
        <w:rPr>
          <w:rFonts w:hint="eastAsia" w:ascii="新宋体" w:eastAsia="新宋体"/>
          <w:color w:val="000000" w:themeColor="text1"/>
          <w:kern w:val="0"/>
          <w:sz w:val="21"/>
          <w:szCs w:val="21"/>
          <w14:textFill>
            <w14:solidFill>
              <w14:schemeClr w14:val="tx1"/>
            </w14:solidFill>
          </w14:textFill>
        </w:rPr>
        <w:t>CG6513T/M高压带电显示器；</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2台</w:t>
      </w:r>
      <w:r>
        <w:rPr>
          <w:rFonts w:hint="eastAsia" w:ascii="新宋体" w:eastAsia="新宋体"/>
          <w:color w:val="000000" w:themeColor="text1"/>
          <w:kern w:val="0"/>
          <w:sz w:val="21"/>
          <w:szCs w:val="21"/>
          <w:lang w:val="en-US" w:eastAsia="zh-CN"/>
          <w14:textFill>
            <w14:solidFill>
              <w14:schemeClr w14:val="tx1"/>
            </w14:solidFill>
          </w14:textFill>
        </w:rPr>
        <w:t xml:space="preserve"> </w:t>
      </w:r>
      <w:r>
        <w:rPr>
          <w:rFonts w:hint="eastAsia" w:ascii="新宋体" w:eastAsia="新宋体"/>
          <w:color w:val="000000" w:themeColor="text1"/>
          <w:kern w:val="0"/>
          <w:sz w:val="21"/>
          <w:szCs w:val="21"/>
          <w14:textFill>
            <w14:solidFill>
              <w14:schemeClr w14:val="tx1"/>
            </w14:solidFill>
          </w14:textFill>
        </w:rPr>
        <w:t>10/0.1/0.22kV电压互感器；</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6台 100/5 5A电流互感</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肘型电缆头及箱体：</w:t>
      </w:r>
    </w:p>
    <w:p>
      <w:pPr>
        <w:spacing w:line="360" w:lineRule="auto"/>
        <w:ind w:firstLine="420" w:firstLineChars="200"/>
        <w:rPr>
          <w:rFonts w:ascii="新宋体" w:eastAsia="新宋体"/>
          <w:color w:val="000000" w:themeColor="text1"/>
          <w:kern w:val="0"/>
          <w:sz w:val="21"/>
          <w:szCs w:val="21"/>
          <w14:textFill>
            <w14:solidFill>
              <w14:schemeClr w14:val="tx1"/>
            </w14:solidFill>
          </w14:textFill>
        </w:rPr>
      </w:pPr>
      <w:r>
        <w:rPr>
          <w:rFonts w:hint="eastAsia" w:ascii="新宋体" w:eastAsia="新宋体"/>
          <w:color w:val="000000" w:themeColor="text1"/>
          <w:kern w:val="0"/>
          <w:sz w:val="21"/>
          <w:szCs w:val="21"/>
          <w14:textFill>
            <w14:solidFill>
              <w14:schemeClr w14:val="tx1"/>
            </w14:solidFill>
          </w14:textFill>
        </w:rPr>
        <w:t>*应能与大准铁路故障定位装置进行良好的配套对接，并负责接入大准铁路故障定位系统远动控制范围内。</w:t>
      </w:r>
    </w:p>
    <w:p>
      <w:pPr>
        <w:tabs>
          <w:tab w:val="left" w:pos="360"/>
        </w:tabs>
        <w:spacing w:line="360" w:lineRule="auto"/>
        <w:jc w:val="center"/>
        <w:rPr>
          <w:rFonts w:ascii="宋体"/>
          <w:bCs/>
          <w:color w:val="000000"/>
          <w:sz w:val="21"/>
          <w:szCs w:val="21"/>
        </w:rPr>
      </w:pPr>
      <w:r>
        <w:rPr>
          <w:rFonts w:hint="eastAsia" w:ascii="宋体"/>
          <w:bCs/>
          <w:color w:val="000000"/>
          <w:sz w:val="21"/>
          <w:szCs w:val="21"/>
        </w:rPr>
        <w:drawing>
          <wp:inline distT="0" distB="0" distL="114300" distR="114300">
            <wp:extent cx="5755640" cy="4537710"/>
            <wp:effectExtent l="0" t="0" r="16510" b="15240"/>
            <wp:docPr id="2" name="图片 2" descr="111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11111111"/>
                    <pic:cNvPicPr>
                      <a:picLocks noChangeAspect="1"/>
                    </pic:cNvPicPr>
                  </pic:nvPicPr>
                  <pic:blipFill>
                    <a:blip r:embed="rId4" cstate="print"/>
                    <a:stretch>
                      <a:fillRect/>
                    </a:stretch>
                  </pic:blipFill>
                  <pic:spPr>
                    <a:xfrm>
                      <a:off x="0" y="0"/>
                      <a:ext cx="5755640" cy="4537710"/>
                    </a:xfrm>
                    <a:prstGeom prst="rect">
                      <a:avLst/>
                    </a:prstGeom>
                  </pic:spPr>
                </pic:pic>
              </a:graphicData>
            </a:graphic>
          </wp:inline>
        </w:drawing>
      </w:r>
    </w:p>
    <w:p>
      <w:pPr>
        <w:tabs>
          <w:tab w:val="left" w:pos="360"/>
        </w:tabs>
        <w:spacing w:line="360" w:lineRule="auto"/>
        <w:rPr>
          <w:rFonts w:ascii="宋体"/>
          <w:bCs/>
          <w:color w:val="000000"/>
          <w:sz w:val="21"/>
          <w:szCs w:val="21"/>
        </w:rPr>
      </w:pPr>
      <w:r>
        <w:rPr>
          <w:rFonts w:ascii="宋体"/>
          <w:bCs/>
          <w:color w:val="000000"/>
          <w:sz w:val="21"/>
          <w:szCs w:val="21"/>
        </w:rPr>
        <w:t>3.</w:t>
      </w:r>
      <w:r>
        <w:rPr>
          <w:rFonts w:hint="eastAsia" w:ascii="宋体"/>
          <w:bCs/>
          <w:color w:val="000000"/>
          <w:sz w:val="21"/>
          <w:szCs w:val="21"/>
        </w:rPr>
        <w:t>1.2.2环网柜主要技术参数</w:t>
      </w:r>
    </w:p>
    <w:tbl>
      <w:tblPr>
        <w:tblStyle w:val="8"/>
        <w:tblW w:w="8674" w:type="dxa"/>
        <w:jc w:val="center"/>
        <w:tblInd w:w="-14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20"/>
        <w:gridCol w:w="4125"/>
        <w:gridCol w:w="743"/>
        <w:gridCol w:w="29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jc w:val="center"/>
        </w:trPr>
        <w:tc>
          <w:tcPr>
            <w:tcW w:w="820" w:type="dxa"/>
            <w:vAlign w:val="center"/>
          </w:tcPr>
          <w:p>
            <w:pPr>
              <w:spacing w:line="400" w:lineRule="exact"/>
              <w:jc w:val="center"/>
              <w:rPr>
                <w:rFonts w:ascii="新宋体" w:eastAsia="新宋体"/>
                <w:b/>
                <w:color w:val="000000"/>
                <w:sz w:val="21"/>
                <w:szCs w:val="21"/>
              </w:rPr>
            </w:pPr>
            <w:r>
              <w:rPr>
                <w:rFonts w:hint="eastAsia" w:ascii="新宋体" w:eastAsia="新宋体"/>
                <w:b/>
                <w:color w:val="000000"/>
                <w:sz w:val="21"/>
                <w:szCs w:val="21"/>
              </w:rPr>
              <w:t>序号</w:t>
            </w:r>
          </w:p>
        </w:tc>
        <w:tc>
          <w:tcPr>
            <w:tcW w:w="4125" w:type="dxa"/>
            <w:vAlign w:val="center"/>
          </w:tcPr>
          <w:p>
            <w:pPr>
              <w:pStyle w:val="3"/>
              <w:spacing w:line="400" w:lineRule="exact"/>
              <w:ind w:left="-15" w:firstLine="241"/>
              <w:jc w:val="center"/>
              <w:rPr>
                <w:rFonts w:ascii="新宋体" w:eastAsia="新宋体"/>
                <w:b/>
                <w:color w:val="000000"/>
                <w:sz w:val="21"/>
                <w:szCs w:val="21"/>
              </w:rPr>
            </w:pPr>
            <w:r>
              <w:rPr>
                <w:rFonts w:hint="eastAsia" w:ascii="新宋体" w:eastAsia="新宋体"/>
                <w:b/>
                <w:color w:val="000000"/>
                <w:sz w:val="21"/>
                <w:szCs w:val="21"/>
              </w:rPr>
              <w:t>项目</w:t>
            </w:r>
          </w:p>
        </w:tc>
        <w:tc>
          <w:tcPr>
            <w:tcW w:w="743" w:type="dxa"/>
            <w:vAlign w:val="center"/>
          </w:tcPr>
          <w:p>
            <w:pPr>
              <w:pStyle w:val="3"/>
              <w:spacing w:line="400" w:lineRule="exact"/>
              <w:ind w:firstLine="0" w:firstLineChars="0"/>
              <w:jc w:val="center"/>
              <w:rPr>
                <w:rFonts w:ascii="新宋体" w:eastAsia="新宋体"/>
                <w:b/>
                <w:color w:val="000000"/>
                <w:sz w:val="21"/>
                <w:szCs w:val="21"/>
              </w:rPr>
            </w:pPr>
            <w:r>
              <w:rPr>
                <w:rFonts w:hint="eastAsia" w:ascii="新宋体" w:eastAsia="新宋体"/>
                <w:b/>
                <w:color w:val="000000"/>
                <w:sz w:val="21"/>
                <w:szCs w:val="21"/>
              </w:rPr>
              <w:t>单位</w:t>
            </w:r>
          </w:p>
        </w:tc>
        <w:tc>
          <w:tcPr>
            <w:tcW w:w="2986" w:type="dxa"/>
            <w:vAlign w:val="center"/>
          </w:tcPr>
          <w:p>
            <w:pPr>
              <w:pStyle w:val="3"/>
              <w:spacing w:line="400" w:lineRule="exact"/>
              <w:ind w:left="24" w:firstLine="241"/>
              <w:jc w:val="center"/>
              <w:rPr>
                <w:rFonts w:ascii="新宋体" w:eastAsia="新宋体"/>
                <w:b/>
                <w:color w:val="000000"/>
                <w:sz w:val="21"/>
                <w:szCs w:val="21"/>
              </w:rPr>
            </w:pPr>
            <w:r>
              <w:rPr>
                <w:rFonts w:hint="eastAsia" w:ascii="新宋体" w:eastAsia="新宋体"/>
                <w:b/>
                <w:color w:val="000000"/>
                <w:sz w:val="21"/>
                <w:szCs w:val="21"/>
              </w:rPr>
              <w:t>技术参数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1</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额定电压</w:t>
            </w:r>
          </w:p>
        </w:tc>
        <w:tc>
          <w:tcPr>
            <w:tcW w:w="743" w:type="dxa"/>
            <w:vAlign w:val="center"/>
          </w:tcPr>
          <w:p>
            <w:pPr>
              <w:pStyle w:val="3"/>
              <w:spacing w:line="400" w:lineRule="exact"/>
              <w:ind w:left="0" w:leftChars="0" w:firstLine="0" w:firstLineChars="0"/>
              <w:jc w:val="center"/>
              <w:rPr>
                <w:rFonts w:ascii="新宋体" w:eastAsia="新宋体"/>
                <w:color w:val="000000"/>
                <w:sz w:val="21"/>
                <w:szCs w:val="21"/>
              </w:rPr>
            </w:pPr>
            <w:r>
              <w:rPr>
                <w:rFonts w:hint="eastAsia" w:ascii="新宋体" w:eastAsia="新宋体"/>
                <w:color w:val="000000"/>
                <w:sz w:val="21"/>
                <w:szCs w:val="21"/>
              </w:rPr>
              <w:t>kV</w:t>
            </w:r>
          </w:p>
        </w:tc>
        <w:tc>
          <w:tcPr>
            <w:tcW w:w="2986" w:type="dxa"/>
            <w:vAlign w:val="center"/>
          </w:tcPr>
          <w:p>
            <w:pPr>
              <w:pStyle w:val="3"/>
              <w:spacing w:line="400" w:lineRule="exact"/>
              <w:ind w:left="22" w:firstLine="240"/>
              <w:jc w:val="center"/>
              <w:rPr>
                <w:rFonts w:ascii="新宋体" w:eastAsia="新宋体"/>
                <w:color w:val="000000"/>
                <w:sz w:val="21"/>
                <w:szCs w:val="21"/>
              </w:rPr>
            </w:pPr>
            <w:r>
              <w:rPr>
                <w:rFonts w:hint="eastAsia" w:ascii="新宋体" w:eastAsia="新宋体"/>
                <w:color w:val="000000"/>
                <w:sz w:val="21"/>
                <w:szCs w:val="21"/>
              </w:rPr>
              <w:t>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2</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额定电流</w:t>
            </w:r>
          </w:p>
        </w:tc>
        <w:tc>
          <w:tcPr>
            <w:tcW w:w="743" w:type="dxa"/>
            <w:vAlign w:val="center"/>
          </w:tcPr>
          <w:p>
            <w:pPr>
              <w:pStyle w:val="3"/>
              <w:spacing w:line="400" w:lineRule="exact"/>
              <w:ind w:left="0" w:leftChars="0" w:firstLine="0" w:firstLineChars="0"/>
              <w:jc w:val="center"/>
              <w:rPr>
                <w:rFonts w:ascii="新宋体" w:eastAsia="新宋体"/>
                <w:color w:val="000000"/>
                <w:sz w:val="21"/>
                <w:szCs w:val="21"/>
              </w:rPr>
            </w:pPr>
            <w:r>
              <w:rPr>
                <w:rFonts w:hint="eastAsia" w:ascii="新宋体" w:eastAsia="新宋体"/>
                <w:color w:val="000000"/>
                <w:sz w:val="21"/>
                <w:szCs w:val="21"/>
              </w:rPr>
              <w:t>A</w:t>
            </w:r>
          </w:p>
        </w:tc>
        <w:tc>
          <w:tcPr>
            <w:tcW w:w="2986" w:type="dxa"/>
            <w:vAlign w:val="center"/>
          </w:tcPr>
          <w:p>
            <w:pPr>
              <w:pStyle w:val="3"/>
              <w:spacing w:line="400" w:lineRule="exact"/>
              <w:ind w:left="22" w:firstLine="240"/>
              <w:jc w:val="center"/>
              <w:rPr>
                <w:rFonts w:ascii="新宋体" w:eastAsia="新宋体"/>
                <w:color w:val="000000"/>
                <w:sz w:val="21"/>
                <w:szCs w:val="21"/>
              </w:rPr>
            </w:pPr>
            <w:r>
              <w:rPr>
                <w:rFonts w:hint="eastAsia" w:ascii="新宋体" w:eastAsia="新宋体"/>
                <w:color w:val="000000"/>
                <w:sz w:val="21"/>
                <w:szCs w:val="21"/>
              </w:rPr>
              <w:t>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3</w:t>
            </w:r>
          </w:p>
        </w:tc>
        <w:tc>
          <w:tcPr>
            <w:tcW w:w="4125" w:type="dxa"/>
            <w:vAlign w:val="center"/>
          </w:tcPr>
          <w:p>
            <w:pPr>
              <w:spacing w:line="360" w:lineRule="auto"/>
              <w:rPr>
                <w:rFonts w:ascii="宋体"/>
                <w:color w:val="000000"/>
                <w:sz w:val="21"/>
                <w:szCs w:val="21"/>
              </w:rPr>
            </w:pPr>
            <w:r>
              <w:rPr>
                <w:rFonts w:hint="eastAsia" w:ascii="宋体"/>
                <w:color w:val="000000"/>
                <w:sz w:val="21"/>
                <w:szCs w:val="21"/>
              </w:rPr>
              <w:t>额定频率</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Hz</w:t>
            </w:r>
          </w:p>
        </w:tc>
        <w:tc>
          <w:tcPr>
            <w:tcW w:w="2986" w:type="dxa"/>
            <w:vAlign w:val="center"/>
          </w:tcPr>
          <w:p>
            <w:pPr>
              <w:spacing w:line="360" w:lineRule="auto"/>
              <w:ind w:hanging="128"/>
              <w:jc w:val="center"/>
              <w:rPr>
                <w:rFonts w:ascii="宋体"/>
                <w:color w:val="000000"/>
                <w:sz w:val="21"/>
                <w:szCs w:val="21"/>
              </w:rPr>
            </w:pPr>
            <w:r>
              <w:rPr>
                <w:rFonts w:hint="eastAsia" w:ascii="宋体"/>
                <w:color w:val="000000"/>
                <w:sz w:val="21"/>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4</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宋体"/>
                <w:color w:val="000000"/>
                <w:sz w:val="21"/>
                <w:szCs w:val="21"/>
              </w:rPr>
              <w:t>额定绝缘水平（1min相间、对地及断口）</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kV</w:t>
            </w:r>
          </w:p>
        </w:tc>
        <w:tc>
          <w:tcPr>
            <w:tcW w:w="2986"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相间、相对地42；断口48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5</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雷电冲击耐压</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kV</w:t>
            </w:r>
          </w:p>
        </w:tc>
        <w:tc>
          <w:tcPr>
            <w:tcW w:w="2986" w:type="dxa"/>
            <w:vAlign w:val="center"/>
          </w:tcPr>
          <w:p>
            <w:pPr>
              <w:snapToGrid w:val="0"/>
              <w:spacing w:line="400" w:lineRule="exact"/>
              <w:rPr>
                <w:rFonts w:ascii="新宋体" w:eastAsia="新宋体"/>
                <w:color w:val="000000"/>
                <w:sz w:val="21"/>
                <w:szCs w:val="21"/>
              </w:rPr>
            </w:pPr>
            <w:r>
              <w:rPr>
                <w:rFonts w:hint="eastAsia" w:ascii="新宋体" w:eastAsia="新宋体"/>
                <w:color w:val="000000"/>
                <w:sz w:val="21"/>
                <w:szCs w:val="21"/>
              </w:rPr>
              <w:t>相间、相对地75；断口85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6</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额定短路关合电流(峰值)</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kA</w:t>
            </w:r>
          </w:p>
        </w:tc>
        <w:tc>
          <w:tcPr>
            <w:tcW w:w="2986" w:type="dxa"/>
            <w:vAlign w:val="center"/>
          </w:tcPr>
          <w:p>
            <w:pPr>
              <w:pStyle w:val="3"/>
              <w:spacing w:line="400" w:lineRule="exact"/>
              <w:ind w:left="22" w:firstLine="240"/>
              <w:jc w:val="center"/>
              <w:rPr>
                <w:rFonts w:ascii="新宋体" w:eastAsia="新宋体"/>
                <w:color w:val="000000"/>
                <w:sz w:val="21"/>
                <w:szCs w:val="21"/>
              </w:rPr>
            </w:pPr>
            <w:r>
              <w:rPr>
                <w:rFonts w:hint="eastAsia" w:ascii="新宋体" w:eastAsia="新宋体"/>
                <w:color w:val="000000"/>
                <w:sz w:val="21"/>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spacing w:line="400" w:lineRule="exact"/>
              <w:jc w:val="center"/>
              <w:rPr>
                <w:rFonts w:ascii="新宋体" w:eastAsia="新宋体"/>
                <w:color w:val="000000"/>
                <w:sz w:val="21"/>
                <w:szCs w:val="21"/>
              </w:rPr>
            </w:pPr>
            <w:r>
              <w:rPr>
                <w:rFonts w:hint="eastAsia" w:ascii="新宋体" w:eastAsia="新宋体"/>
                <w:color w:val="000000"/>
                <w:sz w:val="21"/>
                <w:szCs w:val="21"/>
              </w:rPr>
              <w:t>7</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额定短时耐受电流(4s)</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kA</w:t>
            </w:r>
          </w:p>
        </w:tc>
        <w:tc>
          <w:tcPr>
            <w:tcW w:w="2986" w:type="dxa"/>
            <w:vAlign w:val="center"/>
          </w:tcPr>
          <w:p>
            <w:pPr>
              <w:pStyle w:val="3"/>
              <w:spacing w:line="400" w:lineRule="exact"/>
              <w:ind w:left="22" w:firstLine="240"/>
              <w:jc w:val="center"/>
              <w:rPr>
                <w:rFonts w:ascii="新宋体" w:eastAsia="新宋体"/>
                <w:color w:val="000000"/>
                <w:sz w:val="21"/>
                <w:szCs w:val="21"/>
              </w:rPr>
            </w:pPr>
            <w:r>
              <w:rPr>
                <w:rFonts w:hint="eastAsia" w:ascii="新宋体" w:eastAsia="新宋体"/>
                <w:color w:val="000000"/>
                <w:sz w:val="21"/>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pStyle w:val="3"/>
              <w:spacing w:line="400" w:lineRule="exact"/>
              <w:ind w:firstLine="240"/>
              <w:rPr>
                <w:rFonts w:ascii="新宋体" w:eastAsia="新宋体"/>
                <w:color w:val="000000"/>
                <w:sz w:val="21"/>
                <w:szCs w:val="21"/>
              </w:rPr>
            </w:pPr>
            <w:r>
              <w:rPr>
                <w:rFonts w:hint="eastAsia" w:ascii="新宋体" w:eastAsia="新宋体"/>
                <w:color w:val="000000"/>
                <w:sz w:val="21"/>
                <w:szCs w:val="21"/>
              </w:rPr>
              <w:t>8</w:t>
            </w:r>
          </w:p>
        </w:tc>
        <w:tc>
          <w:tcPr>
            <w:tcW w:w="4125" w:type="dxa"/>
            <w:vAlign w:val="center"/>
          </w:tcPr>
          <w:p>
            <w:pPr>
              <w:pStyle w:val="3"/>
              <w:spacing w:line="400" w:lineRule="exact"/>
              <w:ind w:firstLine="0" w:firstLineChars="0"/>
              <w:rPr>
                <w:rFonts w:ascii="新宋体" w:eastAsia="新宋体"/>
                <w:color w:val="000000"/>
                <w:sz w:val="21"/>
                <w:szCs w:val="21"/>
              </w:rPr>
            </w:pPr>
            <w:r>
              <w:rPr>
                <w:rFonts w:hint="eastAsia" w:ascii="新宋体" w:eastAsia="新宋体"/>
                <w:color w:val="000000"/>
                <w:sz w:val="21"/>
                <w:szCs w:val="21"/>
              </w:rPr>
              <w:t>户外箱体防护等级</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p>
        </w:tc>
        <w:tc>
          <w:tcPr>
            <w:tcW w:w="2986" w:type="dxa"/>
            <w:vAlign w:val="center"/>
          </w:tcPr>
          <w:p>
            <w:pPr>
              <w:pStyle w:val="3"/>
              <w:spacing w:line="400" w:lineRule="exact"/>
              <w:ind w:left="22" w:firstLine="240"/>
              <w:jc w:val="center"/>
              <w:rPr>
                <w:rFonts w:ascii="新宋体" w:eastAsia="新宋体"/>
                <w:color w:val="000000"/>
                <w:sz w:val="21"/>
                <w:szCs w:val="21"/>
              </w:rPr>
            </w:pPr>
            <w:r>
              <w:rPr>
                <w:rFonts w:hint="eastAsia" w:ascii="新宋体" w:eastAsia="新宋体"/>
                <w:color w:val="000000"/>
                <w:sz w:val="21"/>
                <w:szCs w:val="21"/>
              </w:rPr>
              <w:t>IP43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pStyle w:val="3"/>
              <w:spacing w:line="400" w:lineRule="exact"/>
              <w:ind w:firstLine="240"/>
              <w:rPr>
                <w:rFonts w:ascii="新宋体" w:eastAsia="新宋体"/>
                <w:color w:val="000000"/>
                <w:sz w:val="21"/>
                <w:szCs w:val="21"/>
              </w:rPr>
            </w:pPr>
            <w:r>
              <w:rPr>
                <w:rFonts w:hint="eastAsia" w:ascii="新宋体" w:eastAsia="新宋体"/>
                <w:color w:val="000000"/>
                <w:sz w:val="21"/>
                <w:szCs w:val="21"/>
              </w:rPr>
              <w:t>9</w:t>
            </w:r>
          </w:p>
        </w:tc>
        <w:tc>
          <w:tcPr>
            <w:tcW w:w="4125" w:type="dxa"/>
            <w:vAlign w:val="center"/>
          </w:tcPr>
          <w:p>
            <w:pPr>
              <w:spacing w:line="360" w:lineRule="auto"/>
              <w:rPr>
                <w:rFonts w:ascii="宋体"/>
                <w:color w:val="000000"/>
                <w:sz w:val="21"/>
                <w:szCs w:val="21"/>
              </w:rPr>
            </w:pPr>
            <w:r>
              <w:rPr>
                <w:rFonts w:hint="eastAsia" w:ascii="宋体"/>
                <w:color w:val="000000"/>
                <w:sz w:val="21"/>
                <w:szCs w:val="21"/>
              </w:rPr>
              <w:t>回路电阻</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r>
              <w:rPr>
                <w:rFonts w:hint="eastAsia" w:ascii="新宋体" w:eastAsia="新宋体"/>
                <w:color w:val="000000"/>
                <w:sz w:val="21"/>
                <w:szCs w:val="21"/>
              </w:rPr>
              <w:t>μΩ</w:t>
            </w:r>
          </w:p>
        </w:tc>
        <w:tc>
          <w:tcPr>
            <w:tcW w:w="2986" w:type="dxa"/>
            <w:vAlign w:val="center"/>
          </w:tcPr>
          <w:p>
            <w:pPr>
              <w:spacing w:line="360" w:lineRule="auto"/>
              <w:jc w:val="center"/>
              <w:rPr>
                <w:rFonts w:ascii="宋体"/>
                <w:color w:val="000000"/>
                <w:sz w:val="21"/>
                <w:szCs w:val="21"/>
              </w:rPr>
            </w:pPr>
            <w:r>
              <w:rPr>
                <w:rFonts w:hint="eastAsia" w:ascii="宋体"/>
                <w:color w:val="000000"/>
                <w:sz w:val="21"/>
                <w:szCs w:val="21"/>
              </w:rPr>
              <w:t>≤200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20" w:type="dxa"/>
            <w:vAlign w:val="center"/>
          </w:tcPr>
          <w:p>
            <w:pPr>
              <w:pStyle w:val="3"/>
              <w:spacing w:line="400" w:lineRule="exact"/>
              <w:ind w:firstLine="240"/>
              <w:rPr>
                <w:rFonts w:ascii="新宋体" w:eastAsia="新宋体"/>
                <w:color w:val="000000"/>
                <w:sz w:val="21"/>
                <w:szCs w:val="21"/>
              </w:rPr>
            </w:pPr>
            <w:r>
              <w:rPr>
                <w:rFonts w:hint="eastAsia" w:ascii="新宋体" w:eastAsia="新宋体"/>
                <w:color w:val="000000"/>
                <w:sz w:val="21"/>
                <w:szCs w:val="21"/>
              </w:rPr>
              <w:t>10</w:t>
            </w:r>
          </w:p>
        </w:tc>
        <w:tc>
          <w:tcPr>
            <w:tcW w:w="4125" w:type="dxa"/>
            <w:vAlign w:val="center"/>
          </w:tcPr>
          <w:p>
            <w:pPr>
              <w:spacing w:line="360" w:lineRule="auto"/>
              <w:rPr>
                <w:rFonts w:ascii="宋体"/>
                <w:color w:val="000000"/>
                <w:sz w:val="21"/>
                <w:szCs w:val="21"/>
              </w:rPr>
            </w:pPr>
            <w:r>
              <w:rPr>
                <w:rFonts w:hint="eastAsia" w:ascii="宋体"/>
                <w:color w:val="000000"/>
                <w:sz w:val="21"/>
                <w:szCs w:val="21"/>
              </w:rPr>
              <w:t>绝缘介质</w:t>
            </w:r>
          </w:p>
        </w:tc>
        <w:tc>
          <w:tcPr>
            <w:tcW w:w="743" w:type="dxa"/>
            <w:vAlign w:val="center"/>
          </w:tcPr>
          <w:p>
            <w:pPr>
              <w:pStyle w:val="3"/>
              <w:spacing w:line="400" w:lineRule="exact"/>
              <w:ind w:left="0" w:leftChars="0" w:firstLine="0" w:firstLineChars="0"/>
              <w:jc w:val="center"/>
              <w:rPr>
                <w:rFonts w:hint="eastAsia" w:ascii="新宋体" w:eastAsia="新宋体"/>
                <w:color w:val="000000"/>
                <w:sz w:val="21"/>
                <w:szCs w:val="21"/>
              </w:rPr>
            </w:pPr>
          </w:p>
        </w:tc>
        <w:tc>
          <w:tcPr>
            <w:tcW w:w="2986" w:type="dxa"/>
            <w:vAlign w:val="center"/>
          </w:tcPr>
          <w:p>
            <w:pPr>
              <w:spacing w:line="360" w:lineRule="auto"/>
              <w:jc w:val="center"/>
              <w:rPr>
                <w:rFonts w:ascii="宋体"/>
                <w:color w:val="000000"/>
                <w:sz w:val="21"/>
                <w:szCs w:val="21"/>
              </w:rPr>
            </w:pPr>
            <w:r>
              <w:rPr>
                <w:rFonts w:hint="eastAsia" w:ascii="宋体"/>
                <w:color w:val="000000"/>
                <w:sz w:val="21"/>
                <w:szCs w:val="21"/>
              </w:rPr>
              <w:t>SF6气体</w:t>
            </w:r>
          </w:p>
        </w:tc>
      </w:tr>
    </w:tbl>
    <w:p>
      <w:pPr>
        <w:spacing w:line="360" w:lineRule="auto"/>
        <w:rPr>
          <w:rFonts w:ascii="宋体" w:hAnsi="宋体" w:cs="宋体"/>
          <w:sz w:val="21"/>
          <w:szCs w:val="21"/>
        </w:rPr>
      </w:pPr>
      <w:r>
        <w:rPr>
          <w:rFonts w:hint="eastAsia" w:ascii="宋体" w:hAnsi="宋体" w:cs="宋体"/>
          <w:kern w:val="0"/>
          <w:sz w:val="21"/>
          <w:szCs w:val="21"/>
        </w:rPr>
        <w:t>3.1.2.3 SF6</w:t>
      </w:r>
      <w:r>
        <w:rPr>
          <w:rFonts w:hint="eastAsia" w:ascii="宋体" w:hAnsi="宋体" w:cs="宋体"/>
          <w:sz w:val="21"/>
          <w:szCs w:val="21"/>
        </w:rPr>
        <w:t xml:space="preserve">负荷开关技术参数 </w:t>
      </w:r>
    </w:p>
    <w:tbl>
      <w:tblPr>
        <w:tblStyle w:val="8"/>
        <w:tblW w:w="8731" w:type="dxa"/>
        <w:jc w:val="center"/>
        <w:tblInd w:w="-20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8"/>
        <w:gridCol w:w="4110"/>
        <w:gridCol w:w="758"/>
        <w:gridCol w:w="29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90"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序号</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技  术  指  标</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单位</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技术参数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1</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额定电压</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kV</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2</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额定电流</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A</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3</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额定短时耐受电流（4s）</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kA</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4</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额定频率</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Hz</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5</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额定峰值耐受电流</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kA</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6</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额定短路关合电流(峰值)</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kA</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7</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 xml:space="preserve">额定短路开断电流   </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kA</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8</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 xml:space="preserve">额定短路电流开断次数   </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次</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9</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操作顺序</w:t>
            </w:r>
          </w:p>
        </w:tc>
        <w:tc>
          <w:tcPr>
            <w:tcW w:w="758" w:type="dxa"/>
          </w:tcPr>
          <w:p>
            <w:pPr>
              <w:pStyle w:val="3"/>
              <w:spacing w:line="400" w:lineRule="exact"/>
              <w:ind w:firstLine="0" w:firstLineChars="0"/>
              <w:jc w:val="center"/>
              <w:rPr>
                <w:rFonts w:ascii="宋体" w:hAnsi="宋体" w:cs="宋体"/>
                <w:sz w:val="21"/>
                <w:szCs w:val="21"/>
              </w:rPr>
            </w:pP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O-0.3s-CO-180s-CO</w:t>
            </w:r>
          </w:p>
          <w:p>
            <w:pPr>
              <w:pStyle w:val="3"/>
              <w:spacing w:line="400" w:lineRule="exact"/>
              <w:ind w:firstLine="0" w:firstLineChars="0"/>
              <w:jc w:val="center"/>
              <w:rPr>
                <w:rFonts w:ascii="宋体" w:hAnsi="宋体" w:cs="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76"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10</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操作机构</w:t>
            </w:r>
          </w:p>
        </w:tc>
        <w:tc>
          <w:tcPr>
            <w:tcW w:w="75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 xml:space="preserve"> </w:t>
            </w: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color w:val="auto"/>
                <w:sz w:val="21"/>
                <w:szCs w:val="21"/>
              </w:rPr>
              <w:t>弹簧</w:t>
            </w:r>
            <w:r>
              <w:rPr>
                <w:rFonts w:hint="eastAsia" w:ascii="宋体" w:hAnsi="宋体" w:cs="宋体"/>
                <w:sz w:val="21"/>
                <w:szCs w:val="21"/>
              </w:rPr>
              <w:t>操作机构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76"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11</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辅助接点</w:t>
            </w:r>
          </w:p>
        </w:tc>
        <w:tc>
          <w:tcPr>
            <w:tcW w:w="758" w:type="dxa"/>
          </w:tcPr>
          <w:p>
            <w:pPr>
              <w:pStyle w:val="3"/>
              <w:spacing w:line="400" w:lineRule="exact"/>
              <w:ind w:firstLine="0" w:firstLineChars="0"/>
              <w:jc w:val="center"/>
              <w:rPr>
                <w:rFonts w:ascii="宋体" w:hAnsi="宋体" w:cs="宋体"/>
                <w:sz w:val="21"/>
                <w:szCs w:val="21"/>
              </w:rPr>
            </w:pP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常开10对，常闭10对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76" w:hRule="exact"/>
          <w:jc w:val="center"/>
        </w:trPr>
        <w:tc>
          <w:tcPr>
            <w:tcW w:w="878"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12</w:t>
            </w:r>
          </w:p>
        </w:tc>
        <w:tc>
          <w:tcPr>
            <w:tcW w:w="4110"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停电可靠分合闸次数</w:t>
            </w:r>
          </w:p>
        </w:tc>
        <w:tc>
          <w:tcPr>
            <w:tcW w:w="758" w:type="dxa"/>
          </w:tcPr>
          <w:p>
            <w:pPr>
              <w:pStyle w:val="3"/>
              <w:spacing w:line="400" w:lineRule="exact"/>
              <w:ind w:firstLine="0" w:firstLineChars="0"/>
              <w:jc w:val="center"/>
              <w:rPr>
                <w:rFonts w:ascii="宋体" w:hAnsi="宋体" w:cs="宋体"/>
                <w:sz w:val="21"/>
                <w:szCs w:val="21"/>
              </w:rPr>
            </w:pPr>
          </w:p>
        </w:tc>
        <w:tc>
          <w:tcPr>
            <w:tcW w:w="2985" w:type="dxa"/>
          </w:tcPr>
          <w:p>
            <w:pPr>
              <w:pStyle w:val="3"/>
              <w:spacing w:line="400" w:lineRule="exact"/>
              <w:ind w:firstLine="0" w:firstLineChars="0"/>
              <w:jc w:val="center"/>
              <w:rPr>
                <w:rFonts w:ascii="宋体" w:hAnsi="宋体" w:cs="宋体"/>
                <w:sz w:val="21"/>
                <w:szCs w:val="21"/>
              </w:rPr>
            </w:pPr>
            <w:r>
              <w:rPr>
                <w:rFonts w:hint="eastAsia" w:ascii="宋体" w:hAnsi="宋体" w:cs="宋体"/>
                <w:sz w:val="21"/>
                <w:szCs w:val="21"/>
              </w:rPr>
              <w:t>6次分闸，6次合闸</w:t>
            </w:r>
          </w:p>
        </w:tc>
      </w:tr>
    </w:tbl>
    <w:p>
      <w:pPr>
        <w:tabs>
          <w:tab w:val="left" w:pos="360"/>
        </w:tabs>
        <w:spacing w:line="360" w:lineRule="auto"/>
        <w:rPr>
          <w:rFonts w:ascii="宋体" w:hAnsi="宋体" w:cs="宋体"/>
          <w:bCs/>
          <w:color w:val="000000"/>
          <w:sz w:val="21"/>
          <w:szCs w:val="21"/>
        </w:rPr>
      </w:pPr>
      <w:r>
        <w:rPr>
          <w:rFonts w:ascii="宋体"/>
          <w:bCs/>
          <w:color w:val="000000"/>
          <w:sz w:val="21"/>
          <w:szCs w:val="21"/>
        </w:rPr>
        <w:t>3.</w:t>
      </w:r>
      <w:r>
        <w:rPr>
          <w:rFonts w:hint="eastAsia" w:ascii="宋体"/>
          <w:bCs/>
          <w:color w:val="000000"/>
          <w:sz w:val="21"/>
          <w:szCs w:val="21"/>
        </w:rPr>
        <w:t>1</w:t>
      </w:r>
      <w:r>
        <w:rPr>
          <w:rFonts w:hint="eastAsia" w:ascii="宋体" w:hAnsi="宋体" w:cs="宋体"/>
          <w:bCs/>
          <w:color w:val="000000"/>
          <w:sz w:val="21"/>
          <w:szCs w:val="21"/>
        </w:rPr>
        <w:t>.2.4箱体结构要求</w:t>
      </w:r>
    </w:p>
    <w:p>
      <w:pPr>
        <w:numPr>
          <w:ilvl w:val="0"/>
          <w:numId w:val="0"/>
        </w:numPr>
        <w:tabs>
          <w:tab w:val="left" w:pos="1140"/>
          <w:tab w:val="left" w:pos="2640"/>
        </w:tabs>
        <w:spacing w:line="360" w:lineRule="auto"/>
        <w:ind w:left="0" w:leftChars="0" w:firstLine="367" w:firstLineChars="175"/>
        <w:rPr>
          <w:rFonts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户外型、全绝缘、全密封结构，安全可靠，体积小、重量轻、结构紧凑、安装简单，操作方便适用于各种恶劣环境。</w:t>
      </w:r>
    </w:p>
    <w:p>
      <w:pPr>
        <w:numPr>
          <w:ilvl w:val="0"/>
          <w:numId w:val="0"/>
        </w:numPr>
        <w:tabs>
          <w:tab w:val="left" w:pos="1140"/>
        </w:tabs>
        <w:spacing w:line="360" w:lineRule="auto"/>
        <w:ind w:leftChars="200"/>
        <w:rPr>
          <w:rFonts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外壳体：箱体外壳采用敷铝锌板，颜色为军品绿。</w:t>
      </w:r>
    </w:p>
    <w:p>
      <w:pPr>
        <w:numPr>
          <w:ilvl w:val="0"/>
          <w:numId w:val="0"/>
        </w:numPr>
        <w:tabs>
          <w:tab w:val="left" w:pos="11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val="zh-CN"/>
        </w:rPr>
        <w:t>（</w:t>
      </w:r>
      <w:r>
        <w:rPr>
          <w:rFonts w:hint="eastAsia" w:ascii="宋体" w:hAnsi="宋体" w:cs="宋体"/>
          <w:color w:val="000000"/>
          <w:sz w:val="21"/>
          <w:szCs w:val="21"/>
          <w:lang w:val="en-US" w:eastAsia="zh-CN"/>
        </w:rPr>
        <w:t>3</w:t>
      </w:r>
      <w:r>
        <w:rPr>
          <w:rFonts w:hint="eastAsia" w:ascii="宋体" w:hAnsi="宋体" w:cs="宋体"/>
          <w:color w:val="000000"/>
          <w:sz w:val="21"/>
          <w:szCs w:val="21"/>
          <w:lang w:val="zh-CN"/>
        </w:rPr>
        <w:t>）每个独立的SF6气室应配置SF6压力指示，并能实现低气压分合闸闭锁功能。</w:t>
      </w:r>
      <w:r>
        <w:rPr>
          <w:rFonts w:hint="eastAsia" w:ascii="宋体" w:hAnsi="宋体" w:cs="宋体"/>
          <w:sz w:val="21"/>
          <w:szCs w:val="21"/>
        </w:rPr>
        <w:t>母排、连接件、断路器全部置于SF6气箱中，是户外型、全绝缘、全密封的箱式结构，箱体采用6mm厚的锅炉钢制成,SF6气体年泄露率低于国标1%的标准。</w:t>
      </w:r>
    </w:p>
    <w:p>
      <w:pPr>
        <w:numPr>
          <w:ilvl w:val="0"/>
          <w:numId w:val="0"/>
        </w:numPr>
        <w:tabs>
          <w:tab w:val="left" w:pos="1140"/>
        </w:tabs>
        <w:spacing w:line="360" w:lineRule="auto"/>
        <w:ind w:leftChars="200"/>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4</w:t>
      </w:r>
      <w:r>
        <w:rPr>
          <w:rFonts w:hint="eastAsia" w:ascii="宋体" w:hAnsi="宋体" w:cs="宋体"/>
          <w:color w:val="000000"/>
          <w:sz w:val="21"/>
          <w:szCs w:val="21"/>
          <w:lang w:eastAsia="zh-CN"/>
        </w:rPr>
        <w:t>）</w:t>
      </w:r>
      <w:r>
        <w:rPr>
          <w:rFonts w:hint="eastAsia" w:ascii="宋体" w:hAnsi="宋体" w:cs="宋体"/>
          <w:color w:val="000000"/>
          <w:sz w:val="21"/>
          <w:szCs w:val="21"/>
        </w:rPr>
        <w:t>环网柜设备的泄压通道应设置明显的警示标志。</w:t>
      </w:r>
    </w:p>
    <w:p>
      <w:pPr>
        <w:numPr>
          <w:ilvl w:val="0"/>
          <w:numId w:val="0"/>
        </w:numPr>
        <w:tabs>
          <w:tab w:val="left" w:pos="1140"/>
          <w:tab w:val="left" w:pos="26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5</w:t>
      </w:r>
      <w:r>
        <w:rPr>
          <w:rFonts w:hint="eastAsia" w:ascii="宋体" w:hAnsi="宋体" w:cs="宋体"/>
          <w:color w:val="000000"/>
          <w:sz w:val="21"/>
          <w:szCs w:val="21"/>
          <w:lang w:eastAsia="zh-CN"/>
        </w:rPr>
        <w:t>）</w:t>
      </w:r>
      <w:r>
        <w:rPr>
          <w:rFonts w:hint="eastAsia" w:ascii="宋体" w:hAnsi="宋体" w:cs="宋体"/>
          <w:color w:val="000000"/>
          <w:sz w:val="21"/>
          <w:szCs w:val="21"/>
        </w:rPr>
        <w:t>负荷开关可选用三工位负荷开关，负荷开关与接地开关间应有可靠的机械防误联锁，负荷开关及接地开关操作孔应有挂锁装置，挂锁后可阻止操作把手插入操作孔。</w:t>
      </w:r>
    </w:p>
    <w:p>
      <w:pPr>
        <w:numPr>
          <w:ilvl w:val="0"/>
          <w:numId w:val="0"/>
        </w:numPr>
        <w:tabs>
          <w:tab w:val="left" w:pos="1140"/>
          <w:tab w:val="left" w:pos="26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6</w:t>
      </w:r>
      <w:r>
        <w:rPr>
          <w:rFonts w:hint="eastAsia" w:ascii="宋体" w:hAnsi="宋体" w:cs="宋体"/>
          <w:color w:val="000000"/>
          <w:sz w:val="21"/>
          <w:szCs w:val="21"/>
          <w:lang w:eastAsia="zh-CN"/>
        </w:rPr>
        <w:t>）</w:t>
      </w:r>
      <w:r>
        <w:rPr>
          <w:rFonts w:hint="eastAsia" w:ascii="宋体" w:hAnsi="宋体" w:cs="宋体"/>
          <w:color w:val="000000"/>
          <w:sz w:val="21"/>
          <w:szCs w:val="21"/>
        </w:rPr>
        <w:t>环网柜的五防及联锁装置应满足DL 538、DL/T 593及SD 318的相关规定，同时</w:t>
      </w:r>
      <w:r>
        <w:rPr>
          <w:rFonts w:hint="eastAsia" w:ascii="宋体" w:hAnsi="宋体" w:cs="宋体"/>
          <w:sz w:val="21"/>
          <w:szCs w:val="21"/>
        </w:rPr>
        <w:t>满足</w:t>
      </w:r>
      <w:r>
        <w:rPr>
          <w:rFonts w:hint="eastAsia" w:ascii="宋体" w:hAnsi="宋体" w:cs="宋体"/>
          <w:color w:val="000000"/>
          <w:sz w:val="21"/>
          <w:szCs w:val="21"/>
        </w:rPr>
        <w:t>以下要求：</w:t>
      </w:r>
    </w:p>
    <w:p>
      <w:pPr>
        <w:numPr>
          <w:ilvl w:val="0"/>
          <w:numId w:val="0"/>
        </w:numPr>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lang w:val="en-US" w:eastAsia="zh-CN"/>
        </w:rPr>
        <w:t>1）</w:t>
      </w:r>
      <w:r>
        <w:rPr>
          <w:rFonts w:hint="eastAsia" w:ascii="宋体" w:hAnsi="宋体" w:cs="宋体"/>
          <w:color w:val="000000"/>
          <w:sz w:val="21"/>
          <w:szCs w:val="21"/>
        </w:rPr>
        <w:t>环网柜应具有可靠的“五防”功能：防止误分、误合断路器；防止带负荷分、合隔离开关（插头）；防止带电合接地开关；防止带接地开关送电；防止误入带电间隔。</w:t>
      </w:r>
    </w:p>
    <w:p>
      <w:pPr>
        <w:numPr>
          <w:ilvl w:val="0"/>
          <w:numId w:val="0"/>
        </w:numPr>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lang w:val="en-US" w:eastAsia="zh-CN"/>
        </w:rPr>
        <w:t>2）</w:t>
      </w:r>
      <w:r>
        <w:rPr>
          <w:rFonts w:hint="eastAsia" w:ascii="宋体" w:hAnsi="宋体" w:cs="宋体"/>
          <w:color w:val="000000"/>
          <w:sz w:val="21"/>
          <w:szCs w:val="21"/>
        </w:rPr>
        <w:t>电缆室门与接地开关应同时具备电气联锁和机械闭锁。</w:t>
      </w:r>
    </w:p>
    <w:p>
      <w:pPr>
        <w:numPr>
          <w:ilvl w:val="0"/>
          <w:numId w:val="0"/>
        </w:numPr>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lang w:val="en-US" w:eastAsia="zh-CN"/>
        </w:rPr>
        <w:t>3）</w:t>
      </w:r>
      <w:r>
        <w:rPr>
          <w:rFonts w:hint="eastAsia" w:ascii="宋体" w:hAnsi="宋体" w:cs="宋体"/>
          <w:color w:val="000000"/>
          <w:sz w:val="21"/>
          <w:szCs w:val="21"/>
        </w:rPr>
        <w:t>采用两工位隔离开关时，隔离开关与负荷开关间应有可靠的机械防误联锁。</w:t>
      </w:r>
    </w:p>
    <w:p>
      <w:pPr>
        <w:numPr>
          <w:ilvl w:val="0"/>
          <w:numId w:val="0"/>
        </w:numPr>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lang w:val="en-US" w:eastAsia="zh-CN"/>
        </w:rPr>
        <w:t>4）</w:t>
      </w:r>
      <w:r>
        <w:rPr>
          <w:rFonts w:hint="eastAsia" w:ascii="宋体" w:hAnsi="宋体" w:cs="宋体"/>
          <w:color w:val="000000"/>
          <w:sz w:val="21"/>
          <w:szCs w:val="21"/>
        </w:rPr>
        <w:t>环网柜PT接线按需配置，一次侧可采用屏蔽型可触摸电缆终端连接。</w:t>
      </w:r>
    </w:p>
    <w:p>
      <w:pPr>
        <w:numPr>
          <w:ilvl w:val="0"/>
          <w:numId w:val="0"/>
        </w:numPr>
        <w:tabs>
          <w:tab w:val="left" w:pos="1140"/>
        </w:tabs>
        <w:spacing w:line="360" w:lineRule="auto"/>
        <w:ind w:leftChars="200"/>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7</w:t>
      </w:r>
      <w:r>
        <w:rPr>
          <w:rFonts w:hint="eastAsia" w:ascii="宋体" w:hAnsi="宋体" w:cs="宋体"/>
          <w:color w:val="000000"/>
          <w:sz w:val="21"/>
          <w:szCs w:val="21"/>
          <w:lang w:eastAsia="zh-CN"/>
        </w:rPr>
        <w:t>）</w:t>
      </w:r>
      <w:r>
        <w:rPr>
          <w:rFonts w:hint="eastAsia" w:ascii="宋体" w:hAnsi="宋体" w:cs="宋体"/>
          <w:color w:val="000000"/>
          <w:sz w:val="21"/>
          <w:szCs w:val="21"/>
        </w:rPr>
        <w:t>PT设高压侧熔断器，通过开关连接于进线单元。</w:t>
      </w:r>
    </w:p>
    <w:p>
      <w:pPr>
        <w:numPr>
          <w:ilvl w:val="0"/>
          <w:numId w:val="0"/>
        </w:numPr>
        <w:tabs>
          <w:tab w:val="left" w:pos="1140"/>
        </w:tabs>
        <w:spacing w:line="360" w:lineRule="auto"/>
        <w:ind w:leftChars="200"/>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8</w:t>
      </w:r>
      <w:r>
        <w:rPr>
          <w:rFonts w:hint="eastAsia" w:ascii="宋体" w:hAnsi="宋体" w:cs="宋体"/>
          <w:color w:val="000000"/>
          <w:sz w:val="21"/>
          <w:szCs w:val="21"/>
          <w:lang w:eastAsia="zh-CN"/>
        </w:rPr>
        <w:t>）</w:t>
      </w:r>
      <w:r>
        <w:rPr>
          <w:rFonts w:hint="eastAsia" w:ascii="宋体" w:hAnsi="宋体" w:cs="宋体"/>
          <w:color w:val="000000"/>
          <w:sz w:val="21"/>
          <w:szCs w:val="21"/>
        </w:rPr>
        <w:t>接线采用全绝缘预铸式电缆接头。</w:t>
      </w:r>
    </w:p>
    <w:p>
      <w:pPr>
        <w:numPr>
          <w:ilvl w:val="0"/>
          <w:numId w:val="0"/>
        </w:numPr>
        <w:tabs>
          <w:tab w:val="left" w:pos="1140"/>
        </w:tabs>
        <w:spacing w:line="360" w:lineRule="auto"/>
        <w:ind w:leftChars="200"/>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9</w:t>
      </w:r>
      <w:r>
        <w:rPr>
          <w:rFonts w:hint="eastAsia" w:ascii="宋体" w:hAnsi="宋体" w:cs="宋体"/>
          <w:color w:val="000000"/>
          <w:sz w:val="21"/>
          <w:szCs w:val="21"/>
          <w:lang w:eastAsia="zh-CN"/>
        </w:rPr>
        <w:t>）</w:t>
      </w:r>
      <w:r>
        <w:rPr>
          <w:rFonts w:hint="eastAsia" w:ascii="宋体" w:hAnsi="宋体" w:cs="宋体"/>
          <w:color w:val="000000"/>
          <w:sz w:val="21"/>
          <w:szCs w:val="21"/>
        </w:rPr>
        <w:t>每回进出线回路均需安装高压带电显示器。</w:t>
      </w:r>
    </w:p>
    <w:p>
      <w:pPr>
        <w:numPr>
          <w:ilvl w:val="0"/>
          <w:numId w:val="0"/>
        </w:numPr>
        <w:tabs>
          <w:tab w:val="left" w:pos="11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10</w:t>
      </w:r>
      <w:r>
        <w:rPr>
          <w:rFonts w:hint="eastAsia" w:ascii="宋体" w:hAnsi="宋体" w:cs="宋体"/>
          <w:color w:val="000000"/>
          <w:sz w:val="21"/>
          <w:szCs w:val="21"/>
          <w:lang w:eastAsia="zh-CN"/>
        </w:rPr>
        <w:t>）</w:t>
      </w:r>
      <w:r>
        <w:rPr>
          <w:rFonts w:hint="eastAsia" w:ascii="宋体" w:hAnsi="宋体" w:cs="宋体"/>
          <w:color w:val="000000"/>
          <w:sz w:val="21"/>
          <w:szCs w:val="21"/>
        </w:rPr>
        <w:t>环网柜与故障定位装置进行配合，故障定位装置合分闸控制输出应为无源接点，环网柜与故障定位装置二次连接使用航空插头。控制电缆长度为６米。环网柜给故障定位装置提供信号输入，如：合分闸状态辅助接点、电源电压、保护电流。</w:t>
      </w:r>
    </w:p>
    <w:p>
      <w:pPr>
        <w:numPr>
          <w:ilvl w:val="0"/>
          <w:numId w:val="0"/>
        </w:numPr>
        <w:tabs>
          <w:tab w:val="left" w:pos="11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11</w:t>
      </w:r>
      <w:r>
        <w:rPr>
          <w:rFonts w:hint="eastAsia" w:ascii="宋体" w:hAnsi="宋体" w:cs="宋体"/>
          <w:color w:val="000000"/>
          <w:sz w:val="21"/>
          <w:szCs w:val="21"/>
          <w:lang w:eastAsia="zh-CN"/>
        </w:rPr>
        <w:t>）</w:t>
      </w:r>
      <w:r>
        <w:rPr>
          <w:rFonts w:hint="eastAsia" w:ascii="宋体" w:hAnsi="宋体" w:cs="宋体"/>
          <w:color w:val="000000"/>
          <w:sz w:val="21"/>
          <w:szCs w:val="21"/>
        </w:rPr>
        <w:t>箱体应有安全可靠的防护性能，箱体内无导体裸露，每侧箱门外应至少设置一处国家标准的警告标志“电力符号”及文字“高压危险”，柜门内应附有塑胶的一次系统接线图</w:t>
      </w:r>
      <w:r>
        <w:rPr>
          <w:rFonts w:hint="eastAsia" w:ascii="宋体" w:hAnsi="宋体" w:cs="宋体"/>
          <w:bCs/>
          <w:color w:val="000000"/>
          <w:sz w:val="21"/>
          <w:szCs w:val="21"/>
        </w:rPr>
        <w:t>。</w:t>
      </w:r>
    </w:p>
    <w:p>
      <w:pPr>
        <w:numPr>
          <w:ilvl w:val="0"/>
          <w:numId w:val="0"/>
        </w:numPr>
        <w:tabs>
          <w:tab w:val="left" w:pos="11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12</w:t>
      </w:r>
      <w:r>
        <w:rPr>
          <w:rFonts w:hint="eastAsia" w:ascii="宋体" w:hAnsi="宋体" w:cs="宋体"/>
          <w:color w:val="000000"/>
          <w:sz w:val="21"/>
          <w:szCs w:val="21"/>
          <w:lang w:eastAsia="zh-CN"/>
        </w:rPr>
        <w:t>）</w:t>
      </w:r>
      <w:r>
        <w:rPr>
          <w:rFonts w:hint="eastAsia" w:ascii="宋体" w:hAnsi="宋体" w:cs="宋体"/>
          <w:color w:val="000000"/>
          <w:sz w:val="21"/>
          <w:szCs w:val="21"/>
        </w:rPr>
        <w:t>箱顶盖应有5％的坡度，顶盖不积水，顶盖为可拆卸结构，满足吊装的要求。吊装环为可拆卸式结构，顶部吊装采用线路悬垂绝缘子挂接原理。箱门应密封防水，应设置不易被破坏、侵害的专用锁(暗锁)；箱体外(不含基础)无外露可拆卸的螺栓。</w:t>
      </w:r>
    </w:p>
    <w:p>
      <w:pPr>
        <w:numPr>
          <w:ilvl w:val="0"/>
          <w:numId w:val="0"/>
        </w:numPr>
        <w:tabs>
          <w:tab w:val="left" w:pos="1140"/>
        </w:tabs>
        <w:spacing w:line="360" w:lineRule="auto"/>
        <w:ind w:leftChars="200"/>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13</w:t>
      </w:r>
      <w:r>
        <w:rPr>
          <w:rFonts w:hint="eastAsia" w:ascii="宋体" w:hAnsi="宋体" w:cs="宋体"/>
          <w:color w:val="000000"/>
          <w:sz w:val="21"/>
          <w:szCs w:val="21"/>
          <w:lang w:eastAsia="zh-CN"/>
        </w:rPr>
        <w:t>）</w:t>
      </w:r>
      <w:r>
        <w:rPr>
          <w:rFonts w:hint="eastAsia" w:ascii="宋体" w:hAnsi="宋体" w:cs="宋体"/>
          <w:color w:val="000000"/>
          <w:sz w:val="21"/>
          <w:szCs w:val="21"/>
        </w:rPr>
        <w:t>环网柜箱</w:t>
      </w:r>
      <w:r>
        <w:rPr>
          <w:rFonts w:hint="eastAsia" w:ascii="宋体" w:hAnsi="宋体" w:cs="宋体"/>
          <w:bCs/>
          <w:color w:val="000000"/>
          <w:sz w:val="21"/>
          <w:szCs w:val="21"/>
        </w:rPr>
        <w:t>壳应</w:t>
      </w:r>
      <w:r>
        <w:rPr>
          <w:rFonts w:hint="eastAsia" w:ascii="宋体" w:hAnsi="宋体" w:cs="宋体"/>
          <w:color w:val="000000"/>
          <w:sz w:val="21"/>
          <w:szCs w:val="21"/>
        </w:rPr>
        <w:t>设置通风孔，使空气四面流通。</w:t>
      </w:r>
    </w:p>
    <w:p>
      <w:pPr>
        <w:numPr>
          <w:ilvl w:val="0"/>
          <w:numId w:val="0"/>
        </w:numPr>
        <w:tabs>
          <w:tab w:val="left" w:pos="1140"/>
        </w:tabs>
        <w:spacing w:line="360" w:lineRule="auto"/>
        <w:ind w:left="0" w:leftChars="0" w:firstLine="367" w:firstLineChars="175"/>
        <w:rPr>
          <w:rFonts w:ascii="宋体" w:hAnsi="宋体" w:cs="宋体"/>
          <w:color w:val="000000"/>
          <w:sz w:val="21"/>
          <w:szCs w:val="21"/>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14</w:t>
      </w:r>
      <w:r>
        <w:rPr>
          <w:rFonts w:hint="eastAsia" w:ascii="宋体" w:hAnsi="宋体" w:cs="宋体"/>
          <w:color w:val="000000"/>
          <w:sz w:val="21"/>
          <w:szCs w:val="21"/>
          <w:lang w:eastAsia="zh-CN"/>
        </w:rPr>
        <w:t>）</w:t>
      </w:r>
      <w:r>
        <w:rPr>
          <w:rFonts w:hint="eastAsia" w:ascii="宋体" w:hAnsi="宋体" w:cs="宋体"/>
          <w:color w:val="000000"/>
          <w:sz w:val="21"/>
          <w:szCs w:val="21"/>
        </w:rPr>
        <w:t>箱壳应有足够的机械强度，薄弱位置应增加加强筋，在起吊、运输、安装中不得变形或损伤。</w:t>
      </w:r>
    </w:p>
    <w:p>
      <w:pPr>
        <w:numPr>
          <w:ilvl w:val="0"/>
          <w:numId w:val="0"/>
        </w:numPr>
        <w:tabs>
          <w:tab w:val="left" w:pos="1140"/>
        </w:tabs>
        <w:spacing w:line="360" w:lineRule="auto"/>
        <w:ind w:left="0" w:leftChars="0" w:firstLine="367" w:firstLineChars="175"/>
        <w:rPr>
          <w:rFonts w:ascii="宋体" w:hAnsi="宋体" w:cs="宋体"/>
          <w:color w:val="000000"/>
          <w:sz w:val="21"/>
          <w:szCs w:val="21"/>
          <w:lang w:val="zh-CN"/>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15</w:t>
      </w:r>
      <w:r>
        <w:rPr>
          <w:rFonts w:hint="eastAsia" w:ascii="宋体" w:hAnsi="宋体" w:cs="宋体"/>
          <w:color w:val="000000"/>
          <w:sz w:val="21"/>
          <w:szCs w:val="21"/>
          <w:lang w:eastAsia="zh-CN"/>
        </w:rPr>
        <w:t>）</w:t>
      </w:r>
      <w:r>
        <w:rPr>
          <w:rFonts w:hint="eastAsia" w:ascii="宋体" w:hAnsi="宋体" w:cs="宋体"/>
          <w:color w:val="000000"/>
          <w:sz w:val="21"/>
          <w:szCs w:val="21"/>
        </w:rPr>
        <w:t>环网柜的接地系统应符合DL/T621-1997《交流电气装置的接地》的要求。环网柜的箱体应设专用接地导体，环网柜、底座槽钢、门应与接地导体可靠连接。接地母线应设有不少于二处与接地系统相连的端子，并应有明显的接地标志，接地端子所用螺栓直径应不小于M12，接地铜导体截面应不小于25mm</w:t>
      </w:r>
      <w:r>
        <w:rPr>
          <w:rFonts w:hint="eastAsia" w:ascii="宋体" w:hAnsi="宋体" w:cs="宋体"/>
          <w:color w:val="000000"/>
          <w:sz w:val="21"/>
          <w:szCs w:val="21"/>
          <w:vertAlign w:val="superscript"/>
        </w:rPr>
        <w:t>2</w:t>
      </w:r>
      <w:r>
        <w:rPr>
          <w:rFonts w:hint="eastAsia" w:ascii="宋体" w:hAnsi="宋体" w:cs="宋体"/>
          <w:color w:val="000000"/>
          <w:sz w:val="21"/>
          <w:szCs w:val="21"/>
        </w:rPr>
        <w:t>。</w:t>
      </w:r>
    </w:p>
    <w:p>
      <w:pPr>
        <w:tabs>
          <w:tab w:val="left" w:pos="360"/>
        </w:tabs>
        <w:spacing w:line="360" w:lineRule="auto"/>
        <w:rPr>
          <w:rFonts w:ascii="宋体" w:hAnsi="宋体" w:cs="宋体"/>
          <w:b/>
          <w:color w:val="000000"/>
          <w:sz w:val="21"/>
          <w:szCs w:val="21"/>
        </w:rPr>
      </w:pPr>
      <w:r>
        <w:rPr>
          <w:rFonts w:hint="eastAsia" w:ascii="宋体" w:hAnsi="宋体" w:cs="宋体"/>
          <w:b/>
          <w:color w:val="000000"/>
          <w:sz w:val="21"/>
          <w:szCs w:val="21"/>
        </w:rPr>
        <w:t>3.1.3</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高压电缆及低压电缆引入和引出</w:t>
      </w:r>
    </w:p>
    <w:p>
      <w:pPr>
        <w:numPr>
          <w:ilvl w:val="0"/>
          <w:numId w:val="1"/>
        </w:numPr>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10kV户外环网柜高压为一进一出式</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系统额定电压：10kV。</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系统最高电压：12kV。</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系统额定频率：50Hz。</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进出线采用电缆头T接总数2路（含避雷器）。</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电缆接头至电缆引入处（孔或固定箍）距离≥590mm，柜内相对地、相间空气间隙必须大于100mm，复合绝缘距离必须大于30mm，柜内套管、支持绝缘件采用阻燃材料。电力电缆隔室与电缆沟连接处应设置防止小动物进入的措施。电缆肘型头由厂家负责提供，选用国内知名品牌的屏蔽式电缆头，正常条件下可多次拆卸安装使用。</w:t>
      </w:r>
    </w:p>
    <w:p>
      <w:pPr>
        <w:numPr>
          <w:ilvl w:val="0"/>
          <w:numId w:val="1"/>
        </w:numPr>
        <w:tabs>
          <w:tab w:val="left" w:pos="900"/>
        </w:tabs>
        <w:adjustRightInd w:val="0"/>
        <w:spacing w:line="360" w:lineRule="auto"/>
        <w:ind w:firstLine="0"/>
        <w:textAlignment w:val="baseline"/>
        <w:rPr>
          <w:rFonts w:ascii="宋体" w:hAnsi="宋体" w:cs="宋体"/>
          <w:color w:val="000000"/>
          <w:kern w:val="0"/>
          <w:sz w:val="21"/>
          <w:szCs w:val="21"/>
        </w:rPr>
      </w:pPr>
      <w:r>
        <w:rPr>
          <w:rFonts w:hint="eastAsia" w:ascii="宋体" w:hAnsi="宋体" w:cs="宋体"/>
          <w:color w:val="000000"/>
          <w:kern w:val="0"/>
          <w:sz w:val="21"/>
          <w:szCs w:val="21"/>
        </w:rPr>
        <w:t>每一开关单元配置带电指示器一组，开关型分支箱气箱需配置气箱内部压力（或密度）指示仪表一只，带辅助开关。</w:t>
      </w:r>
    </w:p>
    <w:p>
      <w:pPr>
        <w:numPr>
          <w:ilvl w:val="0"/>
          <w:numId w:val="1"/>
        </w:numPr>
        <w:spacing w:line="360" w:lineRule="auto"/>
        <w:ind w:firstLine="0"/>
        <w:rPr>
          <w:rFonts w:ascii="宋体" w:hAnsi="宋体" w:cs="宋体"/>
          <w:color w:val="000000"/>
          <w:kern w:val="0"/>
          <w:sz w:val="21"/>
          <w:szCs w:val="21"/>
        </w:rPr>
      </w:pPr>
      <w:r>
        <w:rPr>
          <w:rFonts w:hint="eastAsia" w:ascii="宋体" w:hAnsi="宋体" w:cs="宋体"/>
          <w:color w:val="000000"/>
          <w:kern w:val="0"/>
          <w:sz w:val="21"/>
          <w:szCs w:val="21"/>
        </w:rPr>
        <w:t>户外环网柜高压侧采用航空插头，包括：交流220V电压插头、电流互感器电流插头、断路器分合闸及遥信辅助接点插头，插头应安装于便于维护的位置。</w:t>
      </w:r>
    </w:p>
    <w:p>
      <w:pPr>
        <w:tabs>
          <w:tab w:val="left" w:pos="360"/>
        </w:tabs>
        <w:spacing w:line="360" w:lineRule="auto"/>
        <w:rPr>
          <w:rFonts w:ascii="宋体" w:hAnsi="宋体" w:cs="宋体"/>
          <w:b/>
          <w:color w:val="000000"/>
          <w:sz w:val="21"/>
          <w:szCs w:val="21"/>
        </w:rPr>
      </w:pPr>
      <w:r>
        <w:rPr>
          <w:rFonts w:hint="eastAsia" w:ascii="宋体" w:hAnsi="宋体" w:cs="宋体"/>
          <w:b/>
          <w:color w:val="000000"/>
          <w:sz w:val="21"/>
          <w:szCs w:val="21"/>
        </w:rPr>
        <w:t>3.1.4</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故障定位装置技术要求</w:t>
      </w:r>
    </w:p>
    <w:p>
      <w:pPr>
        <w:tabs>
          <w:tab w:val="left" w:pos="900"/>
        </w:tabs>
        <w:spacing w:line="360" w:lineRule="auto"/>
        <w:rPr>
          <w:rFonts w:ascii="宋体" w:hAnsi="宋体" w:cs="宋体"/>
          <w:color w:val="000000"/>
          <w:kern w:val="0"/>
          <w:sz w:val="21"/>
          <w:szCs w:val="21"/>
        </w:rPr>
      </w:pPr>
      <w:r>
        <w:rPr>
          <w:rFonts w:hint="eastAsia" w:ascii="宋体" w:hAnsi="宋体" w:cs="宋体"/>
          <w:color w:val="000000"/>
          <w:kern w:val="0"/>
          <w:sz w:val="21"/>
          <w:szCs w:val="21"/>
        </w:rPr>
        <w:t>3.1.4.1功能要求</w:t>
      </w:r>
    </w:p>
    <w:p>
      <w:pPr>
        <w:tabs>
          <w:tab w:val="left" w:pos="900"/>
        </w:tabs>
        <w:spacing w:line="360" w:lineRule="auto"/>
        <w:ind w:firstLine="315" w:firstLineChars="150"/>
        <w:rPr>
          <w:rFonts w:ascii="宋体" w:hAnsi="宋体" w:cs="宋体"/>
          <w:color w:val="000000"/>
          <w:kern w:val="0"/>
          <w:sz w:val="21"/>
          <w:szCs w:val="21"/>
        </w:rPr>
      </w:pPr>
      <w:r>
        <w:rPr>
          <w:rFonts w:hint="eastAsia" w:ascii="宋体" w:hAnsi="宋体" w:cs="宋体"/>
          <w:color w:val="000000"/>
          <w:kern w:val="0"/>
          <w:sz w:val="21"/>
          <w:szCs w:val="21"/>
        </w:rPr>
        <w:t>（1）遥测功能</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交流采集模拟量。监视及测量正常状态下高压开关的所有交流量。包括电压、电流和零序电压及零序电流，并计算在正常负荷状态下的电压、电流、有功、无功、相序、视在功率、功率因数、频率等常规电气量。</w:t>
      </w:r>
    </w:p>
    <w:p>
      <w:pPr>
        <w:tabs>
          <w:tab w:val="left" w:pos="900"/>
        </w:tabs>
        <w:spacing w:line="360" w:lineRule="auto"/>
        <w:ind w:firstLine="315" w:firstLineChars="150"/>
        <w:rPr>
          <w:rFonts w:ascii="宋体" w:hAnsi="宋体" w:cs="宋体"/>
          <w:color w:val="000000"/>
          <w:kern w:val="0"/>
          <w:sz w:val="21"/>
          <w:szCs w:val="21"/>
        </w:rPr>
      </w:pPr>
      <w:r>
        <w:rPr>
          <w:rFonts w:hint="eastAsia" w:ascii="宋体" w:hAnsi="宋体" w:cs="宋体"/>
          <w:color w:val="000000"/>
          <w:kern w:val="0"/>
          <w:sz w:val="21"/>
          <w:szCs w:val="21"/>
        </w:rPr>
        <w:t>（2）遥控功能</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接收、返校并执行遥控命令，完成对两个高压开关的分/合闸操作；</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输出保持时间可整定；</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输出接口为空接点。</w:t>
      </w:r>
    </w:p>
    <w:p>
      <w:pPr>
        <w:tabs>
          <w:tab w:val="left" w:pos="900"/>
        </w:tabs>
        <w:spacing w:line="360" w:lineRule="auto"/>
        <w:ind w:firstLine="315" w:firstLineChars="150"/>
        <w:rPr>
          <w:rFonts w:ascii="宋体" w:hAnsi="宋体" w:cs="宋体"/>
          <w:color w:val="000000"/>
          <w:kern w:val="0"/>
          <w:sz w:val="21"/>
          <w:szCs w:val="21"/>
        </w:rPr>
      </w:pPr>
      <w:r>
        <w:rPr>
          <w:rFonts w:hint="eastAsia" w:ascii="宋体" w:hAnsi="宋体" w:cs="宋体"/>
          <w:color w:val="000000"/>
          <w:kern w:val="0"/>
          <w:sz w:val="21"/>
          <w:szCs w:val="21"/>
        </w:rPr>
        <w:t>（3）遥信功能</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开关量采集，采用光电隔离、数据死区判断去除遥信抖动；</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单点、双点遥信可整定；</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遥信采集分辨率可整定；</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支持遥信SOE、COS功能；</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开关量输入为空接点。</w:t>
      </w:r>
    </w:p>
    <w:p>
      <w:pPr>
        <w:tabs>
          <w:tab w:val="left" w:pos="900"/>
        </w:tabs>
        <w:spacing w:line="360" w:lineRule="auto"/>
        <w:ind w:firstLine="315" w:firstLineChars="150"/>
        <w:rPr>
          <w:rFonts w:ascii="宋体" w:hAnsi="宋体" w:cs="宋体"/>
          <w:color w:val="000000"/>
          <w:kern w:val="0"/>
          <w:sz w:val="21"/>
          <w:szCs w:val="21"/>
        </w:rPr>
      </w:pPr>
      <w:r>
        <w:rPr>
          <w:rFonts w:hint="eastAsia" w:ascii="宋体" w:hAnsi="宋体" w:cs="宋体"/>
          <w:bCs/>
          <w:color w:val="000000"/>
          <w:sz w:val="21"/>
          <w:szCs w:val="21"/>
          <w:lang w:val="en-US" w:eastAsia="zh-CN"/>
        </w:rPr>
        <w:t>*</w:t>
      </w:r>
      <w:r>
        <w:rPr>
          <w:rFonts w:hint="eastAsia" w:ascii="宋体" w:hAnsi="宋体" w:cs="宋体"/>
          <w:color w:val="000000"/>
          <w:kern w:val="0"/>
          <w:sz w:val="21"/>
          <w:szCs w:val="21"/>
        </w:rPr>
        <w:t>（4）故障定位功能</w:t>
      </w:r>
    </w:p>
    <w:p>
      <w:pPr>
        <w:tabs>
          <w:tab w:val="left" w:pos="900"/>
        </w:tabs>
        <w:spacing w:line="360" w:lineRule="auto"/>
        <w:ind w:firstLine="105" w:firstLineChars="50"/>
        <w:rPr>
          <w:rFonts w:ascii="宋体" w:hAnsi="宋体" w:cs="宋体"/>
          <w:color w:val="000000"/>
          <w:kern w:val="0"/>
          <w:sz w:val="21"/>
          <w:szCs w:val="21"/>
        </w:rPr>
      </w:pPr>
      <w:r>
        <w:rPr>
          <w:rFonts w:hint="eastAsia" w:ascii="宋体" w:hAnsi="宋体" w:cs="宋体"/>
          <w:color w:val="000000"/>
          <w:kern w:val="0"/>
          <w:sz w:val="21"/>
          <w:szCs w:val="21"/>
        </w:rPr>
        <w:t xml:space="preserve">    在以下四种供电模式下，故障定位装置能判断出线路故障在装置的左侧还是右侧。</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1）</w:t>
      </w:r>
      <w:r>
        <w:rPr>
          <w:rFonts w:hint="eastAsia" w:ascii="宋体" w:hAnsi="宋体" w:cs="宋体"/>
          <w:color w:val="000000"/>
          <w:kern w:val="0"/>
          <w:sz w:val="21"/>
          <w:szCs w:val="21"/>
        </w:rPr>
        <w:t>在备投－重合供电模式下</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当贯通发生永久性相间短路故障（大电流故障）时，主供配电所出口保护装置动作，断路器0秒速断，备供配电所在150毫秒内备自投，备自投失败，主供配电所在失电1s后重合，重合失败，全线失电。失电后，故障定位装置可以判断出故障发生在装置的左侧还是右侧。</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2）</w:t>
      </w:r>
      <w:r>
        <w:rPr>
          <w:rFonts w:hint="eastAsia" w:ascii="宋体" w:hAnsi="宋体" w:cs="宋体"/>
          <w:color w:val="000000"/>
          <w:kern w:val="0"/>
          <w:sz w:val="21"/>
          <w:szCs w:val="21"/>
        </w:rPr>
        <w:t>在单备投供电模式下</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当贯通发生永久性相间短路故障（大电流故障）时，主供配电所出口保护装置动作，断路器0秒速断，备供配电所在150毫秒内备自投，备自投失败，全线失电。失电后，故障定位装置可以判断出故障发生在装置的左侧还是右侧。</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3）</w:t>
      </w:r>
      <w:r>
        <w:rPr>
          <w:rFonts w:hint="eastAsia" w:ascii="宋体" w:hAnsi="宋体" w:cs="宋体"/>
          <w:color w:val="000000"/>
          <w:kern w:val="0"/>
          <w:sz w:val="21"/>
          <w:szCs w:val="21"/>
        </w:rPr>
        <w:t>在单重合供电模式下</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当贯通发生永久性相间短路故障（大电流故障）时，主供配电所出口保护装置动作，断路器0秒速断，主供配电所在失电1s后重合，重合失败，全线失电。失电后，故障定位装置可以判断出故障发生在装置的左侧还是右侧。</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5）</w:t>
      </w:r>
      <w:r>
        <w:rPr>
          <w:rFonts w:hint="eastAsia" w:ascii="宋体" w:hAnsi="宋体" w:cs="宋体"/>
          <w:color w:val="000000"/>
          <w:kern w:val="0"/>
          <w:sz w:val="21"/>
          <w:szCs w:val="21"/>
        </w:rPr>
        <w:t>在重合－备投供电模式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当贯通发生永久性相间短路故障（大电流故障）时，主供配电所出口保护装置动作，断路器0秒速断，主供配电所在失电1s后重合，重合失败，备供配电所在经过设定的时间后备自投，备自投失败，全线失电。失电后，故障定位装置可以判断出故障发生在装置的左侧还是右侧。</w:t>
      </w:r>
    </w:p>
    <w:p>
      <w:pPr>
        <w:tabs>
          <w:tab w:val="left" w:pos="900"/>
        </w:tabs>
        <w:spacing w:line="360" w:lineRule="auto"/>
        <w:ind w:firstLine="315" w:firstLineChars="150"/>
        <w:rPr>
          <w:rFonts w:ascii="宋体" w:hAnsi="宋体" w:cs="宋体"/>
          <w:color w:val="000000"/>
          <w:kern w:val="0"/>
          <w:sz w:val="21"/>
          <w:szCs w:val="21"/>
        </w:rPr>
      </w:pPr>
      <w:r>
        <w:rPr>
          <w:rFonts w:hint="eastAsia" w:ascii="宋体" w:hAnsi="宋体" w:cs="宋体"/>
          <w:color w:val="000000"/>
          <w:kern w:val="0"/>
          <w:sz w:val="21"/>
          <w:szCs w:val="21"/>
        </w:rPr>
        <w:t>(5)通信功能</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1）</w:t>
      </w:r>
      <w:r>
        <w:rPr>
          <w:rFonts w:hint="eastAsia" w:ascii="宋体" w:hAnsi="宋体" w:cs="宋体"/>
          <w:color w:val="000000"/>
          <w:kern w:val="0"/>
          <w:sz w:val="21"/>
          <w:szCs w:val="21"/>
        </w:rPr>
        <w:t>通信接口</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产品具有2个标准的RS—232/485（默认为RS-232）通讯接口，1个网口，可与相关设备配合实现无线、有线、光纤、载波等远动控制。可通过本地通讯端口进行“四遥”操作。</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lang w:val="en-US" w:eastAsia="zh-CN"/>
        </w:rPr>
        <w:t>2）</w:t>
      </w:r>
      <w:r>
        <w:rPr>
          <w:rFonts w:hint="eastAsia" w:ascii="宋体" w:hAnsi="宋体" w:cs="宋体"/>
          <w:color w:val="000000"/>
          <w:kern w:val="0"/>
          <w:sz w:val="21"/>
          <w:szCs w:val="21"/>
        </w:rPr>
        <w:t>通信规约</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支持多种通信规约，并可根据需要调整。基本配置支持平衡101平衡协议、101非平衡协议、104协议、DNP3.0、Modbus通讯协议。</w:t>
      </w:r>
    </w:p>
    <w:p>
      <w:pPr>
        <w:tabs>
          <w:tab w:val="left" w:pos="900"/>
        </w:tabs>
        <w:spacing w:line="360" w:lineRule="auto"/>
        <w:ind w:firstLine="105" w:firstLineChars="50"/>
        <w:rPr>
          <w:rFonts w:ascii="宋体" w:hAnsi="宋体" w:cs="宋体"/>
          <w:color w:val="000000"/>
          <w:kern w:val="0"/>
          <w:sz w:val="21"/>
          <w:szCs w:val="21"/>
        </w:rPr>
      </w:pPr>
      <w:r>
        <w:rPr>
          <w:rFonts w:hint="eastAsia" w:ascii="宋体" w:hAnsi="宋体" w:cs="宋体"/>
          <w:color w:val="000000"/>
          <w:kern w:val="0"/>
          <w:sz w:val="21"/>
          <w:szCs w:val="21"/>
        </w:rPr>
        <w:t>3.1.4.2技术指标</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（1）遥测通道容量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遥测量为6路，遥信量为6路，遥控量≥2路。</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（2）遥信量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无源节点或光电隔离；</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隔离电压＞2000Vdc；</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（3）模拟量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模拟量输入：交流电流：0～5A；精度：1%FS；</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交流电压：0～100V；精度：1%FS；</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每一电流回路消耗功率应小于0.75VA；</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每一电压回路消耗功率应小于0.5VA；</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交流模拟量输入回路应有可靠的电气隔离。</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（4）遥控量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遥控输出回路采用光电隔离，无源触点方式；</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接点容量根据高压一次设备操作回路容量设定。</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（5）可靠性指标</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平均无故障时间MTBF＞80000小时。</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（6）工作电源</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auto"/>
          <w:kern w:val="0"/>
          <w:sz w:val="21"/>
          <w:szCs w:val="21"/>
        </w:rPr>
        <w:t>使用免维护蓄电池（或蓄电池+超能电容器）</w:t>
      </w:r>
      <w:r>
        <w:rPr>
          <w:rFonts w:hint="eastAsia" w:ascii="宋体" w:hAnsi="宋体" w:cs="宋体"/>
          <w:color w:val="000000"/>
          <w:kern w:val="0"/>
          <w:sz w:val="21"/>
          <w:szCs w:val="21"/>
        </w:rPr>
        <w:t>作为后备工作电源，为装置提供失电后工作电源，且能保证线路失电后装置工作2小时，并能遥控开关进行两分一合操作。</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（7）工作环境</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抗震能力：水平加速度0.3g，垂直加速度0．15g，同时作用持续三个正弦波安全系数1.67。</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地震烈度：8度。</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周围环境要求无爆炸危险，无腐蚀气体及导电尘埃，无剧烈震动冲击源。</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（8）防潮、防雷、接地保护</w:t>
      </w:r>
    </w:p>
    <w:p>
      <w:pPr>
        <w:tabs>
          <w:tab w:val="left" w:pos="900"/>
        </w:tabs>
        <w:spacing w:line="360"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结构具有防水防凝露能力，电源输入端和通信接口处安装防雷元件；接地与电力设备使用共同接地体，接地电阻小于4欧（如厂家设备对防雷另有条件或要求，需要配合，应投标前予以说明）。</w:t>
      </w:r>
    </w:p>
    <w:p>
      <w:pPr>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3.1.4.3 预留接口，大准铁路建立10kV线路故障判断系统后，无偿配合接入。</w:t>
      </w:r>
    </w:p>
    <w:p>
      <w:pPr>
        <w:spacing w:line="360" w:lineRule="auto"/>
        <w:rPr>
          <w:rFonts w:ascii="宋体" w:hAnsi="宋体" w:cs="宋体"/>
          <w:b/>
          <w:bCs/>
          <w:sz w:val="21"/>
          <w:szCs w:val="21"/>
        </w:rPr>
      </w:pPr>
      <w:r>
        <w:rPr>
          <w:rFonts w:hint="eastAsia" w:ascii="宋体" w:hAnsi="宋体" w:cs="宋体"/>
          <w:sz w:val="21"/>
          <w:szCs w:val="21"/>
          <w:lang w:val="en-US" w:eastAsia="zh-CN"/>
        </w:rPr>
        <w:t xml:space="preserve">3.2 </w:t>
      </w:r>
      <w:r>
        <w:rPr>
          <w:rFonts w:hint="eastAsia" w:ascii="宋体" w:hAnsi="宋体" w:cs="宋体"/>
          <w:b/>
          <w:bCs/>
          <w:sz w:val="21"/>
          <w:szCs w:val="21"/>
        </w:rPr>
        <w:t xml:space="preserve"> 10KV环网柜（一进两出）技术要求</w:t>
      </w:r>
    </w:p>
    <w:p>
      <w:pPr>
        <w:pStyle w:val="6"/>
        <w:spacing w:line="360" w:lineRule="auto"/>
        <w:rPr>
          <w:rFonts w:hAnsi="宋体" w:cs="宋体"/>
          <w:sz w:val="21"/>
          <w:szCs w:val="21"/>
        </w:rPr>
      </w:pPr>
      <w:r>
        <w:rPr>
          <w:rFonts w:hint="eastAsia" w:hAnsi="宋体" w:cs="宋体"/>
          <w:sz w:val="21"/>
          <w:szCs w:val="21"/>
        </w:rPr>
        <w:t>3.2.1系统运行条件</w:t>
      </w:r>
    </w:p>
    <w:p>
      <w:pPr>
        <w:pStyle w:val="6"/>
        <w:numPr>
          <w:ilvl w:val="0"/>
          <w:numId w:val="2"/>
        </w:numPr>
        <w:spacing w:line="360" w:lineRule="auto"/>
        <w:rPr>
          <w:rFonts w:hAnsi="宋体" w:cs="宋体"/>
          <w:sz w:val="21"/>
          <w:szCs w:val="21"/>
        </w:rPr>
      </w:pPr>
      <w:r>
        <w:rPr>
          <w:rFonts w:hint="eastAsia" w:hAnsi="宋体" w:cs="宋体"/>
          <w:sz w:val="21"/>
          <w:szCs w:val="21"/>
        </w:rPr>
        <w:t>系统额定电压：10kV</w:t>
      </w:r>
    </w:p>
    <w:p>
      <w:pPr>
        <w:pStyle w:val="6"/>
        <w:numPr>
          <w:ilvl w:val="0"/>
          <w:numId w:val="2"/>
        </w:numPr>
        <w:spacing w:line="360" w:lineRule="auto"/>
        <w:rPr>
          <w:rFonts w:hAnsi="宋体" w:cs="宋体"/>
          <w:sz w:val="21"/>
          <w:szCs w:val="21"/>
        </w:rPr>
      </w:pPr>
      <w:r>
        <w:rPr>
          <w:rFonts w:hint="eastAsia" w:hAnsi="宋体" w:cs="宋体"/>
          <w:sz w:val="21"/>
          <w:szCs w:val="21"/>
        </w:rPr>
        <w:t>系统最高电压：12kV</w:t>
      </w:r>
    </w:p>
    <w:p>
      <w:pPr>
        <w:pStyle w:val="6"/>
        <w:numPr>
          <w:ilvl w:val="0"/>
          <w:numId w:val="2"/>
        </w:numPr>
        <w:spacing w:line="360" w:lineRule="auto"/>
        <w:rPr>
          <w:rFonts w:hAnsi="宋体" w:cs="宋体"/>
          <w:sz w:val="21"/>
          <w:szCs w:val="21"/>
        </w:rPr>
      </w:pPr>
      <w:r>
        <w:rPr>
          <w:rFonts w:hint="eastAsia" w:hAnsi="宋体" w:cs="宋体"/>
          <w:sz w:val="21"/>
          <w:szCs w:val="21"/>
        </w:rPr>
        <w:t>系统额定频率：50Hz</w:t>
      </w:r>
    </w:p>
    <w:p>
      <w:pPr>
        <w:pStyle w:val="6"/>
        <w:numPr>
          <w:ilvl w:val="0"/>
          <w:numId w:val="2"/>
        </w:numPr>
        <w:spacing w:line="360" w:lineRule="auto"/>
        <w:rPr>
          <w:rFonts w:hAnsi="宋体" w:cs="宋体"/>
          <w:sz w:val="21"/>
          <w:szCs w:val="21"/>
        </w:rPr>
      </w:pPr>
      <w:r>
        <w:rPr>
          <w:rFonts w:hint="eastAsia" w:hAnsi="宋体" w:cs="宋体"/>
          <w:sz w:val="21"/>
          <w:szCs w:val="21"/>
        </w:rPr>
        <w:t>安装场所：户外</w:t>
      </w:r>
    </w:p>
    <w:p>
      <w:pPr>
        <w:pStyle w:val="6"/>
        <w:spacing w:line="360" w:lineRule="auto"/>
        <w:rPr>
          <w:rFonts w:hAnsi="宋体" w:cs="宋体"/>
          <w:sz w:val="21"/>
          <w:szCs w:val="21"/>
        </w:rPr>
      </w:pPr>
      <w:r>
        <w:rPr>
          <w:rFonts w:hint="eastAsia" w:hAnsi="宋体" w:cs="宋体"/>
          <w:sz w:val="21"/>
          <w:szCs w:val="21"/>
        </w:rPr>
        <w:t>3.2.2主要参数:</w:t>
      </w:r>
    </w:p>
    <w:p>
      <w:pPr>
        <w:pStyle w:val="6"/>
        <w:numPr>
          <w:ilvl w:val="0"/>
          <w:numId w:val="3"/>
        </w:numPr>
        <w:spacing w:line="360" w:lineRule="auto"/>
        <w:rPr>
          <w:rFonts w:hAnsi="宋体" w:cs="宋体"/>
          <w:sz w:val="21"/>
          <w:szCs w:val="21"/>
        </w:rPr>
      </w:pPr>
      <w:r>
        <w:rPr>
          <w:rFonts w:hint="eastAsia" w:hAnsi="宋体" w:cs="宋体"/>
          <w:sz w:val="21"/>
          <w:szCs w:val="21"/>
        </w:rPr>
        <w:t xml:space="preserve">额定电压：12 kV </w:t>
      </w:r>
    </w:p>
    <w:p>
      <w:pPr>
        <w:pStyle w:val="6"/>
        <w:numPr>
          <w:ilvl w:val="0"/>
          <w:numId w:val="3"/>
        </w:numPr>
        <w:spacing w:line="360" w:lineRule="auto"/>
        <w:rPr>
          <w:rFonts w:hAnsi="宋体" w:cs="宋体"/>
          <w:sz w:val="21"/>
          <w:szCs w:val="21"/>
        </w:rPr>
      </w:pPr>
      <w:r>
        <w:rPr>
          <w:rFonts w:hint="eastAsia" w:hAnsi="宋体" w:cs="宋体"/>
          <w:sz w:val="21"/>
          <w:szCs w:val="21"/>
        </w:rPr>
        <w:t xml:space="preserve">额定频率：50 Hz </w:t>
      </w:r>
    </w:p>
    <w:p>
      <w:pPr>
        <w:pStyle w:val="6"/>
        <w:numPr>
          <w:ilvl w:val="0"/>
          <w:numId w:val="3"/>
        </w:numPr>
        <w:spacing w:line="360" w:lineRule="auto"/>
        <w:rPr>
          <w:rFonts w:hAnsi="宋体" w:cs="宋体"/>
          <w:sz w:val="21"/>
          <w:szCs w:val="21"/>
        </w:rPr>
      </w:pPr>
      <w:r>
        <w:rPr>
          <w:rFonts w:hint="eastAsia" w:hAnsi="宋体" w:cs="宋体"/>
          <w:sz w:val="21"/>
          <w:szCs w:val="21"/>
        </w:rPr>
        <w:t>额定短时工频耐受电压 (相间，相对地/断口)：42kV/49kV</w:t>
      </w:r>
    </w:p>
    <w:p>
      <w:pPr>
        <w:pStyle w:val="6"/>
        <w:numPr>
          <w:ilvl w:val="0"/>
          <w:numId w:val="3"/>
        </w:numPr>
        <w:spacing w:line="360" w:lineRule="auto"/>
        <w:rPr>
          <w:rFonts w:hAnsi="宋体" w:cs="宋体"/>
          <w:sz w:val="21"/>
          <w:szCs w:val="21"/>
        </w:rPr>
      </w:pPr>
      <w:r>
        <w:rPr>
          <w:rFonts w:hint="eastAsia" w:hAnsi="宋体" w:cs="宋体"/>
          <w:sz w:val="21"/>
          <w:szCs w:val="21"/>
        </w:rPr>
        <w:t>额定雷电冲击耐受电压 (相间，相对地/断口)：75kV/85kV</w:t>
      </w:r>
    </w:p>
    <w:p>
      <w:pPr>
        <w:pStyle w:val="6"/>
        <w:numPr>
          <w:ilvl w:val="0"/>
          <w:numId w:val="3"/>
        </w:numPr>
        <w:spacing w:line="360" w:lineRule="auto"/>
        <w:rPr>
          <w:rFonts w:hAnsi="宋体" w:cs="宋体"/>
          <w:sz w:val="21"/>
          <w:szCs w:val="21"/>
        </w:rPr>
      </w:pPr>
      <w:r>
        <w:rPr>
          <w:rFonts w:hint="eastAsia" w:hAnsi="宋体" w:cs="宋体"/>
          <w:sz w:val="21"/>
          <w:szCs w:val="21"/>
        </w:rPr>
        <w:t>15分钟直流耐压：53KV</w:t>
      </w:r>
    </w:p>
    <w:p>
      <w:pPr>
        <w:pStyle w:val="6"/>
        <w:numPr>
          <w:ilvl w:val="0"/>
          <w:numId w:val="3"/>
        </w:numPr>
        <w:spacing w:line="360" w:lineRule="auto"/>
        <w:rPr>
          <w:rFonts w:hAnsi="宋体" w:cs="宋体"/>
          <w:sz w:val="21"/>
          <w:szCs w:val="21"/>
        </w:rPr>
      </w:pPr>
      <w:r>
        <w:rPr>
          <w:rFonts w:hint="eastAsia" w:hAnsi="宋体" w:cs="宋体"/>
          <w:sz w:val="21"/>
          <w:szCs w:val="21"/>
        </w:rPr>
        <w:t>动稳定电流(峰值)：50KV</w:t>
      </w:r>
    </w:p>
    <w:p>
      <w:pPr>
        <w:pStyle w:val="6"/>
        <w:numPr>
          <w:ilvl w:val="0"/>
          <w:numId w:val="3"/>
        </w:numPr>
        <w:spacing w:line="360" w:lineRule="auto"/>
        <w:rPr>
          <w:rFonts w:hAnsi="宋体" w:cs="宋体"/>
          <w:sz w:val="21"/>
          <w:szCs w:val="21"/>
        </w:rPr>
      </w:pPr>
      <w:r>
        <w:rPr>
          <w:rFonts w:hint="eastAsia" w:hAnsi="宋体" w:cs="宋体"/>
          <w:sz w:val="21"/>
          <w:szCs w:val="21"/>
        </w:rPr>
        <w:t>额定短时耐受电流：31kA，4s</w:t>
      </w:r>
    </w:p>
    <w:p>
      <w:pPr>
        <w:pStyle w:val="6"/>
        <w:numPr>
          <w:ilvl w:val="0"/>
          <w:numId w:val="3"/>
        </w:numPr>
        <w:spacing w:line="360" w:lineRule="auto"/>
        <w:rPr>
          <w:rFonts w:hAnsi="宋体" w:cs="宋体"/>
          <w:sz w:val="21"/>
          <w:szCs w:val="21"/>
        </w:rPr>
      </w:pPr>
      <w:r>
        <w:rPr>
          <w:rFonts w:hint="eastAsia" w:hAnsi="宋体" w:cs="宋体"/>
          <w:sz w:val="21"/>
          <w:szCs w:val="21"/>
        </w:rPr>
        <w:t>辅助回路1min工频耐受电压：2 kV</w:t>
      </w:r>
    </w:p>
    <w:p>
      <w:pPr>
        <w:pStyle w:val="6"/>
        <w:numPr>
          <w:ilvl w:val="0"/>
          <w:numId w:val="3"/>
        </w:numPr>
        <w:spacing w:line="360" w:lineRule="auto"/>
        <w:rPr>
          <w:rFonts w:hAnsi="宋体" w:cs="宋体"/>
          <w:sz w:val="21"/>
          <w:szCs w:val="21"/>
        </w:rPr>
      </w:pPr>
      <w:r>
        <w:rPr>
          <w:rFonts w:hint="eastAsia" w:hAnsi="宋体" w:cs="宋体"/>
          <w:sz w:val="21"/>
          <w:szCs w:val="21"/>
        </w:rPr>
        <w:t>气箱及带电部分防护等级：IP67</w:t>
      </w:r>
    </w:p>
    <w:p>
      <w:pPr>
        <w:pStyle w:val="6"/>
        <w:spacing w:line="360" w:lineRule="auto"/>
        <w:ind w:left="397"/>
        <w:rPr>
          <w:rFonts w:hAnsi="宋体" w:cs="宋体"/>
          <w:sz w:val="21"/>
          <w:szCs w:val="21"/>
        </w:rPr>
      </w:pPr>
      <w:r>
        <w:rPr>
          <w:rFonts w:hint="eastAsia" w:hAnsi="宋体" w:cs="宋体"/>
          <w:sz w:val="21"/>
          <w:szCs w:val="21"/>
        </w:rPr>
        <w:t>（10）防护等级（外壳）：不小于IP34</w:t>
      </w:r>
    </w:p>
    <w:p>
      <w:pPr>
        <w:pStyle w:val="6"/>
        <w:spacing w:line="360" w:lineRule="auto"/>
        <w:rPr>
          <w:rFonts w:hAnsi="宋体" w:cs="宋体"/>
          <w:sz w:val="21"/>
          <w:szCs w:val="21"/>
        </w:rPr>
      </w:pPr>
      <w:r>
        <w:rPr>
          <w:rFonts w:hint="eastAsia" w:hAnsi="宋体" w:cs="宋体"/>
          <w:sz w:val="21"/>
          <w:szCs w:val="21"/>
        </w:rPr>
        <w:t>3.2.3 环网柜配置免维护真空负荷开关、断路器，其参数满足：</w:t>
      </w:r>
    </w:p>
    <w:p>
      <w:pPr>
        <w:pStyle w:val="6"/>
        <w:numPr>
          <w:ilvl w:val="0"/>
          <w:numId w:val="4"/>
        </w:numPr>
        <w:spacing w:line="360" w:lineRule="auto"/>
        <w:jc w:val="left"/>
        <w:rPr>
          <w:rFonts w:hAnsi="宋体" w:cs="宋体"/>
          <w:sz w:val="21"/>
          <w:szCs w:val="21"/>
        </w:rPr>
      </w:pPr>
      <w:r>
        <w:rPr>
          <w:rFonts w:hint="eastAsia" w:hAnsi="宋体" w:cs="宋体"/>
          <w:sz w:val="21"/>
          <w:szCs w:val="21"/>
        </w:rPr>
        <w:t xml:space="preserve">额定电流：630A </w:t>
      </w:r>
    </w:p>
    <w:p>
      <w:pPr>
        <w:pStyle w:val="6"/>
        <w:numPr>
          <w:ilvl w:val="0"/>
          <w:numId w:val="4"/>
        </w:numPr>
        <w:spacing w:line="360" w:lineRule="auto"/>
        <w:rPr>
          <w:rFonts w:hAnsi="宋体" w:cs="宋体"/>
          <w:sz w:val="21"/>
          <w:szCs w:val="21"/>
        </w:rPr>
      </w:pPr>
      <w:r>
        <w:rPr>
          <w:rFonts w:hint="eastAsia" w:hAnsi="宋体" w:cs="宋体"/>
          <w:sz w:val="21"/>
          <w:szCs w:val="21"/>
        </w:rPr>
        <w:t>额定短路关合电流(峰值)：50kA</w:t>
      </w:r>
    </w:p>
    <w:p>
      <w:pPr>
        <w:pStyle w:val="6"/>
        <w:numPr>
          <w:ilvl w:val="0"/>
          <w:numId w:val="4"/>
        </w:numPr>
        <w:spacing w:line="360" w:lineRule="auto"/>
        <w:rPr>
          <w:rFonts w:hAnsi="宋体" w:cs="宋体"/>
          <w:sz w:val="21"/>
          <w:szCs w:val="21"/>
        </w:rPr>
      </w:pPr>
      <w:r>
        <w:rPr>
          <w:rFonts w:hint="eastAsia" w:hAnsi="宋体" w:cs="宋体"/>
          <w:sz w:val="21"/>
          <w:szCs w:val="21"/>
        </w:rPr>
        <w:t>额定短时耐受电流：25kA</w:t>
      </w:r>
    </w:p>
    <w:p>
      <w:pPr>
        <w:pStyle w:val="6"/>
        <w:numPr>
          <w:ilvl w:val="0"/>
          <w:numId w:val="4"/>
        </w:numPr>
        <w:spacing w:line="360" w:lineRule="auto"/>
        <w:rPr>
          <w:rFonts w:hAnsi="宋体" w:cs="宋体"/>
          <w:sz w:val="21"/>
          <w:szCs w:val="21"/>
        </w:rPr>
      </w:pPr>
      <w:r>
        <w:rPr>
          <w:rFonts w:hint="eastAsia" w:hAnsi="宋体" w:cs="宋体"/>
          <w:sz w:val="21"/>
          <w:szCs w:val="21"/>
        </w:rPr>
        <w:t>额定短路持续时间：4s</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 xml:space="preserve">3.2.4 </w:t>
      </w:r>
      <w:r>
        <w:rPr>
          <w:rFonts w:hint="eastAsia" w:hAnsi="宋体" w:cs="宋体"/>
          <w:sz w:val="21"/>
          <w:szCs w:val="21"/>
        </w:rPr>
        <w:t>环网柜配电装置接线图如下：</w:t>
      </w:r>
    </w:p>
    <w:p>
      <w:pPr>
        <w:pStyle w:val="6"/>
        <w:tabs>
          <w:tab w:val="left" w:pos="0"/>
        </w:tabs>
        <w:spacing w:line="360" w:lineRule="auto"/>
        <w:rPr>
          <w:rFonts w:hAnsi="宋体" w:cs="宋体"/>
          <w:sz w:val="21"/>
          <w:szCs w:val="21"/>
        </w:rPr>
      </w:pPr>
      <w:r>
        <w:rPr>
          <w:rFonts w:hint="eastAsia" w:hAnsi="宋体" w:cs="宋体"/>
          <w:sz w:val="21"/>
          <w:szCs w:val="21"/>
        </w:rPr>
        <w:drawing>
          <wp:inline distT="0" distB="0" distL="114300" distR="114300">
            <wp:extent cx="5758815" cy="6082665"/>
            <wp:effectExtent l="0" t="0" r="13335" b="13335"/>
            <wp:docPr id="5" name="图片 5"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11"/>
                    <pic:cNvPicPr>
                      <a:picLocks noChangeAspect="1"/>
                    </pic:cNvPicPr>
                  </pic:nvPicPr>
                  <pic:blipFill>
                    <a:blip r:embed="rId5" cstate="print"/>
                    <a:stretch>
                      <a:fillRect/>
                    </a:stretch>
                  </pic:blipFill>
                  <pic:spPr>
                    <a:xfrm>
                      <a:off x="0" y="0"/>
                      <a:ext cx="5758815" cy="6082665"/>
                    </a:xfrm>
                    <a:prstGeom prst="rect">
                      <a:avLst/>
                    </a:prstGeom>
                  </pic:spPr>
                </pic:pic>
              </a:graphicData>
            </a:graphic>
          </wp:inline>
        </w:drawing>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3.2.5</w:t>
      </w:r>
      <w:r>
        <w:rPr>
          <w:rFonts w:hint="eastAsia" w:hAnsi="宋体" w:cs="宋体"/>
          <w:sz w:val="21"/>
          <w:szCs w:val="21"/>
        </w:rPr>
        <w:t>负荷开关为三工位开关，电气寿命达到E3级。柜内带电部分及负荷开关气箱防护等级应达到IP67。负荷开关柜应满足防污秽，防凝露要求.</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 xml:space="preserve">3.2.6 </w:t>
      </w:r>
      <w:r>
        <w:rPr>
          <w:rFonts w:hint="eastAsia" w:hAnsi="宋体" w:cs="宋体"/>
          <w:sz w:val="21"/>
          <w:szCs w:val="21"/>
        </w:rPr>
        <w:t>高压带电显示器的安装</w:t>
      </w:r>
      <w:r>
        <w:rPr>
          <w:rFonts w:hint="eastAsia" w:hAnsi="宋体" w:cs="宋体"/>
          <w:sz w:val="21"/>
          <w:szCs w:val="21"/>
          <w:lang w:val="en-US" w:eastAsia="zh-CN"/>
        </w:rPr>
        <w:t>位置</w:t>
      </w:r>
      <w:r>
        <w:rPr>
          <w:rFonts w:hint="eastAsia" w:hAnsi="宋体" w:cs="宋体"/>
          <w:sz w:val="21"/>
          <w:szCs w:val="21"/>
        </w:rPr>
        <w:t>应便于观察，显示灯泡为可插入式，并能从测试孔检测到一次侧电压。</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 xml:space="preserve">3.2.7 </w:t>
      </w:r>
      <w:r>
        <w:rPr>
          <w:rFonts w:hint="eastAsia" w:hAnsi="宋体" w:cs="宋体"/>
          <w:sz w:val="21"/>
          <w:szCs w:val="21"/>
        </w:rPr>
        <w:t>箱体外壳的材料以≥2.5mm不锈钢板或冷轧钢板制造而成,外壳应有足够的机械强度，在起吊、运输和安装时不应变形或损伤。</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 xml:space="preserve">3.2.8 </w:t>
      </w:r>
      <w:r>
        <w:rPr>
          <w:rFonts w:hint="eastAsia" w:hAnsi="宋体" w:cs="宋体"/>
          <w:sz w:val="21"/>
          <w:szCs w:val="21"/>
        </w:rPr>
        <w:t>箱体外壳应喷涂防护层，防护层为静电喷涂而成，涂层部分不应小于150μm并且均匀一致。</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 xml:space="preserve">3.2.9 </w:t>
      </w:r>
      <w:r>
        <w:rPr>
          <w:rFonts w:hint="eastAsia" w:hAnsi="宋体" w:cs="宋体"/>
          <w:sz w:val="21"/>
          <w:szCs w:val="21"/>
        </w:rPr>
        <w:t>电缆分支箱的门开启角度应大于120°并设有定位装置，门设有密封措施，并装有把手、暗闩和能防雨、防堵、防锈，箱门应装设外挂锁孔。</w:t>
      </w:r>
    </w:p>
    <w:p>
      <w:pPr>
        <w:pStyle w:val="6"/>
        <w:numPr>
          <w:ilvl w:val="0"/>
          <w:numId w:val="0"/>
        </w:numPr>
        <w:tabs>
          <w:tab w:val="left" w:pos="0"/>
          <w:tab w:val="left" w:pos="1029"/>
        </w:tabs>
        <w:spacing w:line="360" w:lineRule="auto"/>
        <w:ind w:leftChars="0"/>
        <w:rPr>
          <w:rFonts w:hAnsi="宋体" w:cs="宋体"/>
          <w:sz w:val="21"/>
          <w:szCs w:val="21"/>
        </w:rPr>
      </w:pPr>
      <w:r>
        <w:rPr>
          <w:rFonts w:hint="eastAsia" w:hAnsi="宋体" w:cs="宋体"/>
          <w:sz w:val="21"/>
          <w:szCs w:val="21"/>
          <w:lang w:val="en-US" w:eastAsia="zh-CN"/>
        </w:rPr>
        <w:t>3.2.10</w:t>
      </w:r>
      <w:r>
        <w:rPr>
          <w:rFonts w:hint="eastAsia" w:hAnsi="宋体" w:cs="宋体"/>
          <w:sz w:val="21"/>
          <w:szCs w:val="21"/>
        </w:rPr>
        <w:t>箱体设有足够的自然通风口和隔热措施，减少箱内凝霜的产生。</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3.2.11</w:t>
      </w:r>
      <w:r>
        <w:rPr>
          <w:rFonts w:hint="eastAsia" w:hAnsi="宋体" w:cs="宋体"/>
          <w:sz w:val="21"/>
          <w:szCs w:val="21"/>
        </w:rPr>
        <w:t>箱体顶盖的倾斜度不应小于3°，并装设防雨檐。</w:t>
      </w:r>
    </w:p>
    <w:p>
      <w:pPr>
        <w:pStyle w:val="6"/>
        <w:numPr>
          <w:ilvl w:val="0"/>
          <w:numId w:val="0"/>
        </w:numPr>
        <w:tabs>
          <w:tab w:val="left" w:pos="0"/>
        </w:tabs>
        <w:spacing w:line="360" w:lineRule="auto"/>
        <w:ind w:leftChars="0"/>
        <w:rPr>
          <w:rFonts w:hAnsi="宋体" w:cs="宋体"/>
          <w:sz w:val="21"/>
          <w:szCs w:val="21"/>
        </w:rPr>
      </w:pPr>
      <w:r>
        <w:rPr>
          <w:rFonts w:hint="eastAsia" w:hAnsi="宋体" w:cs="宋体"/>
          <w:sz w:val="21"/>
          <w:szCs w:val="21"/>
          <w:lang w:val="en-US" w:eastAsia="zh-CN"/>
        </w:rPr>
        <w:t>3.2.12</w:t>
      </w:r>
      <w:r>
        <w:rPr>
          <w:rFonts w:hint="eastAsia" w:hAnsi="宋体" w:cs="宋体"/>
          <w:sz w:val="21"/>
          <w:szCs w:val="21"/>
        </w:rPr>
        <w:t>箱门内侧标出主回路图，同时注明操作程序和注意事项。</w:t>
      </w:r>
    </w:p>
    <w:p>
      <w:pPr>
        <w:spacing w:line="360" w:lineRule="auto"/>
        <w:rPr>
          <w:rFonts w:ascii="宋体" w:hAnsi="宋体" w:cs="宋体"/>
          <w:sz w:val="21"/>
          <w:szCs w:val="21"/>
        </w:rPr>
      </w:pPr>
      <w:r>
        <w:rPr>
          <w:rFonts w:hint="eastAsia" w:ascii="宋体" w:hAnsi="宋体" w:cs="宋体"/>
          <w:sz w:val="21"/>
          <w:szCs w:val="21"/>
        </w:rPr>
        <w:t>3.</w:t>
      </w:r>
      <w:r>
        <w:rPr>
          <w:rFonts w:hint="eastAsia" w:ascii="宋体" w:hAnsi="宋体" w:cs="宋体"/>
          <w:sz w:val="21"/>
          <w:szCs w:val="21"/>
          <w:lang w:val="en-US" w:eastAsia="zh-CN"/>
        </w:rPr>
        <w:t>3</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ZW20-12型柱上真空断路器技术要求</w:t>
      </w:r>
    </w:p>
    <w:p>
      <w:pPr>
        <w:spacing w:line="360" w:lineRule="auto"/>
        <w:rPr>
          <w:rFonts w:ascii="宋体" w:hAnsi="宋体" w:cs="宋体"/>
          <w:sz w:val="21"/>
          <w:szCs w:val="21"/>
        </w:rPr>
      </w:pPr>
      <w:r>
        <w:rPr>
          <w:rFonts w:hint="eastAsia" w:ascii="宋体" w:hAnsi="宋体" w:cs="宋体"/>
          <w:sz w:val="21"/>
          <w:szCs w:val="21"/>
        </w:rPr>
        <w:t>3.</w:t>
      </w:r>
      <w:r>
        <w:rPr>
          <w:rFonts w:hint="eastAsia" w:ascii="宋体" w:hAnsi="宋体" w:cs="宋体"/>
          <w:sz w:val="21"/>
          <w:szCs w:val="21"/>
          <w:lang w:val="en-US" w:eastAsia="zh-CN"/>
        </w:rPr>
        <w:t>3</w:t>
      </w:r>
      <w:r>
        <w:rPr>
          <w:rFonts w:hint="eastAsia" w:ascii="宋体" w:hAnsi="宋体" w:cs="宋体"/>
          <w:sz w:val="21"/>
          <w:szCs w:val="21"/>
        </w:rPr>
        <w:t>.1 遵循标准</w:t>
      </w:r>
    </w:p>
    <w:p>
      <w:pPr>
        <w:spacing w:line="360" w:lineRule="auto"/>
        <w:rPr>
          <w:rFonts w:ascii="宋体" w:hAnsi="宋体" w:cs="宋体"/>
          <w:sz w:val="21"/>
          <w:szCs w:val="21"/>
        </w:rPr>
      </w:pPr>
      <w:r>
        <w:rPr>
          <w:rFonts w:hint="eastAsia" w:ascii="宋体" w:hAnsi="宋体" w:cs="宋体"/>
          <w:sz w:val="21"/>
          <w:szCs w:val="21"/>
        </w:rPr>
        <w:t xml:space="preserve">    GB/T11022-1999《高压开关设备和控制设备标准的共用技术要求》</w:t>
      </w:r>
    </w:p>
    <w:p>
      <w:pPr>
        <w:spacing w:line="360" w:lineRule="auto"/>
        <w:ind w:firstLine="480"/>
        <w:rPr>
          <w:rFonts w:ascii="宋体" w:hAnsi="宋体" w:cs="宋体"/>
          <w:sz w:val="21"/>
          <w:szCs w:val="21"/>
        </w:rPr>
      </w:pPr>
      <w:r>
        <w:rPr>
          <w:rFonts w:hint="eastAsia" w:ascii="宋体" w:hAnsi="宋体" w:cs="宋体"/>
          <w:sz w:val="21"/>
          <w:szCs w:val="21"/>
        </w:rPr>
        <w:t>GB311.2-2002《高压输变电设备的绝缘配合使用导则》</w:t>
      </w:r>
    </w:p>
    <w:p>
      <w:pPr>
        <w:spacing w:line="360" w:lineRule="auto"/>
        <w:ind w:firstLine="480"/>
        <w:rPr>
          <w:rFonts w:ascii="宋体" w:hAnsi="宋体" w:cs="宋体"/>
          <w:sz w:val="21"/>
          <w:szCs w:val="21"/>
        </w:rPr>
      </w:pPr>
      <w:r>
        <w:rPr>
          <w:rFonts w:hint="eastAsia" w:ascii="宋体" w:hAnsi="宋体" w:cs="宋体"/>
          <w:sz w:val="21"/>
          <w:szCs w:val="21"/>
        </w:rPr>
        <w:t>GB/T 4109-2008《交流电压高于1000V的绝缘套管》</w:t>
      </w:r>
    </w:p>
    <w:p>
      <w:pPr>
        <w:spacing w:line="360" w:lineRule="auto"/>
        <w:rPr>
          <w:rFonts w:ascii="宋体" w:hAnsi="宋体" w:cs="宋体"/>
          <w:sz w:val="21"/>
          <w:szCs w:val="21"/>
        </w:rPr>
      </w:pPr>
      <w:r>
        <w:rPr>
          <w:rFonts w:hint="eastAsia" w:ascii="宋体" w:hAnsi="宋体" w:cs="宋体"/>
          <w:sz w:val="21"/>
          <w:szCs w:val="21"/>
        </w:rPr>
        <w:t xml:space="preserve">    GB2706《交流高压电器动、热稳定试验方法》</w:t>
      </w:r>
    </w:p>
    <w:p>
      <w:pPr>
        <w:spacing w:line="360" w:lineRule="auto"/>
        <w:rPr>
          <w:rFonts w:ascii="宋体" w:hAnsi="宋体" w:cs="宋体"/>
          <w:sz w:val="21"/>
          <w:szCs w:val="21"/>
        </w:rPr>
      </w:pPr>
      <w:r>
        <w:rPr>
          <w:rFonts w:hint="eastAsia" w:ascii="宋体" w:hAnsi="宋体" w:cs="宋体"/>
          <w:sz w:val="21"/>
          <w:szCs w:val="21"/>
        </w:rPr>
        <w:t xml:space="preserve">    GB3309-1989《高压开关设备在常温下的机械试验》</w:t>
      </w:r>
    </w:p>
    <w:p>
      <w:pPr>
        <w:spacing w:line="360" w:lineRule="auto"/>
        <w:ind w:firstLine="480"/>
        <w:rPr>
          <w:rFonts w:ascii="宋体" w:hAnsi="宋体" w:cs="宋体"/>
          <w:sz w:val="21"/>
          <w:szCs w:val="21"/>
        </w:rPr>
      </w:pPr>
      <w:r>
        <w:rPr>
          <w:rFonts w:hint="eastAsia" w:ascii="宋体" w:hAnsi="宋体" w:cs="宋体"/>
          <w:sz w:val="21"/>
          <w:szCs w:val="21"/>
        </w:rPr>
        <w:t>GB/T 8905-1996《六氟化硫电气设备中气体管理和检测导则》</w:t>
      </w:r>
    </w:p>
    <w:p>
      <w:pPr>
        <w:spacing w:line="360" w:lineRule="auto"/>
        <w:ind w:firstLine="480"/>
        <w:rPr>
          <w:rFonts w:ascii="宋体" w:hAnsi="宋体" w:cs="宋体"/>
          <w:sz w:val="21"/>
          <w:szCs w:val="21"/>
        </w:rPr>
      </w:pPr>
      <w:r>
        <w:rPr>
          <w:rFonts w:hint="eastAsia" w:ascii="宋体" w:hAnsi="宋体" w:cs="宋体"/>
          <w:sz w:val="21"/>
          <w:szCs w:val="21"/>
        </w:rPr>
        <w:t>GB1208-2006《电流互感器》</w:t>
      </w:r>
    </w:p>
    <w:p>
      <w:pPr>
        <w:spacing w:line="360" w:lineRule="auto"/>
        <w:rPr>
          <w:rFonts w:ascii="宋体" w:hAnsi="宋体" w:cs="宋体"/>
          <w:bCs/>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.2</w:t>
      </w:r>
      <w:r>
        <w:rPr>
          <w:rFonts w:hint="eastAsia" w:ascii="宋体" w:hAnsi="宋体" w:cs="宋体"/>
          <w:bCs/>
          <w:sz w:val="21"/>
          <w:szCs w:val="21"/>
        </w:rPr>
        <w:t>断路器性能参数</w:t>
      </w:r>
    </w:p>
    <w:tbl>
      <w:tblPr>
        <w:tblStyle w:val="8"/>
        <w:tblW w:w="8741" w:type="dxa"/>
        <w:jc w:val="center"/>
        <w:tblInd w:w="-10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4800"/>
        <w:gridCol w:w="13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Chars="-85" w:hanging="155" w:hangingChars="74"/>
              <w:jc w:val="center"/>
              <w:rPr>
                <w:rFonts w:ascii="宋体" w:hAnsi="宋体" w:cs="宋体"/>
                <w:color w:val="000000"/>
                <w:sz w:val="21"/>
                <w:szCs w:val="21"/>
              </w:rPr>
            </w:pPr>
            <w:r>
              <w:rPr>
                <w:rFonts w:hint="eastAsia" w:ascii="宋体" w:hAnsi="宋体" w:cs="宋体"/>
                <w:color w:val="000000"/>
                <w:sz w:val="21"/>
                <w:szCs w:val="21"/>
              </w:rPr>
              <w:t xml:space="preserve"> 序号</w:t>
            </w:r>
          </w:p>
        </w:tc>
        <w:tc>
          <w:tcPr>
            <w:tcW w:w="4800" w:type="dxa"/>
            <w:vAlign w:val="center"/>
          </w:tcPr>
          <w:p>
            <w:pPr>
              <w:spacing w:line="360" w:lineRule="auto"/>
              <w:ind w:left="-1" w:leftChars="-1" w:hanging="1"/>
              <w:jc w:val="center"/>
              <w:rPr>
                <w:rFonts w:ascii="宋体" w:hAnsi="宋体" w:cs="宋体"/>
                <w:color w:val="000000"/>
                <w:sz w:val="21"/>
                <w:szCs w:val="21"/>
              </w:rPr>
            </w:pPr>
            <w:r>
              <w:rPr>
                <w:rFonts w:hint="eastAsia" w:ascii="宋体" w:hAnsi="宋体" w:cs="宋体"/>
                <w:color w:val="000000"/>
                <w:sz w:val="21"/>
                <w:szCs w:val="21"/>
              </w:rPr>
              <w:t>名      称</w:t>
            </w:r>
          </w:p>
        </w:tc>
        <w:tc>
          <w:tcPr>
            <w:tcW w:w="1340" w:type="dxa"/>
            <w:vAlign w:val="center"/>
          </w:tcPr>
          <w:p>
            <w:pPr>
              <w:spacing w:line="360" w:lineRule="auto"/>
              <w:ind w:left="-21" w:leftChars="-83" w:hanging="153" w:hangingChars="73"/>
              <w:jc w:val="center"/>
              <w:rPr>
                <w:rFonts w:ascii="宋体" w:hAnsi="宋体" w:cs="宋体"/>
                <w:color w:val="000000"/>
                <w:sz w:val="21"/>
                <w:szCs w:val="21"/>
              </w:rPr>
            </w:pPr>
            <w:r>
              <w:rPr>
                <w:rFonts w:hint="eastAsia" w:ascii="宋体" w:hAnsi="宋体" w:cs="宋体"/>
                <w:color w:val="000000"/>
                <w:sz w:val="21"/>
                <w:szCs w:val="21"/>
              </w:rPr>
              <w:t>单位</w:t>
            </w:r>
          </w:p>
        </w:tc>
        <w:tc>
          <w:tcPr>
            <w:tcW w:w="1620" w:type="dxa"/>
            <w:vAlign w:val="center"/>
          </w:tcPr>
          <w:p>
            <w:pPr>
              <w:spacing w:line="360" w:lineRule="auto"/>
              <w:ind w:left="176" w:leftChars="84" w:firstLine="2"/>
              <w:jc w:val="center"/>
              <w:rPr>
                <w:rFonts w:ascii="宋体" w:hAnsi="宋体" w:cs="宋体"/>
                <w:color w:val="000000"/>
                <w:sz w:val="21"/>
                <w:szCs w:val="21"/>
              </w:rPr>
            </w:pPr>
            <w:r>
              <w:rPr>
                <w:rFonts w:hint="eastAsia" w:ascii="宋体" w:hAnsi="宋体" w:cs="宋体"/>
                <w:color w:val="000000"/>
                <w:sz w:val="21"/>
                <w:szCs w:val="21"/>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额定电压</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kV</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2</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额定电流</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A</w:t>
            </w:r>
          </w:p>
        </w:tc>
        <w:tc>
          <w:tcPr>
            <w:tcW w:w="1620" w:type="dxa"/>
            <w:vAlign w:val="center"/>
          </w:tcPr>
          <w:p>
            <w:pPr>
              <w:spacing w:line="360" w:lineRule="auto"/>
              <w:jc w:val="center"/>
              <w:rPr>
                <w:rFonts w:ascii="宋体" w:hAnsi="宋体" w:cs="宋体"/>
                <w:sz w:val="21"/>
                <w:szCs w:val="21"/>
              </w:rPr>
            </w:pPr>
            <w:r>
              <w:rPr>
                <w:rFonts w:hint="eastAsia" w:ascii="宋体" w:hAnsi="宋体" w:cs="宋体"/>
                <w:sz w:val="21"/>
                <w:szCs w:val="21"/>
              </w:rPr>
              <w:t xml:space="preserve"> 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3</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额定频率</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Hz</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4</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额定短路开断电流（有效值）</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kA</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5</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额定短路电流开断次数</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次</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6</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额定峰值耐受电流（峰值）</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kA</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7</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额定短时耐受电流（4S）</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kA</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8</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额定短路关合电流（峰值）</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kA</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9</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1min工频耐受电压（相间、对地/断口）</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kV</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42/48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10</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雷电冲击耐受电压峰值（相间、对地/断口）</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kV</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11</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机械寿命</w:t>
            </w:r>
          </w:p>
        </w:tc>
        <w:tc>
          <w:tcPr>
            <w:tcW w:w="1340"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次</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12</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SF6气体额定压力(表压)</w:t>
            </w:r>
          </w:p>
        </w:tc>
        <w:tc>
          <w:tcPr>
            <w:tcW w:w="1340" w:type="dxa"/>
            <w:vAlign w:val="center"/>
          </w:tcPr>
          <w:p>
            <w:pPr>
              <w:spacing w:line="360" w:lineRule="auto"/>
              <w:jc w:val="center"/>
              <w:rPr>
                <w:rFonts w:ascii="宋体" w:hAnsi="宋体" w:cs="宋体"/>
                <w:sz w:val="21"/>
                <w:szCs w:val="21"/>
              </w:rPr>
            </w:pPr>
            <w:r>
              <w:rPr>
                <w:rFonts w:hint="eastAsia" w:ascii="宋体" w:hAnsi="宋体" w:cs="宋体"/>
                <w:sz w:val="21"/>
                <w:szCs w:val="21"/>
              </w:rPr>
              <w:t>Mpa</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13</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SF6气体年泄漏率</w:t>
            </w:r>
          </w:p>
        </w:tc>
        <w:tc>
          <w:tcPr>
            <w:tcW w:w="134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14</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开关重量</w:t>
            </w:r>
          </w:p>
        </w:tc>
        <w:tc>
          <w:tcPr>
            <w:tcW w:w="134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kg</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1"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15</w:t>
            </w:r>
          </w:p>
        </w:tc>
        <w:tc>
          <w:tcPr>
            <w:tcW w:w="7760" w:type="dxa"/>
            <w:gridSpan w:val="3"/>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开关体积不大于(含包装箱) 1300mm×1020mm×880mm</w:t>
            </w:r>
          </w:p>
        </w:tc>
      </w:tr>
    </w:tbl>
    <w:p>
      <w:pPr>
        <w:spacing w:line="360" w:lineRule="auto"/>
        <w:rPr>
          <w:rFonts w:ascii="宋体" w:hAnsi="宋体" w:cs="宋体"/>
          <w:bCs/>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.3</w:t>
      </w:r>
      <w:r>
        <w:rPr>
          <w:rFonts w:hint="eastAsia" w:ascii="宋体" w:hAnsi="宋体" w:cs="宋体"/>
          <w:bCs/>
          <w:sz w:val="21"/>
          <w:szCs w:val="21"/>
        </w:rPr>
        <w:t xml:space="preserve"> 机械特性参数</w:t>
      </w:r>
    </w:p>
    <w:tbl>
      <w:tblPr>
        <w:tblStyle w:val="8"/>
        <w:tblW w:w="8789" w:type="dxa"/>
        <w:jc w:val="center"/>
        <w:tblInd w:w="-14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4800"/>
        <w:gridCol w:w="1364"/>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Chars="-85" w:hanging="155" w:hangingChars="74"/>
              <w:jc w:val="center"/>
              <w:rPr>
                <w:rFonts w:ascii="宋体" w:hAnsi="宋体" w:cs="宋体"/>
                <w:color w:val="000000"/>
                <w:sz w:val="21"/>
                <w:szCs w:val="21"/>
              </w:rPr>
            </w:pPr>
            <w:r>
              <w:rPr>
                <w:rFonts w:hint="eastAsia" w:ascii="宋体" w:hAnsi="宋体" w:cs="宋体"/>
                <w:color w:val="000000"/>
                <w:sz w:val="21"/>
                <w:szCs w:val="21"/>
              </w:rPr>
              <w:t>序号</w:t>
            </w:r>
          </w:p>
        </w:tc>
        <w:tc>
          <w:tcPr>
            <w:tcW w:w="4800" w:type="dxa"/>
            <w:vAlign w:val="center"/>
          </w:tcPr>
          <w:p>
            <w:pPr>
              <w:spacing w:line="360" w:lineRule="auto"/>
              <w:ind w:left="-1" w:leftChars="-1" w:hanging="1"/>
              <w:jc w:val="center"/>
              <w:rPr>
                <w:rFonts w:ascii="宋体" w:hAnsi="宋体" w:cs="宋体"/>
                <w:color w:val="000000"/>
                <w:sz w:val="21"/>
                <w:szCs w:val="21"/>
              </w:rPr>
            </w:pPr>
            <w:r>
              <w:rPr>
                <w:rFonts w:hint="eastAsia" w:ascii="宋体" w:hAnsi="宋体" w:cs="宋体"/>
                <w:color w:val="000000"/>
                <w:sz w:val="21"/>
                <w:szCs w:val="21"/>
              </w:rPr>
              <w:t>名      称</w:t>
            </w:r>
          </w:p>
        </w:tc>
        <w:tc>
          <w:tcPr>
            <w:tcW w:w="1364" w:type="dxa"/>
            <w:vAlign w:val="center"/>
          </w:tcPr>
          <w:p>
            <w:pPr>
              <w:spacing w:line="360" w:lineRule="auto"/>
              <w:ind w:left="-21" w:leftChars="-83" w:hanging="153" w:hangingChars="73"/>
              <w:jc w:val="center"/>
              <w:rPr>
                <w:rFonts w:ascii="宋体" w:hAnsi="宋体" w:cs="宋体"/>
                <w:color w:val="000000"/>
                <w:sz w:val="21"/>
                <w:szCs w:val="21"/>
              </w:rPr>
            </w:pPr>
            <w:r>
              <w:rPr>
                <w:rFonts w:hint="eastAsia" w:ascii="宋体" w:hAnsi="宋体" w:cs="宋体"/>
                <w:color w:val="000000"/>
                <w:sz w:val="21"/>
                <w:szCs w:val="21"/>
              </w:rPr>
              <w:t>单位</w:t>
            </w:r>
          </w:p>
        </w:tc>
        <w:tc>
          <w:tcPr>
            <w:tcW w:w="1620" w:type="dxa"/>
            <w:vAlign w:val="center"/>
          </w:tcPr>
          <w:p>
            <w:pPr>
              <w:spacing w:line="360" w:lineRule="auto"/>
              <w:ind w:left="176" w:leftChars="84" w:firstLine="2"/>
              <w:jc w:val="center"/>
              <w:rPr>
                <w:rFonts w:ascii="宋体" w:hAnsi="宋体" w:cs="宋体"/>
                <w:color w:val="000000"/>
                <w:sz w:val="21"/>
                <w:szCs w:val="21"/>
              </w:rPr>
            </w:pPr>
            <w:r>
              <w:rPr>
                <w:rFonts w:hint="eastAsia" w:ascii="宋体" w:hAnsi="宋体" w:cs="宋体"/>
                <w:color w:val="000000"/>
                <w:sz w:val="21"/>
                <w:szCs w:val="21"/>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触头开距</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mm</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9</w:t>
            </w:r>
            <w:r>
              <w:rPr>
                <w:rFonts w:hint="eastAsia" w:ascii="宋体" w:hAnsi="宋体" w:cs="宋体"/>
                <w:sz w:val="21"/>
                <w:szCs w:val="21"/>
                <w:vertAlign w:val="superscript"/>
              </w:rPr>
              <w:t>+1.0</w:t>
            </w:r>
            <w:r>
              <w:rPr>
                <w:rFonts w:hint="eastAsia" w:ascii="宋体" w:hAnsi="宋体" w:cs="宋体"/>
                <w:sz w:val="21"/>
                <w:szCs w:val="21"/>
                <w:vertAlign w:val="subscript"/>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2</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触头超行程</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mm</w:t>
            </w:r>
          </w:p>
        </w:tc>
        <w:tc>
          <w:tcPr>
            <w:tcW w:w="1620" w:type="dxa"/>
            <w:vAlign w:val="center"/>
          </w:tcPr>
          <w:p>
            <w:pPr>
              <w:spacing w:line="360" w:lineRule="auto"/>
              <w:jc w:val="center"/>
              <w:rPr>
                <w:rFonts w:ascii="宋体" w:hAnsi="宋体" w:cs="宋体"/>
                <w:sz w:val="21"/>
                <w:szCs w:val="21"/>
              </w:rPr>
            </w:pPr>
            <w:r>
              <w:rPr>
                <w:rFonts w:hint="eastAsia" w:ascii="宋体" w:hAnsi="宋体" w:cs="宋体"/>
                <w:sz w:val="21"/>
                <w:szCs w:val="21"/>
              </w:rPr>
              <w:t>3</w:t>
            </w:r>
            <w:r>
              <w:rPr>
                <w:rFonts w:hint="eastAsia" w:ascii="宋体" w:hAnsi="宋体" w:cs="宋体"/>
                <w:sz w:val="21"/>
                <w:szCs w:val="21"/>
                <w:vertAlign w:val="superscript"/>
              </w:rPr>
              <w:t>+1.0</w:t>
            </w:r>
            <w:r>
              <w:rPr>
                <w:rFonts w:hint="eastAsia" w:ascii="宋体" w:hAnsi="宋体" w:cs="宋体"/>
                <w:sz w:val="21"/>
                <w:szCs w:val="21"/>
                <w:vertAlign w:val="subscript"/>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3</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平均合闸速度</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m/s</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4</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平均分闸速度</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m/s</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5</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合闸触头弹跳时间</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ms</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6</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各相回路电阻</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kern w:val="0"/>
                <w:sz w:val="21"/>
                <w:szCs w:val="21"/>
              </w:rPr>
              <w:t>μΩ</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7</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合闸时间</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ms</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8</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分闸时间</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ms</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18～45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9</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三相不同期性</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mm</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05" w:type="dxa"/>
            <w:vAlign w:val="center"/>
          </w:tcPr>
          <w:p>
            <w:pPr>
              <w:spacing w:line="360" w:lineRule="auto"/>
              <w:ind w:left="0" w:leftChars="0" w:firstLine="0" w:firstLineChars="0"/>
              <w:jc w:val="center"/>
              <w:rPr>
                <w:rFonts w:ascii="宋体" w:hAnsi="宋体" w:cs="宋体"/>
                <w:sz w:val="21"/>
                <w:szCs w:val="21"/>
              </w:rPr>
            </w:pPr>
            <w:r>
              <w:rPr>
                <w:rFonts w:hint="eastAsia" w:ascii="宋体" w:hAnsi="宋体" w:cs="宋体"/>
                <w:sz w:val="21"/>
                <w:szCs w:val="21"/>
              </w:rPr>
              <w:t>10</w:t>
            </w:r>
          </w:p>
        </w:tc>
        <w:tc>
          <w:tcPr>
            <w:tcW w:w="4800" w:type="dxa"/>
            <w:vAlign w:val="center"/>
          </w:tcPr>
          <w:p>
            <w:pPr>
              <w:spacing w:line="360" w:lineRule="auto"/>
              <w:ind w:left="-1" w:leftChars="-1" w:hanging="1"/>
              <w:jc w:val="left"/>
              <w:rPr>
                <w:rFonts w:ascii="宋体" w:hAnsi="宋体" w:cs="宋体"/>
                <w:sz w:val="21"/>
                <w:szCs w:val="21"/>
              </w:rPr>
            </w:pPr>
            <w:r>
              <w:rPr>
                <w:rFonts w:hint="eastAsia" w:ascii="宋体" w:hAnsi="宋体" w:cs="宋体"/>
                <w:sz w:val="21"/>
                <w:szCs w:val="21"/>
              </w:rPr>
              <w:t>外部相间中心距</w:t>
            </w:r>
          </w:p>
        </w:tc>
        <w:tc>
          <w:tcPr>
            <w:tcW w:w="1364" w:type="dxa"/>
            <w:vAlign w:val="center"/>
          </w:tcPr>
          <w:p>
            <w:pPr>
              <w:spacing w:line="360" w:lineRule="auto"/>
              <w:ind w:left="-21" w:leftChars="-83" w:hanging="153" w:hangingChars="73"/>
              <w:jc w:val="center"/>
              <w:rPr>
                <w:rFonts w:ascii="宋体" w:hAnsi="宋体" w:cs="宋体"/>
                <w:sz w:val="21"/>
                <w:szCs w:val="21"/>
              </w:rPr>
            </w:pPr>
            <w:r>
              <w:rPr>
                <w:rFonts w:hint="eastAsia" w:ascii="宋体" w:hAnsi="宋体" w:cs="宋体"/>
                <w:sz w:val="21"/>
                <w:szCs w:val="21"/>
              </w:rPr>
              <w:t>mm</w:t>
            </w:r>
          </w:p>
        </w:tc>
        <w:tc>
          <w:tcPr>
            <w:tcW w:w="1620" w:type="dxa"/>
            <w:vAlign w:val="center"/>
          </w:tcPr>
          <w:p>
            <w:pPr>
              <w:spacing w:line="360" w:lineRule="auto"/>
              <w:ind w:left="176" w:leftChars="84" w:firstLine="2"/>
              <w:jc w:val="center"/>
              <w:rPr>
                <w:rFonts w:ascii="宋体" w:hAnsi="宋体" w:cs="宋体"/>
                <w:sz w:val="21"/>
                <w:szCs w:val="21"/>
              </w:rPr>
            </w:pPr>
            <w:r>
              <w:rPr>
                <w:rFonts w:hint="eastAsia" w:ascii="宋体" w:hAnsi="宋体" w:cs="宋体"/>
                <w:sz w:val="21"/>
                <w:szCs w:val="21"/>
              </w:rPr>
              <w:t>280</w:t>
            </w:r>
          </w:p>
        </w:tc>
      </w:tr>
    </w:tbl>
    <w:p>
      <w:pPr>
        <w:spacing w:line="360" w:lineRule="auto"/>
        <w:rPr>
          <w:rFonts w:ascii="宋体" w:hAnsi="宋体" w:cs="宋体"/>
          <w:bCs/>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.4</w:t>
      </w:r>
      <w:r>
        <w:rPr>
          <w:rFonts w:hint="eastAsia" w:ascii="宋体" w:hAnsi="宋体" w:cs="宋体"/>
          <w:bCs/>
          <w:sz w:val="21"/>
          <w:szCs w:val="21"/>
        </w:rPr>
        <w:t>结构及特点</w:t>
      </w:r>
    </w:p>
    <w:p>
      <w:pPr>
        <w:tabs>
          <w:tab w:val="left" w:pos="540"/>
        </w:tabs>
        <w:spacing w:line="360" w:lineRule="auto"/>
        <w:rPr>
          <w:rFonts w:ascii="宋体" w:hAnsi="宋体" w:cs="宋体"/>
          <w:bCs/>
          <w:kern w:val="0"/>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.4.1</w:t>
      </w:r>
      <w:r>
        <w:rPr>
          <w:rFonts w:hint="eastAsia" w:ascii="宋体" w:hAnsi="宋体" w:cs="宋体"/>
          <w:bCs/>
          <w:kern w:val="0"/>
          <w:sz w:val="21"/>
          <w:szCs w:val="21"/>
        </w:rPr>
        <w:t xml:space="preserve"> 整体结构</w:t>
      </w:r>
    </w:p>
    <w:p>
      <w:pPr>
        <w:spacing w:line="360" w:lineRule="auto"/>
        <w:ind w:firstLine="420" w:firstLineChars="200"/>
        <w:rPr>
          <w:rFonts w:ascii="宋体" w:hAnsi="宋体" w:cs="宋体"/>
          <w:kern w:val="0"/>
          <w:sz w:val="21"/>
          <w:szCs w:val="21"/>
        </w:rPr>
      </w:pPr>
      <w:r>
        <w:rPr>
          <w:rFonts w:hint="eastAsia" w:ascii="宋体" w:hAnsi="宋体" w:cs="宋体"/>
          <w:kern w:val="0"/>
          <w:sz w:val="21"/>
          <w:szCs w:val="21"/>
        </w:rPr>
        <w:t>断路器应采用箱式密封结构。具有良好的密封性能、免维护。断路器安装可采用柱上吊装或座装安装方式均方便，灵活。开关应由断路器本体、操作机构和吊装装置三部分组成。其中断路器本体由导电回路、绝缘系统、密封件及金属箱体组成。导电回路由进出线导电杆、导电夹、软连接与真空灭弧室连接而成。</w:t>
      </w:r>
    </w:p>
    <w:p>
      <w:pPr>
        <w:spacing w:line="360" w:lineRule="auto"/>
        <w:rPr>
          <w:rFonts w:ascii="宋体" w:hAnsi="宋体" w:cs="宋体"/>
          <w:bCs/>
          <w:kern w:val="0"/>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.4.2</w:t>
      </w:r>
      <w:r>
        <w:rPr>
          <w:rFonts w:hint="eastAsia" w:ascii="宋体" w:hAnsi="宋体" w:cs="宋体"/>
          <w:bCs/>
          <w:kern w:val="0"/>
          <w:sz w:val="21"/>
          <w:szCs w:val="21"/>
        </w:rPr>
        <w:t>操作性能</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断路器应采用电动储能，电动分合。同时具有手动储能，手动分合，可直接由架空线接至电压互感器输出额定电压或由用户提供的低压电源来进行操作。断路器机构罩底部应配备航空插座，便于与智能化控制相结合实现遥控、遥信、遥测、遥调四遥功能。与铁路10KV故障定位装置配套可以实现断路器的开、合，实现对线路故障的隔离。</w:t>
      </w:r>
    </w:p>
    <w:p>
      <w:pPr>
        <w:spacing w:line="360" w:lineRule="auto"/>
        <w:rPr>
          <w:rFonts w:ascii="宋体" w:hAnsi="宋体" w:cs="宋体"/>
          <w:bCs/>
          <w:kern w:val="0"/>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.4.3</w:t>
      </w:r>
      <w:r>
        <w:rPr>
          <w:rFonts w:hint="eastAsia" w:ascii="宋体" w:hAnsi="宋体" w:cs="宋体"/>
          <w:bCs/>
          <w:kern w:val="0"/>
          <w:sz w:val="21"/>
          <w:szCs w:val="21"/>
        </w:rPr>
        <w:t>绝缘性能</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断路器应采用真空灭弧室灭弧、SF6气体绝缘。进出线套管应采用环氧树脂与硅橡胶APG工艺合成，硅橡胶套管进出线结构应该合理，使套管之间绝缘距离充裕，可以安全可靠运行。箱体顶部应安装有防爆装置，即使发生意外、内部故障，也不会有高温气体或飞溅物泄漏出来。</w:t>
      </w:r>
    </w:p>
    <w:p>
      <w:pPr>
        <w:spacing w:line="360" w:lineRule="auto"/>
        <w:rPr>
          <w:rFonts w:ascii="宋体" w:hAnsi="宋体" w:cs="宋体"/>
          <w:bCs/>
          <w:kern w:val="0"/>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.4.4</w:t>
      </w:r>
      <w:r>
        <w:rPr>
          <w:rFonts w:hint="eastAsia" w:ascii="宋体" w:hAnsi="宋体" w:cs="宋体"/>
          <w:bCs/>
          <w:kern w:val="0"/>
          <w:sz w:val="21"/>
          <w:szCs w:val="21"/>
        </w:rPr>
        <w:t>密封性能</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采用成熟的密封结构技术，机构罩及箱体上盖采用冲压成型“V”型槽密封。主回路及二次元器件，操作机构均密封在SF6气体（零表压）中，密封性能可靠。</w:t>
      </w:r>
    </w:p>
    <w:p>
      <w:pPr>
        <w:spacing w:line="360" w:lineRule="auto"/>
        <w:rPr>
          <w:rFonts w:ascii="宋体" w:hAnsi="宋体" w:cs="宋体"/>
          <w:bCs/>
          <w:kern w:val="0"/>
          <w:sz w:val="21"/>
          <w:szCs w:val="21"/>
        </w:rPr>
      </w:pPr>
      <w:r>
        <w:rPr>
          <w:rFonts w:hint="eastAsia" w:ascii="宋体" w:hAnsi="宋体" w:cs="宋体"/>
          <w:bCs/>
          <w:color w:val="000000"/>
          <w:sz w:val="21"/>
          <w:szCs w:val="21"/>
        </w:rPr>
        <w:t>3.3.4.5</w:t>
      </w:r>
      <w:r>
        <w:rPr>
          <w:rFonts w:hint="eastAsia" w:ascii="宋体" w:hAnsi="宋体" w:cs="宋体"/>
          <w:bCs/>
          <w:kern w:val="0"/>
          <w:sz w:val="21"/>
          <w:szCs w:val="21"/>
        </w:rPr>
        <w:t>电流互感器</w:t>
      </w:r>
    </w:p>
    <w:p>
      <w:pPr>
        <w:spacing w:line="360" w:lineRule="auto"/>
        <w:rPr>
          <w:rFonts w:ascii="宋体" w:hAnsi="宋体" w:cs="宋体"/>
          <w:bCs/>
          <w:kern w:val="0"/>
          <w:sz w:val="21"/>
          <w:szCs w:val="21"/>
        </w:rPr>
      </w:pPr>
      <w:r>
        <w:rPr>
          <w:rFonts w:hint="eastAsia" w:ascii="宋体" w:hAnsi="宋体" w:cs="宋体"/>
          <w:bCs/>
          <w:kern w:val="0"/>
          <w:sz w:val="21"/>
          <w:szCs w:val="21"/>
        </w:rPr>
        <w:t xml:space="preserve">    开关内置电流互感器，二相、三相均可，在机构罩外部侧面设有端子盒，涌流控制器、内部CT变比线引出，都在端子盒内，可做到任意调整CT变比和控制器拨码开关设置。</w:t>
      </w:r>
    </w:p>
    <w:p>
      <w:pPr>
        <w:spacing w:line="360" w:lineRule="auto"/>
        <w:rPr>
          <w:rFonts w:ascii="宋体" w:hAnsi="宋体" w:cs="宋体"/>
          <w:bCs/>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.5</w:t>
      </w:r>
      <w:r>
        <w:rPr>
          <w:rFonts w:hint="eastAsia" w:ascii="宋体" w:hAnsi="宋体" w:cs="宋体"/>
          <w:bCs/>
          <w:sz w:val="21"/>
          <w:szCs w:val="21"/>
        </w:rPr>
        <w:t>试验</w:t>
      </w:r>
    </w:p>
    <w:p>
      <w:pPr>
        <w:spacing w:line="360" w:lineRule="auto"/>
        <w:rPr>
          <w:rFonts w:ascii="宋体" w:hAnsi="宋体" w:cs="宋体"/>
          <w:bCs/>
          <w:kern w:val="0"/>
          <w:sz w:val="21"/>
          <w:szCs w:val="21"/>
        </w:rPr>
      </w:pPr>
      <w:r>
        <w:rPr>
          <w:rFonts w:hint="eastAsia" w:ascii="宋体" w:hAnsi="宋体" w:cs="宋体"/>
          <w:bCs/>
          <w:color w:val="000000"/>
          <w:sz w:val="21"/>
          <w:szCs w:val="21"/>
        </w:rPr>
        <w:t>3.</w:t>
      </w:r>
      <w:r>
        <w:rPr>
          <w:rFonts w:hint="eastAsia" w:ascii="宋体" w:hAnsi="宋体" w:cs="宋体"/>
          <w:bCs/>
          <w:color w:val="000000"/>
          <w:sz w:val="21"/>
          <w:szCs w:val="21"/>
          <w:lang w:val="en-US" w:eastAsia="zh-CN"/>
        </w:rPr>
        <w:t>3</w:t>
      </w:r>
      <w:r>
        <w:rPr>
          <w:rFonts w:hint="eastAsia" w:ascii="宋体" w:hAnsi="宋体" w:cs="宋体"/>
          <w:bCs/>
          <w:color w:val="000000"/>
          <w:sz w:val="21"/>
          <w:szCs w:val="21"/>
        </w:rPr>
        <w:t>.5.1</w:t>
      </w:r>
      <w:r>
        <w:rPr>
          <w:rFonts w:hint="eastAsia" w:ascii="宋体" w:hAnsi="宋体" w:cs="宋体"/>
          <w:bCs/>
          <w:kern w:val="0"/>
          <w:sz w:val="21"/>
          <w:szCs w:val="21"/>
        </w:rPr>
        <w:t>型式试验</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设备必须在国家级大电流试验站通过产品技术条件规定的全部型式试验项目的考核，并出具合格的型式试验报告复印件。</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由部分进口部件和部分国产元件组装而成的重合器必须按国产设备要求，在国内完成全部型式试验，取得合格的型式试验报告影印件。配国产控制器的重合器应提供-40℃环境温度下的省级试验站检测报告影印件。</w:t>
      </w:r>
    </w:p>
    <w:p>
      <w:pPr>
        <w:spacing w:line="360" w:lineRule="auto"/>
        <w:rPr>
          <w:rFonts w:ascii="宋体" w:hAnsi="宋体" w:cs="宋体"/>
          <w:bCs/>
          <w:kern w:val="0"/>
          <w:sz w:val="21"/>
          <w:szCs w:val="21"/>
        </w:rPr>
      </w:pPr>
      <w:r>
        <w:rPr>
          <w:rFonts w:hint="eastAsia" w:ascii="宋体" w:hAnsi="宋体" w:cs="宋体"/>
          <w:bCs/>
          <w:kern w:val="0"/>
          <w:sz w:val="21"/>
          <w:szCs w:val="21"/>
        </w:rPr>
        <w:t>3.</w:t>
      </w:r>
      <w:r>
        <w:rPr>
          <w:rFonts w:hint="eastAsia" w:ascii="宋体" w:hAnsi="宋体" w:cs="宋体"/>
          <w:bCs/>
          <w:kern w:val="0"/>
          <w:sz w:val="21"/>
          <w:szCs w:val="21"/>
          <w:lang w:val="en-US" w:eastAsia="zh-CN"/>
        </w:rPr>
        <w:t>3</w:t>
      </w:r>
      <w:r>
        <w:rPr>
          <w:rFonts w:hint="eastAsia" w:ascii="宋体" w:hAnsi="宋体" w:cs="宋体"/>
          <w:bCs/>
          <w:kern w:val="0"/>
          <w:sz w:val="21"/>
          <w:szCs w:val="21"/>
        </w:rPr>
        <w:t>.5.2出厂试验</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开关设备及其控制装置的出厂试验应按各自产品技术条件规定的项目进行试验；</w:t>
      </w:r>
    </w:p>
    <w:p>
      <w:pPr>
        <w:spacing w:line="360" w:lineRule="auto"/>
        <w:ind w:firstLine="420" w:firstLineChars="200"/>
        <w:rPr>
          <w:rFonts w:ascii="宋体" w:hAnsi="宋体" w:cs="宋体"/>
          <w:bCs/>
          <w:kern w:val="0"/>
          <w:sz w:val="21"/>
          <w:szCs w:val="21"/>
        </w:rPr>
      </w:pPr>
      <w:r>
        <w:rPr>
          <w:rFonts w:hint="eastAsia" w:ascii="宋体" w:hAnsi="宋体" w:cs="宋体"/>
          <w:bCs/>
          <w:kern w:val="0"/>
          <w:sz w:val="21"/>
          <w:szCs w:val="21"/>
        </w:rPr>
        <w:t>开关设备和控制装置可在现场进行联调试验。</w:t>
      </w:r>
    </w:p>
    <w:p>
      <w:pPr>
        <w:pStyle w:val="6"/>
        <w:spacing w:line="360" w:lineRule="auto"/>
        <w:rPr>
          <w:rFonts w:hAnsi="宋体" w:cs="宋体"/>
          <w:bCs/>
          <w:sz w:val="21"/>
          <w:szCs w:val="21"/>
        </w:rPr>
      </w:pPr>
      <w:r>
        <w:rPr>
          <w:rFonts w:hint="eastAsia" w:hAnsi="宋体" w:cs="宋体"/>
          <w:bCs/>
          <w:sz w:val="21"/>
          <w:szCs w:val="21"/>
        </w:rPr>
        <w:t>3.</w:t>
      </w:r>
      <w:r>
        <w:rPr>
          <w:rFonts w:hint="eastAsia" w:hAnsi="宋体" w:cs="宋体"/>
          <w:bCs/>
          <w:sz w:val="21"/>
          <w:szCs w:val="21"/>
          <w:lang w:val="en-US" w:eastAsia="zh-CN"/>
        </w:rPr>
        <w:t>4</w:t>
      </w:r>
      <w:r>
        <w:rPr>
          <w:rFonts w:hint="eastAsia" w:hAnsi="宋体" w:cs="宋体"/>
          <w:bCs/>
          <w:sz w:val="21"/>
          <w:szCs w:val="21"/>
        </w:rPr>
        <w:t>其他要求</w:t>
      </w:r>
    </w:p>
    <w:p>
      <w:pPr>
        <w:pStyle w:val="6"/>
        <w:spacing w:line="360" w:lineRule="auto"/>
        <w:rPr>
          <w:rFonts w:hAnsi="宋体" w:cs="宋体"/>
          <w:sz w:val="21"/>
          <w:szCs w:val="21"/>
        </w:rPr>
      </w:pPr>
      <w:r>
        <w:rPr>
          <w:rFonts w:hint="eastAsia" w:hAnsi="宋体" w:cs="宋体"/>
          <w:sz w:val="21"/>
          <w:szCs w:val="21"/>
        </w:rPr>
        <w:t>*</w:t>
      </w:r>
      <w:r>
        <w:rPr>
          <w:rFonts w:hint="eastAsia" w:hAnsi="宋体" w:cs="宋体"/>
          <w:bCs/>
          <w:sz w:val="21"/>
          <w:szCs w:val="21"/>
        </w:rPr>
        <w:t>3.</w:t>
      </w:r>
      <w:r>
        <w:rPr>
          <w:rFonts w:hint="eastAsia" w:hAnsi="宋体" w:cs="宋体"/>
          <w:bCs/>
          <w:sz w:val="21"/>
          <w:szCs w:val="21"/>
          <w:lang w:val="en-US" w:eastAsia="zh-CN"/>
        </w:rPr>
        <w:t>4</w:t>
      </w:r>
      <w:r>
        <w:rPr>
          <w:rFonts w:hint="eastAsia" w:hAnsi="宋体" w:cs="宋体"/>
          <w:bCs/>
          <w:sz w:val="21"/>
          <w:szCs w:val="21"/>
        </w:rPr>
        <w:t>.1中标方</w:t>
      </w:r>
      <w:r>
        <w:rPr>
          <w:rFonts w:hint="eastAsia" w:hAnsi="宋体" w:cs="宋体"/>
          <w:sz w:val="21"/>
          <w:szCs w:val="21"/>
        </w:rPr>
        <w:t>负责：提供提供箱式开关站及其的基础制作、现场安装、调试和投运前试验，同时负责箱式开关站的其他配套项目，具体配套项目如下表所示：</w:t>
      </w:r>
    </w:p>
    <w:tbl>
      <w:tblPr>
        <w:tblStyle w:val="8"/>
        <w:tblW w:w="8816" w:type="dxa"/>
        <w:jc w:val="center"/>
        <w:tblInd w:w="-538" w:type="dxa"/>
        <w:tblLayout w:type="fixed"/>
        <w:tblCellMar>
          <w:top w:w="0" w:type="dxa"/>
          <w:left w:w="0" w:type="dxa"/>
          <w:bottom w:w="0" w:type="dxa"/>
          <w:right w:w="0" w:type="dxa"/>
        </w:tblCellMar>
      </w:tblPr>
      <w:tblGrid>
        <w:gridCol w:w="974"/>
        <w:gridCol w:w="5412"/>
        <w:gridCol w:w="1320"/>
        <w:gridCol w:w="1110"/>
      </w:tblGrid>
      <w:tr>
        <w:tblPrEx>
          <w:tblLayout w:type="fixed"/>
          <w:tblCellMar>
            <w:top w:w="0" w:type="dxa"/>
            <w:left w:w="0" w:type="dxa"/>
            <w:bottom w:w="0" w:type="dxa"/>
            <w:right w:w="0" w:type="dxa"/>
          </w:tblCellMar>
        </w:tblPrEx>
        <w:trPr>
          <w:trHeight w:val="57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序号</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工作项目</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单位</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数量</w:t>
            </w:r>
          </w:p>
        </w:tc>
      </w:tr>
      <w:tr>
        <w:tblPrEx>
          <w:tblLayout w:type="fixed"/>
          <w:tblCellMar>
            <w:top w:w="0" w:type="dxa"/>
            <w:left w:w="0" w:type="dxa"/>
            <w:bottom w:w="0" w:type="dxa"/>
            <w:right w:w="0" w:type="dxa"/>
          </w:tblCellMar>
        </w:tblPrEx>
        <w:trPr>
          <w:trHeight w:val="285" w:hRule="atLeast"/>
          <w:jc w:val="center"/>
        </w:trPr>
        <w:tc>
          <w:tcPr>
            <w:tcW w:w="881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窑沟</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人力挖填硬土电缆沟 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电缆沟、坑夯实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10m3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铺砂盖砖 1～2根</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埋设混凝土标桩</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管径80以下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管径150以下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混凝土路面开挖及修复 C30 厚≤200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10kV电力电缆敷设  3芯 95mm2以内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 YJV22 10KV 3芯 95MM2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电力电缆头沿水泥电杆安装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10kV及以下电力电缆终端头制安 户外冷缩式 120mm2以下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10kV避雷器、隔离开关杆及断路器杆普通铁支架 耐Ⅲ3 240mm2以下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接地引下线沿电杆安装 圆钢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户外接地母线敷设 扁钢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垂直接地极制安  硬土</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 低电阻接地模块</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41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接地电阻调试</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r>
      <w:tr>
        <w:tblPrEx>
          <w:tblLayout w:type="fixed"/>
          <w:tblCellMar>
            <w:top w:w="0" w:type="dxa"/>
            <w:left w:w="0" w:type="dxa"/>
            <w:bottom w:w="0" w:type="dxa"/>
            <w:right w:w="0" w:type="dxa"/>
          </w:tblCellMar>
        </w:tblPrEx>
        <w:trPr>
          <w:trHeight w:val="35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电力电缆调试 10kV</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段</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电力远动系统调试 终端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系统</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10kV电缆头</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挖、填光(电)缆沟 硬土 沟深≤1.0m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沟公里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挖填管道沟及人孔坑 回填夯实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280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敷设槽道光缆≤12芯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条公里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顶过轨、过路防护钢管 长20m以内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安装电缆分线盒 G0D12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单模光缆 GYTA53 8芯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400</w:t>
            </w:r>
          </w:p>
        </w:tc>
      </w:tr>
      <w:tr>
        <w:tblPrEx>
          <w:tblLayout w:type="fixed"/>
          <w:tblCellMar>
            <w:top w:w="0" w:type="dxa"/>
            <w:left w:w="0" w:type="dxa"/>
            <w:bottom w:w="0" w:type="dxa"/>
            <w:right w:w="0" w:type="dxa"/>
          </w:tblCellMar>
        </w:tblPrEx>
        <w:trPr>
          <w:trHeight w:val="285" w:hRule="atLeast"/>
          <w:jc w:val="center"/>
        </w:trPr>
        <w:tc>
          <w:tcPr>
            <w:tcW w:w="881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大红城</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人力挖填硬土电缆沟 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电缆沟、坑夯实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铺砂盖砖 1～2根</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埋设混凝土标桩</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管径80以下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管径150以下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混凝土路面开挖及修复 C30 厚≤200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10kV电力电缆敷设  3芯 95mm2以内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 YJV22 10KV 3芯 95MM2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电力电缆头沿水泥电杆安装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10kV及以下电力电缆终端头制安 户外冷缩式 120mm2以下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10kV避雷器、隔离开关杆及断路器杆普通铁支架 耐Ⅲ3 240mm2以下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接地引下线沿电杆安装 圆钢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户外接地母线敷设 扁钢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垂直接地极制安  硬土</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 低电阻接地模块</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57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接地电阻调试</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r>
      <w:tr>
        <w:tblPrEx>
          <w:tblLayout w:type="fixed"/>
          <w:tblCellMar>
            <w:top w:w="0" w:type="dxa"/>
            <w:left w:w="0" w:type="dxa"/>
            <w:bottom w:w="0" w:type="dxa"/>
            <w:right w:w="0" w:type="dxa"/>
          </w:tblCellMar>
        </w:tblPrEx>
        <w:trPr>
          <w:trHeight w:val="57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电力电缆调试 10kV</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段</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电力远动系统调试 终端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系统</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10kV电缆头</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挖、填光(电)缆沟 硬土 沟深≤1.0m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沟公里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挖填管道沟及人孔坑 回填夯实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770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敷设槽道光缆≤12芯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条公里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顶过轨、过路防护钢管 长20m以内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安装电缆分线盒 G0D12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单模光缆 GYTA53 8芯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1100</w:t>
            </w:r>
          </w:p>
        </w:tc>
      </w:tr>
      <w:tr>
        <w:tblPrEx>
          <w:tblLayout w:type="fixed"/>
          <w:tblCellMar>
            <w:top w:w="0" w:type="dxa"/>
            <w:left w:w="0" w:type="dxa"/>
            <w:bottom w:w="0" w:type="dxa"/>
            <w:right w:w="0" w:type="dxa"/>
          </w:tblCellMar>
        </w:tblPrEx>
        <w:trPr>
          <w:trHeight w:val="285" w:hRule="atLeast"/>
          <w:jc w:val="center"/>
        </w:trPr>
        <w:tc>
          <w:tcPr>
            <w:tcW w:w="881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缸房夭</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人力挖填硬土电缆沟 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电缆沟、坑夯实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铺砂盖砖 1～2根</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埋设混凝土标桩</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管径80以下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管径150以下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混凝土路面开挖及修复 C30 厚≤200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10kV电力电缆敷设  3芯 95mm2以内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 YJV22 10KV 3芯 95MM2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电力电缆头沿水泥电杆安装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10kV及以下电力电缆终端头制安 户外冷缩式 120mm2以下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10kV避雷器、隔离开关杆及断路器杆普通铁支架 耐Ⅲ3 240mm2以下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接地引下线沿电杆安装 圆钢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户外接地母线敷设 扁钢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垂直接地极制安  硬土</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 低电阻接地模块</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34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接地电阻调试</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r>
      <w:tr>
        <w:tblPrEx>
          <w:tblLayout w:type="fixed"/>
          <w:tblCellMar>
            <w:top w:w="0" w:type="dxa"/>
            <w:left w:w="0" w:type="dxa"/>
            <w:bottom w:w="0" w:type="dxa"/>
            <w:right w:w="0" w:type="dxa"/>
          </w:tblCellMar>
        </w:tblPrEx>
        <w:trPr>
          <w:trHeight w:val="9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电力电缆调试 10kV</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段</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电力远动系统调试 终端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系统</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10kV电缆头</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挖、填光(电)缆沟 硬土 沟深≤1.0m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沟公里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0.28</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挖填管道沟及人孔坑 回填夯实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敷设槽道光缆≤12芯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条公里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0.28</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顶过轨、过路防护钢管 长20m以内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安装电缆分线盒 G0D12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单模光缆 GYTA53 8芯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280</w:t>
            </w:r>
          </w:p>
        </w:tc>
      </w:tr>
      <w:tr>
        <w:tblPrEx>
          <w:tblLayout w:type="fixed"/>
          <w:tblCellMar>
            <w:top w:w="0" w:type="dxa"/>
            <w:left w:w="0" w:type="dxa"/>
            <w:bottom w:w="0" w:type="dxa"/>
            <w:right w:w="0" w:type="dxa"/>
          </w:tblCellMar>
        </w:tblPrEx>
        <w:trPr>
          <w:trHeight w:val="285" w:hRule="atLeast"/>
          <w:jc w:val="center"/>
        </w:trPr>
        <w:tc>
          <w:tcPr>
            <w:tcW w:w="881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b/>
                <w:bCs/>
                <w:color w:val="000000"/>
                <w:kern w:val="0"/>
                <w:sz w:val="21"/>
                <w:szCs w:val="21"/>
              </w:rPr>
              <w:t>庄头窑</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人力挖填硬土电缆沟 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电缆沟、坑夯实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铺砂盖砖 1～2根</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埋设混凝土标桩</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管径80以下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管径150以下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混凝土路面开挖及修复 C30 厚≤200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10kV电力电缆敷设  3芯 95mm2以内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 YJV22 10KV 3芯 95MM2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电力电缆头沿水泥电杆安装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10kV及以下电力电缆终端头制安 户外冷缩式 120mm2以下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10kV避雷器、隔离开关杆及断路器杆普通铁支架 耐Ⅲ3 240mm2以下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接地引下线沿电杆安装 圆钢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户外接地母线敷设 扁钢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垂直接地极制安  硬土</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 低电阻接地模块</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34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接地电阻调试</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r>
      <w:tr>
        <w:tblPrEx>
          <w:tblLayout w:type="fixed"/>
          <w:tblCellMar>
            <w:top w:w="0" w:type="dxa"/>
            <w:left w:w="0" w:type="dxa"/>
            <w:bottom w:w="0" w:type="dxa"/>
            <w:right w:w="0" w:type="dxa"/>
          </w:tblCellMar>
        </w:tblPrEx>
        <w:trPr>
          <w:trHeight w:val="36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电力电缆调试 10kV</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段</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电力远动系统调试 终端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系统</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10kV电缆头</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挖、填光(电)缆沟 硬土 沟深≤1.0m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沟公里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0.16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挖填管道沟及人孔坑 回填夯实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敷设槽道光缆≤12芯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条公里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0.16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顶过轨、过路防护钢管 长20m以内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安装电缆分线盒 G0D12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单模光缆 GYTA53 8芯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160</w:t>
            </w:r>
          </w:p>
        </w:tc>
      </w:tr>
      <w:tr>
        <w:tblPrEx>
          <w:tblLayout w:type="fixed"/>
          <w:tblCellMar>
            <w:top w:w="0" w:type="dxa"/>
            <w:left w:w="0" w:type="dxa"/>
            <w:bottom w:w="0" w:type="dxa"/>
            <w:right w:w="0" w:type="dxa"/>
          </w:tblCellMar>
        </w:tblPrEx>
        <w:trPr>
          <w:trHeight w:val="285" w:hRule="atLeast"/>
          <w:jc w:val="center"/>
        </w:trPr>
        <w:tc>
          <w:tcPr>
            <w:tcW w:w="881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21"/>
                <w:szCs w:val="21"/>
              </w:rPr>
            </w:pPr>
            <w:r>
              <w:rPr>
                <w:rFonts w:hint="eastAsia" w:ascii="宋体" w:hAnsi="宋体" w:cs="宋体"/>
                <w:b/>
                <w:color w:val="000000"/>
                <w:kern w:val="0"/>
                <w:sz w:val="21"/>
                <w:szCs w:val="21"/>
              </w:rPr>
              <w:t>十九沟</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人力挖填硬土电缆沟 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电缆沟、坑夯实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1197</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铺砂盖砖 1～2根</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1710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埋设混凝土标桩</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管径80以下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管径100以下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镀锌钢管敷设 管径150以下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30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混凝土路面开挖及修复 C30 厚≤200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60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 xml:space="preserve">10kV电力电缆敷设  3芯 95mm2以内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 YJV22 10KV 3芯 95MM2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80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电力电缆头沿水泥电杆安装</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10kV及以下电力电缆终端头制安 户外冷缩式 120mm2以下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10kV避雷器、隔离开关杆及断路器杆普通铁支架 耐Ⅲ3 240mm2以下</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接地引下线沿电杆安装 圆钢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15</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户外接地母线敷设 扁钢</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200</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16</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垂直接地极制安  硬土</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17</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垂直接地极 低电阻接地模块</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根</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r>
      <w:tr>
        <w:tblPrEx>
          <w:tblLayout w:type="fixed"/>
          <w:tblCellMar>
            <w:top w:w="0" w:type="dxa"/>
            <w:left w:w="0" w:type="dxa"/>
            <w:bottom w:w="0" w:type="dxa"/>
            <w:right w:w="0" w:type="dxa"/>
          </w:tblCellMar>
        </w:tblPrEx>
        <w:trPr>
          <w:trHeight w:val="410"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接地电阻调试</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7</w:t>
            </w:r>
          </w:p>
        </w:tc>
      </w:tr>
      <w:tr>
        <w:tblPrEx>
          <w:tblLayout w:type="fixed"/>
          <w:tblCellMar>
            <w:top w:w="0" w:type="dxa"/>
            <w:left w:w="0" w:type="dxa"/>
            <w:bottom w:w="0" w:type="dxa"/>
            <w:right w:w="0" w:type="dxa"/>
          </w:tblCellMar>
        </w:tblPrEx>
        <w:trPr>
          <w:trHeight w:val="36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19</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电力电缆调试 10kV</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段</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4</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20</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挖、填光(电)缆沟 硬土 沟深≤1.0m</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沟公里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0.26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21</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挖填管道沟及人孔坑 回填夯实</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r>
              <w:rPr>
                <w:rFonts w:hint="eastAsia" w:ascii="宋体" w:hAnsi="宋体" w:cs="宋体"/>
                <w:color w:val="000000"/>
                <w:kern w:val="0"/>
                <w:sz w:val="21"/>
                <w:szCs w:val="21"/>
                <w:vertAlign w:val="superscript"/>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182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22</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敷设槽道光缆≤12芯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条公里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0.26</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23</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安装电缆分线盒 G0D12</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w:t>
            </w:r>
          </w:p>
        </w:tc>
      </w:tr>
      <w:tr>
        <w:tblPrEx>
          <w:tblLayout w:type="fixed"/>
          <w:tblCellMar>
            <w:top w:w="0" w:type="dxa"/>
            <w:left w:w="0" w:type="dxa"/>
            <w:bottom w:w="0" w:type="dxa"/>
            <w:right w:w="0" w:type="dxa"/>
          </w:tblCellMar>
        </w:tblPrEx>
        <w:trPr>
          <w:trHeight w:val="285"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24</w:t>
            </w:r>
          </w:p>
        </w:tc>
        <w:tc>
          <w:tcPr>
            <w:tcW w:w="5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1"/>
                <w:szCs w:val="21"/>
              </w:rPr>
            </w:pPr>
            <w:r>
              <w:rPr>
                <w:rFonts w:hint="eastAsia" w:ascii="宋体" w:hAnsi="宋体" w:cs="宋体"/>
                <w:color w:val="000000"/>
                <w:kern w:val="0"/>
                <w:sz w:val="21"/>
                <w:szCs w:val="21"/>
              </w:rPr>
              <w:t>单模光缆 GYTA53 8芯</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m</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kern w:val="0"/>
                <w:sz w:val="21"/>
                <w:szCs w:val="21"/>
              </w:rPr>
              <w:t>260</w:t>
            </w:r>
          </w:p>
        </w:tc>
      </w:tr>
    </w:tbl>
    <w:p>
      <w:pPr>
        <w:pStyle w:val="6"/>
        <w:spacing w:line="360" w:lineRule="auto"/>
        <w:rPr>
          <w:rFonts w:hint="eastAsia" w:hAnsi="宋体" w:eastAsia="宋体" w:cs="宋体"/>
          <w:bCs/>
          <w:sz w:val="21"/>
          <w:szCs w:val="21"/>
          <w:lang w:val="en-US" w:eastAsia="zh-CN"/>
        </w:rPr>
      </w:pPr>
      <w:r>
        <w:rPr>
          <w:rFonts w:hint="eastAsia" w:hAnsi="宋体" w:cs="宋体"/>
          <w:bCs/>
          <w:sz w:val="21"/>
          <w:szCs w:val="21"/>
          <w:lang w:val="en-US" w:eastAsia="zh-CN"/>
        </w:rPr>
        <w:t>3.4.2投标人负责10kV环网柜的供货，指导安装。</w:t>
      </w:r>
    </w:p>
    <w:p>
      <w:pPr>
        <w:pStyle w:val="6"/>
        <w:spacing w:line="360" w:lineRule="auto"/>
        <w:rPr>
          <w:rFonts w:hAnsi="宋体" w:cs="宋体"/>
          <w:sz w:val="21"/>
          <w:szCs w:val="21"/>
        </w:rPr>
      </w:pPr>
      <w:r>
        <w:rPr>
          <w:rFonts w:hint="eastAsia" w:hAnsi="宋体" w:cs="宋体"/>
          <w:bCs/>
          <w:sz w:val="21"/>
          <w:szCs w:val="21"/>
        </w:rPr>
        <w:t>3.</w:t>
      </w:r>
      <w:r>
        <w:rPr>
          <w:rFonts w:hint="eastAsia" w:hAnsi="宋体" w:cs="宋体"/>
          <w:bCs/>
          <w:sz w:val="21"/>
          <w:szCs w:val="21"/>
          <w:lang w:val="en-US" w:eastAsia="zh-CN"/>
        </w:rPr>
        <w:t>4</w:t>
      </w:r>
      <w:r>
        <w:rPr>
          <w:rFonts w:hint="eastAsia" w:hAnsi="宋体" w:cs="宋体"/>
          <w:bCs/>
          <w:sz w:val="21"/>
          <w:szCs w:val="21"/>
        </w:rPr>
        <w:t>.</w:t>
      </w:r>
      <w:r>
        <w:rPr>
          <w:rFonts w:hint="eastAsia" w:hAnsi="宋体" w:cs="宋体"/>
          <w:bCs/>
          <w:sz w:val="21"/>
          <w:szCs w:val="21"/>
          <w:lang w:val="en-US" w:eastAsia="zh-CN"/>
        </w:rPr>
        <w:t>3</w:t>
      </w:r>
      <w:r>
        <w:rPr>
          <w:rFonts w:hint="eastAsia" w:hAnsi="宋体" w:cs="宋体"/>
          <w:sz w:val="21"/>
          <w:szCs w:val="21"/>
        </w:rPr>
        <w:t>所有安装工作所需工具、配件、材料、管道及供电线路的碰接均由投标方自行解决。对于此次工程的施工要求遵守《铁路电力工程设备安装标准》（80）铁机字1817；中华人民共和国《电力工程电缆设计规范》GB50217-2007。</w:t>
      </w:r>
    </w:p>
    <w:p>
      <w:pPr>
        <w:pStyle w:val="6"/>
        <w:spacing w:line="360" w:lineRule="auto"/>
        <w:rPr>
          <w:rFonts w:hAnsi="宋体" w:cs="宋体"/>
          <w:sz w:val="21"/>
          <w:szCs w:val="21"/>
        </w:rPr>
      </w:pPr>
      <w:r>
        <w:rPr>
          <w:rFonts w:hint="eastAsia" w:hAnsi="宋体" w:cs="宋体"/>
          <w:sz w:val="21"/>
          <w:szCs w:val="21"/>
        </w:rPr>
        <w:t>*</w:t>
      </w:r>
      <w:r>
        <w:rPr>
          <w:rFonts w:hint="eastAsia" w:hAnsi="宋体" w:cs="宋体"/>
          <w:bCs/>
          <w:sz w:val="21"/>
          <w:szCs w:val="21"/>
        </w:rPr>
        <w:t>3.</w:t>
      </w:r>
      <w:r>
        <w:rPr>
          <w:rFonts w:hint="eastAsia" w:hAnsi="宋体" w:cs="宋体"/>
          <w:bCs/>
          <w:sz w:val="21"/>
          <w:szCs w:val="21"/>
          <w:lang w:val="en-US" w:eastAsia="zh-CN"/>
        </w:rPr>
        <w:t>4</w:t>
      </w:r>
      <w:r>
        <w:rPr>
          <w:rFonts w:hint="eastAsia" w:hAnsi="宋体" w:cs="宋体"/>
          <w:bCs/>
          <w:sz w:val="21"/>
          <w:szCs w:val="21"/>
        </w:rPr>
        <w:t>.</w:t>
      </w:r>
      <w:r>
        <w:rPr>
          <w:rFonts w:hint="eastAsia" w:hAnsi="宋体" w:cs="宋体"/>
          <w:sz w:val="21"/>
          <w:szCs w:val="21"/>
          <w:lang w:val="en-US" w:eastAsia="zh-CN"/>
        </w:rPr>
        <w:t>4</w:t>
      </w:r>
      <w:r>
        <w:rPr>
          <w:rFonts w:hint="eastAsia" w:hAnsi="宋体" w:cs="宋体"/>
          <w:sz w:val="21"/>
          <w:szCs w:val="21"/>
        </w:rPr>
        <w:t>所有设备、设施的基础土建施工,投标单位必须进行现场勘察、测量，了解现场的具体情况，保证设备合理布置。</w:t>
      </w:r>
    </w:p>
    <w:p>
      <w:pPr>
        <w:pStyle w:val="6"/>
        <w:spacing w:line="360" w:lineRule="auto"/>
        <w:rPr>
          <w:rFonts w:hAnsi="宋体" w:cs="宋体"/>
          <w:sz w:val="21"/>
          <w:szCs w:val="21"/>
        </w:rPr>
      </w:pPr>
      <w:r>
        <w:rPr>
          <w:rFonts w:hint="eastAsia" w:hAnsi="宋体" w:cs="宋体"/>
          <w:sz w:val="21"/>
          <w:szCs w:val="21"/>
        </w:rPr>
        <w:t>*</w:t>
      </w:r>
      <w:r>
        <w:rPr>
          <w:rFonts w:hint="eastAsia" w:hAnsi="宋体" w:cs="宋体"/>
          <w:bCs/>
          <w:sz w:val="21"/>
          <w:szCs w:val="21"/>
        </w:rPr>
        <w:t>3.</w:t>
      </w:r>
      <w:r>
        <w:rPr>
          <w:rFonts w:hint="eastAsia" w:hAnsi="宋体" w:cs="宋体"/>
          <w:bCs/>
          <w:sz w:val="21"/>
          <w:szCs w:val="21"/>
          <w:lang w:val="en-US" w:eastAsia="zh-CN"/>
        </w:rPr>
        <w:t>4</w:t>
      </w:r>
      <w:r>
        <w:rPr>
          <w:rFonts w:hint="eastAsia" w:hAnsi="宋体" w:cs="宋体"/>
          <w:bCs/>
          <w:sz w:val="21"/>
          <w:szCs w:val="21"/>
        </w:rPr>
        <w:t>.</w:t>
      </w:r>
      <w:r>
        <w:rPr>
          <w:rFonts w:hint="eastAsia" w:hAnsi="宋体" w:cs="宋体"/>
          <w:sz w:val="21"/>
          <w:szCs w:val="21"/>
          <w:lang w:val="en-US" w:eastAsia="zh-CN"/>
        </w:rPr>
        <w:t>5</w:t>
      </w:r>
      <w:r>
        <w:rPr>
          <w:rFonts w:hint="eastAsia" w:hAnsi="宋体" w:cs="宋体"/>
          <w:sz w:val="21"/>
          <w:szCs w:val="21"/>
        </w:rPr>
        <w:t>以上设备安装在大准既有运行线路上，需要与大准铁路供电段签订安全协议及施工配合协议，安装作业中的人身设备安全均由投标方负责。</w:t>
      </w:r>
    </w:p>
    <w:p>
      <w:pPr>
        <w:spacing w:line="360" w:lineRule="auto"/>
        <w:rPr>
          <w:rFonts w:ascii="宋体" w:hAnsi="宋体" w:cs="宋体"/>
          <w:b/>
          <w:sz w:val="21"/>
          <w:szCs w:val="21"/>
        </w:rPr>
      </w:pPr>
      <w:r>
        <w:rPr>
          <w:rFonts w:hint="eastAsia" w:ascii="宋体" w:hAnsi="宋体" w:cs="宋体"/>
          <w:b/>
          <w:sz w:val="21"/>
          <w:szCs w:val="21"/>
        </w:rPr>
        <w:t>3.</w:t>
      </w:r>
      <w:r>
        <w:rPr>
          <w:rFonts w:hint="eastAsia" w:ascii="宋体" w:hAnsi="宋体" w:cs="宋体"/>
          <w:b/>
          <w:sz w:val="21"/>
          <w:szCs w:val="21"/>
          <w:lang w:val="en-US" w:eastAsia="zh-CN"/>
        </w:rPr>
        <w:t>5</w:t>
      </w:r>
      <w:r>
        <w:rPr>
          <w:rFonts w:hint="eastAsia" w:ascii="宋体" w:hAnsi="宋体" w:cs="宋体"/>
          <w:b/>
          <w:sz w:val="21"/>
          <w:szCs w:val="21"/>
        </w:rPr>
        <w:t>投标人按如下要求对投标设备的结构、性能进行详细描述。</w:t>
      </w:r>
    </w:p>
    <w:p>
      <w:pPr>
        <w:spacing w:line="360" w:lineRule="auto"/>
        <w:rPr>
          <w:rFonts w:ascii="宋体" w:hAnsi="宋体" w:cs="宋体"/>
          <w:bCs/>
          <w:sz w:val="21"/>
          <w:szCs w:val="21"/>
        </w:rPr>
      </w:pPr>
      <w:r>
        <w:rPr>
          <w:rFonts w:hint="eastAsia" w:ascii="宋体" w:hAnsi="宋体" w:cs="宋体"/>
          <w:bCs/>
          <w:sz w:val="21"/>
          <w:szCs w:val="21"/>
        </w:rPr>
        <w:t>3.</w:t>
      </w:r>
      <w:r>
        <w:rPr>
          <w:rFonts w:hint="eastAsia" w:ascii="宋体" w:hAnsi="宋体" w:cs="宋体"/>
          <w:bCs/>
          <w:sz w:val="21"/>
          <w:szCs w:val="21"/>
          <w:lang w:val="en-US" w:eastAsia="zh-CN"/>
        </w:rPr>
        <w:t>5</w:t>
      </w:r>
      <w:r>
        <w:rPr>
          <w:rFonts w:hint="eastAsia" w:ascii="宋体" w:hAnsi="宋体" w:cs="宋体"/>
          <w:bCs/>
          <w:sz w:val="21"/>
          <w:szCs w:val="21"/>
        </w:rPr>
        <w:t>.1设备的构造。</w:t>
      </w:r>
    </w:p>
    <w:p>
      <w:pPr>
        <w:spacing w:line="360" w:lineRule="auto"/>
        <w:rPr>
          <w:rFonts w:ascii="宋体" w:hAnsi="宋体" w:cs="宋体"/>
          <w:bCs/>
          <w:sz w:val="21"/>
          <w:szCs w:val="21"/>
        </w:rPr>
      </w:pPr>
      <w:r>
        <w:rPr>
          <w:rFonts w:hint="eastAsia" w:ascii="宋体" w:hAnsi="宋体" w:cs="宋体"/>
          <w:bCs/>
          <w:sz w:val="21"/>
          <w:szCs w:val="21"/>
        </w:rPr>
        <w:t>3.</w:t>
      </w:r>
      <w:r>
        <w:rPr>
          <w:rFonts w:hint="eastAsia" w:ascii="宋体" w:hAnsi="宋体" w:cs="宋体"/>
          <w:bCs/>
          <w:sz w:val="21"/>
          <w:szCs w:val="21"/>
          <w:lang w:val="en-US" w:eastAsia="zh-CN"/>
        </w:rPr>
        <w:t>5</w:t>
      </w:r>
      <w:r>
        <w:rPr>
          <w:rFonts w:hint="eastAsia" w:ascii="宋体" w:hAnsi="宋体" w:cs="宋体"/>
          <w:bCs/>
          <w:sz w:val="21"/>
          <w:szCs w:val="21"/>
        </w:rPr>
        <w:t>.2各部件的规格型号、生产厂家、技术参数。</w:t>
      </w:r>
    </w:p>
    <w:p>
      <w:pPr>
        <w:spacing w:line="360" w:lineRule="auto"/>
        <w:rPr>
          <w:rFonts w:ascii="宋体" w:hAnsi="宋体" w:cs="宋体"/>
          <w:bCs/>
          <w:sz w:val="21"/>
          <w:szCs w:val="21"/>
        </w:rPr>
      </w:pPr>
      <w:r>
        <w:rPr>
          <w:rFonts w:hint="eastAsia" w:ascii="宋体" w:hAnsi="宋体" w:cs="宋体"/>
          <w:bCs/>
          <w:sz w:val="21"/>
          <w:szCs w:val="21"/>
        </w:rPr>
        <w:t>3.</w:t>
      </w:r>
      <w:r>
        <w:rPr>
          <w:rFonts w:hint="eastAsia" w:ascii="宋体" w:hAnsi="宋体" w:cs="宋体"/>
          <w:bCs/>
          <w:sz w:val="21"/>
          <w:szCs w:val="21"/>
          <w:lang w:val="en-US" w:eastAsia="zh-CN"/>
        </w:rPr>
        <w:t>5</w:t>
      </w:r>
      <w:r>
        <w:rPr>
          <w:rFonts w:hint="eastAsia" w:ascii="宋体" w:hAnsi="宋体" w:cs="宋体"/>
          <w:bCs/>
          <w:sz w:val="21"/>
          <w:szCs w:val="21"/>
        </w:rPr>
        <w:t>.3每项设备的主要技术指标。</w:t>
      </w:r>
    </w:p>
    <w:p>
      <w:pPr>
        <w:spacing w:line="360" w:lineRule="auto"/>
        <w:jc w:val="left"/>
        <w:rPr>
          <w:rFonts w:ascii="宋体" w:hAnsi="宋体" w:cs="宋体"/>
          <w:b/>
          <w:bCs/>
          <w:sz w:val="21"/>
          <w:szCs w:val="21"/>
        </w:rPr>
      </w:pPr>
      <w:r>
        <w:rPr>
          <w:rFonts w:hint="eastAsia" w:ascii="宋体" w:hAnsi="宋体" w:cs="宋体"/>
          <w:bCs/>
          <w:sz w:val="21"/>
          <w:szCs w:val="21"/>
        </w:rPr>
        <w:t>3.</w:t>
      </w:r>
      <w:r>
        <w:rPr>
          <w:rFonts w:hint="eastAsia" w:ascii="宋体" w:hAnsi="宋体" w:cs="宋体"/>
          <w:bCs/>
          <w:sz w:val="21"/>
          <w:szCs w:val="21"/>
          <w:lang w:val="en-US" w:eastAsia="zh-CN"/>
        </w:rPr>
        <w:t>5</w:t>
      </w:r>
      <w:r>
        <w:rPr>
          <w:rFonts w:hint="eastAsia" w:ascii="宋体" w:hAnsi="宋体" w:cs="宋体"/>
          <w:bCs/>
          <w:sz w:val="21"/>
          <w:szCs w:val="21"/>
        </w:rPr>
        <w:t>.4其它技术描述。</w:t>
      </w:r>
    </w:p>
    <w:p>
      <w:pPr>
        <w:spacing w:line="360" w:lineRule="auto"/>
        <w:rPr>
          <w:rFonts w:ascii="宋体" w:hAnsi="宋体" w:cs="宋体"/>
          <w:sz w:val="21"/>
          <w:szCs w:val="21"/>
        </w:rPr>
      </w:pPr>
      <w:r>
        <w:rPr>
          <w:rFonts w:hint="eastAsia" w:ascii="宋体" w:hAnsi="宋体" w:cs="宋体"/>
          <w:b/>
          <w:bCs/>
          <w:sz w:val="21"/>
          <w:szCs w:val="21"/>
        </w:rPr>
        <w:t>4.供货范围</w:t>
      </w:r>
    </w:p>
    <w:p>
      <w:pPr>
        <w:spacing w:line="400" w:lineRule="exact"/>
        <w:ind w:firstLine="420" w:firstLineChars="200"/>
        <w:rPr>
          <w:rFonts w:ascii="宋体" w:hAnsi="宋体" w:cs="宋体"/>
          <w:sz w:val="21"/>
          <w:szCs w:val="21"/>
        </w:rPr>
      </w:pPr>
      <w:r>
        <w:rPr>
          <w:rFonts w:hint="eastAsia" w:ascii="宋体" w:hAnsi="宋体" w:cs="宋体"/>
          <w:sz w:val="21"/>
          <w:szCs w:val="21"/>
        </w:rPr>
        <w:t>完整的、全新的、符合制造标准的、满足本技术规范书各项条件及技术要求的标准配置。其中包括安装调试设备所必需的全部零件和材料（如连接件、电气安装材料等）。供货范围详见下表(可不限于此）。</w:t>
      </w:r>
    </w:p>
    <w:tbl>
      <w:tblPr>
        <w:tblStyle w:val="8"/>
        <w:tblW w:w="8863" w:type="dxa"/>
        <w:jc w:val="center"/>
        <w:tblInd w:w="0" w:type="dxa"/>
        <w:tblLayout w:type="fixed"/>
        <w:tblCellMar>
          <w:top w:w="0" w:type="dxa"/>
          <w:left w:w="108" w:type="dxa"/>
          <w:bottom w:w="0" w:type="dxa"/>
          <w:right w:w="108" w:type="dxa"/>
        </w:tblCellMar>
      </w:tblPr>
      <w:tblGrid>
        <w:gridCol w:w="757"/>
        <w:gridCol w:w="3213"/>
        <w:gridCol w:w="900"/>
        <w:gridCol w:w="780"/>
        <w:gridCol w:w="3213"/>
      </w:tblGrid>
      <w:tr>
        <w:tblPrEx>
          <w:tblLayout w:type="fixed"/>
          <w:tblCellMar>
            <w:top w:w="0" w:type="dxa"/>
            <w:left w:w="108" w:type="dxa"/>
            <w:bottom w:w="0" w:type="dxa"/>
            <w:right w:w="108" w:type="dxa"/>
          </w:tblCellMar>
        </w:tblPrEx>
        <w:trPr>
          <w:trHeight w:val="567" w:hRule="atLeast"/>
          <w:jc w:val="center"/>
        </w:trPr>
        <w:tc>
          <w:tcPr>
            <w:tcW w:w="7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 w:val="21"/>
                <w:szCs w:val="21"/>
              </w:rPr>
            </w:pPr>
            <w:r>
              <w:rPr>
                <w:rFonts w:hint="eastAsia" w:ascii="宋体" w:hAnsi="宋体" w:cs="宋体"/>
                <w:b/>
                <w:sz w:val="21"/>
                <w:szCs w:val="21"/>
              </w:rPr>
              <w:t>序号</w:t>
            </w:r>
          </w:p>
        </w:tc>
        <w:tc>
          <w:tcPr>
            <w:tcW w:w="3213"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cs="宋体"/>
                <w:b/>
                <w:sz w:val="21"/>
                <w:szCs w:val="21"/>
              </w:rPr>
            </w:pPr>
            <w:r>
              <w:rPr>
                <w:rFonts w:hint="eastAsia" w:ascii="宋体" w:hAnsi="宋体" w:cs="宋体"/>
                <w:b/>
                <w:sz w:val="21"/>
                <w:szCs w:val="21"/>
              </w:rPr>
              <w:t>货物名称</w:t>
            </w:r>
          </w:p>
        </w:tc>
        <w:tc>
          <w:tcPr>
            <w:tcW w:w="90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单位</w:t>
            </w:r>
          </w:p>
        </w:tc>
        <w:tc>
          <w:tcPr>
            <w:tcW w:w="78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数量</w:t>
            </w:r>
          </w:p>
        </w:tc>
        <w:tc>
          <w:tcPr>
            <w:tcW w:w="321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sz w:val="21"/>
                <w:szCs w:val="21"/>
              </w:rPr>
            </w:pPr>
            <w:r>
              <w:rPr>
                <w:rFonts w:hint="eastAsia" w:ascii="宋体" w:hAnsi="宋体" w:cs="宋体"/>
                <w:b/>
                <w:sz w:val="21"/>
                <w:szCs w:val="21"/>
              </w:rPr>
              <w:t>交货时间</w:t>
            </w:r>
          </w:p>
        </w:tc>
      </w:tr>
      <w:tr>
        <w:tblPrEx>
          <w:tblLayout w:type="fixed"/>
          <w:tblCellMar>
            <w:top w:w="0" w:type="dxa"/>
            <w:left w:w="108" w:type="dxa"/>
            <w:bottom w:w="0" w:type="dxa"/>
            <w:right w:w="108" w:type="dxa"/>
          </w:tblCellMar>
        </w:tblPrEx>
        <w:trPr>
          <w:trHeight w:val="400" w:hRule="atLeast"/>
          <w:jc w:val="center"/>
        </w:trPr>
        <w:tc>
          <w:tcPr>
            <w:tcW w:w="75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1</w:t>
            </w:r>
          </w:p>
        </w:tc>
        <w:tc>
          <w:tcPr>
            <w:tcW w:w="3213" w:type="dxa"/>
            <w:tcBorders>
              <w:top w:val="nil"/>
              <w:left w:val="nil"/>
              <w:bottom w:val="single" w:color="auto" w:sz="4" w:space="0"/>
              <w:right w:val="single" w:color="auto" w:sz="4" w:space="0"/>
            </w:tcBorders>
            <w:vAlign w:val="center"/>
          </w:tcPr>
          <w:p>
            <w:pPr>
              <w:tabs>
                <w:tab w:val="left" w:pos="0"/>
                <w:tab w:val="left" w:pos="1584"/>
              </w:tabs>
              <w:spacing w:line="360" w:lineRule="auto"/>
              <w:rPr>
                <w:rFonts w:ascii="宋体" w:hAnsi="宋体" w:cs="宋体"/>
                <w:bCs/>
                <w:sz w:val="21"/>
                <w:szCs w:val="21"/>
              </w:rPr>
            </w:pPr>
            <w:r>
              <w:rPr>
                <w:rFonts w:hint="eastAsia" w:ascii="宋体" w:hAnsi="宋体" w:cs="宋体"/>
                <w:sz w:val="21"/>
                <w:szCs w:val="21"/>
              </w:rPr>
              <w:t>远动箱式开关站</w:t>
            </w:r>
          </w:p>
        </w:tc>
        <w:tc>
          <w:tcPr>
            <w:tcW w:w="90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套</w:t>
            </w:r>
          </w:p>
        </w:tc>
        <w:tc>
          <w:tcPr>
            <w:tcW w:w="780" w:type="dxa"/>
            <w:tcBorders>
              <w:top w:val="nil"/>
              <w:left w:val="nil"/>
              <w:bottom w:val="single" w:color="auto" w:sz="4" w:space="0"/>
              <w:right w:val="single" w:color="auto" w:sz="4" w:space="0"/>
            </w:tcBorders>
            <w:vAlign w:val="center"/>
          </w:tcPr>
          <w:p>
            <w:pPr>
              <w:pStyle w:val="5"/>
              <w:spacing w:line="360" w:lineRule="auto"/>
              <w:jc w:val="center"/>
              <w:rPr>
                <w:rFonts w:ascii="宋体" w:hAnsi="宋体" w:cs="宋体"/>
                <w:bCs/>
                <w:sz w:val="21"/>
                <w:szCs w:val="21"/>
              </w:rPr>
            </w:pPr>
            <w:r>
              <w:rPr>
                <w:rFonts w:hint="eastAsia" w:ascii="宋体" w:hAnsi="宋体" w:cs="宋体"/>
                <w:bCs/>
                <w:sz w:val="21"/>
                <w:szCs w:val="21"/>
              </w:rPr>
              <w:t>5</w:t>
            </w:r>
          </w:p>
        </w:tc>
        <w:tc>
          <w:tcPr>
            <w:tcW w:w="321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Theme="minorEastAsia" w:hAnsiTheme="minorEastAsia" w:eastAsiaTheme="minorEastAsia" w:cstheme="minorEastAsia"/>
                <w:bCs/>
                <w:sz w:val="21"/>
                <w:szCs w:val="21"/>
              </w:rPr>
              <w:t>自签订合同之日起</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个月</w:t>
            </w:r>
          </w:p>
        </w:tc>
      </w:tr>
      <w:tr>
        <w:tblPrEx>
          <w:tblLayout w:type="fixed"/>
          <w:tblCellMar>
            <w:top w:w="0" w:type="dxa"/>
            <w:left w:w="108" w:type="dxa"/>
            <w:bottom w:w="0" w:type="dxa"/>
            <w:right w:w="108" w:type="dxa"/>
          </w:tblCellMar>
        </w:tblPrEx>
        <w:trPr>
          <w:trHeight w:val="400" w:hRule="atLeast"/>
          <w:jc w:val="center"/>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2</w:t>
            </w:r>
          </w:p>
        </w:tc>
        <w:tc>
          <w:tcPr>
            <w:tcW w:w="3213" w:type="dxa"/>
            <w:tcBorders>
              <w:top w:val="single" w:color="auto" w:sz="4" w:space="0"/>
              <w:left w:val="nil"/>
              <w:bottom w:val="single" w:color="auto" w:sz="4" w:space="0"/>
              <w:right w:val="single" w:color="auto" w:sz="4" w:space="0"/>
            </w:tcBorders>
            <w:vAlign w:val="center"/>
          </w:tcPr>
          <w:p>
            <w:pPr>
              <w:tabs>
                <w:tab w:val="left" w:pos="0"/>
                <w:tab w:val="left" w:pos="1584"/>
              </w:tabs>
              <w:spacing w:line="36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10kV环网柜</w:t>
            </w:r>
          </w:p>
        </w:tc>
        <w:tc>
          <w:tcPr>
            <w:tcW w:w="90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Cs/>
                <w:sz w:val="21"/>
                <w:szCs w:val="21"/>
              </w:rPr>
            </w:pPr>
            <w:r>
              <w:rPr>
                <w:rFonts w:hint="eastAsia" w:ascii="宋体" w:hAnsi="宋体" w:cs="宋体"/>
                <w:bCs/>
                <w:sz w:val="21"/>
                <w:szCs w:val="21"/>
              </w:rPr>
              <w:t>台</w:t>
            </w:r>
          </w:p>
        </w:tc>
        <w:tc>
          <w:tcPr>
            <w:tcW w:w="780" w:type="dxa"/>
            <w:tcBorders>
              <w:top w:val="single" w:color="auto" w:sz="4" w:space="0"/>
              <w:left w:val="nil"/>
              <w:bottom w:val="single" w:color="auto" w:sz="4" w:space="0"/>
              <w:right w:val="single" w:color="auto" w:sz="4" w:space="0"/>
            </w:tcBorders>
            <w:vAlign w:val="center"/>
          </w:tcPr>
          <w:p>
            <w:pPr>
              <w:pStyle w:val="5"/>
              <w:spacing w:line="360" w:lineRule="auto"/>
              <w:jc w:val="center"/>
              <w:rPr>
                <w:rFonts w:hint="eastAsia" w:ascii="宋体" w:hAnsi="宋体" w:eastAsia="宋体" w:cs="宋体"/>
                <w:bCs/>
                <w:sz w:val="21"/>
                <w:szCs w:val="21"/>
                <w:lang w:eastAsia="zh-CN"/>
              </w:rPr>
            </w:pPr>
            <w:r>
              <w:rPr>
                <w:rFonts w:hint="eastAsia" w:ascii="宋体" w:hAnsi="宋体" w:cs="宋体"/>
                <w:bCs/>
                <w:sz w:val="21"/>
                <w:szCs w:val="21"/>
                <w:lang w:val="en-US" w:eastAsia="zh-CN"/>
              </w:rPr>
              <w:t>3</w:t>
            </w:r>
          </w:p>
        </w:tc>
        <w:tc>
          <w:tcPr>
            <w:tcW w:w="321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自签订合同之日起</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个月</w:t>
            </w:r>
          </w:p>
        </w:tc>
      </w:tr>
      <w:tr>
        <w:tblPrEx>
          <w:tblLayout w:type="fixed"/>
          <w:tblCellMar>
            <w:top w:w="0" w:type="dxa"/>
            <w:left w:w="108" w:type="dxa"/>
            <w:bottom w:w="0" w:type="dxa"/>
            <w:right w:w="108" w:type="dxa"/>
          </w:tblCellMar>
        </w:tblPrEx>
        <w:trPr>
          <w:trHeight w:val="400" w:hRule="atLeast"/>
          <w:jc w:val="center"/>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Cs/>
                <w:sz w:val="21"/>
                <w:szCs w:val="21"/>
                <w:lang w:eastAsia="zh-CN"/>
              </w:rPr>
            </w:pPr>
            <w:r>
              <w:rPr>
                <w:rFonts w:hint="eastAsia" w:ascii="宋体" w:hAnsi="宋体" w:cs="宋体"/>
                <w:bCs/>
                <w:sz w:val="21"/>
                <w:szCs w:val="21"/>
                <w:lang w:val="en-US" w:eastAsia="zh-CN"/>
              </w:rPr>
              <w:t>3</w:t>
            </w:r>
          </w:p>
        </w:tc>
        <w:tc>
          <w:tcPr>
            <w:tcW w:w="3213" w:type="dxa"/>
            <w:tcBorders>
              <w:top w:val="single" w:color="auto" w:sz="4" w:space="0"/>
              <w:left w:val="nil"/>
              <w:bottom w:val="single" w:color="auto" w:sz="4" w:space="0"/>
              <w:right w:val="single" w:color="auto" w:sz="4" w:space="0"/>
            </w:tcBorders>
            <w:vAlign w:val="center"/>
          </w:tcPr>
          <w:p>
            <w:pPr>
              <w:tabs>
                <w:tab w:val="left" w:pos="0"/>
                <w:tab w:val="left" w:pos="1584"/>
              </w:tabs>
              <w:spacing w:line="360" w:lineRule="auto"/>
              <w:rPr>
                <w:rFonts w:hint="eastAsia" w:ascii="宋体" w:hAnsi="宋体" w:cs="宋体"/>
                <w:sz w:val="21"/>
                <w:szCs w:val="21"/>
              </w:rPr>
            </w:pPr>
            <w:r>
              <w:rPr>
                <w:rFonts w:hint="eastAsia" w:ascii="宋体" w:hAnsi="宋体" w:cs="宋体"/>
                <w:sz w:val="21"/>
                <w:szCs w:val="21"/>
              </w:rPr>
              <w:t>高压真空断路器</w:t>
            </w:r>
          </w:p>
        </w:tc>
        <w:tc>
          <w:tcPr>
            <w:tcW w:w="90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cs="宋体"/>
                <w:bCs/>
                <w:sz w:val="21"/>
                <w:szCs w:val="21"/>
              </w:rPr>
            </w:pPr>
            <w:r>
              <w:rPr>
                <w:rFonts w:hint="eastAsia" w:ascii="宋体" w:hAnsi="宋体" w:cs="宋体"/>
                <w:bCs/>
                <w:sz w:val="21"/>
                <w:szCs w:val="21"/>
              </w:rPr>
              <w:t>台</w:t>
            </w:r>
          </w:p>
        </w:tc>
        <w:tc>
          <w:tcPr>
            <w:tcW w:w="780" w:type="dxa"/>
            <w:tcBorders>
              <w:top w:val="single" w:color="auto" w:sz="4" w:space="0"/>
              <w:left w:val="nil"/>
              <w:bottom w:val="single" w:color="auto" w:sz="4" w:space="0"/>
              <w:right w:val="single" w:color="auto" w:sz="4" w:space="0"/>
            </w:tcBorders>
            <w:vAlign w:val="center"/>
          </w:tcPr>
          <w:p>
            <w:pPr>
              <w:pStyle w:val="5"/>
              <w:spacing w:line="360" w:lineRule="auto"/>
              <w:jc w:val="center"/>
              <w:rPr>
                <w:rFonts w:hint="eastAsia" w:ascii="宋体" w:hAnsi="宋体" w:cs="宋体"/>
                <w:bCs/>
                <w:sz w:val="21"/>
                <w:szCs w:val="21"/>
              </w:rPr>
            </w:pPr>
            <w:r>
              <w:rPr>
                <w:rFonts w:hint="eastAsia" w:ascii="宋体" w:hAnsi="宋体" w:cs="宋体"/>
                <w:bCs/>
                <w:sz w:val="21"/>
                <w:szCs w:val="21"/>
              </w:rPr>
              <w:t>10</w:t>
            </w:r>
          </w:p>
        </w:tc>
        <w:tc>
          <w:tcPr>
            <w:tcW w:w="321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自签订合同之日起1个月</w:t>
            </w:r>
          </w:p>
        </w:tc>
      </w:tr>
    </w:tbl>
    <w:p>
      <w:pPr>
        <w:spacing w:line="360" w:lineRule="auto"/>
        <w:rPr>
          <w:rFonts w:ascii="宋体" w:hAnsi="宋体" w:cs="宋体"/>
          <w:b/>
          <w:sz w:val="21"/>
          <w:szCs w:val="21"/>
        </w:rPr>
      </w:pPr>
      <w:r>
        <w:rPr>
          <w:rFonts w:hint="eastAsia" w:ascii="宋体" w:hAnsi="宋体" w:cs="宋体"/>
          <w:b/>
          <w:bCs/>
          <w:sz w:val="21"/>
          <w:szCs w:val="21"/>
        </w:rPr>
        <w:t>5.技术资料</w:t>
      </w:r>
    </w:p>
    <w:p>
      <w:pPr>
        <w:spacing w:line="400" w:lineRule="exact"/>
        <w:rPr>
          <w:rFonts w:ascii="宋体" w:hAnsi="宋体" w:cs="宋体"/>
          <w:bCs/>
          <w:sz w:val="21"/>
          <w:szCs w:val="21"/>
        </w:rPr>
      </w:pPr>
      <w:r>
        <w:rPr>
          <w:rFonts w:hint="eastAsia" w:ascii="宋体" w:hAnsi="宋体" w:cs="宋体"/>
          <w:bCs/>
          <w:sz w:val="21"/>
          <w:szCs w:val="21"/>
        </w:rPr>
        <w:t>5.1投标方必须随设备交付（但不仅限于此）的技术资料，基础资料（包括出厂测试报告）、《操作手册》、《配件图册》、《保养维修手册》各3套，合格证1套，并提供设备竣工档案2套，提供电子版操作规程及作业指导书（图文结合）。</w:t>
      </w:r>
    </w:p>
    <w:p>
      <w:pPr>
        <w:spacing w:line="400" w:lineRule="exact"/>
        <w:rPr>
          <w:rFonts w:ascii="宋体" w:hAnsi="宋体" w:cs="宋体"/>
          <w:sz w:val="21"/>
          <w:szCs w:val="21"/>
        </w:rPr>
      </w:pPr>
      <w:r>
        <w:rPr>
          <w:rFonts w:hint="eastAsia" w:ascii="宋体" w:hAnsi="宋体" w:cs="宋体"/>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spacing w:line="400" w:lineRule="exact"/>
        <w:rPr>
          <w:rFonts w:ascii="宋体" w:hAnsi="宋体" w:cs="宋体"/>
          <w:sz w:val="21"/>
          <w:szCs w:val="21"/>
        </w:rPr>
      </w:pPr>
      <w:r>
        <w:rPr>
          <w:rFonts w:hint="eastAsia" w:ascii="宋体" w:hAnsi="宋体" w:cs="宋体"/>
          <w:sz w:val="21"/>
          <w:szCs w:val="21"/>
        </w:rPr>
        <w:t xml:space="preserve">5.1.2《保养维修手册》中要求详列有关检修方法及技术标准；详列设备的日常点检、安全注意事项。 </w:t>
      </w:r>
    </w:p>
    <w:p>
      <w:pPr>
        <w:spacing w:line="400" w:lineRule="exact"/>
        <w:rPr>
          <w:rFonts w:ascii="宋体" w:hAnsi="宋体" w:cs="宋体"/>
          <w:sz w:val="21"/>
          <w:szCs w:val="21"/>
        </w:rPr>
      </w:pPr>
      <w:r>
        <w:rPr>
          <w:rFonts w:hint="eastAsia" w:ascii="宋体" w:hAnsi="宋体" w:cs="宋体"/>
          <w:sz w:val="21"/>
          <w:szCs w:val="21"/>
        </w:rPr>
        <w:t>5.1.3《操作手册》、《保养维修手册》、《配件图册》分开或集成均可以。</w:t>
      </w:r>
    </w:p>
    <w:p>
      <w:pPr>
        <w:spacing w:line="400" w:lineRule="exact"/>
        <w:rPr>
          <w:rFonts w:ascii="宋体" w:hAnsi="宋体" w:cs="宋体"/>
          <w:bCs/>
          <w:sz w:val="21"/>
          <w:szCs w:val="21"/>
        </w:rPr>
      </w:pPr>
      <w:bookmarkStart w:id="2" w:name="_Toc470074031"/>
      <w:r>
        <w:rPr>
          <w:rFonts w:hint="eastAsia" w:ascii="宋体" w:hAnsi="宋体" w:cs="宋体"/>
          <w:sz w:val="21"/>
          <w:szCs w:val="21"/>
        </w:rPr>
        <w:t>5.2</w:t>
      </w:r>
      <w:r>
        <w:rPr>
          <w:rFonts w:hint="eastAsia" w:ascii="宋体" w:hAnsi="宋体" w:cs="宋体"/>
          <w:bCs/>
          <w:sz w:val="21"/>
          <w:szCs w:val="21"/>
        </w:rPr>
        <w:t>投标方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spacing w:line="400" w:lineRule="exact"/>
        <w:rPr>
          <w:rFonts w:ascii="宋体" w:hAnsi="宋体" w:cs="宋体"/>
          <w:b/>
          <w:bCs/>
          <w:sz w:val="21"/>
          <w:szCs w:val="21"/>
        </w:rPr>
      </w:pPr>
      <w:r>
        <w:rPr>
          <w:rFonts w:hint="eastAsia" w:ascii="宋体" w:hAnsi="宋体" w:cs="宋体"/>
          <w:b/>
          <w:bCs/>
          <w:sz w:val="21"/>
          <w:szCs w:val="21"/>
        </w:rPr>
        <w:t>6.技术服务及培训</w:t>
      </w:r>
    </w:p>
    <w:p>
      <w:pPr>
        <w:spacing w:line="400" w:lineRule="exact"/>
        <w:rPr>
          <w:rFonts w:ascii="宋体" w:hAnsi="宋体" w:cs="宋体"/>
          <w:bCs/>
          <w:sz w:val="21"/>
          <w:szCs w:val="21"/>
        </w:rPr>
      </w:pPr>
      <w:r>
        <w:rPr>
          <w:rFonts w:hint="eastAsia" w:ascii="宋体" w:hAnsi="宋体" w:cs="宋体"/>
          <w:bCs/>
          <w:sz w:val="21"/>
          <w:szCs w:val="21"/>
        </w:rPr>
        <w:t>6.1技术服务</w:t>
      </w:r>
    </w:p>
    <w:p>
      <w:pPr>
        <w:spacing w:line="400" w:lineRule="exact"/>
        <w:ind w:firstLine="420" w:firstLineChars="200"/>
        <w:rPr>
          <w:rFonts w:ascii="宋体" w:hAnsi="宋体" w:cs="宋体"/>
          <w:sz w:val="21"/>
          <w:szCs w:val="21"/>
        </w:rPr>
      </w:pPr>
      <w:r>
        <w:rPr>
          <w:rFonts w:hint="eastAsia" w:ascii="宋体" w:hAnsi="宋体" w:cs="宋体"/>
          <w:sz w:val="21"/>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400" w:lineRule="exact"/>
        <w:rPr>
          <w:rFonts w:ascii="宋体" w:hAnsi="宋体" w:cs="宋体"/>
          <w:bCs/>
          <w:sz w:val="21"/>
          <w:szCs w:val="21"/>
        </w:rPr>
      </w:pPr>
      <w:r>
        <w:rPr>
          <w:rFonts w:hint="eastAsia" w:ascii="宋体" w:hAnsi="宋体" w:cs="宋体"/>
          <w:bCs/>
          <w:sz w:val="21"/>
          <w:szCs w:val="21"/>
        </w:rPr>
        <w:t>6.2技术培训</w:t>
      </w:r>
    </w:p>
    <w:p>
      <w:pPr>
        <w:spacing w:line="400" w:lineRule="exact"/>
        <w:ind w:firstLine="420" w:firstLineChars="200"/>
        <w:rPr>
          <w:rFonts w:ascii="宋体" w:hAnsi="宋体" w:cs="宋体"/>
          <w:sz w:val="21"/>
          <w:szCs w:val="21"/>
        </w:rPr>
      </w:pPr>
      <w:r>
        <w:rPr>
          <w:rFonts w:hint="eastAsia" w:ascii="宋体" w:hAnsi="宋体" w:cs="宋体"/>
          <w:sz w:val="21"/>
          <w:szCs w:val="21"/>
        </w:rPr>
        <w:t>投标方需派技术人员到招标方现场免费对操作、维修人员进行技术培训。通过培训能够使操作人员熟练掌握机器的各种功能，制作产品，使检修人员能清楚其构造原理，并能处理各种故障。</w:t>
      </w:r>
    </w:p>
    <w:p>
      <w:pPr>
        <w:spacing w:line="400" w:lineRule="exact"/>
        <w:rPr>
          <w:rFonts w:ascii="宋体" w:hAnsi="宋体" w:cs="宋体"/>
          <w:b/>
          <w:sz w:val="21"/>
          <w:szCs w:val="21"/>
        </w:rPr>
      </w:pPr>
      <w:r>
        <w:rPr>
          <w:rFonts w:hint="eastAsia" w:ascii="宋体" w:hAnsi="宋体" w:cs="宋体"/>
          <w:b/>
          <w:sz w:val="21"/>
          <w:szCs w:val="21"/>
        </w:rPr>
        <w:t>7.安装调试、考核验收</w:t>
      </w:r>
      <w:bookmarkEnd w:id="2"/>
    </w:p>
    <w:p>
      <w:pPr>
        <w:spacing w:line="400" w:lineRule="exact"/>
        <w:rPr>
          <w:rFonts w:ascii="宋体" w:hAnsi="宋体" w:cs="宋体"/>
          <w:bCs/>
          <w:sz w:val="21"/>
          <w:szCs w:val="21"/>
        </w:rPr>
      </w:pPr>
      <w:r>
        <w:rPr>
          <w:rFonts w:hint="eastAsia" w:ascii="宋体" w:hAnsi="宋体" w:cs="宋体"/>
          <w:bCs/>
          <w:sz w:val="21"/>
          <w:szCs w:val="21"/>
        </w:rPr>
        <w:t>7.1安装调试</w:t>
      </w:r>
    </w:p>
    <w:p>
      <w:pPr>
        <w:spacing w:line="400" w:lineRule="exact"/>
        <w:rPr>
          <w:rFonts w:ascii="宋体" w:hAnsi="宋体" w:cs="宋体"/>
          <w:sz w:val="21"/>
          <w:szCs w:val="21"/>
        </w:rPr>
      </w:pPr>
      <w:r>
        <w:rPr>
          <w:rFonts w:hint="eastAsia" w:ascii="宋体" w:hAnsi="宋体" w:cs="宋体"/>
          <w:sz w:val="21"/>
          <w:szCs w:val="21"/>
        </w:rPr>
        <w:t>7.1.1安装调试全部由投标方负责，包括设备的安装、调试、试运行。设备试运行期间，设备所出现的故障由投标方负责解决，招标方给予协助。</w:t>
      </w:r>
    </w:p>
    <w:p>
      <w:pPr>
        <w:spacing w:line="400" w:lineRule="exact"/>
        <w:rPr>
          <w:rFonts w:ascii="宋体" w:hAnsi="宋体" w:cs="宋体"/>
          <w:sz w:val="21"/>
          <w:szCs w:val="21"/>
        </w:rPr>
      </w:pPr>
      <w:r>
        <w:rPr>
          <w:rFonts w:hint="eastAsia" w:ascii="宋体" w:hAnsi="宋体" w:cs="宋体"/>
          <w:sz w:val="21"/>
          <w:szCs w:val="21"/>
        </w:rPr>
        <w:t>7.1.2设备调试完成后，进行试运行，试运行由招标方操作人员在投标方技术人员的密切、具体指导下进行。</w:t>
      </w:r>
    </w:p>
    <w:p>
      <w:pPr>
        <w:spacing w:line="400" w:lineRule="exact"/>
        <w:rPr>
          <w:rFonts w:ascii="宋体" w:hAnsi="宋体" w:cs="宋体"/>
          <w:bCs/>
          <w:sz w:val="21"/>
          <w:szCs w:val="21"/>
        </w:rPr>
      </w:pPr>
      <w:r>
        <w:rPr>
          <w:rFonts w:hint="eastAsia" w:ascii="宋体" w:hAnsi="宋体" w:cs="宋体"/>
          <w:bCs/>
          <w:sz w:val="21"/>
          <w:szCs w:val="21"/>
        </w:rPr>
        <w:t>7.2设备考核</w:t>
      </w:r>
    </w:p>
    <w:p>
      <w:pPr>
        <w:spacing w:line="400" w:lineRule="exact"/>
        <w:rPr>
          <w:rFonts w:ascii="宋体" w:hAnsi="宋体" w:cs="宋体"/>
          <w:sz w:val="21"/>
          <w:szCs w:val="21"/>
        </w:rPr>
      </w:pPr>
      <w:r>
        <w:rPr>
          <w:rFonts w:hint="eastAsia" w:ascii="宋体" w:hAnsi="宋体" w:cs="宋体"/>
          <w:sz w:val="21"/>
          <w:szCs w:val="21"/>
        </w:rPr>
        <w:t>7.2.1设备考核期1个月，设备的故障次数不高于2次，故障累计时间不高于4小时。</w:t>
      </w:r>
    </w:p>
    <w:p>
      <w:pPr>
        <w:spacing w:line="400" w:lineRule="exact"/>
        <w:rPr>
          <w:rFonts w:ascii="宋体" w:hAnsi="宋体" w:cs="宋体"/>
          <w:sz w:val="21"/>
          <w:szCs w:val="21"/>
        </w:rPr>
      </w:pPr>
      <w:r>
        <w:rPr>
          <w:rFonts w:hint="eastAsia" w:ascii="宋体" w:hAnsi="宋体" w:cs="宋体"/>
          <w:sz w:val="21"/>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spacing w:line="400" w:lineRule="exact"/>
        <w:rPr>
          <w:rFonts w:ascii="宋体" w:hAnsi="宋体" w:cs="宋体"/>
          <w:sz w:val="21"/>
          <w:szCs w:val="21"/>
        </w:rPr>
      </w:pPr>
      <w:r>
        <w:rPr>
          <w:rFonts w:hint="eastAsia" w:ascii="宋体" w:hAnsi="宋体" w:cs="宋体"/>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spacing w:line="400" w:lineRule="exact"/>
        <w:rPr>
          <w:rFonts w:ascii="宋体" w:hAnsi="宋体" w:cs="宋体"/>
          <w:bCs/>
          <w:sz w:val="21"/>
          <w:szCs w:val="21"/>
        </w:rPr>
      </w:pPr>
      <w:r>
        <w:rPr>
          <w:rFonts w:hint="eastAsia" w:ascii="宋体" w:hAnsi="宋体" w:cs="宋体"/>
          <w:bCs/>
          <w:sz w:val="21"/>
          <w:szCs w:val="21"/>
        </w:rPr>
        <w:t>7.3设备验收</w:t>
      </w:r>
    </w:p>
    <w:p>
      <w:pPr>
        <w:spacing w:line="400" w:lineRule="exact"/>
        <w:ind w:firstLine="420" w:firstLineChars="200"/>
        <w:rPr>
          <w:rFonts w:ascii="宋体" w:hAnsi="宋体" w:cs="宋体"/>
          <w:sz w:val="21"/>
          <w:szCs w:val="21"/>
        </w:rPr>
      </w:pPr>
      <w:r>
        <w:rPr>
          <w:rFonts w:hint="eastAsia" w:ascii="宋体" w:hAnsi="宋体" w:cs="宋体"/>
          <w:sz w:val="21"/>
          <w:szCs w:val="21"/>
        </w:rPr>
        <w:t>考核完成后，双方对设备进行验收。验收标准为本规范书规定的要求和相关标准、规范。</w:t>
      </w:r>
    </w:p>
    <w:p>
      <w:pPr>
        <w:spacing w:line="400" w:lineRule="exact"/>
        <w:rPr>
          <w:rFonts w:ascii="宋体" w:hAnsi="宋体" w:cs="宋体"/>
          <w:b/>
          <w:sz w:val="21"/>
          <w:szCs w:val="21"/>
        </w:rPr>
      </w:pPr>
      <w:r>
        <w:rPr>
          <w:rFonts w:hint="eastAsia" w:ascii="宋体" w:hAnsi="宋体" w:cs="宋体"/>
          <w:b/>
          <w:sz w:val="21"/>
          <w:szCs w:val="21"/>
        </w:rPr>
        <w:t>8.质量保证</w:t>
      </w:r>
    </w:p>
    <w:p>
      <w:pPr>
        <w:spacing w:line="400" w:lineRule="exact"/>
        <w:ind w:firstLine="420" w:firstLineChars="200"/>
        <w:rPr>
          <w:rFonts w:ascii="宋体" w:hAnsi="宋体" w:cs="宋体"/>
          <w:sz w:val="21"/>
          <w:szCs w:val="21"/>
        </w:rPr>
      </w:pPr>
      <w:r>
        <w:rPr>
          <w:rFonts w:hint="eastAsia" w:ascii="宋体" w:hAnsi="宋体" w:cs="宋体"/>
          <w:sz w:val="21"/>
          <w:szCs w:val="21"/>
        </w:rPr>
        <w:t>整机质量保证期为12个月。设备验收合格后，从签订完设备验收报告之日起进入质保期。在质量保证期内，因产品设计或制造质量原因造成的问题，由投标方负责免费维修或更换。</w:t>
      </w:r>
    </w:p>
    <w:p>
      <w:pPr>
        <w:spacing w:line="400" w:lineRule="exact"/>
        <w:rPr>
          <w:rFonts w:ascii="宋体" w:hAnsi="宋体" w:cs="宋体"/>
          <w:b/>
          <w:sz w:val="21"/>
          <w:szCs w:val="21"/>
        </w:rPr>
      </w:pPr>
      <w:r>
        <w:rPr>
          <w:rFonts w:hint="eastAsia" w:ascii="宋体" w:hAnsi="宋体" w:cs="宋体"/>
          <w:b/>
          <w:sz w:val="21"/>
          <w:szCs w:val="21"/>
        </w:rPr>
        <w:t>9.售后支持</w:t>
      </w:r>
    </w:p>
    <w:p>
      <w:pPr>
        <w:spacing w:line="400" w:lineRule="exact"/>
        <w:rPr>
          <w:rFonts w:ascii="宋体" w:hAnsi="宋体" w:cs="宋体"/>
          <w:sz w:val="21"/>
          <w:szCs w:val="21"/>
        </w:rPr>
      </w:pPr>
      <w:r>
        <w:rPr>
          <w:rFonts w:hint="eastAsia" w:ascii="宋体" w:hAnsi="宋体" w:cs="宋体"/>
          <w:sz w:val="21"/>
          <w:szCs w:val="21"/>
        </w:rPr>
        <w:t>9.1在质保期内，如果出现故障，投标方在接到招标方书面通知后48小时内，指派技术服务人员到招标方使用现场，进行维修。</w:t>
      </w:r>
    </w:p>
    <w:p>
      <w:pPr>
        <w:spacing w:line="400" w:lineRule="exact"/>
        <w:rPr>
          <w:rFonts w:ascii="宋体" w:hAnsi="宋体" w:cs="宋体"/>
          <w:sz w:val="21"/>
          <w:szCs w:val="21"/>
        </w:rPr>
      </w:pPr>
      <w:r>
        <w:rPr>
          <w:rFonts w:hint="eastAsia" w:ascii="宋体" w:hAnsi="宋体" w:cs="宋体"/>
          <w:sz w:val="21"/>
          <w:szCs w:val="21"/>
        </w:rPr>
        <w:t>9.2在整机质保期内，投标方指派技术服务人员到招标方使用单位进行回访和协助设备维护保养，费用由投标方承担。</w:t>
      </w:r>
    </w:p>
    <w:p>
      <w:pPr>
        <w:spacing w:line="400" w:lineRule="exact"/>
        <w:rPr>
          <w:rFonts w:ascii="宋体" w:hAnsi="宋体" w:cs="宋体"/>
          <w:sz w:val="21"/>
          <w:szCs w:val="21"/>
        </w:rPr>
      </w:pPr>
      <w:r>
        <w:rPr>
          <w:rFonts w:hint="eastAsia" w:ascii="宋体" w:hAnsi="宋体" w:cs="宋体"/>
          <w:sz w:val="21"/>
          <w:szCs w:val="21"/>
        </w:rPr>
        <w:t>9.3投标方帮助和指导招标方解决使用中遇到的问题，对突发性故障和重大维修项目，将速派精干的服务工程师赴现场协助指导处理。</w:t>
      </w:r>
    </w:p>
    <w:p>
      <w:pPr>
        <w:spacing w:line="400" w:lineRule="exact"/>
        <w:rPr>
          <w:rFonts w:ascii="宋体" w:hAnsi="宋体" w:cs="宋体"/>
          <w:sz w:val="21"/>
          <w:szCs w:val="21"/>
        </w:rPr>
      </w:pPr>
      <w:r>
        <w:rPr>
          <w:rFonts w:hint="eastAsia" w:ascii="宋体" w:hAnsi="宋体" w:cs="宋体"/>
          <w:sz w:val="21"/>
          <w:szCs w:val="21"/>
        </w:rPr>
        <w:t>9.4投标方根据招标方需要，保证长期提供优质、低价配件。</w:t>
      </w:r>
    </w:p>
    <w:p>
      <w:pPr>
        <w:spacing w:line="400" w:lineRule="exact"/>
        <w:rPr>
          <w:rFonts w:ascii="宋体" w:hAnsi="宋体" w:cs="宋体"/>
          <w:sz w:val="21"/>
          <w:szCs w:val="21"/>
        </w:rPr>
      </w:pPr>
      <w:r>
        <w:rPr>
          <w:rFonts w:hint="eastAsia" w:ascii="宋体" w:hAnsi="宋体" w:cs="宋体"/>
          <w:sz w:val="21"/>
          <w:szCs w:val="21"/>
        </w:rPr>
        <w:t>9.5投标方根据招标方需要，保证长期提供配件图册、保养维修手册等技术资料。</w:t>
      </w:r>
    </w:p>
    <w:p>
      <w:pPr>
        <w:spacing w:line="400" w:lineRule="exact"/>
        <w:rPr>
          <w:rFonts w:ascii="宋体" w:hAnsi="宋体" w:cs="宋体"/>
          <w:sz w:val="21"/>
          <w:szCs w:val="21"/>
        </w:rPr>
      </w:pPr>
      <w:r>
        <w:rPr>
          <w:rFonts w:hint="eastAsia" w:ascii="宋体" w:hAnsi="宋体" w:cs="宋体"/>
          <w:sz w:val="21"/>
          <w:szCs w:val="21"/>
        </w:rPr>
        <w:t>9.6投标方产品在技术改进后，应根据招标方需要，保证招标方设备的使用、维修及配件供应能够适应技术改进情况。</w:t>
      </w:r>
    </w:p>
    <w:p>
      <w:pPr>
        <w:spacing w:line="400" w:lineRule="exact"/>
        <w:rPr>
          <w:rFonts w:ascii="宋体" w:hAnsi="宋体" w:cs="宋体"/>
          <w:sz w:val="21"/>
          <w:szCs w:val="21"/>
        </w:rPr>
      </w:pPr>
      <w:r>
        <w:rPr>
          <w:rFonts w:hint="eastAsia" w:ascii="宋体" w:hAnsi="宋体" w:cs="宋体"/>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spacing w:line="400" w:lineRule="exact"/>
        <w:rPr>
          <w:rFonts w:ascii="宋体" w:cs="宋体"/>
          <w:sz w:val="21"/>
          <w:szCs w:val="21"/>
        </w:rPr>
      </w:pPr>
      <w:r>
        <w:rPr>
          <w:rFonts w:hint="eastAsia" w:ascii="宋体" w:hAnsi="宋体" w:cs="宋体"/>
          <w:sz w:val="21"/>
          <w:szCs w:val="21"/>
        </w:rPr>
        <w:t>9.8 投标方应在投标书中说明设备投入运行后，招标方向投标方正常订购配件时，投标方能给招标方多大幅度的优惠。说明如果招标方遇到配件急需时，投标方如何以最快的速度给予支持。</w:t>
      </w:r>
    </w:p>
    <w:p>
      <w:pPr>
        <w:spacing w:line="400" w:lineRule="exact"/>
        <w:rPr>
          <w:rFonts w:hint="eastAsia" w:ascii="宋体" w:hAnsi="宋体" w:cs="宋体"/>
          <w:b/>
          <w:sz w:val="21"/>
          <w:szCs w:val="21"/>
          <w:lang w:eastAsia="zh-CN"/>
        </w:rPr>
      </w:pPr>
      <w:r>
        <w:rPr>
          <w:rFonts w:hint="eastAsia" w:ascii="宋体" w:hAnsi="宋体" w:cs="宋体"/>
          <w:b/>
          <w:sz w:val="21"/>
          <w:szCs w:val="21"/>
        </w:rPr>
        <w:t>10.资质要求</w:t>
      </w:r>
      <w:r>
        <w:rPr>
          <w:rFonts w:hint="eastAsia" w:ascii="宋体" w:hAnsi="宋体" w:cs="宋体"/>
          <w:b/>
          <w:sz w:val="21"/>
          <w:szCs w:val="21"/>
          <w:lang w:eastAsia="zh-CN"/>
        </w:rPr>
        <w:t>：详见招标公告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631D11"/>
    <w:multiLevelType w:val="singleLevel"/>
    <w:tmpl w:val="D5631D11"/>
    <w:lvl w:ilvl="0" w:tentative="0">
      <w:start w:val="1"/>
      <w:numFmt w:val="decimal"/>
      <w:lvlText w:val="(%1)"/>
      <w:lvlJc w:val="left"/>
      <w:pPr>
        <w:tabs>
          <w:tab w:val="left" w:pos="397"/>
        </w:tabs>
        <w:ind w:left="0" w:firstLine="397"/>
      </w:pPr>
      <w:rPr>
        <w:rFonts w:hint="default"/>
      </w:rPr>
    </w:lvl>
  </w:abstractNum>
  <w:abstractNum w:abstractNumId="1">
    <w:nsid w:val="F972803A"/>
    <w:multiLevelType w:val="singleLevel"/>
    <w:tmpl w:val="F972803A"/>
    <w:lvl w:ilvl="0" w:tentative="0">
      <w:start w:val="1"/>
      <w:numFmt w:val="decimal"/>
      <w:lvlText w:val="(%1)"/>
      <w:lvlJc w:val="left"/>
      <w:pPr>
        <w:tabs>
          <w:tab w:val="left" w:pos="397"/>
        </w:tabs>
        <w:ind w:left="0" w:firstLine="397"/>
      </w:pPr>
      <w:rPr>
        <w:rFonts w:hint="default"/>
      </w:rPr>
    </w:lvl>
  </w:abstractNum>
  <w:abstractNum w:abstractNumId="2">
    <w:nsid w:val="2CB0449F"/>
    <w:multiLevelType w:val="singleLevel"/>
    <w:tmpl w:val="2CB0449F"/>
    <w:lvl w:ilvl="0" w:tentative="0">
      <w:start w:val="1"/>
      <w:numFmt w:val="decimal"/>
      <w:lvlText w:val="(%1)"/>
      <w:lvlJc w:val="left"/>
      <w:pPr>
        <w:tabs>
          <w:tab w:val="left" w:pos="397"/>
        </w:tabs>
        <w:ind w:left="0" w:firstLine="397"/>
      </w:pPr>
      <w:rPr>
        <w:rFonts w:hint="default"/>
      </w:rPr>
    </w:lvl>
  </w:abstractNum>
  <w:abstractNum w:abstractNumId="3">
    <w:nsid w:val="362C9FE0"/>
    <w:multiLevelType w:val="singleLevel"/>
    <w:tmpl w:val="362C9FE0"/>
    <w:lvl w:ilvl="0" w:tentative="0">
      <w:start w:val="1"/>
      <w:numFmt w:val="decimal"/>
      <w:suff w:val="nothing"/>
      <w:lvlText w:val="3.1.3.%1　"/>
      <w:lvlJc w:val="left"/>
      <w:pPr>
        <w:ind w:left="0" w:firstLine="403"/>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23BD4"/>
    <w:rsid w:val="26B23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Body Text First Indent"/>
    <w:basedOn w:val="4"/>
    <w:qFormat/>
    <w:uiPriority w:val="0"/>
    <w:pPr>
      <w:spacing w:after="120"/>
      <w:ind w:firstLine="420" w:firstLineChars="100"/>
      <w:jc w:val="both"/>
    </w:pPr>
    <w:rPr>
      <w:sz w:val="24"/>
    </w:rPr>
  </w:style>
  <w:style w:type="paragraph" w:styleId="4">
    <w:name w:val="Body Text"/>
    <w:basedOn w:val="1"/>
    <w:qFormat/>
    <w:uiPriority w:val="0"/>
    <w:pPr>
      <w:jc w:val="center"/>
    </w:pPr>
    <w:rPr>
      <w:sz w:val="52"/>
    </w:rPr>
  </w:style>
  <w:style w:type="paragraph" w:styleId="5">
    <w:name w:val="annotation text"/>
    <w:basedOn w:val="1"/>
    <w:qFormat/>
    <w:uiPriority w:val="0"/>
    <w:pPr>
      <w:adjustRightInd w:val="0"/>
      <w:spacing w:line="360" w:lineRule="atLeast"/>
      <w:jc w:val="left"/>
      <w:textAlignment w:val="baseline"/>
    </w:pPr>
    <w:rPr>
      <w:kern w:val="0"/>
      <w:sz w:val="24"/>
      <w:szCs w:val="20"/>
    </w:rPr>
  </w:style>
  <w:style w:type="paragraph" w:styleId="6">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2019-08-02T01:46:00Z</dcterms:created>
  <dc:creator>Administrator</dc:creator>
  <cp:lastModifiedBy>Administrator</cp:lastModifiedBy>
  <dcterms:modified xsi:type="dcterms:W3CDTF">2019-08-02T01:46:28Z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