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hint="eastAsia" w:ascii="仿宋" w:hAnsi="仿宋" w:eastAsia="仿宋" w:cs="仿宋"/>
          <w:sz w:val="24"/>
          <w:szCs w:val="24"/>
          <w:highlight w:val="none"/>
          <w:lang w:val="en-US" w:eastAsia="zh-CN"/>
        </w:rPr>
      </w:pPr>
      <w:bookmarkStart w:id="0" w:name="_Toc7333"/>
      <w:r>
        <w:rPr>
          <w:rFonts w:hint="eastAsia" w:ascii="仿宋" w:hAnsi="仿宋" w:eastAsia="仿宋" w:cs="仿宋"/>
          <w:sz w:val="24"/>
          <w:szCs w:val="24"/>
          <w:highlight w:val="none"/>
          <w:lang w:val="en-US" w:eastAsia="zh-CN"/>
        </w:rPr>
        <w:t>IMS双功能轨道测量仪技术要求</w:t>
      </w:r>
      <w:bookmarkEnd w:id="0"/>
    </w:p>
    <w:p>
      <w:pPr>
        <w:tabs>
          <w:tab w:val="left" w:pos="900"/>
        </w:tabs>
        <w:spacing w:line="360" w:lineRule="auto"/>
        <w:rPr>
          <w:rFonts w:hint="eastAsia" w:ascii="宋体" w:cs="新宋体"/>
          <w:bCs/>
          <w:color w:val="000000"/>
          <w:sz w:val="21"/>
          <w:szCs w:val="21"/>
          <w:lang w:bidi="ar-SA"/>
        </w:rPr>
      </w:pPr>
      <w:bookmarkStart w:id="1" w:name="_Toc49019489"/>
      <w:bookmarkStart w:id="2" w:name="_Toc49019228"/>
      <w:bookmarkStart w:id="3" w:name="_Toc47416189"/>
      <w:r>
        <w:rPr>
          <w:rFonts w:hint="eastAsia" w:ascii="宋体" w:cs="新宋体"/>
          <w:bCs/>
          <w:color w:val="000000"/>
          <w:sz w:val="21"/>
          <w:szCs w:val="21"/>
          <w:lang w:bidi="ar-SA"/>
        </w:rPr>
        <w:t>1.货物需求</w:t>
      </w:r>
    </w:p>
    <w:p>
      <w:pPr>
        <w:tabs>
          <w:tab w:val="left" w:pos="900"/>
        </w:tabs>
        <w:spacing w:line="360" w:lineRule="auto"/>
        <w:rPr>
          <w:rFonts w:hint="eastAsia" w:ascii="宋体" w:cs="新宋体"/>
          <w:bCs/>
          <w:color w:val="000000"/>
          <w:sz w:val="21"/>
          <w:szCs w:val="21"/>
          <w:lang w:bidi="ar-SA"/>
        </w:rPr>
      </w:pPr>
      <w:r>
        <w:rPr>
          <w:rFonts w:hint="eastAsia" w:ascii="宋体" w:cs="新宋体"/>
          <w:bCs/>
          <w:color w:val="000000"/>
          <w:sz w:val="21"/>
          <w:szCs w:val="21"/>
          <w:lang w:bidi="ar-SA"/>
        </w:rPr>
        <w:t>1.1需求一览表</w:t>
      </w:r>
    </w:p>
    <w:tbl>
      <w:tblPr>
        <w:tblStyle w:val="4"/>
        <w:tblW w:w="9287" w:type="dxa"/>
        <w:tblInd w:w="0" w:type="dxa"/>
        <w:tblLayout w:type="fixed"/>
        <w:tblCellMar>
          <w:top w:w="0" w:type="dxa"/>
          <w:left w:w="108" w:type="dxa"/>
          <w:bottom w:w="0" w:type="dxa"/>
          <w:right w:w="108" w:type="dxa"/>
        </w:tblCellMar>
      </w:tblPr>
      <w:tblGrid>
        <w:gridCol w:w="730"/>
        <w:gridCol w:w="3566"/>
        <w:gridCol w:w="910"/>
        <w:gridCol w:w="910"/>
        <w:gridCol w:w="3171"/>
      </w:tblGrid>
      <w:tr>
        <w:tblPrEx>
          <w:tblLayout w:type="fixed"/>
          <w:tblCellMar>
            <w:top w:w="0" w:type="dxa"/>
            <w:left w:w="108" w:type="dxa"/>
            <w:bottom w:w="0" w:type="dxa"/>
            <w:right w:w="108" w:type="dxa"/>
          </w:tblCellMar>
        </w:tblPrEx>
        <w:trPr>
          <w:trHeight w:val="567" w:hRule="atLeast"/>
        </w:trPr>
        <w:tc>
          <w:tcPr>
            <w:tcW w:w="73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sz w:val="21"/>
                <w:szCs w:val="21"/>
              </w:rPr>
            </w:pPr>
            <w:r>
              <w:rPr>
                <w:rFonts w:hint="eastAsia" w:ascii="宋体"/>
                <w:sz w:val="21"/>
                <w:szCs w:val="21"/>
              </w:rPr>
              <w:t>序号</w:t>
            </w:r>
          </w:p>
        </w:tc>
        <w:tc>
          <w:tcPr>
            <w:tcW w:w="3566" w:type="dxa"/>
            <w:tcBorders>
              <w:top w:val="single" w:color="auto" w:sz="4" w:space="0"/>
              <w:left w:val="nil"/>
              <w:bottom w:val="single" w:color="auto" w:sz="4" w:space="0"/>
              <w:right w:val="single" w:color="auto" w:sz="4" w:space="0"/>
            </w:tcBorders>
            <w:vAlign w:val="center"/>
          </w:tcPr>
          <w:p>
            <w:pPr>
              <w:spacing w:line="360" w:lineRule="auto"/>
              <w:jc w:val="center"/>
              <w:rPr>
                <w:rFonts w:hint="eastAsia" w:ascii="宋体"/>
                <w:sz w:val="21"/>
                <w:szCs w:val="21"/>
              </w:rPr>
            </w:pPr>
            <w:r>
              <w:rPr>
                <w:rFonts w:hint="eastAsia" w:ascii="宋体"/>
                <w:sz w:val="21"/>
                <w:szCs w:val="21"/>
              </w:rPr>
              <w:t>货物名称</w:t>
            </w:r>
          </w:p>
        </w:tc>
        <w:tc>
          <w:tcPr>
            <w:tcW w:w="910" w:type="dxa"/>
            <w:tcBorders>
              <w:top w:val="single" w:color="auto" w:sz="4" w:space="0"/>
              <w:left w:val="nil"/>
              <w:bottom w:val="single" w:color="auto" w:sz="4" w:space="0"/>
              <w:right w:val="single" w:color="auto" w:sz="4" w:space="0"/>
            </w:tcBorders>
            <w:vAlign w:val="center"/>
          </w:tcPr>
          <w:p>
            <w:pPr>
              <w:widowControl/>
              <w:spacing w:line="360" w:lineRule="auto"/>
              <w:jc w:val="center"/>
              <w:rPr>
                <w:rFonts w:hint="eastAsia" w:ascii="宋体"/>
                <w:sz w:val="21"/>
                <w:szCs w:val="21"/>
              </w:rPr>
            </w:pPr>
            <w:r>
              <w:rPr>
                <w:rFonts w:hint="eastAsia" w:ascii="宋体"/>
                <w:sz w:val="21"/>
                <w:szCs w:val="21"/>
              </w:rPr>
              <w:t>单位</w:t>
            </w:r>
          </w:p>
        </w:tc>
        <w:tc>
          <w:tcPr>
            <w:tcW w:w="910" w:type="dxa"/>
            <w:tcBorders>
              <w:top w:val="single" w:color="auto" w:sz="4" w:space="0"/>
              <w:left w:val="nil"/>
              <w:bottom w:val="single" w:color="auto" w:sz="4" w:space="0"/>
              <w:right w:val="single" w:color="auto" w:sz="4" w:space="0"/>
            </w:tcBorders>
            <w:vAlign w:val="center"/>
          </w:tcPr>
          <w:p>
            <w:pPr>
              <w:widowControl/>
              <w:spacing w:line="360" w:lineRule="auto"/>
              <w:jc w:val="center"/>
              <w:rPr>
                <w:rFonts w:hint="eastAsia" w:ascii="宋体"/>
                <w:sz w:val="21"/>
                <w:szCs w:val="21"/>
              </w:rPr>
            </w:pPr>
            <w:r>
              <w:rPr>
                <w:rFonts w:hint="eastAsia" w:ascii="宋体"/>
                <w:sz w:val="21"/>
                <w:szCs w:val="21"/>
              </w:rPr>
              <w:t>数量</w:t>
            </w:r>
          </w:p>
        </w:tc>
        <w:tc>
          <w:tcPr>
            <w:tcW w:w="3171" w:type="dxa"/>
            <w:tcBorders>
              <w:top w:val="single" w:color="auto" w:sz="4" w:space="0"/>
              <w:left w:val="nil"/>
              <w:bottom w:val="single" w:color="auto" w:sz="4" w:space="0"/>
              <w:right w:val="single" w:color="auto" w:sz="4" w:space="0"/>
            </w:tcBorders>
            <w:vAlign w:val="center"/>
          </w:tcPr>
          <w:p>
            <w:pPr>
              <w:widowControl/>
              <w:spacing w:line="360" w:lineRule="auto"/>
              <w:jc w:val="center"/>
              <w:rPr>
                <w:rFonts w:hint="eastAsia" w:ascii="宋体"/>
                <w:sz w:val="21"/>
                <w:szCs w:val="21"/>
              </w:rPr>
            </w:pPr>
            <w:r>
              <w:rPr>
                <w:rFonts w:hint="eastAsia" w:ascii="宋体"/>
                <w:sz w:val="21"/>
                <w:szCs w:val="21"/>
              </w:rPr>
              <w:t>交货时间</w:t>
            </w:r>
          </w:p>
        </w:tc>
      </w:tr>
      <w:tr>
        <w:tblPrEx>
          <w:tblLayout w:type="fixed"/>
          <w:tblCellMar>
            <w:top w:w="0" w:type="dxa"/>
            <w:left w:w="108" w:type="dxa"/>
            <w:bottom w:w="0" w:type="dxa"/>
            <w:right w:w="108" w:type="dxa"/>
          </w:tblCellMar>
        </w:tblPrEx>
        <w:trPr>
          <w:trHeight w:val="567" w:hRule="atLeast"/>
        </w:trPr>
        <w:tc>
          <w:tcPr>
            <w:tcW w:w="730" w:type="dxa"/>
            <w:tcBorders>
              <w:top w:val="nil"/>
              <w:left w:val="single" w:color="auto" w:sz="4" w:space="0"/>
              <w:bottom w:val="single" w:color="auto" w:sz="4" w:space="0"/>
              <w:right w:val="single" w:color="auto" w:sz="4" w:space="0"/>
            </w:tcBorders>
            <w:vAlign w:val="center"/>
          </w:tcPr>
          <w:p>
            <w:pPr>
              <w:widowControl/>
              <w:spacing w:line="360" w:lineRule="auto"/>
              <w:jc w:val="center"/>
              <w:rPr>
                <w:rFonts w:hint="eastAsia" w:ascii="宋体"/>
                <w:sz w:val="21"/>
                <w:szCs w:val="21"/>
              </w:rPr>
            </w:pPr>
            <w:r>
              <w:rPr>
                <w:rFonts w:hint="eastAsia" w:ascii="宋体"/>
                <w:sz w:val="21"/>
                <w:szCs w:val="21"/>
              </w:rPr>
              <w:t>1</w:t>
            </w:r>
          </w:p>
        </w:tc>
        <w:tc>
          <w:tcPr>
            <w:tcW w:w="3566" w:type="dxa"/>
            <w:tcBorders>
              <w:top w:val="nil"/>
              <w:left w:val="nil"/>
              <w:bottom w:val="single" w:color="auto" w:sz="4" w:space="0"/>
              <w:right w:val="single" w:color="auto" w:sz="4" w:space="0"/>
            </w:tcBorders>
            <w:vAlign w:val="center"/>
          </w:tcPr>
          <w:p>
            <w:pPr>
              <w:spacing w:line="360" w:lineRule="auto"/>
              <w:jc w:val="center"/>
              <w:rPr>
                <w:rFonts w:hint="eastAsia" w:ascii="宋体" w:eastAsia="宋体"/>
                <w:bCs/>
                <w:sz w:val="21"/>
                <w:szCs w:val="21"/>
                <w:lang w:eastAsia="zh-CN"/>
              </w:rPr>
            </w:pPr>
            <w:r>
              <w:rPr>
                <w:rFonts w:hint="eastAsia" w:ascii="宋体"/>
                <w:bCs/>
                <w:sz w:val="21"/>
                <w:szCs w:val="21"/>
                <w:lang w:eastAsia="zh-CN"/>
              </w:rPr>
              <w:t>IMS双功能轨道测量仪</w:t>
            </w:r>
          </w:p>
        </w:tc>
        <w:tc>
          <w:tcPr>
            <w:tcW w:w="910" w:type="dxa"/>
            <w:tcBorders>
              <w:top w:val="nil"/>
              <w:left w:val="nil"/>
              <w:bottom w:val="single" w:color="auto" w:sz="4" w:space="0"/>
              <w:right w:val="single" w:color="auto" w:sz="4" w:space="0"/>
            </w:tcBorders>
            <w:vAlign w:val="center"/>
          </w:tcPr>
          <w:p>
            <w:pPr>
              <w:widowControl/>
              <w:spacing w:line="360" w:lineRule="auto"/>
              <w:jc w:val="center"/>
              <w:rPr>
                <w:rFonts w:hint="eastAsia" w:ascii="宋体"/>
                <w:sz w:val="21"/>
                <w:szCs w:val="21"/>
              </w:rPr>
            </w:pPr>
            <w:r>
              <w:rPr>
                <w:rFonts w:hint="eastAsia" w:ascii="宋体"/>
                <w:sz w:val="21"/>
                <w:szCs w:val="21"/>
              </w:rPr>
              <w:t>台</w:t>
            </w:r>
          </w:p>
        </w:tc>
        <w:tc>
          <w:tcPr>
            <w:tcW w:w="910" w:type="dxa"/>
            <w:tcBorders>
              <w:top w:val="nil"/>
              <w:left w:val="nil"/>
              <w:bottom w:val="single" w:color="auto" w:sz="4" w:space="0"/>
              <w:right w:val="single" w:color="auto" w:sz="4" w:space="0"/>
            </w:tcBorders>
            <w:vAlign w:val="center"/>
          </w:tcPr>
          <w:p>
            <w:pPr>
              <w:spacing w:line="360" w:lineRule="auto"/>
              <w:jc w:val="center"/>
              <w:rPr>
                <w:rFonts w:hint="eastAsia" w:ascii="宋体" w:eastAsia="宋体"/>
                <w:sz w:val="21"/>
                <w:szCs w:val="21"/>
                <w:lang w:val="en-US" w:eastAsia="zh-CN"/>
              </w:rPr>
            </w:pPr>
            <w:r>
              <w:rPr>
                <w:rFonts w:hint="eastAsia" w:ascii="宋体"/>
                <w:sz w:val="21"/>
                <w:szCs w:val="21"/>
                <w:lang w:val="en-US" w:eastAsia="zh-CN"/>
              </w:rPr>
              <w:t>1</w:t>
            </w:r>
          </w:p>
        </w:tc>
        <w:tc>
          <w:tcPr>
            <w:tcW w:w="3171" w:type="dxa"/>
            <w:tcBorders>
              <w:top w:val="nil"/>
              <w:left w:val="nil"/>
              <w:bottom w:val="single" w:color="auto" w:sz="4" w:space="0"/>
              <w:right w:val="single" w:color="auto" w:sz="4" w:space="0"/>
            </w:tcBorders>
            <w:vAlign w:val="center"/>
          </w:tcPr>
          <w:p>
            <w:pPr>
              <w:widowControl/>
              <w:spacing w:line="360" w:lineRule="auto"/>
              <w:jc w:val="center"/>
              <w:rPr>
                <w:rFonts w:hint="eastAsia" w:ascii="宋体"/>
                <w:sz w:val="21"/>
                <w:szCs w:val="21"/>
              </w:rPr>
            </w:pPr>
            <w:r>
              <w:rPr>
                <w:rFonts w:hint="eastAsia" w:ascii="宋体" w:cs="新宋体"/>
                <w:bCs/>
                <w:color w:val="000000"/>
                <w:sz w:val="21"/>
                <w:szCs w:val="21"/>
                <w:lang w:bidi="ar-SA"/>
              </w:rPr>
              <w:t>自</w:t>
            </w:r>
            <w:r>
              <w:rPr>
                <w:rFonts w:hint="eastAsia" w:ascii="宋体" w:cs="新宋体"/>
                <w:bCs/>
                <w:color w:val="000000"/>
                <w:sz w:val="21"/>
                <w:szCs w:val="21"/>
                <w:lang w:val="en-US" w:eastAsia="zh-CN" w:bidi="ar-SA"/>
              </w:rPr>
              <w:t>合同</w:t>
            </w:r>
            <w:r>
              <w:rPr>
                <w:rFonts w:hint="eastAsia" w:ascii="宋体" w:cs="新宋体"/>
                <w:bCs/>
                <w:color w:val="000000"/>
                <w:sz w:val="21"/>
                <w:szCs w:val="21"/>
                <w:lang w:bidi="ar-SA"/>
              </w:rPr>
              <w:t>签订之日起</w:t>
            </w:r>
            <w:r>
              <w:rPr>
                <w:rFonts w:hint="eastAsia" w:ascii="宋体" w:cs="新宋体"/>
                <w:bCs/>
                <w:color w:val="000000"/>
                <w:sz w:val="21"/>
                <w:szCs w:val="21"/>
                <w:u w:val="none"/>
                <w:lang w:val="en-US" w:eastAsia="zh-CN" w:bidi="ar-SA"/>
              </w:rPr>
              <w:t>1</w:t>
            </w:r>
            <w:r>
              <w:rPr>
                <w:rFonts w:hint="eastAsia" w:ascii="宋体" w:cs="新宋体"/>
                <w:bCs/>
                <w:color w:val="000000"/>
                <w:sz w:val="21"/>
                <w:szCs w:val="21"/>
                <w:lang w:bidi="ar-SA"/>
              </w:rPr>
              <w:t>个月</w:t>
            </w:r>
          </w:p>
        </w:tc>
      </w:tr>
    </w:tbl>
    <w:p>
      <w:pPr>
        <w:keepNext w:val="0"/>
        <w:keepLines w:val="0"/>
        <w:pageBreakBefore w:val="0"/>
        <w:kinsoku/>
        <w:wordWrap/>
        <w:overflowPunct/>
        <w:topLinePunct w:val="0"/>
        <w:autoSpaceDE/>
        <w:autoSpaceDN/>
        <w:bidi w:val="0"/>
        <w:snapToGrid/>
        <w:spacing w:line="500" w:lineRule="exact"/>
        <w:ind w:left="0" w:leftChars="0" w:right="0" w:rightChars="0"/>
        <w:textAlignment w:val="auto"/>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rPr>
        <w:t>1.2交货时间:</w:t>
      </w:r>
      <w:r>
        <w:rPr>
          <w:rFonts w:hint="eastAsia" w:ascii="宋体" w:hAnsi="宋体" w:eastAsia="宋体" w:cs="宋体"/>
          <w:color w:val="000000"/>
          <w:sz w:val="21"/>
          <w:szCs w:val="21"/>
          <w:highlight w:val="none"/>
        </w:rPr>
        <w:t>自签订</w:t>
      </w:r>
      <w:r>
        <w:rPr>
          <w:rFonts w:hint="eastAsia" w:ascii="宋体" w:hAnsi="宋体" w:eastAsia="宋体" w:cs="宋体"/>
          <w:color w:val="000000"/>
          <w:sz w:val="21"/>
          <w:szCs w:val="21"/>
          <w:highlight w:val="none"/>
          <w:lang w:eastAsia="zh-CN"/>
        </w:rPr>
        <w:t>合同之日</w:t>
      </w:r>
      <w:r>
        <w:rPr>
          <w:rFonts w:hint="eastAsia" w:ascii="宋体" w:hAnsi="宋体" w:eastAsia="宋体" w:cs="宋体"/>
          <w:color w:val="000000"/>
          <w:sz w:val="21"/>
          <w:szCs w:val="21"/>
          <w:highlight w:val="none"/>
        </w:rPr>
        <w:t>起</w:t>
      </w:r>
      <w:r>
        <w:rPr>
          <w:rFonts w:hint="eastAsia" w:ascii="宋体" w:hAnsi="宋体" w:eastAsia="宋体" w:cs="宋体"/>
          <w:color w:val="000000"/>
          <w:sz w:val="21"/>
          <w:szCs w:val="21"/>
          <w:highlight w:val="none"/>
          <w:lang w:val="en-US" w:eastAsia="zh-CN"/>
        </w:rPr>
        <w:t>1个月内</w:t>
      </w:r>
      <w:r>
        <w:rPr>
          <w:rFonts w:hint="eastAsia" w:ascii="宋体" w:hAnsi="宋体" w:eastAsia="宋体" w:cs="宋体"/>
          <w:bCs/>
          <w:sz w:val="21"/>
          <w:szCs w:val="21"/>
          <w:highlight w:val="none"/>
        </w:rPr>
        <w:t>到达</w:t>
      </w:r>
      <w:r>
        <w:rPr>
          <w:rFonts w:hint="eastAsia" w:ascii="宋体" w:hAnsi="宋体" w:eastAsia="宋体" w:cs="宋体"/>
          <w:bCs/>
          <w:color w:val="000000"/>
          <w:sz w:val="21"/>
          <w:szCs w:val="21"/>
          <w:highlight w:val="none"/>
        </w:rPr>
        <w:t>交货地点。交货地点：</w:t>
      </w:r>
      <w:r>
        <w:rPr>
          <w:rFonts w:hint="eastAsia" w:ascii="宋体" w:hAnsi="宋体" w:eastAsia="宋体" w:cs="宋体"/>
          <w:bCs/>
          <w:color w:val="000000"/>
          <w:sz w:val="21"/>
          <w:szCs w:val="21"/>
          <w:highlight w:val="none"/>
          <w:lang w:eastAsia="zh-CN"/>
        </w:rPr>
        <w:t>内蒙古鄂尔多斯市准格尔旗</w:t>
      </w:r>
      <w:r>
        <w:rPr>
          <w:rFonts w:hint="eastAsia" w:ascii="宋体" w:hAnsi="宋体" w:eastAsia="宋体" w:cs="宋体"/>
          <w:bCs/>
          <w:color w:val="000000"/>
          <w:sz w:val="21"/>
          <w:szCs w:val="21"/>
          <w:highlight w:val="none"/>
        </w:rPr>
        <w:t>薛家湾</w:t>
      </w:r>
      <w:r>
        <w:rPr>
          <w:rFonts w:hint="eastAsia" w:ascii="宋体" w:hAnsi="宋体" w:eastAsia="宋体" w:cs="宋体"/>
          <w:bCs/>
          <w:color w:val="000000"/>
          <w:sz w:val="21"/>
          <w:szCs w:val="21"/>
          <w:highlight w:val="none"/>
          <w:lang w:eastAsia="zh-CN"/>
        </w:rPr>
        <w:t>镇大准铁路公司工务段</w:t>
      </w:r>
      <w:r>
        <w:rPr>
          <w:rFonts w:hint="eastAsia" w:ascii="宋体" w:hAnsi="宋体" w:eastAsia="宋体" w:cs="宋体"/>
          <w:bCs/>
          <w:color w:val="000000"/>
          <w:sz w:val="21"/>
          <w:szCs w:val="21"/>
          <w:highlight w:val="none"/>
        </w:rPr>
        <w:t>。</w:t>
      </w:r>
    </w:p>
    <w:p>
      <w:pPr>
        <w:keepNext w:val="0"/>
        <w:keepLines w:val="0"/>
        <w:pageBreakBefore w:val="0"/>
        <w:kinsoku/>
        <w:wordWrap/>
        <w:overflowPunct/>
        <w:topLinePunct w:val="0"/>
        <w:autoSpaceDE/>
        <w:autoSpaceDN/>
        <w:bidi w:val="0"/>
        <w:snapToGrid/>
        <w:spacing w:line="500" w:lineRule="exact"/>
        <w:ind w:left="0" w:leftChars="0" w:right="0" w:rightChars="0"/>
        <w:textAlignment w:val="auto"/>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rPr>
        <w:t>2.设备规格及使用条件</w:t>
      </w:r>
    </w:p>
    <w:p>
      <w:pPr>
        <w:keepNext w:val="0"/>
        <w:keepLines w:val="0"/>
        <w:pageBreakBefore w:val="0"/>
        <w:kinsoku/>
        <w:wordWrap/>
        <w:overflowPunct/>
        <w:topLinePunct w:val="0"/>
        <w:autoSpaceDE/>
        <w:autoSpaceDN/>
        <w:bidi w:val="0"/>
        <w:adjustRightInd w:val="0"/>
        <w:snapToGrid/>
        <w:spacing w:line="500" w:lineRule="exact"/>
        <w:ind w:left="0" w:leftChars="0" w:right="0" w:rightChars="0"/>
        <w:textAlignment w:val="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2.1设备名称</w:t>
      </w:r>
      <w:r>
        <w:rPr>
          <w:rFonts w:hint="eastAsia" w:ascii="宋体" w:hAnsi="宋体" w:eastAsia="宋体" w:cs="宋体"/>
          <w:sz w:val="21"/>
          <w:szCs w:val="21"/>
          <w:highlight w:val="none"/>
        </w:rPr>
        <w:t>及型号</w:t>
      </w:r>
    </w:p>
    <w:p>
      <w:pPr>
        <w:keepNext w:val="0"/>
        <w:keepLines w:val="0"/>
        <w:pageBreakBefore w:val="0"/>
        <w:kinsoku/>
        <w:wordWrap/>
        <w:overflowPunct/>
        <w:topLinePunct w:val="0"/>
        <w:autoSpaceDE/>
        <w:autoSpaceDN/>
        <w:bidi w:val="0"/>
        <w:snapToGrid/>
        <w:spacing w:line="500" w:lineRule="exact"/>
        <w:ind w:left="0" w:leftChars="0" w:right="0" w:rightChars="0"/>
        <w:textAlignment w:val="auto"/>
        <w:rPr>
          <w:rFonts w:hint="eastAsia" w:ascii="宋体" w:hAnsi="宋体" w:eastAsia="宋体" w:cs="宋体"/>
          <w:b w:val="0"/>
          <w:bCs w:val="0"/>
          <w:sz w:val="21"/>
          <w:szCs w:val="21"/>
          <w:highlight w:val="none"/>
        </w:rPr>
      </w:pPr>
      <w:r>
        <w:rPr>
          <w:rFonts w:hint="eastAsia" w:ascii="宋体" w:hAnsi="宋体" w:eastAsia="宋体" w:cs="宋体"/>
          <w:sz w:val="21"/>
          <w:szCs w:val="21"/>
          <w:highlight w:val="none"/>
        </w:rPr>
        <w:t>2.1.1设备名称：</w:t>
      </w:r>
      <w:r>
        <w:rPr>
          <w:rFonts w:hint="eastAsia" w:ascii="宋体" w:hAnsi="宋体" w:cs="宋体"/>
          <w:color w:val="000000"/>
          <w:sz w:val="21"/>
          <w:szCs w:val="21"/>
          <w:highlight w:val="none"/>
          <w:lang w:eastAsia="zh-CN"/>
        </w:rPr>
        <w:t>IMS双功能轨道测量仪</w:t>
      </w:r>
    </w:p>
    <w:p>
      <w:pPr>
        <w:keepNext w:val="0"/>
        <w:keepLines w:val="0"/>
        <w:pageBreakBefore w:val="0"/>
        <w:kinsoku/>
        <w:wordWrap/>
        <w:overflowPunct/>
        <w:topLinePunct w:val="0"/>
        <w:autoSpaceDE/>
        <w:autoSpaceDN/>
        <w:bidi w:val="0"/>
        <w:adjustRightInd w:val="0"/>
        <w:snapToGrid/>
        <w:spacing w:line="500" w:lineRule="exact"/>
        <w:ind w:left="0" w:leftChars="0" w:right="0" w:rightChars="0"/>
        <w:textAlignment w:val="auto"/>
        <w:rPr>
          <w:rFonts w:hint="eastAsia" w:ascii="宋体" w:hAnsi="宋体" w:eastAsia="宋体" w:cs="宋体"/>
          <w:kern w:val="0"/>
          <w:sz w:val="21"/>
          <w:szCs w:val="21"/>
          <w:highlight w:val="none"/>
        </w:rPr>
      </w:pPr>
      <w:r>
        <w:rPr>
          <w:rFonts w:hint="eastAsia" w:ascii="宋体" w:hAnsi="宋体" w:eastAsia="宋体" w:cs="宋体"/>
          <w:sz w:val="21"/>
          <w:szCs w:val="21"/>
          <w:highlight w:val="none"/>
        </w:rPr>
        <w:t>2.1.2生产厂家及型号：</w:t>
      </w:r>
    </w:p>
    <w:p>
      <w:pPr>
        <w:keepNext w:val="0"/>
        <w:keepLines w:val="0"/>
        <w:pageBreakBefore w:val="0"/>
        <w:kinsoku/>
        <w:wordWrap/>
        <w:overflowPunct/>
        <w:topLinePunct w:val="0"/>
        <w:autoSpaceDE/>
        <w:autoSpaceDN/>
        <w:bidi w:val="0"/>
        <w:adjustRightInd w:val="0"/>
        <w:snapToGrid/>
        <w:spacing w:line="500" w:lineRule="exact"/>
        <w:ind w:left="0" w:leftChars="0" w:right="0" w:rightChars="0"/>
        <w:textAlignment w:val="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2.2设备用途</w:t>
      </w:r>
    </w:p>
    <w:p>
      <w:pPr>
        <w:keepNext w:val="0"/>
        <w:keepLines w:val="0"/>
        <w:pageBreakBefore w:val="0"/>
        <w:kinsoku/>
        <w:wordWrap/>
        <w:overflowPunct/>
        <w:topLinePunct w:val="0"/>
        <w:autoSpaceDE/>
        <w:autoSpaceDN/>
        <w:bidi w:val="0"/>
        <w:snapToGrid/>
        <w:spacing w:line="500" w:lineRule="exact"/>
        <w:ind w:left="0" w:leftChars="0"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主要用于</w:t>
      </w:r>
      <w:r>
        <w:rPr>
          <w:rFonts w:hint="eastAsia" w:ascii="宋体" w:hAnsi="宋体" w:cs="宋体"/>
          <w:sz w:val="21"/>
          <w:szCs w:val="21"/>
          <w:highlight w:val="none"/>
          <w:lang w:eastAsia="zh-CN"/>
        </w:rPr>
        <w:t>铁路轨道几何状态日常巡检，又可快速动态测量，并用CPⅢ控制点进行绝对约束，导出调整方案，用于指导轨道日常维修及大机精调作业。</w:t>
      </w:r>
    </w:p>
    <w:p>
      <w:pPr>
        <w:tabs>
          <w:tab w:val="left" w:pos="900"/>
        </w:tabs>
        <w:spacing w:line="360" w:lineRule="auto"/>
        <w:rPr>
          <w:rFonts w:hint="eastAsia" w:ascii="宋体" w:hAnsi="宋体" w:eastAsia="宋体" w:cs="宋体"/>
          <w:bCs/>
          <w:color w:val="000000"/>
          <w:sz w:val="21"/>
          <w:szCs w:val="21"/>
          <w:lang w:bidi="ar-SA"/>
        </w:rPr>
      </w:pPr>
      <w:r>
        <w:rPr>
          <w:rFonts w:hint="eastAsia" w:ascii="宋体" w:hAnsi="宋体" w:eastAsia="宋体" w:cs="宋体"/>
          <w:bCs/>
          <w:color w:val="000000"/>
          <w:sz w:val="21"/>
          <w:szCs w:val="21"/>
          <w:lang w:bidi="ar-SA"/>
        </w:rPr>
        <w:t>3.</w:t>
      </w:r>
      <w:r>
        <w:rPr>
          <w:rFonts w:hint="eastAsia" w:ascii="宋体" w:hAnsi="宋体" w:eastAsia="宋体" w:cs="宋体"/>
          <w:sz w:val="21"/>
          <w:szCs w:val="21"/>
          <w:highlight w:val="none"/>
        </w:rPr>
        <w:t>设备规格及要求</w:t>
      </w:r>
    </w:p>
    <w:p>
      <w:pPr>
        <w:tabs>
          <w:tab w:val="left" w:pos="900"/>
        </w:tabs>
        <w:spacing w:line="360" w:lineRule="auto"/>
        <w:rPr>
          <w:rFonts w:hint="eastAsia" w:ascii="宋体" w:cs="新宋体"/>
          <w:bCs/>
          <w:color w:val="000000"/>
          <w:sz w:val="21"/>
          <w:szCs w:val="21"/>
          <w:lang w:bidi="ar-SA"/>
        </w:rPr>
      </w:pPr>
      <w:r>
        <w:rPr>
          <w:rFonts w:hint="eastAsia" w:ascii="宋体" w:hAnsi="宋体" w:eastAsia="宋体" w:cs="宋体"/>
          <w:bCs/>
          <w:color w:val="000000"/>
          <w:sz w:val="21"/>
          <w:szCs w:val="21"/>
          <w:lang w:bidi="ar-SA"/>
        </w:rPr>
        <w:t>3.1技术要求</w:t>
      </w:r>
    </w:p>
    <w:p>
      <w:pPr>
        <w:spacing w:line="360" w:lineRule="auto"/>
        <w:rPr>
          <w:rFonts w:hint="eastAsia" w:ascii="宋体"/>
          <w:sz w:val="21"/>
          <w:szCs w:val="21"/>
          <w:lang w:eastAsia="zh-CN"/>
        </w:rPr>
      </w:pPr>
      <w:r>
        <w:rPr>
          <w:rFonts w:hint="eastAsia" w:ascii="宋体"/>
          <w:sz w:val="21"/>
          <w:szCs w:val="21"/>
          <w:lang w:val="en-US" w:eastAsia="zh-CN"/>
        </w:rPr>
        <w:t>*</w:t>
      </w:r>
      <w:r>
        <w:rPr>
          <w:rFonts w:hint="eastAsia" w:ascii="宋体"/>
          <w:sz w:val="21"/>
          <w:szCs w:val="21"/>
        </w:rPr>
        <w:t>3.</w:t>
      </w:r>
      <w:r>
        <w:rPr>
          <w:rFonts w:hint="eastAsia" w:ascii="宋体"/>
          <w:sz w:val="21"/>
          <w:szCs w:val="21"/>
          <w:lang w:val="en-US" w:eastAsia="zh-CN"/>
        </w:rPr>
        <w:t>1</w:t>
      </w:r>
      <w:r>
        <w:rPr>
          <w:rFonts w:hint="eastAsia" w:ascii="宋体"/>
          <w:sz w:val="21"/>
          <w:szCs w:val="21"/>
        </w:rPr>
        <w:t>.</w:t>
      </w:r>
      <w:r>
        <w:rPr>
          <w:rFonts w:hint="eastAsia" w:ascii="宋体"/>
          <w:sz w:val="21"/>
          <w:szCs w:val="21"/>
          <w:lang w:val="en-US" w:eastAsia="zh-CN"/>
        </w:rPr>
        <w:t>1</w:t>
      </w:r>
      <w:r>
        <w:rPr>
          <w:rFonts w:hint="eastAsia" w:ascii="宋体"/>
          <w:sz w:val="21"/>
          <w:szCs w:val="21"/>
          <w:lang w:eastAsia="zh-CN"/>
        </w:rPr>
        <w:t>小车采用三点式滚轮支撑结构，机械结构可进行分解，便于运输。</w:t>
      </w:r>
    </w:p>
    <w:p>
      <w:pPr>
        <w:spacing w:line="360" w:lineRule="auto"/>
        <w:rPr>
          <w:rFonts w:hint="eastAsia" w:ascii="宋体"/>
          <w:sz w:val="21"/>
          <w:szCs w:val="21"/>
          <w:lang w:eastAsia="zh-CN"/>
        </w:rPr>
      </w:pPr>
      <w:r>
        <w:rPr>
          <w:rFonts w:hint="eastAsia" w:ascii="宋体"/>
          <w:sz w:val="21"/>
          <w:szCs w:val="21"/>
          <w:lang w:val="en-US" w:eastAsia="zh-CN"/>
        </w:rPr>
        <w:t>3.1.2可实现轨道几何状态日常巡检，快速动态测量，并用CPⅢ控制点进行绝对约束，能导出调整方案，用于指导轨道日常维修及大机精调作业。</w:t>
      </w:r>
    </w:p>
    <w:p>
      <w:pPr>
        <w:spacing w:line="360" w:lineRule="auto"/>
        <w:rPr>
          <w:rFonts w:hint="eastAsia" w:ascii="宋体"/>
          <w:sz w:val="21"/>
          <w:szCs w:val="21"/>
          <w:lang w:val="en-US" w:eastAsia="zh-CN"/>
        </w:rPr>
      </w:pPr>
      <w:r>
        <w:rPr>
          <w:rFonts w:hint="eastAsia" w:ascii="宋体"/>
          <w:sz w:val="21"/>
          <w:szCs w:val="21"/>
          <w:lang w:val="en-US" w:eastAsia="zh-CN"/>
        </w:rPr>
        <w:t>*3.1.3测量结果可导入大机WinALC控制系统，实现大机数字化作业。</w:t>
      </w:r>
    </w:p>
    <w:p>
      <w:pPr>
        <w:spacing w:line="360" w:lineRule="auto"/>
        <w:rPr>
          <w:rFonts w:hint="eastAsia" w:ascii="宋体"/>
          <w:sz w:val="21"/>
          <w:szCs w:val="21"/>
          <w:lang w:val="en-US" w:eastAsia="zh-CN"/>
        </w:rPr>
      </w:pPr>
      <w:r>
        <w:rPr>
          <w:rFonts w:hint="eastAsia" w:ascii="宋体"/>
          <w:sz w:val="21"/>
          <w:szCs w:val="21"/>
          <w:lang w:val="en-US" w:eastAsia="zh-CN"/>
        </w:rPr>
        <w:t>*3.1.4支持GPS或北斗加装功能，以保证在控制网较差区段或者无控制网区段进行线路测量。</w:t>
      </w:r>
    </w:p>
    <w:p>
      <w:pPr>
        <w:spacing w:line="360" w:lineRule="auto"/>
        <w:rPr>
          <w:rFonts w:hint="eastAsia" w:ascii="宋体"/>
          <w:sz w:val="21"/>
          <w:szCs w:val="21"/>
          <w:lang w:eastAsia="zh-CN"/>
        </w:rPr>
      </w:pPr>
      <w:r>
        <w:rPr>
          <w:rFonts w:hint="eastAsia" w:ascii="宋体"/>
          <w:sz w:val="21"/>
          <w:szCs w:val="21"/>
        </w:rPr>
        <w:t>3.</w:t>
      </w:r>
      <w:r>
        <w:rPr>
          <w:rFonts w:hint="eastAsia" w:ascii="宋体"/>
          <w:sz w:val="21"/>
          <w:szCs w:val="21"/>
          <w:lang w:val="en-US" w:eastAsia="zh-CN"/>
        </w:rPr>
        <w:t>1</w:t>
      </w:r>
      <w:r>
        <w:rPr>
          <w:rFonts w:hint="eastAsia" w:ascii="宋体"/>
          <w:sz w:val="21"/>
          <w:szCs w:val="21"/>
        </w:rPr>
        <w:t>.</w:t>
      </w:r>
      <w:r>
        <w:rPr>
          <w:rFonts w:hint="eastAsia" w:ascii="宋体"/>
          <w:sz w:val="21"/>
          <w:szCs w:val="21"/>
          <w:lang w:val="en-US" w:eastAsia="zh-CN"/>
        </w:rPr>
        <w:t>5</w:t>
      </w:r>
      <w:r>
        <w:rPr>
          <w:rFonts w:hint="eastAsia" w:ascii="宋体"/>
          <w:sz w:val="21"/>
          <w:szCs w:val="21"/>
          <w:lang w:eastAsia="zh-CN"/>
        </w:rPr>
        <w:t>系统应采用模块式设计，高精度惯导可直接安装在测量小车上。</w:t>
      </w:r>
    </w:p>
    <w:p>
      <w:pPr>
        <w:spacing w:line="360" w:lineRule="auto"/>
        <w:rPr>
          <w:rFonts w:hint="eastAsia" w:ascii="宋体"/>
          <w:sz w:val="21"/>
          <w:szCs w:val="21"/>
          <w:lang w:eastAsia="zh-CN"/>
        </w:rPr>
      </w:pPr>
      <w:r>
        <w:rPr>
          <w:rFonts w:hint="eastAsia" w:ascii="宋体"/>
          <w:sz w:val="21"/>
          <w:szCs w:val="21"/>
        </w:rPr>
        <w:t>3.</w:t>
      </w:r>
      <w:r>
        <w:rPr>
          <w:rFonts w:hint="eastAsia" w:ascii="宋体"/>
          <w:sz w:val="21"/>
          <w:szCs w:val="21"/>
          <w:lang w:val="en-US" w:eastAsia="zh-CN"/>
        </w:rPr>
        <w:t>1</w:t>
      </w:r>
      <w:r>
        <w:rPr>
          <w:rFonts w:hint="eastAsia" w:ascii="宋体"/>
          <w:sz w:val="21"/>
          <w:szCs w:val="21"/>
        </w:rPr>
        <w:t>.</w:t>
      </w:r>
      <w:r>
        <w:rPr>
          <w:rFonts w:hint="eastAsia" w:ascii="宋体"/>
          <w:sz w:val="21"/>
          <w:szCs w:val="21"/>
          <w:lang w:val="en-US" w:eastAsia="zh-CN"/>
        </w:rPr>
        <w:t>6</w:t>
      </w:r>
      <w:r>
        <w:rPr>
          <w:rFonts w:hint="eastAsia" w:ascii="宋体"/>
          <w:sz w:val="21"/>
          <w:szCs w:val="21"/>
          <w:lang w:eastAsia="zh-CN"/>
        </w:rPr>
        <w:t>轨距测量装置采用液压杆设计，可保持收回状态或测量状态，上下道时一人操作即可。</w:t>
      </w:r>
    </w:p>
    <w:p>
      <w:pPr>
        <w:spacing w:line="360" w:lineRule="auto"/>
        <w:rPr>
          <w:rFonts w:hint="eastAsia" w:ascii="宋体"/>
          <w:sz w:val="21"/>
          <w:szCs w:val="21"/>
          <w:lang w:eastAsia="zh-CN"/>
        </w:rPr>
      </w:pPr>
      <w:r>
        <w:rPr>
          <w:rFonts w:hint="eastAsia" w:ascii="宋体"/>
          <w:sz w:val="21"/>
          <w:szCs w:val="21"/>
        </w:rPr>
        <w:t>3.</w:t>
      </w:r>
      <w:r>
        <w:rPr>
          <w:rFonts w:hint="eastAsia" w:ascii="宋体"/>
          <w:sz w:val="21"/>
          <w:szCs w:val="21"/>
          <w:lang w:val="en-US" w:eastAsia="zh-CN"/>
        </w:rPr>
        <w:t>1</w:t>
      </w:r>
      <w:r>
        <w:rPr>
          <w:rFonts w:hint="eastAsia" w:ascii="宋体"/>
          <w:sz w:val="21"/>
          <w:szCs w:val="21"/>
        </w:rPr>
        <w:t>.</w:t>
      </w:r>
      <w:r>
        <w:rPr>
          <w:rFonts w:hint="eastAsia" w:ascii="宋体"/>
          <w:sz w:val="21"/>
          <w:szCs w:val="21"/>
          <w:lang w:val="en-US" w:eastAsia="zh-CN"/>
        </w:rPr>
        <w:t>7</w:t>
      </w:r>
      <w:r>
        <w:rPr>
          <w:rFonts w:hint="eastAsia" w:ascii="宋体"/>
          <w:sz w:val="21"/>
          <w:szCs w:val="21"/>
          <w:lang w:eastAsia="zh-CN"/>
        </w:rPr>
        <w:t>轨检小车配制动装置，保证大坡度线路上工作时不溜车。</w:t>
      </w:r>
    </w:p>
    <w:p>
      <w:pPr>
        <w:spacing w:line="360" w:lineRule="auto"/>
        <w:rPr>
          <w:rFonts w:hint="eastAsia" w:ascii="宋体"/>
          <w:sz w:val="21"/>
          <w:szCs w:val="21"/>
          <w:lang w:eastAsia="zh-CN"/>
        </w:rPr>
      </w:pPr>
      <w:r>
        <w:rPr>
          <w:rFonts w:hint="eastAsia" w:ascii="宋体"/>
          <w:sz w:val="21"/>
          <w:szCs w:val="21"/>
        </w:rPr>
        <w:t>3.</w:t>
      </w:r>
      <w:r>
        <w:rPr>
          <w:rFonts w:hint="eastAsia" w:ascii="宋体"/>
          <w:sz w:val="21"/>
          <w:szCs w:val="21"/>
          <w:lang w:val="en-US" w:eastAsia="zh-CN"/>
        </w:rPr>
        <w:t>1</w:t>
      </w:r>
      <w:r>
        <w:rPr>
          <w:rFonts w:hint="eastAsia" w:ascii="宋体"/>
          <w:sz w:val="21"/>
          <w:szCs w:val="21"/>
        </w:rPr>
        <w:t>.</w:t>
      </w:r>
      <w:r>
        <w:rPr>
          <w:rFonts w:hint="eastAsia" w:ascii="宋体"/>
          <w:sz w:val="21"/>
          <w:szCs w:val="21"/>
          <w:lang w:val="en-US" w:eastAsia="zh-CN"/>
        </w:rPr>
        <w:t>8</w:t>
      </w:r>
      <w:r>
        <w:rPr>
          <w:rFonts w:hint="eastAsia" w:ascii="宋体"/>
          <w:sz w:val="21"/>
          <w:szCs w:val="21"/>
          <w:lang w:eastAsia="zh-CN"/>
        </w:rPr>
        <w:t>轨检小车采用全密闭设计，电路板和供电元件不可外露；电路板供电和数据交换使用进口雷蒙插头，传输可靠，防水防尘。</w:t>
      </w:r>
    </w:p>
    <w:p>
      <w:pPr>
        <w:spacing w:line="360" w:lineRule="auto"/>
        <w:rPr>
          <w:rFonts w:hint="eastAsia" w:ascii="宋体"/>
          <w:sz w:val="21"/>
          <w:szCs w:val="21"/>
          <w:lang w:eastAsia="zh-CN"/>
        </w:rPr>
      </w:pPr>
      <w:r>
        <w:rPr>
          <w:rFonts w:hint="eastAsia" w:ascii="宋体"/>
          <w:sz w:val="21"/>
          <w:szCs w:val="21"/>
        </w:rPr>
        <w:t>3.</w:t>
      </w:r>
      <w:r>
        <w:rPr>
          <w:rFonts w:hint="eastAsia" w:ascii="宋体"/>
          <w:sz w:val="21"/>
          <w:szCs w:val="21"/>
          <w:lang w:val="en-US" w:eastAsia="zh-CN"/>
        </w:rPr>
        <w:t>1</w:t>
      </w:r>
      <w:r>
        <w:rPr>
          <w:rFonts w:hint="eastAsia" w:ascii="宋体"/>
          <w:sz w:val="21"/>
          <w:szCs w:val="21"/>
        </w:rPr>
        <w:t>.</w:t>
      </w:r>
      <w:r>
        <w:rPr>
          <w:rFonts w:hint="eastAsia" w:ascii="宋体"/>
          <w:sz w:val="21"/>
          <w:szCs w:val="21"/>
          <w:lang w:val="en-US" w:eastAsia="zh-CN"/>
        </w:rPr>
        <w:t>9</w:t>
      </w:r>
      <w:r>
        <w:rPr>
          <w:rFonts w:hint="eastAsia" w:ascii="宋体"/>
          <w:sz w:val="21"/>
          <w:szCs w:val="21"/>
          <w:lang w:eastAsia="zh-CN"/>
        </w:rPr>
        <w:t>可配合各种测角精度1秒，测距精度1mm+1.5ppm及以上的徕卡全站仪。</w:t>
      </w:r>
    </w:p>
    <w:p>
      <w:pPr>
        <w:spacing w:line="360" w:lineRule="auto"/>
        <w:rPr>
          <w:rFonts w:hint="eastAsia" w:ascii="宋体"/>
          <w:sz w:val="21"/>
          <w:szCs w:val="21"/>
          <w:lang w:eastAsia="zh-CN"/>
        </w:rPr>
      </w:pPr>
      <w:r>
        <w:rPr>
          <w:rFonts w:hint="eastAsia" w:ascii="宋体"/>
          <w:sz w:val="21"/>
          <w:szCs w:val="21"/>
        </w:rPr>
        <w:t>3.</w:t>
      </w:r>
      <w:r>
        <w:rPr>
          <w:rFonts w:hint="eastAsia" w:ascii="宋体"/>
          <w:sz w:val="21"/>
          <w:szCs w:val="21"/>
          <w:lang w:val="en-US" w:eastAsia="zh-CN"/>
        </w:rPr>
        <w:t>1</w:t>
      </w:r>
      <w:r>
        <w:rPr>
          <w:rFonts w:hint="eastAsia" w:ascii="宋体"/>
          <w:sz w:val="21"/>
          <w:szCs w:val="21"/>
        </w:rPr>
        <w:t>.</w:t>
      </w:r>
      <w:r>
        <w:rPr>
          <w:rFonts w:hint="eastAsia" w:ascii="宋体"/>
          <w:sz w:val="21"/>
          <w:szCs w:val="21"/>
          <w:lang w:val="en-US" w:eastAsia="zh-CN"/>
        </w:rPr>
        <w:t>10</w:t>
      </w:r>
      <w:r>
        <w:rPr>
          <w:rFonts w:hint="eastAsia" w:ascii="宋体"/>
          <w:sz w:val="21"/>
          <w:szCs w:val="21"/>
          <w:lang w:eastAsia="zh-CN"/>
        </w:rPr>
        <w:t>软件具备中文操作界面，具备实时数据分析功能，现场可实时查看关键参数的偏差曲线图和报表，以便甄别异常数据和真实超限，确保采集的数据真实可靠。配备无砟轨道检测信息管理系统，进行轨道模拟调整及检测数据管理。</w:t>
      </w:r>
    </w:p>
    <w:p>
      <w:pPr>
        <w:spacing w:line="360" w:lineRule="auto"/>
        <w:rPr>
          <w:rFonts w:hint="eastAsia" w:ascii="宋体"/>
          <w:sz w:val="21"/>
          <w:szCs w:val="21"/>
          <w:lang w:eastAsia="zh-CN"/>
        </w:rPr>
      </w:pPr>
      <w:r>
        <w:rPr>
          <w:rFonts w:hint="eastAsia" w:ascii="宋体"/>
          <w:sz w:val="21"/>
          <w:szCs w:val="21"/>
        </w:rPr>
        <w:t>3.</w:t>
      </w:r>
      <w:r>
        <w:rPr>
          <w:rFonts w:hint="eastAsia" w:ascii="宋体"/>
          <w:sz w:val="21"/>
          <w:szCs w:val="21"/>
          <w:lang w:val="en-US" w:eastAsia="zh-CN"/>
        </w:rPr>
        <w:t>1</w:t>
      </w:r>
      <w:r>
        <w:rPr>
          <w:rFonts w:hint="eastAsia" w:ascii="宋体"/>
          <w:sz w:val="21"/>
          <w:szCs w:val="21"/>
        </w:rPr>
        <w:t>.</w:t>
      </w:r>
      <w:r>
        <w:rPr>
          <w:rFonts w:hint="eastAsia" w:ascii="宋体"/>
          <w:sz w:val="21"/>
          <w:szCs w:val="21"/>
          <w:lang w:val="en-US" w:eastAsia="zh-CN"/>
        </w:rPr>
        <w:t>11</w:t>
      </w:r>
      <w:r>
        <w:rPr>
          <w:rFonts w:hint="eastAsia" w:ascii="宋体"/>
          <w:sz w:val="21"/>
          <w:szCs w:val="21"/>
          <w:lang w:eastAsia="zh-CN"/>
        </w:rPr>
        <w:t>可进行软件功能升级，升级后可在无设计线型状态下进行数据采集，获取线路绝对信息。</w:t>
      </w:r>
    </w:p>
    <w:p>
      <w:pPr>
        <w:spacing w:line="360" w:lineRule="auto"/>
        <w:rPr>
          <w:rFonts w:hint="eastAsia" w:ascii="宋体"/>
          <w:sz w:val="21"/>
          <w:szCs w:val="21"/>
          <w:lang w:eastAsia="zh-CN"/>
        </w:rPr>
      </w:pPr>
      <w:r>
        <w:rPr>
          <w:rFonts w:hint="eastAsia" w:ascii="宋体"/>
          <w:sz w:val="21"/>
          <w:szCs w:val="21"/>
        </w:rPr>
        <w:t>3.</w:t>
      </w:r>
      <w:r>
        <w:rPr>
          <w:rFonts w:hint="eastAsia" w:ascii="宋体"/>
          <w:sz w:val="21"/>
          <w:szCs w:val="21"/>
          <w:lang w:val="en-US" w:eastAsia="zh-CN"/>
        </w:rPr>
        <w:t>1</w:t>
      </w:r>
      <w:r>
        <w:rPr>
          <w:rFonts w:hint="eastAsia" w:ascii="宋体"/>
          <w:sz w:val="21"/>
          <w:szCs w:val="21"/>
        </w:rPr>
        <w:t>.</w:t>
      </w:r>
      <w:r>
        <w:rPr>
          <w:rFonts w:hint="eastAsia" w:ascii="宋体"/>
          <w:sz w:val="21"/>
          <w:szCs w:val="21"/>
          <w:lang w:val="en-US" w:eastAsia="zh-CN"/>
        </w:rPr>
        <w:t>12</w:t>
      </w:r>
      <w:r>
        <w:rPr>
          <w:rFonts w:hint="eastAsia" w:ascii="宋体"/>
          <w:sz w:val="21"/>
          <w:szCs w:val="21"/>
          <w:lang w:eastAsia="zh-CN"/>
        </w:rPr>
        <w:t>系统支持单侧CPⅢ控制点绝对约束、双侧CPⅢ控制点绝对约束、8个控制点CPⅢ控制精密绝对约束3种工作模式。</w:t>
      </w:r>
    </w:p>
    <w:p>
      <w:pPr>
        <w:spacing w:line="360" w:lineRule="auto"/>
        <w:rPr>
          <w:rFonts w:hint="eastAsia" w:ascii="宋体"/>
          <w:sz w:val="21"/>
          <w:szCs w:val="21"/>
          <w:lang w:eastAsia="zh-CN"/>
        </w:rPr>
      </w:pPr>
      <w:r>
        <w:rPr>
          <w:rFonts w:hint="eastAsia" w:ascii="宋体"/>
          <w:sz w:val="21"/>
          <w:szCs w:val="21"/>
        </w:rPr>
        <w:t>3.</w:t>
      </w:r>
      <w:r>
        <w:rPr>
          <w:rFonts w:hint="eastAsia" w:ascii="宋体"/>
          <w:sz w:val="21"/>
          <w:szCs w:val="21"/>
          <w:lang w:val="en-US" w:eastAsia="zh-CN"/>
        </w:rPr>
        <w:t>1</w:t>
      </w:r>
      <w:r>
        <w:rPr>
          <w:rFonts w:hint="eastAsia" w:ascii="宋体"/>
          <w:sz w:val="21"/>
          <w:szCs w:val="21"/>
        </w:rPr>
        <w:t>.</w:t>
      </w:r>
      <w:r>
        <w:rPr>
          <w:rFonts w:hint="eastAsia" w:ascii="宋体"/>
          <w:sz w:val="21"/>
          <w:szCs w:val="21"/>
          <w:lang w:val="en-US" w:eastAsia="zh-CN"/>
        </w:rPr>
        <w:t>13</w:t>
      </w:r>
      <w:r>
        <w:rPr>
          <w:rFonts w:hint="eastAsia" w:ascii="宋体"/>
          <w:sz w:val="21"/>
          <w:szCs w:val="21"/>
          <w:lang w:eastAsia="zh-CN"/>
        </w:rPr>
        <w:t>精度要求：轨距：0.3mm；水平0.3mm，轨向/高低（短波不平顺，5m检核/30米弦）：0.5mm；轨向/高低（长波不平顺，150米检核/300米弦）2mm；平面/高程（绝对测量精度）：2mm。</w:t>
      </w:r>
    </w:p>
    <w:p>
      <w:pPr>
        <w:spacing w:line="360" w:lineRule="auto"/>
        <w:rPr>
          <w:rFonts w:hint="eastAsia" w:ascii="宋体"/>
          <w:sz w:val="21"/>
          <w:szCs w:val="21"/>
          <w:lang w:eastAsia="zh-CN"/>
        </w:rPr>
      </w:pPr>
      <w:r>
        <w:rPr>
          <w:rFonts w:hint="eastAsia" w:ascii="宋体"/>
          <w:sz w:val="21"/>
          <w:szCs w:val="21"/>
        </w:rPr>
        <w:t>3.</w:t>
      </w:r>
      <w:r>
        <w:rPr>
          <w:rFonts w:hint="eastAsia" w:ascii="宋体"/>
          <w:sz w:val="21"/>
          <w:szCs w:val="21"/>
          <w:lang w:val="en-US" w:eastAsia="zh-CN"/>
        </w:rPr>
        <w:t>1</w:t>
      </w:r>
      <w:r>
        <w:rPr>
          <w:rFonts w:hint="eastAsia" w:ascii="宋体"/>
          <w:sz w:val="21"/>
          <w:szCs w:val="21"/>
        </w:rPr>
        <w:t>.</w:t>
      </w:r>
      <w:r>
        <w:rPr>
          <w:rFonts w:hint="eastAsia" w:ascii="宋体"/>
          <w:sz w:val="21"/>
          <w:szCs w:val="21"/>
          <w:lang w:val="en-US" w:eastAsia="zh-CN"/>
        </w:rPr>
        <w:t>14</w:t>
      </w:r>
      <w:r>
        <w:rPr>
          <w:rFonts w:hint="eastAsia" w:ascii="宋体"/>
          <w:sz w:val="21"/>
          <w:szCs w:val="21"/>
          <w:lang w:eastAsia="zh-CN"/>
        </w:rPr>
        <w:t>精密相对测量:用作高精度轨道检查仪，检测轨道轨距、水平、三角坑、轨向、高低等平顺性参数。70 米长波不平顺测量精度优于1mm，效率4</w:t>
      </w:r>
      <w:r>
        <w:rPr>
          <w:rFonts w:hint="eastAsia" w:ascii="宋体"/>
          <w:sz w:val="21"/>
          <w:szCs w:val="21"/>
          <w:lang w:val="en-US" w:eastAsia="zh-CN"/>
        </w:rPr>
        <w:t>-</w:t>
      </w:r>
      <w:r>
        <w:rPr>
          <w:rFonts w:hint="eastAsia" w:ascii="宋体"/>
          <w:sz w:val="21"/>
          <w:szCs w:val="21"/>
          <w:lang w:eastAsia="zh-CN"/>
        </w:rPr>
        <w:t>5km/h。</w:t>
      </w:r>
    </w:p>
    <w:p>
      <w:pPr>
        <w:spacing w:line="360" w:lineRule="auto"/>
        <w:rPr>
          <w:rFonts w:hint="eastAsia" w:ascii="宋体"/>
          <w:sz w:val="21"/>
          <w:szCs w:val="21"/>
          <w:lang w:val="en-US" w:eastAsia="zh-CN"/>
        </w:rPr>
      </w:pPr>
      <w:r>
        <w:rPr>
          <w:rFonts w:hint="eastAsia" w:ascii="宋体"/>
          <w:sz w:val="21"/>
          <w:szCs w:val="21"/>
        </w:rPr>
        <w:t>3.</w:t>
      </w:r>
      <w:r>
        <w:rPr>
          <w:rFonts w:hint="eastAsia" w:ascii="宋体"/>
          <w:sz w:val="21"/>
          <w:szCs w:val="21"/>
          <w:lang w:val="en-US" w:eastAsia="zh-CN"/>
        </w:rPr>
        <w:t>1</w:t>
      </w:r>
      <w:r>
        <w:rPr>
          <w:rFonts w:hint="eastAsia" w:ascii="宋体"/>
          <w:sz w:val="21"/>
          <w:szCs w:val="21"/>
        </w:rPr>
        <w:t>.</w:t>
      </w:r>
      <w:r>
        <w:rPr>
          <w:rFonts w:hint="eastAsia" w:ascii="宋体"/>
          <w:sz w:val="21"/>
          <w:szCs w:val="21"/>
          <w:lang w:val="en-US" w:eastAsia="zh-CN"/>
        </w:rPr>
        <w:t>15</w:t>
      </w:r>
      <w:r>
        <w:rPr>
          <w:rFonts w:hint="eastAsia" w:ascii="宋体"/>
          <w:sz w:val="21"/>
          <w:szCs w:val="21"/>
          <w:lang w:eastAsia="zh-CN"/>
        </w:rPr>
        <w:t>测量效率：单点约束测量效率优于3-4km/h，多点约束测量效率优于2km/</w:t>
      </w:r>
      <w:r>
        <w:rPr>
          <w:rFonts w:hint="eastAsia" w:ascii="宋体"/>
          <w:sz w:val="21"/>
          <w:szCs w:val="21"/>
          <w:lang w:val="en-US" w:eastAsia="zh-CN"/>
        </w:rPr>
        <w:t>h。</w:t>
      </w:r>
    </w:p>
    <w:p>
      <w:pPr>
        <w:spacing w:line="360" w:lineRule="auto"/>
        <w:rPr>
          <w:rFonts w:hint="eastAsia" w:ascii="宋体"/>
          <w:sz w:val="21"/>
          <w:szCs w:val="21"/>
          <w:lang w:eastAsia="zh-CN"/>
        </w:rPr>
      </w:pPr>
      <w:r>
        <w:rPr>
          <w:rFonts w:hint="eastAsia" w:ascii="宋体"/>
          <w:sz w:val="21"/>
          <w:szCs w:val="21"/>
          <w:lang w:val="en-US" w:eastAsia="zh-CN"/>
        </w:rPr>
        <w:t>3.1.16</w:t>
      </w:r>
      <w:r>
        <w:rPr>
          <w:rFonts w:hint="eastAsia" w:ascii="宋体"/>
          <w:sz w:val="21"/>
          <w:szCs w:val="21"/>
          <w:lang w:eastAsia="zh-CN"/>
        </w:rPr>
        <w:t>惯导型测量小车</w:t>
      </w:r>
      <w:r>
        <w:rPr>
          <w:rFonts w:hint="eastAsia" w:ascii="宋体"/>
          <w:sz w:val="21"/>
          <w:szCs w:val="21"/>
          <w:lang w:val="en-US" w:eastAsia="zh-CN"/>
        </w:rPr>
        <w:t>为</w:t>
      </w:r>
      <w:r>
        <w:rPr>
          <w:rFonts w:hint="eastAsia" w:ascii="宋体"/>
          <w:sz w:val="21"/>
          <w:szCs w:val="21"/>
          <w:lang w:eastAsia="zh-CN"/>
        </w:rPr>
        <w:t>原装进口。</w:t>
      </w:r>
    </w:p>
    <w:p>
      <w:pPr>
        <w:spacing w:line="360" w:lineRule="auto"/>
        <w:rPr>
          <w:rFonts w:hint="eastAsia" w:ascii="宋体"/>
          <w:bCs/>
          <w:sz w:val="21"/>
          <w:szCs w:val="21"/>
          <w:lang w:val="en-US" w:eastAsia="zh-CN"/>
        </w:rPr>
      </w:pPr>
      <w:r>
        <w:rPr>
          <w:rFonts w:hint="eastAsia" w:ascii="宋体"/>
          <w:sz w:val="21"/>
          <w:szCs w:val="21"/>
          <w:lang w:val="en-US" w:eastAsia="zh-CN"/>
        </w:rPr>
        <w:t>3.1.17</w:t>
      </w:r>
      <w:r>
        <w:rPr>
          <w:rFonts w:hint="eastAsia" w:ascii="宋体"/>
          <w:bCs/>
          <w:sz w:val="21"/>
          <w:szCs w:val="21"/>
          <w:lang w:val="en-US" w:eastAsia="zh-CN"/>
        </w:rPr>
        <w:t>控制计算机：采用军用笔记本电脑，可在恶劣条件下工作，防潮、防摔；显示器采用高亮度触摸屏，屏幕尺寸不低于10英寸；使用硬盘存储数据；软件采用Windows7以上版本。</w:t>
      </w:r>
    </w:p>
    <w:p>
      <w:pPr>
        <w:spacing w:line="360" w:lineRule="auto"/>
        <w:rPr>
          <w:rFonts w:hint="eastAsia" w:ascii="宋体"/>
          <w:sz w:val="21"/>
          <w:szCs w:val="21"/>
          <w:lang w:val="en-US" w:eastAsia="zh-CN"/>
        </w:rPr>
      </w:pPr>
      <w:r>
        <w:rPr>
          <w:rFonts w:hint="eastAsia" w:ascii="宋体"/>
          <w:sz w:val="21"/>
          <w:szCs w:val="21"/>
          <w:lang w:val="en-US" w:eastAsia="zh-CN"/>
        </w:rPr>
        <w:t>3.1.18全站仪：</w:t>
      </w:r>
    </w:p>
    <w:p>
      <w:pPr>
        <w:spacing w:line="360" w:lineRule="auto"/>
        <w:rPr>
          <w:rFonts w:hint="eastAsia" w:ascii="宋体"/>
          <w:sz w:val="21"/>
          <w:szCs w:val="21"/>
          <w:lang w:val="en-US" w:eastAsia="zh-CN"/>
        </w:rPr>
      </w:pPr>
      <w:r>
        <w:rPr>
          <w:rFonts w:hint="eastAsia" w:ascii="宋体"/>
          <w:sz w:val="21"/>
          <w:szCs w:val="21"/>
          <w:lang w:val="en-US" w:eastAsia="zh-CN"/>
        </w:rPr>
        <w:t>*3.1.18.1角度测量精度：1″。</w:t>
      </w:r>
    </w:p>
    <w:p>
      <w:pPr>
        <w:spacing w:line="360" w:lineRule="auto"/>
        <w:rPr>
          <w:rFonts w:hint="eastAsia" w:ascii="宋体"/>
          <w:sz w:val="21"/>
          <w:szCs w:val="21"/>
          <w:lang w:val="en-US" w:eastAsia="zh-CN"/>
        </w:rPr>
      </w:pPr>
      <w:r>
        <w:rPr>
          <w:rFonts w:hint="eastAsia" w:ascii="宋体"/>
          <w:sz w:val="21"/>
          <w:szCs w:val="21"/>
          <w:lang w:val="en-US" w:eastAsia="zh-CN"/>
        </w:rPr>
        <w:t>3.1.18.2棱镜距离测量范围：棱镜1.5m至＞3500m。</w:t>
      </w:r>
    </w:p>
    <w:p>
      <w:pPr>
        <w:spacing w:line="360" w:lineRule="auto"/>
        <w:rPr>
          <w:rFonts w:hint="eastAsia" w:ascii="宋体"/>
          <w:sz w:val="21"/>
          <w:szCs w:val="21"/>
          <w:lang w:val="en-US" w:eastAsia="zh-CN"/>
        </w:rPr>
      </w:pPr>
      <w:r>
        <w:rPr>
          <w:rFonts w:hint="eastAsia" w:ascii="宋体"/>
          <w:sz w:val="21"/>
          <w:szCs w:val="21"/>
          <w:lang w:val="en-US" w:eastAsia="zh-CN"/>
        </w:rPr>
        <w:t>*3.1.18.3棱镜距离测量精度：1mm+1.5ppm。</w:t>
      </w:r>
    </w:p>
    <w:p>
      <w:pPr>
        <w:spacing w:line="360" w:lineRule="auto"/>
        <w:rPr>
          <w:rFonts w:hint="eastAsia" w:ascii="宋体"/>
          <w:sz w:val="21"/>
          <w:szCs w:val="21"/>
          <w:lang w:val="en-US" w:eastAsia="zh-CN"/>
        </w:rPr>
      </w:pPr>
      <w:r>
        <w:rPr>
          <w:rFonts w:hint="eastAsia" w:ascii="宋体"/>
          <w:sz w:val="21"/>
          <w:szCs w:val="21"/>
          <w:lang w:val="en-US" w:eastAsia="zh-CN"/>
        </w:rPr>
        <w:t>3.1.18.4无棱镜距离测量范围：范围1.5m至＞500m，具有较小的激光离散度，可穿过狭小空间准确定位到测量目标。</w:t>
      </w:r>
    </w:p>
    <w:p>
      <w:pPr>
        <w:spacing w:line="360" w:lineRule="auto"/>
        <w:rPr>
          <w:rFonts w:hint="eastAsia" w:ascii="宋体"/>
          <w:sz w:val="21"/>
          <w:szCs w:val="21"/>
          <w:lang w:val="en-US" w:eastAsia="zh-CN"/>
        </w:rPr>
      </w:pPr>
      <w:r>
        <w:rPr>
          <w:rFonts w:hint="eastAsia" w:ascii="宋体"/>
          <w:sz w:val="21"/>
          <w:szCs w:val="21"/>
          <w:lang w:val="en-US" w:eastAsia="zh-CN"/>
        </w:rPr>
        <w:t>*3.1.18.5无棱镜距离测量精度：2mm+2ppm。</w:t>
      </w:r>
    </w:p>
    <w:p>
      <w:pPr>
        <w:spacing w:line="360" w:lineRule="auto"/>
        <w:rPr>
          <w:rFonts w:hint="eastAsia" w:ascii="宋体"/>
          <w:sz w:val="21"/>
          <w:szCs w:val="21"/>
          <w:lang w:val="en-US" w:eastAsia="zh-CN"/>
        </w:rPr>
      </w:pPr>
      <w:r>
        <w:rPr>
          <w:rFonts w:hint="eastAsia" w:ascii="宋体"/>
          <w:sz w:val="21"/>
          <w:szCs w:val="21"/>
          <w:lang w:val="en-US" w:eastAsia="zh-CN"/>
        </w:rPr>
        <w:t>3.1.18.6光斑大小：50m处小于9mm×22mm。</w:t>
      </w:r>
    </w:p>
    <w:p>
      <w:pPr>
        <w:spacing w:line="360" w:lineRule="auto"/>
        <w:rPr>
          <w:rFonts w:hint="eastAsia" w:ascii="宋体"/>
          <w:sz w:val="21"/>
          <w:szCs w:val="21"/>
          <w:lang w:val="en-US" w:eastAsia="zh-CN"/>
        </w:rPr>
      </w:pPr>
      <w:r>
        <w:rPr>
          <w:rFonts w:hint="eastAsia" w:ascii="宋体"/>
          <w:sz w:val="21"/>
          <w:szCs w:val="21"/>
          <w:lang w:val="en-US" w:eastAsia="zh-CN"/>
        </w:rPr>
        <w:t>3.1.18.7测量技术：基于相位原理系统分析技术，同轴、红色可见光。</w:t>
      </w:r>
    </w:p>
    <w:p>
      <w:pPr>
        <w:spacing w:line="360" w:lineRule="auto"/>
        <w:rPr>
          <w:rFonts w:hint="eastAsia" w:ascii="宋体"/>
          <w:sz w:val="21"/>
          <w:szCs w:val="21"/>
          <w:lang w:val="en-US" w:eastAsia="zh-CN"/>
        </w:rPr>
      </w:pPr>
      <w:r>
        <w:rPr>
          <w:rFonts w:hint="eastAsia" w:ascii="宋体"/>
          <w:sz w:val="21"/>
          <w:szCs w:val="21"/>
          <w:lang w:val="en-US" w:eastAsia="zh-CN"/>
        </w:rPr>
        <w:t>3.1.18.8测量时间：棱镜模式2.4秒、无棱镜模式3秒、连续跟踪模式0.15秒。</w:t>
      </w:r>
    </w:p>
    <w:p>
      <w:pPr>
        <w:spacing w:line="360" w:lineRule="auto"/>
        <w:rPr>
          <w:rFonts w:hint="eastAsia" w:ascii="宋体"/>
          <w:sz w:val="21"/>
          <w:szCs w:val="21"/>
          <w:lang w:val="en-US" w:eastAsia="zh-CN"/>
        </w:rPr>
      </w:pPr>
      <w:r>
        <w:rPr>
          <w:rFonts w:hint="eastAsia" w:ascii="宋体"/>
          <w:sz w:val="21"/>
          <w:szCs w:val="21"/>
          <w:lang w:val="en-US" w:eastAsia="zh-CN"/>
        </w:rPr>
        <w:t>3.1.18.9马达：直驱，转速45°每秒。</w:t>
      </w:r>
    </w:p>
    <w:p>
      <w:pPr>
        <w:spacing w:line="360" w:lineRule="auto"/>
        <w:rPr>
          <w:rFonts w:hint="eastAsia" w:ascii="宋体"/>
          <w:sz w:val="21"/>
          <w:szCs w:val="21"/>
          <w:lang w:val="en-US" w:eastAsia="zh-CN"/>
        </w:rPr>
      </w:pPr>
      <w:r>
        <w:rPr>
          <w:rFonts w:hint="eastAsia" w:ascii="宋体"/>
          <w:sz w:val="21"/>
          <w:szCs w:val="21"/>
          <w:lang w:val="en-US" w:eastAsia="zh-CN"/>
        </w:rPr>
        <w:t>3.1.18.10具有ATR自动目标识别与照准功能。</w:t>
      </w:r>
    </w:p>
    <w:p>
      <w:pPr>
        <w:spacing w:line="360" w:lineRule="auto"/>
        <w:rPr>
          <w:rFonts w:hint="eastAsia" w:ascii="宋体"/>
          <w:sz w:val="21"/>
          <w:szCs w:val="21"/>
          <w:lang w:val="en-US" w:eastAsia="zh-CN"/>
        </w:rPr>
      </w:pPr>
      <w:r>
        <w:rPr>
          <w:rFonts w:hint="eastAsia" w:ascii="宋体"/>
          <w:sz w:val="21"/>
          <w:szCs w:val="21"/>
          <w:lang w:val="en-US" w:eastAsia="zh-CN"/>
        </w:rPr>
        <w:t>3.1.18.11ATR测角精度：1″。</w:t>
      </w:r>
    </w:p>
    <w:p>
      <w:pPr>
        <w:spacing w:line="360" w:lineRule="auto"/>
        <w:rPr>
          <w:rFonts w:hint="eastAsia" w:ascii="宋体"/>
          <w:sz w:val="21"/>
          <w:szCs w:val="21"/>
          <w:lang w:val="en-US" w:eastAsia="zh-CN"/>
        </w:rPr>
      </w:pPr>
      <w:r>
        <w:rPr>
          <w:rFonts w:hint="eastAsia" w:ascii="宋体"/>
          <w:sz w:val="21"/>
          <w:szCs w:val="21"/>
          <w:lang w:val="en-US" w:eastAsia="zh-CN"/>
        </w:rPr>
        <w:t>3.1.18.12ATR测量时间：3-4秒。</w:t>
      </w:r>
    </w:p>
    <w:p>
      <w:pPr>
        <w:spacing w:line="360" w:lineRule="auto"/>
        <w:rPr>
          <w:rFonts w:hint="eastAsia" w:ascii="宋体"/>
          <w:sz w:val="21"/>
          <w:szCs w:val="21"/>
          <w:lang w:val="en-US" w:eastAsia="zh-CN"/>
        </w:rPr>
      </w:pPr>
      <w:r>
        <w:rPr>
          <w:rFonts w:hint="eastAsia" w:ascii="宋体"/>
          <w:sz w:val="21"/>
          <w:szCs w:val="21"/>
          <w:lang w:val="en-US" w:eastAsia="zh-CN"/>
        </w:rPr>
        <w:t>3.1.18.13具有EGL导向光：工作范围5-150m，精度100m处5cm。</w:t>
      </w:r>
    </w:p>
    <w:p>
      <w:pPr>
        <w:spacing w:line="360" w:lineRule="auto"/>
        <w:rPr>
          <w:rFonts w:hint="eastAsia" w:ascii="宋体"/>
          <w:sz w:val="21"/>
          <w:szCs w:val="21"/>
          <w:lang w:val="en-US" w:eastAsia="zh-CN"/>
        </w:rPr>
      </w:pPr>
      <w:r>
        <w:rPr>
          <w:rFonts w:hint="eastAsia" w:ascii="宋体"/>
          <w:sz w:val="21"/>
          <w:szCs w:val="21"/>
          <w:lang w:val="en-US" w:eastAsia="zh-CN"/>
        </w:rPr>
        <w:t>3.1.18.14操作系统：Windows EC7。</w:t>
      </w:r>
    </w:p>
    <w:p>
      <w:pPr>
        <w:spacing w:line="360" w:lineRule="auto"/>
        <w:rPr>
          <w:rFonts w:hint="eastAsia" w:ascii="宋体"/>
          <w:sz w:val="21"/>
          <w:szCs w:val="21"/>
          <w:lang w:val="en-US" w:eastAsia="zh-CN"/>
        </w:rPr>
      </w:pPr>
      <w:r>
        <w:rPr>
          <w:rFonts w:hint="eastAsia" w:ascii="宋体"/>
          <w:sz w:val="21"/>
          <w:szCs w:val="21"/>
          <w:lang w:val="en-US" w:eastAsia="zh-CN"/>
        </w:rPr>
        <w:t>3.1.18.15电源：可更换内置锂电池，使用时间不小于7小时。</w:t>
      </w:r>
    </w:p>
    <w:p>
      <w:pPr>
        <w:spacing w:line="360" w:lineRule="auto"/>
        <w:rPr>
          <w:rFonts w:hint="eastAsia" w:ascii="宋体"/>
          <w:sz w:val="21"/>
          <w:szCs w:val="21"/>
          <w:lang w:val="en-US" w:eastAsia="zh-CN"/>
        </w:rPr>
      </w:pPr>
      <w:r>
        <w:rPr>
          <w:rFonts w:hint="eastAsia" w:ascii="宋体"/>
          <w:sz w:val="21"/>
          <w:szCs w:val="21"/>
          <w:lang w:val="en-US" w:eastAsia="zh-CN"/>
        </w:rPr>
        <w:t>3.1.18.16接口：RS232、USB、Bluetooth蓝牙、WLAN多种通讯方式，数据传输更方便。</w:t>
      </w:r>
    </w:p>
    <w:p>
      <w:pPr>
        <w:spacing w:line="360" w:lineRule="auto"/>
        <w:rPr>
          <w:rFonts w:hint="eastAsia" w:ascii="宋体"/>
          <w:sz w:val="21"/>
          <w:szCs w:val="21"/>
          <w:lang w:val="en-US" w:eastAsia="zh-CN"/>
        </w:rPr>
      </w:pPr>
      <w:r>
        <w:rPr>
          <w:rFonts w:hint="eastAsia" w:ascii="宋体"/>
          <w:sz w:val="21"/>
          <w:szCs w:val="21"/>
          <w:lang w:val="en-US" w:eastAsia="zh-CN"/>
        </w:rPr>
        <w:t>3.1.18.17工作温度范围：-20℃至＋50℃。</w:t>
      </w:r>
    </w:p>
    <w:p>
      <w:pPr>
        <w:spacing w:line="360" w:lineRule="auto"/>
        <w:rPr>
          <w:rFonts w:hint="eastAsia" w:ascii="宋体"/>
          <w:sz w:val="21"/>
          <w:szCs w:val="21"/>
          <w:lang w:val="en-US" w:eastAsia="zh-CN"/>
        </w:rPr>
      </w:pPr>
      <w:r>
        <w:rPr>
          <w:rFonts w:hint="eastAsia" w:ascii="宋体"/>
          <w:sz w:val="21"/>
          <w:szCs w:val="21"/>
          <w:lang w:val="en-US" w:eastAsia="zh-CN"/>
        </w:rPr>
        <w:t>3.1.18.18防尘防水等级：IP55，保证在恶劣的使用环境中实现全天候工作。</w:t>
      </w:r>
    </w:p>
    <w:p>
      <w:pPr>
        <w:spacing w:line="360" w:lineRule="auto"/>
        <w:rPr>
          <w:rFonts w:hint="eastAsia" w:ascii="宋体"/>
          <w:sz w:val="21"/>
          <w:szCs w:val="21"/>
          <w:lang w:val="en-US" w:eastAsia="zh-CN"/>
        </w:rPr>
      </w:pPr>
      <w:r>
        <w:rPr>
          <w:rFonts w:hint="eastAsia" w:ascii="宋体"/>
          <w:sz w:val="21"/>
          <w:szCs w:val="21"/>
          <w:lang w:val="en-US" w:eastAsia="zh-CN"/>
        </w:rPr>
        <w:t>3.1.18.19防潮：95%，无冷凝。</w:t>
      </w:r>
    </w:p>
    <w:p>
      <w:pPr>
        <w:spacing w:line="360" w:lineRule="auto"/>
        <w:rPr>
          <w:rFonts w:hint="eastAsia" w:ascii="宋体"/>
          <w:sz w:val="21"/>
          <w:szCs w:val="21"/>
          <w:lang w:val="en-US" w:eastAsia="zh-CN"/>
        </w:rPr>
      </w:pPr>
      <w:r>
        <w:rPr>
          <w:rFonts w:hint="eastAsia" w:ascii="宋体"/>
          <w:sz w:val="21"/>
          <w:szCs w:val="21"/>
          <w:lang w:val="en-US" w:eastAsia="zh-CN"/>
        </w:rPr>
        <w:t>3.1.19数据处理分析设备：配备一台数据后期处理设备，主要参数如下：</w:t>
      </w:r>
    </w:p>
    <w:p>
      <w:pPr>
        <w:numPr>
          <w:ilvl w:val="0"/>
          <w:numId w:val="1"/>
        </w:numPr>
        <w:spacing w:line="360" w:lineRule="auto"/>
        <w:rPr>
          <w:rFonts w:hint="eastAsia" w:ascii="宋体"/>
          <w:sz w:val="21"/>
          <w:szCs w:val="21"/>
          <w:lang w:val="en-US" w:eastAsia="zh-CN"/>
        </w:rPr>
      </w:pPr>
      <w:r>
        <w:rPr>
          <w:rFonts w:hint="eastAsia" w:ascii="宋体"/>
          <w:sz w:val="21"/>
          <w:szCs w:val="21"/>
          <w:lang w:val="en-US" w:eastAsia="zh-CN"/>
        </w:rPr>
        <w:t>品牌型号：ThinkPad 翼 480（12CD）</w:t>
      </w:r>
    </w:p>
    <w:p>
      <w:pPr>
        <w:numPr>
          <w:ilvl w:val="0"/>
          <w:numId w:val="1"/>
        </w:numPr>
        <w:spacing w:line="360" w:lineRule="auto"/>
        <w:rPr>
          <w:rFonts w:hint="eastAsia" w:ascii="宋体"/>
          <w:sz w:val="21"/>
          <w:szCs w:val="21"/>
          <w:lang w:val="en-US" w:eastAsia="zh-CN"/>
        </w:rPr>
      </w:pPr>
      <w:r>
        <w:rPr>
          <w:rFonts w:hint="eastAsia" w:ascii="宋体"/>
          <w:sz w:val="21"/>
          <w:szCs w:val="21"/>
          <w:lang w:val="en-US" w:eastAsia="zh-CN"/>
        </w:rPr>
        <w:t>配置：i7-8550U 16G 256GSSD+1T 940MX 2G独显</w:t>
      </w:r>
    </w:p>
    <w:p>
      <w:pPr>
        <w:spacing w:line="360" w:lineRule="auto"/>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3.2投标人按如下要求对投标设备的结构、性能进行详细描述。</w:t>
      </w:r>
    </w:p>
    <w:p>
      <w:pPr>
        <w:spacing w:line="360" w:lineRule="auto"/>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3.2.1</w:t>
      </w:r>
      <w:r>
        <w:rPr>
          <w:rFonts w:hint="eastAsia" w:ascii="宋体" w:hAnsi="宋体" w:cs="宋体"/>
          <w:bCs/>
          <w:sz w:val="21"/>
          <w:szCs w:val="21"/>
          <w:lang w:val="en-US" w:eastAsia="zh-CN"/>
        </w:rPr>
        <w:t>IMS双功能轨道测量仪</w:t>
      </w:r>
      <w:r>
        <w:rPr>
          <w:rFonts w:hint="eastAsia" w:ascii="宋体" w:hAnsi="宋体" w:eastAsia="宋体" w:cs="宋体"/>
          <w:bCs/>
          <w:sz w:val="21"/>
          <w:szCs w:val="21"/>
          <w:lang w:val="en-US" w:eastAsia="zh-CN"/>
        </w:rPr>
        <w:t>中每项设备的构造；</w:t>
      </w:r>
    </w:p>
    <w:p>
      <w:pPr>
        <w:spacing w:line="360" w:lineRule="auto"/>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3.2.2各部件的规格型号、生产厂家、技术参数；</w:t>
      </w:r>
    </w:p>
    <w:p>
      <w:pPr>
        <w:spacing w:line="360" w:lineRule="auto"/>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3.2.3</w:t>
      </w:r>
      <w:r>
        <w:rPr>
          <w:rFonts w:hint="eastAsia" w:ascii="宋体" w:hAnsi="宋体" w:cs="宋体"/>
          <w:bCs/>
          <w:sz w:val="21"/>
          <w:szCs w:val="21"/>
          <w:lang w:val="en-US" w:eastAsia="zh-CN"/>
        </w:rPr>
        <w:t>IMS双功能轨道测量仪</w:t>
      </w:r>
      <w:r>
        <w:rPr>
          <w:rFonts w:hint="eastAsia" w:ascii="宋体" w:hAnsi="宋体" w:eastAsia="宋体" w:cs="宋体"/>
          <w:bCs/>
          <w:sz w:val="21"/>
          <w:szCs w:val="21"/>
          <w:lang w:val="en-US" w:eastAsia="zh-CN"/>
        </w:rPr>
        <w:t>中每项设备的主要技术指标；</w:t>
      </w:r>
    </w:p>
    <w:p>
      <w:pPr>
        <w:spacing w:line="360" w:lineRule="auto"/>
        <w:rPr>
          <w:rFonts w:hint="eastAsia" w:ascii="宋体"/>
          <w:sz w:val="21"/>
          <w:szCs w:val="21"/>
        </w:rPr>
      </w:pPr>
      <w:r>
        <w:rPr>
          <w:rFonts w:hint="eastAsia" w:ascii="宋体" w:hAnsi="宋体" w:eastAsia="宋体" w:cs="宋体"/>
          <w:bCs/>
          <w:sz w:val="21"/>
          <w:szCs w:val="21"/>
          <w:lang w:val="en-US" w:eastAsia="zh-CN"/>
        </w:rPr>
        <w:t>3.2.4其它技术描述。</w:t>
      </w:r>
    </w:p>
    <w:p>
      <w:pPr>
        <w:tabs>
          <w:tab w:val="left" w:pos="900"/>
        </w:tabs>
        <w:spacing w:line="360" w:lineRule="auto"/>
        <w:rPr>
          <w:rFonts w:hint="eastAsia" w:ascii="宋体" w:cs="新宋体"/>
          <w:bCs/>
          <w:color w:val="000000"/>
          <w:sz w:val="21"/>
          <w:szCs w:val="21"/>
          <w:lang w:bidi="ar-SA"/>
        </w:rPr>
      </w:pPr>
      <w:r>
        <w:rPr>
          <w:rFonts w:hint="eastAsia" w:ascii="宋体" w:cs="新宋体"/>
          <w:bCs/>
          <w:color w:val="000000"/>
          <w:sz w:val="21"/>
          <w:szCs w:val="21"/>
          <w:lang w:bidi="ar-SA"/>
        </w:rPr>
        <w:t>4.供货范围</w:t>
      </w:r>
    </w:p>
    <w:p>
      <w:pPr>
        <w:tabs>
          <w:tab w:val="left" w:pos="0"/>
        </w:tabs>
        <w:spacing w:line="360" w:lineRule="auto"/>
        <w:ind w:firstLine="420" w:firstLineChars="200"/>
        <w:rPr>
          <w:rFonts w:hint="eastAsia" w:ascii="宋体"/>
          <w:sz w:val="21"/>
          <w:szCs w:val="21"/>
        </w:rPr>
      </w:pPr>
      <w:r>
        <w:rPr>
          <w:rFonts w:hint="eastAsia" w:ascii="宋体"/>
          <w:sz w:val="21"/>
          <w:szCs w:val="21"/>
        </w:rPr>
        <w:t>完整的、全新的、符合制造标准的、满足本招标技术附件各项条件及技术要求的标准配置。其中包括组装、调试设备所必须的全部零件和材料（如连接件、电气安装材料等）。主要设备及材料如下表（但不限于此；包含在本次报价内）。</w:t>
      </w:r>
    </w:p>
    <w:tbl>
      <w:tblPr>
        <w:tblStyle w:val="4"/>
        <w:tblW w:w="92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9"/>
        <w:gridCol w:w="3824"/>
        <w:gridCol w:w="728"/>
        <w:gridCol w:w="728"/>
        <w:gridCol w:w="3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729" w:type="dxa"/>
            <w:vAlign w:val="center"/>
          </w:tcPr>
          <w:p>
            <w:pPr>
              <w:spacing w:line="360" w:lineRule="auto"/>
              <w:jc w:val="center"/>
              <w:rPr>
                <w:rFonts w:hint="eastAsia" w:ascii="宋体"/>
                <w:sz w:val="21"/>
                <w:szCs w:val="21"/>
              </w:rPr>
            </w:pPr>
            <w:r>
              <w:rPr>
                <w:rFonts w:hint="eastAsia" w:ascii="宋体"/>
                <w:sz w:val="21"/>
                <w:szCs w:val="21"/>
              </w:rPr>
              <w:t>序号</w:t>
            </w:r>
          </w:p>
        </w:tc>
        <w:tc>
          <w:tcPr>
            <w:tcW w:w="3824" w:type="dxa"/>
            <w:vAlign w:val="center"/>
          </w:tcPr>
          <w:p>
            <w:pPr>
              <w:spacing w:line="360" w:lineRule="auto"/>
              <w:jc w:val="center"/>
              <w:rPr>
                <w:rFonts w:hint="eastAsia" w:ascii="宋体"/>
                <w:sz w:val="21"/>
                <w:szCs w:val="21"/>
              </w:rPr>
            </w:pPr>
            <w:r>
              <w:rPr>
                <w:rFonts w:hint="eastAsia" w:ascii="宋体"/>
                <w:sz w:val="21"/>
                <w:szCs w:val="21"/>
              </w:rPr>
              <w:t>货物名称</w:t>
            </w:r>
          </w:p>
        </w:tc>
        <w:tc>
          <w:tcPr>
            <w:tcW w:w="728" w:type="dxa"/>
            <w:vAlign w:val="center"/>
          </w:tcPr>
          <w:p>
            <w:pPr>
              <w:widowControl/>
              <w:spacing w:line="360" w:lineRule="auto"/>
              <w:jc w:val="center"/>
              <w:rPr>
                <w:rFonts w:hint="eastAsia" w:ascii="宋体"/>
                <w:sz w:val="21"/>
                <w:szCs w:val="21"/>
              </w:rPr>
            </w:pPr>
            <w:r>
              <w:rPr>
                <w:rFonts w:hint="eastAsia" w:ascii="宋体"/>
                <w:sz w:val="21"/>
                <w:szCs w:val="21"/>
              </w:rPr>
              <w:t>单位</w:t>
            </w:r>
          </w:p>
        </w:tc>
        <w:tc>
          <w:tcPr>
            <w:tcW w:w="728" w:type="dxa"/>
            <w:vAlign w:val="center"/>
          </w:tcPr>
          <w:p>
            <w:pPr>
              <w:widowControl/>
              <w:spacing w:line="360" w:lineRule="auto"/>
              <w:jc w:val="center"/>
              <w:rPr>
                <w:rFonts w:hint="eastAsia" w:ascii="宋体"/>
                <w:sz w:val="21"/>
                <w:szCs w:val="21"/>
              </w:rPr>
            </w:pPr>
            <w:r>
              <w:rPr>
                <w:rFonts w:hint="eastAsia" w:ascii="宋体"/>
                <w:sz w:val="21"/>
                <w:szCs w:val="21"/>
              </w:rPr>
              <w:t>数量</w:t>
            </w:r>
          </w:p>
        </w:tc>
        <w:tc>
          <w:tcPr>
            <w:tcW w:w="3276" w:type="dxa"/>
            <w:vAlign w:val="center"/>
          </w:tcPr>
          <w:p>
            <w:pPr>
              <w:widowControl/>
              <w:spacing w:line="360" w:lineRule="auto"/>
              <w:jc w:val="center"/>
              <w:rPr>
                <w:rFonts w:hint="eastAsia" w:ascii="宋体"/>
                <w:sz w:val="21"/>
                <w:szCs w:val="21"/>
              </w:rPr>
            </w:pPr>
            <w:r>
              <w:rPr>
                <w:rFonts w:hint="eastAsia" w:ascii="宋体"/>
                <w:sz w:val="21"/>
                <w:szCs w:val="21"/>
              </w:rPr>
              <w:t>交货时间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729" w:type="dxa"/>
            <w:vAlign w:val="center"/>
          </w:tcPr>
          <w:p>
            <w:pPr>
              <w:widowControl/>
              <w:spacing w:line="360" w:lineRule="auto"/>
              <w:jc w:val="center"/>
              <w:rPr>
                <w:rFonts w:hint="eastAsia" w:ascii="宋体"/>
                <w:sz w:val="21"/>
                <w:szCs w:val="21"/>
              </w:rPr>
            </w:pPr>
            <w:r>
              <w:rPr>
                <w:rFonts w:hint="eastAsia" w:ascii="宋体"/>
                <w:sz w:val="21"/>
                <w:szCs w:val="21"/>
              </w:rPr>
              <w:t>1</w:t>
            </w:r>
          </w:p>
        </w:tc>
        <w:tc>
          <w:tcPr>
            <w:tcW w:w="3824" w:type="dxa"/>
            <w:vAlign w:val="center"/>
          </w:tcPr>
          <w:p>
            <w:pPr>
              <w:spacing w:line="360" w:lineRule="auto"/>
              <w:jc w:val="center"/>
              <w:rPr>
                <w:rFonts w:hint="eastAsia" w:ascii="宋体" w:eastAsia="宋体"/>
                <w:bCs/>
                <w:sz w:val="21"/>
                <w:szCs w:val="21"/>
                <w:lang w:eastAsia="zh-CN"/>
              </w:rPr>
            </w:pPr>
            <w:r>
              <w:rPr>
                <w:rFonts w:hint="eastAsia" w:ascii="宋体"/>
                <w:bCs/>
                <w:sz w:val="21"/>
                <w:szCs w:val="21"/>
                <w:lang w:eastAsia="zh-CN"/>
              </w:rPr>
              <w:t>IMS双功能轨道测量仪</w:t>
            </w:r>
          </w:p>
        </w:tc>
        <w:tc>
          <w:tcPr>
            <w:tcW w:w="728" w:type="dxa"/>
            <w:vAlign w:val="center"/>
          </w:tcPr>
          <w:p>
            <w:pPr>
              <w:widowControl/>
              <w:spacing w:line="360" w:lineRule="auto"/>
              <w:jc w:val="center"/>
              <w:rPr>
                <w:rFonts w:hint="eastAsia" w:ascii="宋体"/>
                <w:sz w:val="21"/>
                <w:szCs w:val="21"/>
              </w:rPr>
            </w:pPr>
            <w:r>
              <w:rPr>
                <w:rFonts w:hint="eastAsia" w:ascii="宋体"/>
                <w:sz w:val="21"/>
                <w:szCs w:val="21"/>
              </w:rPr>
              <w:t>台</w:t>
            </w:r>
          </w:p>
        </w:tc>
        <w:tc>
          <w:tcPr>
            <w:tcW w:w="728" w:type="dxa"/>
            <w:vAlign w:val="center"/>
          </w:tcPr>
          <w:p>
            <w:pPr>
              <w:widowControl/>
              <w:spacing w:line="360" w:lineRule="auto"/>
              <w:jc w:val="center"/>
              <w:rPr>
                <w:rFonts w:hint="eastAsia" w:ascii="宋体" w:eastAsia="宋体"/>
                <w:sz w:val="21"/>
                <w:szCs w:val="21"/>
                <w:lang w:val="en-US" w:eastAsia="zh-CN"/>
              </w:rPr>
            </w:pPr>
            <w:r>
              <w:rPr>
                <w:rFonts w:hint="eastAsia" w:ascii="宋体"/>
                <w:sz w:val="21"/>
                <w:szCs w:val="21"/>
                <w:lang w:val="en-US" w:eastAsia="zh-CN"/>
              </w:rPr>
              <w:t>1</w:t>
            </w:r>
          </w:p>
        </w:tc>
        <w:tc>
          <w:tcPr>
            <w:tcW w:w="3276" w:type="dxa"/>
            <w:vAlign w:val="center"/>
          </w:tcPr>
          <w:p>
            <w:pPr>
              <w:widowControl/>
              <w:spacing w:line="360" w:lineRule="auto"/>
              <w:jc w:val="center"/>
              <w:rPr>
                <w:rFonts w:hint="eastAsia" w:ascii="宋体"/>
                <w:sz w:val="21"/>
                <w:szCs w:val="21"/>
              </w:rPr>
            </w:pPr>
            <w:r>
              <w:rPr>
                <w:rFonts w:hint="eastAsia" w:ascii="宋体" w:cs="新宋体"/>
                <w:bCs/>
                <w:color w:val="000000"/>
                <w:sz w:val="21"/>
                <w:szCs w:val="21"/>
                <w:lang w:bidi="ar-SA"/>
              </w:rPr>
              <w:t>自合同签订之日起</w:t>
            </w:r>
            <w:r>
              <w:rPr>
                <w:rFonts w:hint="eastAsia" w:ascii="宋体" w:cs="新宋体"/>
                <w:bCs/>
                <w:color w:val="000000"/>
                <w:sz w:val="21"/>
                <w:szCs w:val="21"/>
                <w:u w:val="none"/>
                <w:lang w:val="en-US" w:eastAsia="zh-CN" w:bidi="ar-SA"/>
              </w:rPr>
              <w:t>1</w:t>
            </w:r>
            <w:r>
              <w:rPr>
                <w:rFonts w:hint="eastAsia" w:ascii="宋体" w:cs="新宋体"/>
                <w:bCs/>
                <w:color w:val="000000"/>
                <w:sz w:val="21"/>
                <w:szCs w:val="21"/>
                <w:lang w:bidi="ar-SA"/>
              </w:rPr>
              <w:t>个月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729" w:type="dxa"/>
            <w:vAlign w:val="center"/>
          </w:tcPr>
          <w:p>
            <w:pPr>
              <w:widowControl/>
              <w:spacing w:line="360" w:lineRule="auto"/>
              <w:jc w:val="center"/>
              <w:rPr>
                <w:rFonts w:hint="eastAsia" w:ascii="宋体" w:eastAsia="宋体"/>
                <w:sz w:val="21"/>
                <w:szCs w:val="21"/>
                <w:lang w:val="en-US" w:eastAsia="zh-CN"/>
              </w:rPr>
            </w:pPr>
            <w:r>
              <w:rPr>
                <w:rFonts w:hint="eastAsia" w:ascii="宋体"/>
                <w:sz w:val="21"/>
                <w:szCs w:val="21"/>
                <w:lang w:val="en-US" w:eastAsia="zh-CN"/>
              </w:rPr>
              <w:t>2</w:t>
            </w:r>
          </w:p>
        </w:tc>
        <w:tc>
          <w:tcPr>
            <w:tcW w:w="3824" w:type="dxa"/>
            <w:vAlign w:val="center"/>
          </w:tcPr>
          <w:p>
            <w:pPr>
              <w:spacing w:line="360" w:lineRule="auto"/>
              <w:jc w:val="center"/>
              <w:rPr>
                <w:rFonts w:hint="eastAsia" w:ascii="宋体"/>
                <w:bCs/>
                <w:sz w:val="21"/>
                <w:szCs w:val="21"/>
                <w:lang w:val="en-US" w:eastAsia="zh-CN"/>
              </w:rPr>
            </w:pPr>
            <w:r>
              <w:rPr>
                <w:rFonts w:hint="eastAsia" w:ascii="宋体"/>
                <w:bCs/>
                <w:sz w:val="21"/>
                <w:szCs w:val="21"/>
                <w:lang w:val="en-US" w:eastAsia="zh-CN"/>
              </w:rPr>
              <w:t>控制计算机</w:t>
            </w:r>
          </w:p>
        </w:tc>
        <w:tc>
          <w:tcPr>
            <w:tcW w:w="728" w:type="dxa"/>
            <w:vAlign w:val="center"/>
          </w:tcPr>
          <w:p>
            <w:pPr>
              <w:widowControl/>
              <w:spacing w:line="360" w:lineRule="auto"/>
              <w:jc w:val="center"/>
              <w:rPr>
                <w:rFonts w:hint="eastAsia" w:ascii="宋体" w:eastAsia="宋体"/>
                <w:sz w:val="21"/>
                <w:szCs w:val="21"/>
                <w:lang w:eastAsia="zh-CN"/>
              </w:rPr>
            </w:pPr>
            <w:r>
              <w:rPr>
                <w:rFonts w:hint="eastAsia" w:ascii="宋体"/>
                <w:sz w:val="21"/>
                <w:szCs w:val="21"/>
                <w:lang w:eastAsia="zh-CN"/>
              </w:rPr>
              <w:t>台</w:t>
            </w:r>
          </w:p>
        </w:tc>
        <w:tc>
          <w:tcPr>
            <w:tcW w:w="728" w:type="dxa"/>
            <w:vAlign w:val="center"/>
          </w:tcPr>
          <w:p>
            <w:pPr>
              <w:widowControl/>
              <w:spacing w:line="360" w:lineRule="auto"/>
              <w:jc w:val="center"/>
              <w:rPr>
                <w:rFonts w:hint="eastAsia" w:ascii="宋体"/>
                <w:sz w:val="21"/>
                <w:szCs w:val="21"/>
                <w:lang w:val="en-US" w:eastAsia="zh-CN"/>
              </w:rPr>
            </w:pPr>
            <w:r>
              <w:rPr>
                <w:rFonts w:hint="eastAsia" w:ascii="宋体"/>
                <w:sz w:val="21"/>
                <w:szCs w:val="21"/>
                <w:lang w:val="en-US" w:eastAsia="zh-CN"/>
              </w:rPr>
              <w:t>1</w:t>
            </w:r>
          </w:p>
        </w:tc>
        <w:tc>
          <w:tcPr>
            <w:tcW w:w="3276" w:type="dxa"/>
            <w:vAlign w:val="center"/>
          </w:tcPr>
          <w:p>
            <w:pPr>
              <w:widowControl/>
              <w:spacing w:line="360" w:lineRule="auto"/>
              <w:jc w:val="center"/>
              <w:rPr>
                <w:rFonts w:hint="eastAsia" w:ascii="宋体" w:eastAsia="宋体" w:cs="新宋体"/>
                <w:bCs/>
                <w:color w:val="000000"/>
                <w:sz w:val="21"/>
                <w:szCs w:val="21"/>
                <w:lang w:eastAsia="zh-CN" w:bidi="ar-SA"/>
              </w:rPr>
            </w:pPr>
            <w:r>
              <w:rPr>
                <w:rFonts w:hint="eastAsia" w:ascii="宋体" w:cs="新宋体"/>
                <w:bCs/>
                <w:color w:val="000000"/>
                <w:sz w:val="21"/>
                <w:szCs w:val="21"/>
                <w:lang w:eastAsia="zh-CN" w:bidi="ar-SA"/>
              </w:rPr>
              <w:t>随主设备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729" w:type="dxa"/>
            <w:vAlign w:val="center"/>
          </w:tcPr>
          <w:p>
            <w:pPr>
              <w:widowControl/>
              <w:spacing w:line="360" w:lineRule="auto"/>
              <w:jc w:val="center"/>
              <w:rPr>
                <w:rFonts w:hint="eastAsia" w:ascii="宋体"/>
                <w:sz w:val="21"/>
                <w:szCs w:val="21"/>
                <w:lang w:val="en-US" w:eastAsia="zh-CN"/>
              </w:rPr>
            </w:pPr>
            <w:r>
              <w:rPr>
                <w:rFonts w:hint="eastAsia" w:ascii="宋体"/>
                <w:sz w:val="21"/>
                <w:szCs w:val="21"/>
                <w:lang w:val="en-US" w:eastAsia="zh-CN"/>
              </w:rPr>
              <w:t>3</w:t>
            </w:r>
          </w:p>
        </w:tc>
        <w:tc>
          <w:tcPr>
            <w:tcW w:w="3824" w:type="dxa"/>
            <w:vAlign w:val="center"/>
          </w:tcPr>
          <w:p>
            <w:pPr>
              <w:spacing w:line="360" w:lineRule="auto"/>
              <w:jc w:val="center"/>
              <w:rPr>
                <w:rFonts w:hint="eastAsia" w:ascii="宋体"/>
                <w:bCs/>
                <w:sz w:val="21"/>
                <w:szCs w:val="21"/>
                <w:lang w:val="en-US" w:eastAsia="zh-CN"/>
              </w:rPr>
            </w:pPr>
            <w:r>
              <w:rPr>
                <w:rFonts w:hint="eastAsia" w:ascii="宋体"/>
                <w:bCs/>
                <w:sz w:val="21"/>
                <w:szCs w:val="21"/>
                <w:lang w:val="en-US" w:eastAsia="zh-CN"/>
              </w:rPr>
              <w:t>全站仪</w:t>
            </w:r>
          </w:p>
        </w:tc>
        <w:tc>
          <w:tcPr>
            <w:tcW w:w="728" w:type="dxa"/>
            <w:vAlign w:val="center"/>
          </w:tcPr>
          <w:p>
            <w:pPr>
              <w:widowControl/>
              <w:spacing w:line="360" w:lineRule="auto"/>
              <w:jc w:val="center"/>
              <w:rPr>
                <w:rFonts w:hint="eastAsia" w:ascii="宋体"/>
                <w:sz w:val="21"/>
                <w:szCs w:val="21"/>
                <w:lang w:eastAsia="zh-CN"/>
              </w:rPr>
            </w:pPr>
            <w:r>
              <w:rPr>
                <w:rFonts w:hint="eastAsia" w:ascii="宋体"/>
                <w:sz w:val="21"/>
                <w:szCs w:val="21"/>
                <w:lang w:eastAsia="zh-CN"/>
              </w:rPr>
              <w:t>台</w:t>
            </w:r>
          </w:p>
        </w:tc>
        <w:tc>
          <w:tcPr>
            <w:tcW w:w="728" w:type="dxa"/>
            <w:vAlign w:val="center"/>
          </w:tcPr>
          <w:p>
            <w:pPr>
              <w:widowControl/>
              <w:spacing w:line="360" w:lineRule="auto"/>
              <w:jc w:val="center"/>
              <w:rPr>
                <w:rFonts w:hint="eastAsia" w:ascii="宋体"/>
                <w:sz w:val="21"/>
                <w:szCs w:val="21"/>
                <w:lang w:val="en-US" w:eastAsia="zh-CN"/>
              </w:rPr>
            </w:pPr>
            <w:r>
              <w:rPr>
                <w:rFonts w:hint="eastAsia" w:ascii="宋体"/>
                <w:sz w:val="21"/>
                <w:szCs w:val="21"/>
                <w:lang w:val="en-US" w:eastAsia="zh-CN"/>
              </w:rPr>
              <w:t>1</w:t>
            </w:r>
          </w:p>
        </w:tc>
        <w:tc>
          <w:tcPr>
            <w:tcW w:w="3276" w:type="dxa"/>
            <w:vAlign w:val="center"/>
          </w:tcPr>
          <w:p>
            <w:pPr>
              <w:widowControl/>
              <w:spacing w:line="360" w:lineRule="auto"/>
              <w:jc w:val="center"/>
              <w:rPr>
                <w:rFonts w:hint="eastAsia" w:ascii="宋体" w:cs="新宋体"/>
                <w:bCs/>
                <w:color w:val="000000"/>
                <w:sz w:val="21"/>
                <w:szCs w:val="21"/>
                <w:lang w:eastAsia="zh-CN" w:bidi="ar-SA"/>
              </w:rPr>
            </w:pPr>
            <w:r>
              <w:rPr>
                <w:rFonts w:hint="eastAsia" w:ascii="宋体" w:cs="新宋体"/>
                <w:bCs/>
                <w:color w:val="000000"/>
                <w:sz w:val="21"/>
                <w:szCs w:val="21"/>
                <w:lang w:eastAsia="zh-CN" w:bidi="ar-SA"/>
              </w:rPr>
              <w:t>随主设备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729" w:type="dxa"/>
            <w:vAlign w:val="center"/>
          </w:tcPr>
          <w:p>
            <w:pPr>
              <w:widowControl/>
              <w:spacing w:line="360" w:lineRule="auto"/>
              <w:jc w:val="center"/>
              <w:rPr>
                <w:rFonts w:hint="eastAsia" w:ascii="宋体"/>
                <w:sz w:val="21"/>
                <w:szCs w:val="21"/>
                <w:lang w:val="en-US" w:eastAsia="zh-CN"/>
              </w:rPr>
            </w:pPr>
            <w:r>
              <w:rPr>
                <w:rFonts w:hint="eastAsia" w:ascii="宋体"/>
                <w:sz w:val="21"/>
                <w:szCs w:val="21"/>
                <w:lang w:val="en-US" w:eastAsia="zh-CN"/>
              </w:rPr>
              <w:t>4</w:t>
            </w:r>
          </w:p>
        </w:tc>
        <w:tc>
          <w:tcPr>
            <w:tcW w:w="3824" w:type="dxa"/>
            <w:vAlign w:val="center"/>
          </w:tcPr>
          <w:p>
            <w:pPr>
              <w:spacing w:line="360" w:lineRule="auto"/>
              <w:jc w:val="center"/>
              <w:rPr>
                <w:rFonts w:hint="eastAsia" w:ascii="宋体"/>
                <w:bCs/>
                <w:sz w:val="21"/>
                <w:szCs w:val="21"/>
                <w:lang w:val="en-US" w:eastAsia="zh-CN"/>
              </w:rPr>
            </w:pPr>
            <w:r>
              <w:rPr>
                <w:rFonts w:hint="eastAsia" w:ascii="宋体"/>
                <w:bCs/>
                <w:sz w:val="21"/>
                <w:szCs w:val="21"/>
                <w:lang w:val="en-US" w:eastAsia="zh-CN"/>
              </w:rPr>
              <w:t>数据后期处理分析设备</w:t>
            </w:r>
          </w:p>
        </w:tc>
        <w:tc>
          <w:tcPr>
            <w:tcW w:w="728" w:type="dxa"/>
            <w:vAlign w:val="center"/>
          </w:tcPr>
          <w:p>
            <w:pPr>
              <w:widowControl/>
              <w:spacing w:line="360" w:lineRule="auto"/>
              <w:jc w:val="center"/>
              <w:rPr>
                <w:rFonts w:hint="eastAsia" w:ascii="宋体"/>
                <w:sz w:val="21"/>
                <w:szCs w:val="21"/>
                <w:lang w:eastAsia="zh-CN"/>
              </w:rPr>
            </w:pPr>
            <w:r>
              <w:rPr>
                <w:rFonts w:hint="eastAsia" w:ascii="宋体"/>
                <w:sz w:val="21"/>
                <w:szCs w:val="21"/>
                <w:lang w:eastAsia="zh-CN"/>
              </w:rPr>
              <w:t>台</w:t>
            </w:r>
          </w:p>
        </w:tc>
        <w:tc>
          <w:tcPr>
            <w:tcW w:w="728" w:type="dxa"/>
            <w:vAlign w:val="center"/>
          </w:tcPr>
          <w:p>
            <w:pPr>
              <w:widowControl/>
              <w:spacing w:line="360" w:lineRule="auto"/>
              <w:jc w:val="center"/>
              <w:rPr>
                <w:rFonts w:hint="eastAsia" w:ascii="宋体"/>
                <w:sz w:val="21"/>
                <w:szCs w:val="21"/>
                <w:lang w:val="en-US" w:eastAsia="zh-CN"/>
              </w:rPr>
            </w:pPr>
            <w:r>
              <w:rPr>
                <w:rFonts w:hint="eastAsia" w:ascii="宋体"/>
                <w:sz w:val="21"/>
                <w:szCs w:val="21"/>
                <w:lang w:val="en-US" w:eastAsia="zh-CN"/>
              </w:rPr>
              <w:t>1</w:t>
            </w:r>
          </w:p>
        </w:tc>
        <w:tc>
          <w:tcPr>
            <w:tcW w:w="3276" w:type="dxa"/>
            <w:vAlign w:val="center"/>
          </w:tcPr>
          <w:p>
            <w:pPr>
              <w:widowControl/>
              <w:spacing w:line="360" w:lineRule="auto"/>
              <w:jc w:val="center"/>
              <w:rPr>
                <w:rFonts w:hint="eastAsia" w:ascii="宋体" w:cs="新宋体"/>
                <w:bCs/>
                <w:color w:val="000000"/>
                <w:sz w:val="21"/>
                <w:szCs w:val="21"/>
                <w:lang w:eastAsia="zh-CN" w:bidi="ar-SA"/>
              </w:rPr>
            </w:pPr>
            <w:r>
              <w:rPr>
                <w:rFonts w:hint="eastAsia" w:ascii="宋体" w:cs="新宋体"/>
                <w:bCs/>
                <w:color w:val="000000"/>
                <w:sz w:val="21"/>
                <w:szCs w:val="21"/>
                <w:lang w:eastAsia="zh-CN" w:bidi="ar-SA"/>
              </w:rPr>
              <w:t>随主设备</w:t>
            </w:r>
          </w:p>
        </w:tc>
      </w:tr>
    </w:tbl>
    <w:p>
      <w:pPr>
        <w:tabs>
          <w:tab w:val="left" w:pos="900"/>
        </w:tabs>
        <w:spacing w:line="360" w:lineRule="auto"/>
        <w:rPr>
          <w:rFonts w:hint="eastAsia" w:ascii="宋体" w:cs="新宋体"/>
          <w:bCs/>
          <w:color w:val="000000"/>
          <w:sz w:val="21"/>
          <w:szCs w:val="21"/>
          <w:lang w:bidi="ar-SA"/>
        </w:rPr>
      </w:pPr>
      <w:r>
        <w:rPr>
          <w:rFonts w:hint="eastAsia" w:ascii="宋体" w:cs="新宋体"/>
          <w:bCs/>
          <w:color w:val="000000"/>
          <w:sz w:val="21"/>
          <w:szCs w:val="21"/>
          <w:lang w:bidi="ar-SA"/>
        </w:rPr>
        <w:t>5.技术资料</w:t>
      </w:r>
    </w:p>
    <w:p>
      <w:pPr>
        <w:tabs>
          <w:tab w:val="left" w:pos="1000"/>
        </w:tabs>
        <w:spacing w:line="360" w:lineRule="auto"/>
        <w:jc w:val="left"/>
        <w:rPr>
          <w:rFonts w:hint="eastAsia" w:ascii="宋体" w:hAnsi="宋体" w:eastAsia="宋体" w:cs="宋体"/>
          <w:bCs/>
          <w:sz w:val="21"/>
          <w:szCs w:val="21"/>
        </w:rPr>
      </w:pPr>
      <w:r>
        <w:rPr>
          <w:rFonts w:hint="eastAsia" w:ascii="宋体" w:hAnsi="宋体" w:eastAsia="宋体" w:cs="宋体"/>
          <w:bCs/>
          <w:sz w:val="21"/>
          <w:szCs w:val="21"/>
        </w:rPr>
        <w:t>5.1投标方必随设备交付的技术资料有：基础资料（包括出厂测试报告）</w:t>
      </w:r>
      <w:r>
        <w:rPr>
          <w:rFonts w:hint="eastAsia" w:ascii="宋体" w:hAnsi="宋体" w:eastAsia="宋体" w:cs="宋体"/>
          <w:bCs/>
          <w:sz w:val="21"/>
          <w:szCs w:val="21"/>
          <w:lang w:eastAsia="zh-CN"/>
        </w:rPr>
        <w:t>、</w:t>
      </w:r>
      <w:r>
        <w:rPr>
          <w:rFonts w:hint="eastAsia" w:ascii="宋体" w:hAnsi="宋体" w:eastAsia="宋体" w:cs="宋体"/>
          <w:bCs/>
          <w:sz w:val="21"/>
          <w:szCs w:val="21"/>
        </w:rPr>
        <w:t>《操作手册》、《保养维修手册》</w:t>
      </w:r>
      <w:r>
        <w:rPr>
          <w:rFonts w:hint="eastAsia" w:ascii="宋体" w:hAnsi="宋体" w:eastAsia="宋体" w:cs="宋体"/>
          <w:bCs/>
          <w:sz w:val="21"/>
          <w:szCs w:val="21"/>
          <w:lang w:eastAsia="zh-CN"/>
        </w:rPr>
        <w:t>、</w:t>
      </w:r>
      <w:r>
        <w:rPr>
          <w:rFonts w:hint="eastAsia" w:ascii="宋体" w:hAnsi="宋体" w:eastAsia="宋体" w:cs="宋体"/>
          <w:bCs/>
          <w:sz w:val="21"/>
          <w:szCs w:val="21"/>
        </w:rPr>
        <w:t>《配件图册》</w:t>
      </w:r>
      <w:r>
        <w:rPr>
          <w:rFonts w:hint="eastAsia" w:ascii="宋体" w:hAnsi="宋体" w:eastAsia="宋体" w:cs="宋体"/>
          <w:bCs/>
          <w:sz w:val="21"/>
          <w:szCs w:val="21"/>
          <w:lang w:eastAsia="zh-CN"/>
        </w:rPr>
        <w:t>、</w:t>
      </w:r>
      <w:r>
        <w:rPr>
          <w:rFonts w:hint="eastAsia" w:ascii="宋体" w:hAnsi="宋体" w:eastAsia="宋体" w:cs="宋体"/>
          <w:bCs/>
          <w:sz w:val="21"/>
          <w:szCs w:val="21"/>
        </w:rPr>
        <w:t>产品合格证</w:t>
      </w:r>
      <w:r>
        <w:rPr>
          <w:rFonts w:hint="eastAsia" w:ascii="宋体" w:hAnsi="宋体" w:eastAsia="宋体" w:cs="宋体"/>
          <w:bCs/>
          <w:sz w:val="21"/>
          <w:szCs w:val="21"/>
          <w:lang w:eastAsia="zh-CN"/>
        </w:rPr>
        <w:t>每台设备各</w:t>
      </w:r>
      <w:r>
        <w:rPr>
          <w:rFonts w:hint="eastAsia" w:ascii="宋体" w:hAnsi="宋体" w:eastAsia="宋体" w:cs="宋体"/>
          <w:bCs/>
          <w:sz w:val="21"/>
          <w:szCs w:val="21"/>
          <w:lang w:val="en-US" w:eastAsia="zh-CN"/>
        </w:rPr>
        <w:t>1</w:t>
      </w:r>
      <w:r>
        <w:rPr>
          <w:rFonts w:hint="eastAsia" w:ascii="宋体" w:hAnsi="宋体" w:eastAsia="宋体" w:cs="宋体"/>
          <w:bCs/>
          <w:sz w:val="21"/>
          <w:szCs w:val="21"/>
        </w:rPr>
        <w:t>套</w:t>
      </w:r>
      <w:r>
        <w:rPr>
          <w:rFonts w:hint="eastAsia" w:ascii="宋体" w:hAnsi="宋体" w:eastAsia="宋体" w:cs="宋体"/>
          <w:bCs/>
          <w:sz w:val="21"/>
          <w:szCs w:val="21"/>
          <w:lang w:eastAsia="zh-CN"/>
        </w:rPr>
        <w:t>，</w:t>
      </w:r>
      <w:r>
        <w:rPr>
          <w:rFonts w:hint="eastAsia" w:ascii="宋体" w:hAnsi="宋体" w:eastAsia="宋体" w:cs="宋体"/>
          <w:bCs/>
          <w:sz w:val="21"/>
          <w:szCs w:val="21"/>
          <w:lang w:val="en-US" w:eastAsia="zh-CN"/>
        </w:rPr>
        <w:t>并提供设备档案4套</w:t>
      </w:r>
      <w:r>
        <w:rPr>
          <w:rFonts w:hint="eastAsia" w:ascii="宋体" w:hAnsi="宋体" w:eastAsia="宋体" w:cs="宋体"/>
          <w:bCs/>
          <w:sz w:val="21"/>
          <w:szCs w:val="21"/>
        </w:rPr>
        <w:t>。</w:t>
      </w:r>
    </w:p>
    <w:p>
      <w:pPr>
        <w:tabs>
          <w:tab w:val="left" w:pos="1000"/>
        </w:tabs>
        <w:spacing w:line="360" w:lineRule="auto"/>
        <w:jc w:val="left"/>
        <w:rPr>
          <w:rFonts w:hint="eastAsia" w:ascii="宋体" w:hAnsi="宋体" w:eastAsia="宋体" w:cs="宋体"/>
          <w:bCs/>
          <w:sz w:val="21"/>
          <w:szCs w:val="21"/>
        </w:rPr>
      </w:pPr>
      <w:r>
        <w:rPr>
          <w:rFonts w:hint="eastAsia" w:ascii="宋体" w:hAnsi="宋体" w:eastAsia="宋体" w:cs="宋体"/>
          <w:bCs/>
          <w:sz w:val="21"/>
          <w:szCs w:val="21"/>
        </w:rPr>
        <w:t>5.1.1《配件图册》的内容不仅要涵盖投标方制造厂生产的零部件，而且要涵盖外购零部件，外购总成件的资料，投标方应全部提供给招标方。《配件图册》中设备上所有的总成件应有详尽的可拆分零件简图，件号；外购主要零部件应列出品牌、型号、原厂配件号、原厂定货号、厂家名称等信息。</w:t>
      </w:r>
    </w:p>
    <w:p>
      <w:pPr>
        <w:tabs>
          <w:tab w:val="left" w:pos="1000"/>
        </w:tabs>
        <w:spacing w:line="360" w:lineRule="auto"/>
        <w:jc w:val="left"/>
        <w:rPr>
          <w:rFonts w:hint="eastAsia" w:ascii="宋体" w:hAnsi="宋体" w:eastAsia="宋体" w:cs="宋体"/>
          <w:bCs/>
          <w:sz w:val="21"/>
          <w:szCs w:val="21"/>
        </w:rPr>
      </w:pPr>
      <w:r>
        <w:rPr>
          <w:rFonts w:hint="eastAsia" w:ascii="宋体" w:hAnsi="宋体" w:eastAsia="宋体" w:cs="宋体"/>
          <w:bCs/>
          <w:sz w:val="21"/>
          <w:szCs w:val="21"/>
        </w:rPr>
        <w:t xml:space="preserve">5.1.2《保养维修手册》中要求详列有关检修方法及技术标准；详列设备的日常点检、安全注意事项。 </w:t>
      </w:r>
    </w:p>
    <w:p>
      <w:pPr>
        <w:tabs>
          <w:tab w:val="left" w:pos="1000"/>
        </w:tabs>
        <w:spacing w:line="360" w:lineRule="auto"/>
        <w:jc w:val="left"/>
        <w:rPr>
          <w:rFonts w:hint="eastAsia" w:ascii="宋体" w:hAnsi="宋体" w:eastAsia="宋体" w:cs="宋体"/>
          <w:bCs/>
          <w:sz w:val="21"/>
          <w:szCs w:val="21"/>
        </w:rPr>
      </w:pPr>
      <w:r>
        <w:rPr>
          <w:rFonts w:hint="eastAsia" w:ascii="宋体" w:hAnsi="宋体" w:eastAsia="宋体" w:cs="宋体"/>
          <w:bCs/>
          <w:sz w:val="21"/>
          <w:szCs w:val="21"/>
        </w:rPr>
        <w:t>5.1.3《操作手册》、《保养维修手册》、《配件图册》分开或集成均可以。</w:t>
      </w:r>
    </w:p>
    <w:p>
      <w:pPr>
        <w:tabs>
          <w:tab w:val="left" w:pos="1000"/>
        </w:tabs>
        <w:spacing w:line="360" w:lineRule="auto"/>
        <w:jc w:val="left"/>
        <w:rPr>
          <w:rFonts w:hint="eastAsia" w:ascii="宋体" w:hAnsi="宋体" w:eastAsia="宋体" w:cs="宋体"/>
          <w:bCs/>
          <w:sz w:val="21"/>
          <w:szCs w:val="21"/>
        </w:rPr>
      </w:pPr>
      <w:r>
        <w:rPr>
          <w:rFonts w:hint="eastAsia" w:ascii="宋体" w:hAnsi="宋体" w:eastAsia="宋体" w:cs="宋体"/>
          <w:bCs/>
          <w:sz w:val="21"/>
          <w:szCs w:val="21"/>
        </w:rPr>
        <w:t>5.2投标人必须交付全新的、完整的、与提供设备相符的、招标方认可的技术资料和图纸（包括纸质版本与电子版本）。对于缺失损坏、不符合要求的技术资料和图纸，投标方在</w:t>
      </w:r>
      <w:r>
        <w:rPr>
          <w:rFonts w:hint="eastAsia" w:ascii="宋体" w:hAnsi="宋体" w:eastAsia="宋体" w:cs="宋体"/>
          <w:bCs/>
          <w:sz w:val="21"/>
          <w:szCs w:val="21"/>
          <w:lang w:val="en-US" w:eastAsia="zh-CN"/>
        </w:rPr>
        <w:t>30</w:t>
      </w:r>
      <w:r>
        <w:rPr>
          <w:rFonts w:hint="eastAsia" w:ascii="宋体" w:hAnsi="宋体" w:eastAsia="宋体" w:cs="宋体"/>
          <w:bCs/>
          <w:sz w:val="21"/>
          <w:szCs w:val="21"/>
        </w:rPr>
        <w:t>日内，补齐、更换。招标方将</w:t>
      </w:r>
      <w:r>
        <w:rPr>
          <w:rFonts w:hint="eastAsia" w:ascii="宋体" w:hAnsi="宋体" w:eastAsia="宋体" w:cs="宋体"/>
          <w:bCs/>
          <w:sz w:val="21"/>
          <w:szCs w:val="21"/>
          <w:lang w:val="en-US" w:eastAsia="zh-CN"/>
        </w:rPr>
        <w:t>2</w:t>
      </w:r>
      <w:r>
        <w:rPr>
          <w:rFonts w:hint="eastAsia" w:ascii="宋体" w:hAnsi="宋体" w:eastAsia="宋体" w:cs="宋体"/>
          <w:bCs/>
          <w:sz w:val="21"/>
          <w:szCs w:val="21"/>
        </w:rPr>
        <w:t>套电子版文件，分别存储于U盘中与纸质版本一并交付。招标方出于培训目的，有权复制交付的技术资料和图纸。</w:t>
      </w:r>
    </w:p>
    <w:p>
      <w:pPr>
        <w:tabs>
          <w:tab w:val="left" w:pos="900"/>
        </w:tabs>
        <w:spacing w:line="360" w:lineRule="auto"/>
        <w:rPr>
          <w:rFonts w:hint="eastAsia" w:ascii="宋体" w:hAnsi="宋体" w:eastAsia="宋体" w:cs="宋体"/>
          <w:bCs/>
          <w:color w:val="000000"/>
          <w:sz w:val="21"/>
          <w:szCs w:val="21"/>
          <w:lang w:bidi="ar-SA"/>
        </w:rPr>
      </w:pPr>
      <w:r>
        <w:rPr>
          <w:rFonts w:hint="eastAsia" w:ascii="宋体" w:hAnsi="宋体" w:eastAsia="宋体" w:cs="宋体"/>
          <w:bCs/>
          <w:color w:val="000000"/>
          <w:sz w:val="21"/>
          <w:szCs w:val="21"/>
          <w:lang w:bidi="ar-SA"/>
        </w:rPr>
        <w:t>6.技术服务及培训</w:t>
      </w:r>
    </w:p>
    <w:p>
      <w:pPr>
        <w:tabs>
          <w:tab w:val="left" w:pos="900"/>
        </w:tabs>
        <w:spacing w:line="360" w:lineRule="auto"/>
        <w:rPr>
          <w:rFonts w:hint="eastAsia" w:ascii="宋体" w:hAnsi="宋体" w:eastAsia="宋体" w:cs="宋体"/>
          <w:bCs/>
          <w:color w:val="000000"/>
          <w:sz w:val="21"/>
          <w:szCs w:val="21"/>
          <w:lang w:bidi="ar-SA"/>
        </w:rPr>
      </w:pPr>
      <w:bookmarkStart w:id="4" w:name="_Toc469982808"/>
      <w:r>
        <w:rPr>
          <w:rFonts w:hint="eastAsia" w:ascii="宋体" w:hAnsi="宋体" w:eastAsia="宋体" w:cs="宋体"/>
          <w:bCs/>
          <w:color w:val="000000"/>
          <w:sz w:val="21"/>
          <w:szCs w:val="21"/>
          <w:lang w:bidi="ar-SA"/>
        </w:rPr>
        <w:t>6.1技术服务</w:t>
      </w:r>
      <w:bookmarkEnd w:id="4"/>
    </w:p>
    <w:p>
      <w:pPr>
        <w:keepNext w:val="0"/>
        <w:keepLines w:val="0"/>
        <w:pageBreakBefore w:val="0"/>
        <w:widowControl w:val="0"/>
        <w:kinsoku/>
        <w:wordWrap/>
        <w:overflowPunct/>
        <w:topLinePunct w:val="0"/>
        <w:autoSpaceDE/>
        <w:autoSpaceDN/>
        <w:bidi w:val="0"/>
        <w:spacing w:line="360" w:lineRule="auto"/>
        <w:ind w:right="0" w:rightChars="0" w:firstLine="420" w:firstLineChars="200"/>
        <w:outlineLvl w:val="9"/>
        <w:rPr>
          <w:rFonts w:hint="eastAsia" w:ascii="宋体" w:hAnsi="宋体" w:eastAsia="宋体" w:cs="宋体"/>
          <w:sz w:val="21"/>
          <w:szCs w:val="21"/>
          <w:highlight w:val="none"/>
        </w:rPr>
      </w:pPr>
      <w:bookmarkStart w:id="5" w:name="_Toc469982809"/>
      <w:r>
        <w:rPr>
          <w:rFonts w:hint="eastAsia" w:ascii="宋体" w:hAnsi="宋体" w:eastAsia="宋体" w:cs="宋体"/>
          <w:bCs/>
          <w:sz w:val="21"/>
          <w:szCs w:val="21"/>
        </w:rPr>
        <w:t>在设备组装、调试、试运转以及整机质量保证期内，投标方应派遣必要数量的有资格、有经验、有技术、健康、能胜任工作的技术人员到招标方现场从事技术服务工作，在正确安装维修、故障排除及操作使用等方面为招标方提供技术上的帮助和支持，以保证设备能顺利投入使用。</w:t>
      </w:r>
    </w:p>
    <w:p>
      <w:pPr>
        <w:tabs>
          <w:tab w:val="left" w:pos="900"/>
        </w:tabs>
        <w:spacing w:line="360" w:lineRule="auto"/>
        <w:rPr>
          <w:rFonts w:hint="eastAsia" w:ascii="宋体" w:hAnsi="宋体" w:eastAsia="宋体" w:cs="宋体"/>
          <w:bCs/>
          <w:color w:val="000000"/>
          <w:sz w:val="21"/>
          <w:szCs w:val="21"/>
          <w:lang w:bidi="ar-SA"/>
        </w:rPr>
      </w:pPr>
      <w:r>
        <w:rPr>
          <w:rFonts w:hint="eastAsia" w:ascii="宋体" w:hAnsi="宋体" w:eastAsia="宋体" w:cs="宋体"/>
          <w:bCs/>
          <w:color w:val="000000"/>
          <w:sz w:val="21"/>
          <w:szCs w:val="21"/>
          <w:lang w:bidi="ar-SA"/>
        </w:rPr>
        <w:t>6.2技术培训</w:t>
      </w:r>
      <w:bookmarkEnd w:id="5"/>
    </w:p>
    <w:p>
      <w:pPr>
        <w:tabs>
          <w:tab w:val="left" w:pos="1000"/>
        </w:tabs>
        <w:spacing w:line="360" w:lineRule="auto"/>
        <w:ind w:firstLine="420" w:firstLineChars="200"/>
        <w:rPr>
          <w:rFonts w:hint="eastAsia" w:ascii="宋体" w:hAnsi="宋体" w:eastAsia="宋体" w:cs="宋体"/>
          <w:bCs/>
          <w:sz w:val="21"/>
          <w:szCs w:val="21"/>
        </w:rPr>
      </w:pPr>
      <w:r>
        <w:rPr>
          <w:rFonts w:hint="eastAsia" w:ascii="宋体" w:hAnsi="宋体" w:eastAsia="宋体" w:cs="宋体"/>
          <w:bCs/>
          <w:sz w:val="21"/>
          <w:szCs w:val="21"/>
        </w:rPr>
        <w:t>购货合同生效后投标方在技术服务期间要为招标方人员进行</w:t>
      </w:r>
      <w:r>
        <w:rPr>
          <w:rFonts w:hint="eastAsia" w:ascii="宋体" w:hAnsi="宋体" w:eastAsia="宋体" w:cs="宋体"/>
          <w:bCs/>
          <w:sz w:val="21"/>
          <w:szCs w:val="21"/>
          <w:lang w:val="en-US" w:eastAsia="zh-CN"/>
        </w:rPr>
        <w:t>10</w:t>
      </w:r>
      <w:r>
        <w:rPr>
          <w:rFonts w:hint="eastAsia" w:ascii="宋体" w:hAnsi="宋体" w:eastAsia="宋体" w:cs="宋体"/>
          <w:bCs/>
          <w:sz w:val="21"/>
          <w:szCs w:val="21"/>
        </w:rPr>
        <w:t>人次不少于3日在现场进行免费技术培训。购货设备到货后，投标方在技术服务期间要为招标方人员在招标方现场提供必要的技术培训。</w:t>
      </w:r>
    </w:p>
    <w:p>
      <w:pPr>
        <w:tabs>
          <w:tab w:val="left" w:pos="1000"/>
        </w:tabs>
        <w:spacing w:line="360" w:lineRule="auto"/>
        <w:rPr>
          <w:rFonts w:hint="eastAsia" w:ascii="宋体" w:hAnsi="宋体" w:eastAsia="宋体" w:cs="宋体"/>
          <w:bCs/>
          <w:sz w:val="21"/>
          <w:szCs w:val="21"/>
        </w:rPr>
      </w:pPr>
      <w:r>
        <w:rPr>
          <w:rFonts w:hint="eastAsia" w:ascii="宋体" w:hAnsi="宋体" w:eastAsia="宋体" w:cs="宋体"/>
          <w:bCs/>
          <w:sz w:val="21"/>
          <w:szCs w:val="21"/>
        </w:rPr>
        <w:t>7.安装调试及考核验收</w:t>
      </w:r>
    </w:p>
    <w:p>
      <w:pPr>
        <w:tabs>
          <w:tab w:val="left" w:pos="1000"/>
        </w:tabs>
        <w:spacing w:line="360" w:lineRule="auto"/>
        <w:rPr>
          <w:rFonts w:hint="eastAsia" w:ascii="宋体" w:hAnsi="宋体" w:eastAsia="宋体" w:cs="宋体"/>
          <w:bCs/>
          <w:sz w:val="21"/>
          <w:szCs w:val="21"/>
        </w:rPr>
      </w:pPr>
      <w:r>
        <w:rPr>
          <w:rFonts w:hint="eastAsia" w:ascii="宋体" w:hAnsi="宋体" w:eastAsia="宋体" w:cs="宋体"/>
          <w:bCs/>
          <w:sz w:val="21"/>
          <w:szCs w:val="21"/>
        </w:rPr>
        <w:t>7.1安装调试</w:t>
      </w:r>
    </w:p>
    <w:p>
      <w:pPr>
        <w:tabs>
          <w:tab w:val="left" w:pos="1000"/>
        </w:tabs>
        <w:spacing w:line="360" w:lineRule="auto"/>
        <w:rPr>
          <w:rFonts w:hint="eastAsia" w:ascii="宋体" w:hAnsi="宋体" w:eastAsia="宋体" w:cs="宋体"/>
          <w:bCs/>
          <w:sz w:val="21"/>
          <w:szCs w:val="21"/>
        </w:rPr>
      </w:pPr>
      <w:r>
        <w:rPr>
          <w:rFonts w:hint="eastAsia" w:ascii="宋体" w:hAnsi="宋体" w:eastAsia="宋体" w:cs="宋体"/>
          <w:bCs/>
          <w:sz w:val="21"/>
          <w:szCs w:val="21"/>
        </w:rPr>
        <w:t>7.1.1安装调试全部由中标方负责，包括设备的安装、调试、试运行。设备试运行期间，设备所出现的故障由投标方负责解决，招标方给予协助。</w:t>
      </w:r>
    </w:p>
    <w:p>
      <w:pPr>
        <w:tabs>
          <w:tab w:val="left" w:pos="1000"/>
        </w:tabs>
        <w:spacing w:line="360" w:lineRule="auto"/>
        <w:rPr>
          <w:rFonts w:hint="eastAsia" w:ascii="宋体" w:hAnsi="宋体" w:eastAsia="宋体" w:cs="宋体"/>
          <w:bCs/>
          <w:sz w:val="21"/>
          <w:szCs w:val="21"/>
        </w:rPr>
      </w:pPr>
      <w:r>
        <w:rPr>
          <w:rFonts w:hint="eastAsia" w:ascii="宋体" w:hAnsi="宋体" w:eastAsia="宋体" w:cs="宋体"/>
          <w:bCs/>
          <w:sz w:val="21"/>
          <w:szCs w:val="21"/>
        </w:rPr>
        <w:t>7.1.2设备调试完成后，进行试运行，试运行由招标方操作人员在投标方技术人员的密切、具体指导下进行。</w:t>
      </w:r>
    </w:p>
    <w:p>
      <w:pPr>
        <w:tabs>
          <w:tab w:val="left" w:pos="1000"/>
        </w:tabs>
        <w:spacing w:line="360" w:lineRule="auto"/>
        <w:rPr>
          <w:rFonts w:hint="eastAsia" w:ascii="宋体" w:hAnsi="宋体" w:eastAsia="宋体" w:cs="宋体"/>
          <w:bCs/>
          <w:sz w:val="21"/>
          <w:szCs w:val="21"/>
        </w:rPr>
      </w:pPr>
      <w:r>
        <w:rPr>
          <w:rFonts w:hint="eastAsia" w:ascii="宋体" w:hAnsi="宋体" w:eastAsia="宋体" w:cs="宋体"/>
          <w:bCs/>
          <w:sz w:val="21"/>
          <w:szCs w:val="21"/>
        </w:rPr>
        <w:t>7.2设备考核</w:t>
      </w:r>
    </w:p>
    <w:p>
      <w:pPr>
        <w:tabs>
          <w:tab w:val="left" w:pos="1000"/>
        </w:tabs>
        <w:spacing w:line="360" w:lineRule="auto"/>
        <w:rPr>
          <w:rFonts w:hint="eastAsia" w:ascii="宋体" w:hAnsi="宋体" w:eastAsia="宋体" w:cs="宋体"/>
          <w:bCs/>
          <w:sz w:val="21"/>
          <w:szCs w:val="21"/>
        </w:rPr>
      </w:pPr>
      <w:r>
        <w:rPr>
          <w:rFonts w:hint="eastAsia" w:ascii="宋体" w:hAnsi="宋体" w:eastAsia="宋体" w:cs="宋体"/>
          <w:bCs/>
          <w:sz w:val="21"/>
          <w:szCs w:val="21"/>
        </w:rPr>
        <w:t>7.2.1设备考核期为</w:t>
      </w:r>
      <w:r>
        <w:rPr>
          <w:rFonts w:hint="eastAsia" w:ascii="宋体" w:hAnsi="宋体" w:eastAsia="宋体" w:cs="宋体"/>
          <w:bCs/>
          <w:sz w:val="21"/>
          <w:szCs w:val="21"/>
          <w:lang w:val="en-US" w:eastAsia="zh-CN"/>
        </w:rPr>
        <w:t>1</w:t>
      </w:r>
      <w:r>
        <w:rPr>
          <w:rFonts w:hint="eastAsia" w:ascii="宋体" w:hAnsi="宋体" w:eastAsia="宋体" w:cs="宋体"/>
          <w:bCs/>
          <w:sz w:val="21"/>
          <w:szCs w:val="21"/>
        </w:rPr>
        <w:t>个月，设备的故障次数不高于</w:t>
      </w:r>
      <w:r>
        <w:rPr>
          <w:rFonts w:hint="eastAsia" w:ascii="宋体" w:hAnsi="宋体" w:eastAsia="宋体" w:cs="宋体"/>
          <w:bCs/>
          <w:sz w:val="21"/>
          <w:szCs w:val="21"/>
          <w:lang w:val="en-US" w:eastAsia="zh-CN"/>
        </w:rPr>
        <w:t>2</w:t>
      </w:r>
      <w:r>
        <w:rPr>
          <w:rFonts w:hint="eastAsia" w:ascii="宋体" w:hAnsi="宋体" w:eastAsia="宋体" w:cs="宋体"/>
          <w:bCs/>
          <w:sz w:val="21"/>
          <w:szCs w:val="21"/>
        </w:rPr>
        <w:t xml:space="preserve">次，故障累计时间不高于 </w:t>
      </w:r>
      <w:r>
        <w:rPr>
          <w:rFonts w:hint="eastAsia" w:ascii="宋体" w:hAnsi="宋体" w:eastAsia="宋体" w:cs="宋体"/>
          <w:bCs/>
          <w:sz w:val="21"/>
          <w:szCs w:val="21"/>
          <w:lang w:val="en-US" w:eastAsia="zh-CN"/>
        </w:rPr>
        <w:t>4</w:t>
      </w:r>
      <w:r>
        <w:rPr>
          <w:rFonts w:hint="eastAsia" w:ascii="宋体" w:hAnsi="宋体" w:eastAsia="宋体" w:cs="宋体"/>
          <w:bCs/>
          <w:sz w:val="21"/>
          <w:szCs w:val="21"/>
        </w:rPr>
        <w:t>小时。</w:t>
      </w:r>
    </w:p>
    <w:p>
      <w:pPr>
        <w:tabs>
          <w:tab w:val="left" w:pos="1000"/>
        </w:tabs>
        <w:spacing w:line="360" w:lineRule="auto"/>
        <w:rPr>
          <w:rFonts w:hint="eastAsia" w:ascii="宋体" w:hAnsi="宋体" w:eastAsia="宋体" w:cs="宋体"/>
          <w:bCs/>
          <w:sz w:val="21"/>
          <w:szCs w:val="21"/>
        </w:rPr>
      </w:pPr>
      <w:r>
        <w:rPr>
          <w:rFonts w:hint="eastAsia" w:ascii="宋体" w:hAnsi="宋体" w:eastAsia="宋体" w:cs="宋体"/>
          <w:bCs/>
          <w:sz w:val="21"/>
          <w:szCs w:val="21"/>
        </w:rPr>
        <w:t>7.2.2设备在首次考核未能通过，再经过更换部件或其他方法处理后，在</w:t>
      </w:r>
      <w:r>
        <w:rPr>
          <w:rFonts w:hint="eastAsia" w:ascii="宋体" w:hAnsi="宋体" w:eastAsia="宋体" w:cs="宋体"/>
          <w:bCs/>
          <w:sz w:val="21"/>
          <w:szCs w:val="21"/>
          <w:lang w:val="en-US" w:eastAsia="zh-CN"/>
        </w:rPr>
        <w:t>1</w:t>
      </w:r>
      <w:r>
        <w:rPr>
          <w:rFonts w:hint="eastAsia" w:ascii="宋体" w:hAnsi="宋体" w:eastAsia="宋体" w:cs="宋体"/>
          <w:bCs/>
          <w:sz w:val="21"/>
          <w:szCs w:val="21"/>
        </w:rPr>
        <w:t>个月内仍未达到考核要求，不能通过考核，则视该设备为不合格产品。</w:t>
      </w:r>
      <w:r>
        <w:rPr>
          <w:rFonts w:hint="eastAsia" w:ascii="宋体" w:hAnsi="宋体" w:eastAsia="宋体" w:cs="宋体"/>
          <w:bCs/>
          <w:sz w:val="21"/>
          <w:szCs w:val="21"/>
          <w:lang w:val="en-US" w:eastAsia="zh-CN"/>
        </w:rPr>
        <w:t>1</w:t>
      </w:r>
      <w:r>
        <w:rPr>
          <w:rFonts w:hint="eastAsia" w:ascii="宋体" w:hAnsi="宋体" w:eastAsia="宋体" w:cs="宋体"/>
          <w:bCs/>
          <w:sz w:val="21"/>
          <w:szCs w:val="21"/>
        </w:rPr>
        <w:t>个月的期限是从首次考核试运行开始的第一天计算。设备不符合招标文件规定的要求及相关标准和规范的设备同样被视为不合格设备。</w:t>
      </w:r>
    </w:p>
    <w:p>
      <w:pPr>
        <w:tabs>
          <w:tab w:val="left" w:pos="1000"/>
        </w:tabs>
        <w:spacing w:line="360" w:lineRule="auto"/>
        <w:rPr>
          <w:rFonts w:hint="eastAsia" w:ascii="宋体" w:hAnsi="宋体" w:eastAsia="宋体" w:cs="宋体"/>
          <w:bCs/>
          <w:sz w:val="21"/>
          <w:szCs w:val="21"/>
        </w:rPr>
      </w:pPr>
      <w:r>
        <w:rPr>
          <w:rFonts w:hint="eastAsia" w:ascii="宋体" w:hAnsi="宋体" w:eastAsia="宋体" w:cs="宋体"/>
          <w:bCs/>
          <w:sz w:val="21"/>
          <w:szCs w:val="21"/>
        </w:rPr>
        <w:t>7.2.3如考核属于不合格设备，不能进行设备验收，投标方无偿更换设备。在双方同意的期限内将新设备运抵招标方现场，由此产生的一切费用由投标方承担。在新设备安装之前，原设备继续由招标方使用。</w:t>
      </w:r>
    </w:p>
    <w:p>
      <w:pPr>
        <w:tabs>
          <w:tab w:val="left" w:pos="1000"/>
        </w:tabs>
        <w:spacing w:line="360" w:lineRule="auto"/>
        <w:rPr>
          <w:rFonts w:hint="eastAsia" w:ascii="宋体" w:hAnsi="宋体" w:eastAsia="宋体" w:cs="宋体"/>
          <w:bCs/>
          <w:sz w:val="21"/>
          <w:szCs w:val="21"/>
        </w:rPr>
      </w:pPr>
      <w:r>
        <w:rPr>
          <w:rFonts w:hint="eastAsia" w:ascii="宋体" w:hAnsi="宋体" w:eastAsia="宋体" w:cs="宋体"/>
          <w:bCs/>
          <w:sz w:val="21"/>
          <w:szCs w:val="21"/>
        </w:rPr>
        <w:t>7.3设备验收</w:t>
      </w:r>
    </w:p>
    <w:p>
      <w:pPr>
        <w:keepNext w:val="0"/>
        <w:keepLines w:val="0"/>
        <w:pageBreakBefore w:val="0"/>
        <w:widowControl w:val="0"/>
        <w:tabs>
          <w:tab w:val="left" w:pos="1000"/>
        </w:tabs>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ascii="宋体" w:hAnsi="宋体" w:eastAsia="宋体" w:cs="宋体"/>
          <w:bCs/>
          <w:color w:val="000000"/>
          <w:sz w:val="21"/>
          <w:szCs w:val="21"/>
          <w:lang w:bidi="ar-SA"/>
        </w:rPr>
      </w:pPr>
      <w:r>
        <w:rPr>
          <w:rFonts w:hint="eastAsia" w:ascii="宋体" w:hAnsi="宋体" w:eastAsia="宋体" w:cs="宋体"/>
          <w:bCs/>
          <w:sz w:val="21"/>
          <w:szCs w:val="21"/>
        </w:rPr>
        <w:t>考核完成后，双方对设备进行验收。验收标准为本规范书所规定的要求和相关标准、规范。</w:t>
      </w:r>
    </w:p>
    <w:p>
      <w:pPr>
        <w:tabs>
          <w:tab w:val="left" w:pos="900"/>
        </w:tabs>
        <w:spacing w:line="360" w:lineRule="auto"/>
        <w:rPr>
          <w:rFonts w:hint="eastAsia" w:ascii="宋体" w:hAnsi="宋体" w:eastAsia="宋体" w:cs="宋体"/>
          <w:bCs/>
          <w:color w:val="000000"/>
          <w:sz w:val="21"/>
          <w:szCs w:val="21"/>
          <w:lang w:bidi="ar-SA"/>
        </w:rPr>
      </w:pPr>
      <w:r>
        <w:rPr>
          <w:rFonts w:hint="eastAsia" w:ascii="宋体" w:hAnsi="宋体" w:eastAsia="宋体" w:cs="宋体"/>
          <w:bCs/>
          <w:color w:val="000000"/>
          <w:sz w:val="21"/>
          <w:szCs w:val="21"/>
          <w:lang w:bidi="ar-SA"/>
        </w:rPr>
        <w:t>8.质量保证</w:t>
      </w:r>
    </w:p>
    <w:p>
      <w:pPr>
        <w:tabs>
          <w:tab w:val="left" w:pos="1000"/>
        </w:tabs>
        <w:spacing w:line="360" w:lineRule="auto"/>
        <w:ind w:firstLine="420" w:firstLineChars="200"/>
        <w:rPr>
          <w:rFonts w:hint="eastAsia" w:ascii="宋体" w:hAnsi="宋体" w:eastAsia="宋体" w:cs="宋体"/>
          <w:bCs/>
          <w:sz w:val="21"/>
          <w:szCs w:val="21"/>
        </w:rPr>
      </w:pPr>
      <w:r>
        <w:rPr>
          <w:rFonts w:hint="eastAsia" w:ascii="宋体" w:hAnsi="宋体" w:eastAsia="宋体" w:cs="宋体"/>
          <w:bCs/>
          <w:sz w:val="21"/>
          <w:szCs w:val="21"/>
        </w:rPr>
        <w:t>投标方在投标书中应说明整机的质量保证期限至少为12个月。</w:t>
      </w:r>
      <w:r>
        <w:rPr>
          <w:rFonts w:hint="eastAsia" w:ascii="宋体" w:hAnsi="宋体" w:eastAsia="宋体" w:cs="宋体"/>
          <w:bCs/>
          <w:sz w:val="21"/>
          <w:szCs w:val="21"/>
          <w:lang w:val="en-US" w:eastAsia="zh-CN"/>
        </w:rPr>
        <w:t>从签订设备验收报告之日起，进入质保期。</w:t>
      </w:r>
      <w:r>
        <w:rPr>
          <w:rFonts w:hint="eastAsia" w:ascii="宋体" w:hAnsi="宋体" w:eastAsia="宋体" w:cs="宋体"/>
          <w:bCs/>
          <w:sz w:val="21"/>
          <w:szCs w:val="21"/>
        </w:rPr>
        <w:t>在质量保证期内，因产品设计或制造质量原因造成的问题，由投标方负责免费维修或更换。</w:t>
      </w:r>
    </w:p>
    <w:p>
      <w:pPr>
        <w:tabs>
          <w:tab w:val="left" w:pos="900"/>
        </w:tabs>
        <w:spacing w:line="360" w:lineRule="auto"/>
        <w:rPr>
          <w:rFonts w:hint="eastAsia" w:ascii="宋体" w:hAnsi="宋体" w:eastAsia="宋体" w:cs="宋体"/>
          <w:bCs/>
          <w:color w:val="000000"/>
          <w:sz w:val="21"/>
          <w:szCs w:val="21"/>
          <w:lang w:bidi="ar-SA"/>
        </w:rPr>
      </w:pPr>
      <w:r>
        <w:rPr>
          <w:rFonts w:hint="eastAsia" w:ascii="宋体" w:hAnsi="宋体" w:eastAsia="宋体" w:cs="宋体"/>
          <w:bCs/>
          <w:color w:val="000000"/>
          <w:sz w:val="21"/>
          <w:szCs w:val="21"/>
          <w:lang w:bidi="ar-SA"/>
        </w:rPr>
        <w:t>9.售后支持</w:t>
      </w:r>
    </w:p>
    <w:p>
      <w:pPr>
        <w:tabs>
          <w:tab w:val="left" w:pos="900"/>
        </w:tabs>
        <w:spacing w:line="360" w:lineRule="auto"/>
        <w:rPr>
          <w:rFonts w:hint="eastAsia" w:ascii="宋体" w:hAnsi="宋体" w:eastAsia="宋体" w:cs="宋体"/>
          <w:bCs/>
          <w:color w:val="000000"/>
          <w:sz w:val="21"/>
          <w:szCs w:val="21"/>
          <w:lang w:bidi="ar-SA"/>
        </w:rPr>
      </w:pPr>
      <w:r>
        <w:rPr>
          <w:rFonts w:hint="eastAsia" w:ascii="宋体" w:hAnsi="宋体" w:eastAsia="宋体" w:cs="宋体"/>
          <w:bCs/>
          <w:color w:val="000000"/>
          <w:sz w:val="21"/>
          <w:szCs w:val="21"/>
          <w:lang w:bidi="ar-SA"/>
        </w:rPr>
        <w:t>9.1在质保期内，如果出现故障，投标方在接到招标方书面通知后48小时内，指派技术服务人员到招标方使用现场，进行维修。</w:t>
      </w:r>
    </w:p>
    <w:p>
      <w:pPr>
        <w:tabs>
          <w:tab w:val="left" w:pos="900"/>
        </w:tabs>
        <w:spacing w:line="360" w:lineRule="auto"/>
        <w:rPr>
          <w:rFonts w:hint="eastAsia" w:ascii="宋体" w:hAnsi="宋体" w:eastAsia="宋体" w:cs="宋体"/>
          <w:bCs/>
          <w:color w:val="000000"/>
          <w:sz w:val="21"/>
          <w:szCs w:val="21"/>
          <w:lang w:bidi="ar-SA"/>
        </w:rPr>
      </w:pPr>
      <w:r>
        <w:rPr>
          <w:rFonts w:hint="eastAsia" w:ascii="宋体" w:hAnsi="宋体" w:eastAsia="宋体" w:cs="宋体"/>
          <w:bCs/>
          <w:color w:val="000000"/>
          <w:sz w:val="21"/>
          <w:szCs w:val="21"/>
          <w:lang w:bidi="ar-SA"/>
        </w:rPr>
        <w:t>9.2在整机质保期内，投标方指派技术服务人员到招标方使用单位进行回访和协助设备维护保养，费用由投标方承担。</w:t>
      </w:r>
    </w:p>
    <w:p>
      <w:pPr>
        <w:tabs>
          <w:tab w:val="left" w:pos="900"/>
        </w:tabs>
        <w:spacing w:line="360" w:lineRule="auto"/>
        <w:rPr>
          <w:rFonts w:hint="eastAsia" w:ascii="宋体" w:hAnsi="宋体" w:eastAsia="宋体" w:cs="宋体"/>
          <w:bCs/>
          <w:color w:val="000000"/>
          <w:sz w:val="21"/>
          <w:szCs w:val="21"/>
          <w:lang w:bidi="ar-SA"/>
        </w:rPr>
      </w:pPr>
      <w:r>
        <w:rPr>
          <w:rFonts w:hint="eastAsia" w:ascii="宋体" w:hAnsi="宋体" w:eastAsia="宋体" w:cs="宋体"/>
          <w:bCs/>
          <w:color w:val="000000"/>
          <w:sz w:val="21"/>
          <w:szCs w:val="21"/>
          <w:lang w:bidi="ar-SA"/>
        </w:rPr>
        <w:t>9.3投标方帮助和指导招标方解决使用中遇到的问题，对突发性故障和重大维修项目，将速派精干的服务工程师赴现场协助指导处理。</w:t>
      </w:r>
    </w:p>
    <w:p>
      <w:pPr>
        <w:tabs>
          <w:tab w:val="left" w:pos="900"/>
        </w:tabs>
        <w:spacing w:line="360" w:lineRule="auto"/>
        <w:rPr>
          <w:rFonts w:hint="eastAsia" w:ascii="宋体" w:hAnsi="宋体" w:eastAsia="宋体" w:cs="宋体"/>
          <w:bCs/>
          <w:color w:val="000000"/>
          <w:sz w:val="21"/>
          <w:szCs w:val="21"/>
          <w:lang w:bidi="ar-SA"/>
        </w:rPr>
      </w:pPr>
      <w:r>
        <w:rPr>
          <w:rFonts w:hint="eastAsia" w:ascii="宋体" w:hAnsi="宋体" w:eastAsia="宋体" w:cs="宋体"/>
          <w:bCs/>
          <w:color w:val="000000"/>
          <w:sz w:val="21"/>
          <w:szCs w:val="21"/>
          <w:lang w:bidi="ar-SA"/>
        </w:rPr>
        <w:t>9.4投标方根据招标方需要，保证长期提供优质、低价配件。</w:t>
      </w:r>
    </w:p>
    <w:p>
      <w:pPr>
        <w:tabs>
          <w:tab w:val="left" w:pos="900"/>
        </w:tabs>
        <w:spacing w:line="360" w:lineRule="auto"/>
        <w:rPr>
          <w:rFonts w:hint="eastAsia" w:ascii="宋体" w:hAnsi="宋体" w:eastAsia="宋体" w:cs="宋体"/>
          <w:bCs/>
          <w:color w:val="000000"/>
          <w:sz w:val="21"/>
          <w:szCs w:val="21"/>
          <w:lang w:bidi="ar-SA"/>
        </w:rPr>
      </w:pPr>
      <w:r>
        <w:rPr>
          <w:rFonts w:hint="eastAsia" w:ascii="宋体" w:hAnsi="宋体" w:eastAsia="宋体" w:cs="宋体"/>
          <w:bCs/>
          <w:color w:val="000000"/>
          <w:sz w:val="21"/>
          <w:szCs w:val="21"/>
          <w:lang w:bidi="ar-SA"/>
        </w:rPr>
        <w:t>9.5投标方根据招标方需要，保证长期提供配件图册、保养维修手册等技术资料。</w:t>
      </w:r>
    </w:p>
    <w:p>
      <w:pPr>
        <w:tabs>
          <w:tab w:val="left" w:pos="900"/>
        </w:tabs>
        <w:spacing w:line="360" w:lineRule="auto"/>
        <w:rPr>
          <w:rFonts w:hint="eastAsia" w:ascii="宋体" w:hAnsi="宋体" w:eastAsia="宋体" w:cs="宋体"/>
          <w:bCs/>
          <w:color w:val="000000"/>
          <w:sz w:val="21"/>
          <w:szCs w:val="21"/>
          <w:lang w:bidi="ar-SA"/>
        </w:rPr>
      </w:pPr>
      <w:r>
        <w:rPr>
          <w:rFonts w:hint="eastAsia" w:ascii="宋体" w:hAnsi="宋体" w:eastAsia="宋体" w:cs="宋体"/>
          <w:bCs/>
          <w:color w:val="000000"/>
          <w:sz w:val="21"/>
          <w:szCs w:val="21"/>
          <w:lang w:bidi="ar-SA"/>
        </w:rPr>
        <w:t>9.6投标方产品在技术改进后，应根据招标方需要，保证招标方设备的使用、维修及配件供应能够适应技术改进情况。</w:t>
      </w:r>
    </w:p>
    <w:p>
      <w:pPr>
        <w:tabs>
          <w:tab w:val="left" w:pos="900"/>
        </w:tabs>
        <w:spacing w:line="360" w:lineRule="auto"/>
        <w:rPr>
          <w:rFonts w:hint="eastAsia" w:ascii="宋体" w:hAnsi="宋体" w:eastAsia="宋体" w:cs="宋体"/>
          <w:bCs/>
          <w:color w:val="000000"/>
          <w:sz w:val="21"/>
          <w:szCs w:val="21"/>
          <w:lang w:bidi="ar-SA"/>
        </w:rPr>
      </w:pPr>
      <w:r>
        <w:rPr>
          <w:rFonts w:hint="eastAsia" w:ascii="宋体" w:hAnsi="宋体" w:eastAsia="宋体" w:cs="宋体"/>
          <w:bCs/>
          <w:color w:val="000000"/>
          <w:sz w:val="21"/>
          <w:szCs w:val="21"/>
          <w:lang w:bidi="ar-SA"/>
        </w:rPr>
        <w:t>9.7 投标方应在投标书中说明质保期满后如何在技术上继续给招标方提供支持。如是否可定期派人到招标方现场对设备作全面检查，根据检查结果向招标方提出维修建议。当设备出现严重故障时，能保证48小时内到达招标方现场。</w:t>
      </w:r>
    </w:p>
    <w:p>
      <w:pPr>
        <w:tabs>
          <w:tab w:val="left" w:pos="1460"/>
        </w:tabs>
        <w:spacing w:line="360" w:lineRule="auto"/>
        <w:rPr>
          <w:rFonts w:hint="eastAsia"/>
          <w:sz w:val="21"/>
          <w:szCs w:val="21"/>
        </w:rPr>
      </w:pPr>
      <w:r>
        <w:rPr>
          <w:rFonts w:hint="eastAsia" w:ascii="宋体" w:hAnsi="宋体" w:eastAsia="宋体" w:cs="宋体"/>
          <w:bCs/>
          <w:color w:val="000000"/>
          <w:sz w:val="21"/>
          <w:szCs w:val="21"/>
          <w:lang w:bidi="ar-SA"/>
        </w:rPr>
        <w:t>9.8 投标方应在投标书中说明设备投入运行后，招标方向投标方正常订购配件时，投标方能给招标方多大幅度的优惠。说明如果招标方遇到配件急需时，投标方如何以最快的速度给予支持</w:t>
      </w:r>
      <w:r>
        <w:rPr>
          <w:rFonts w:hint="eastAsia"/>
          <w:sz w:val="21"/>
          <w:szCs w:val="21"/>
        </w:rPr>
        <w:t>。</w:t>
      </w:r>
      <w:bookmarkEnd w:id="1"/>
      <w:bookmarkEnd w:id="2"/>
      <w:bookmarkEnd w:id="3"/>
    </w:p>
    <w:p>
      <w:bookmarkStart w:id="6" w:name="_GoBack"/>
      <w:bookmarkEnd w:id="6"/>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0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新宋体">
    <w:panose1 w:val="02010609030101010101"/>
    <w:charset w:val="86"/>
    <w:family w:val="auto"/>
    <w:pitch w:val="default"/>
    <w:sig w:usb0="00000003" w:usb1="288F0000" w:usb2="0000000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17AD4FD"/>
    <w:multiLevelType w:val="singleLevel"/>
    <w:tmpl w:val="F17AD4FD"/>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5DB3547"/>
    <w:rsid w:val="75DB35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1"/>
    <w:pPr>
      <w:keepNext/>
      <w:keepLines/>
      <w:widowControl w:val="0"/>
      <w:spacing w:before="260" w:after="260" w:line="412" w:lineRule="auto"/>
      <w:outlineLvl w:val="1"/>
    </w:pPr>
    <w:rPr>
      <w:rFonts w:ascii="Arial" w:hAnsi="Arial" w:eastAsia="黑体"/>
      <w:b/>
      <w:bCs/>
      <w:sz w:val="32"/>
      <w:szCs w:val="32"/>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Office_10.8.2.6784_F1E327BC-269C-435d-A152-05C5408002CA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2019-08-02T01:51:00Z</dcterms:created>
  <dc:creator>Administrator</dc:creator>
  <cp:lastModifiedBy>Administrator</cp:lastModifiedBy>
  <dcterms:modified xsi:type="dcterms:W3CDTF">2019-08-02T01:51:52Z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2052-10.8.2.6784</vt:lpwstr>
  </property>
</Properties>
</file>