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仿宋" w:hAnsi="仿宋" w:eastAsia="仿宋" w:cs="仿宋"/>
          <w:sz w:val="24"/>
          <w:szCs w:val="24"/>
          <w:highlight w:val="none"/>
          <w:lang w:val="en-US" w:eastAsia="zh-CN"/>
        </w:rPr>
      </w:pPr>
      <w:bookmarkStart w:id="0" w:name="_Toc7333"/>
      <w:r>
        <w:rPr>
          <w:rFonts w:hint="eastAsia" w:ascii="仿宋" w:hAnsi="仿宋" w:eastAsia="仿宋" w:cs="仿宋"/>
          <w:sz w:val="24"/>
          <w:szCs w:val="24"/>
          <w:highlight w:val="none"/>
          <w:lang w:val="en-US" w:eastAsia="zh-CN"/>
        </w:rPr>
        <w:t>配电所综合自动化系统技术要求</w:t>
      </w:r>
      <w:bookmarkEnd w:id="0"/>
    </w:p>
    <w:p>
      <w:pPr>
        <w:adjustRightInd w:val="0"/>
        <w:spacing w:line="360" w:lineRule="auto"/>
        <w:rPr>
          <w:rFonts w:hint="eastAsia" w:ascii="宋体" w:cs="新宋体"/>
          <w:b/>
          <w:bCs w:val="0"/>
          <w:color w:val="auto"/>
          <w:sz w:val="21"/>
          <w:szCs w:val="21"/>
          <w:lang w:bidi="ar-SA"/>
        </w:rPr>
      </w:pPr>
      <w:r>
        <w:rPr>
          <w:rFonts w:hint="eastAsia" w:ascii="宋体" w:cs="新宋体"/>
          <w:b/>
          <w:bCs w:val="0"/>
          <w:color w:val="auto"/>
          <w:sz w:val="21"/>
          <w:szCs w:val="21"/>
          <w:lang w:bidi="ar-SA"/>
        </w:rPr>
        <w:t>1.货物需求</w:t>
      </w:r>
    </w:p>
    <w:p>
      <w:pPr>
        <w:tabs>
          <w:tab w:val="left" w:pos="360"/>
          <w:tab w:val="left" w:pos="1080"/>
        </w:tabs>
        <w:autoSpaceDE w:val="0"/>
        <w:autoSpaceDN w:val="0"/>
        <w:adjustRightInd w:val="0"/>
        <w:spacing w:line="400" w:lineRule="exact"/>
        <w:jc w:val="both"/>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1.1</w:t>
      </w:r>
      <w:r>
        <w:rPr>
          <w:rFonts w:hint="eastAsia" w:ascii="宋体" w:hAnsi="宋体" w:eastAsia="宋体" w:cs="宋体"/>
          <w:b w:val="0"/>
          <w:bCs w:val="0"/>
          <w:color w:val="auto"/>
          <w:sz w:val="21"/>
          <w:szCs w:val="21"/>
        </w:rPr>
        <w:t xml:space="preserve"> 货物需求一览表</w:t>
      </w:r>
    </w:p>
    <w:tbl>
      <w:tblPr>
        <w:tblStyle w:val="7"/>
        <w:tblW w:w="89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38"/>
        <w:gridCol w:w="4400"/>
        <w:gridCol w:w="525"/>
        <w:gridCol w:w="688"/>
        <w:gridCol w:w="2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6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44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货物名称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单位</w:t>
            </w:r>
          </w:p>
        </w:tc>
        <w:tc>
          <w:tcPr>
            <w:tcW w:w="6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数量</w:t>
            </w:r>
          </w:p>
        </w:tc>
        <w:tc>
          <w:tcPr>
            <w:tcW w:w="26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交货时间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6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44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凉城配电所、清水河配电所、薛家湾配电所综合自动化系统</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6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26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自</w:t>
            </w:r>
            <w:r>
              <w:rPr>
                <w:rStyle w:val="8"/>
                <w:color w:val="auto"/>
                <w:sz w:val="21"/>
                <w:szCs w:val="21"/>
                <w:lang w:val="en-US" w:eastAsia="zh-CN" w:bidi="ar"/>
              </w:rPr>
              <w:t>签订合同之日起2个月内</w:t>
            </w:r>
          </w:p>
        </w:tc>
      </w:tr>
    </w:tbl>
    <w:p>
      <w:pPr>
        <w:keepNext w:val="0"/>
        <w:keepLines w:val="0"/>
        <w:pageBreakBefore w:val="0"/>
        <w:widowControl w:val="0"/>
        <w:kinsoku/>
        <w:wordWrap/>
        <w:overflowPunct/>
        <w:topLinePunct w:val="0"/>
        <w:bidi w:val="0"/>
        <w:snapToGrid/>
        <w:spacing w:line="360" w:lineRule="auto"/>
        <w:jc w:val="both"/>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1.2交货地点</w:t>
      </w: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lang w:eastAsia="zh-CN"/>
        </w:rPr>
        <w:t>内蒙古鄂尔多斯市准格尔旗</w:t>
      </w:r>
      <w:r>
        <w:rPr>
          <w:rFonts w:hint="eastAsia" w:ascii="宋体" w:hAnsi="宋体" w:eastAsia="宋体" w:cs="宋体"/>
          <w:bCs/>
          <w:color w:val="auto"/>
          <w:sz w:val="21"/>
          <w:szCs w:val="21"/>
          <w:highlight w:val="none"/>
        </w:rPr>
        <w:t>薛家湾</w:t>
      </w:r>
      <w:r>
        <w:rPr>
          <w:rFonts w:hint="eastAsia" w:ascii="宋体" w:hAnsi="宋体" w:cs="宋体"/>
          <w:bCs/>
          <w:color w:val="auto"/>
          <w:sz w:val="21"/>
          <w:szCs w:val="21"/>
          <w:highlight w:val="none"/>
          <w:lang w:eastAsia="zh-CN"/>
        </w:rPr>
        <w:t>镇大准铁路</w:t>
      </w:r>
      <w:r>
        <w:rPr>
          <w:rFonts w:hint="eastAsia" w:ascii="宋体" w:hAnsi="宋体" w:eastAsia="宋体" w:cs="宋体"/>
          <w:i w:val="0"/>
          <w:color w:val="auto"/>
          <w:kern w:val="0"/>
          <w:sz w:val="21"/>
          <w:szCs w:val="21"/>
          <w:u w:val="none"/>
          <w:lang w:val="en-US" w:eastAsia="zh-CN" w:bidi="ar"/>
        </w:rPr>
        <w:t>凉城配电所、清水河配电所、薛家湾配电所</w:t>
      </w:r>
      <w:r>
        <w:rPr>
          <w:rFonts w:hint="eastAsia" w:ascii="宋体" w:hAnsi="宋体" w:eastAsia="宋体" w:cs="宋体"/>
          <w:bCs/>
          <w:color w:val="auto"/>
          <w:sz w:val="21"/>
          <w:szCs w:val="21"/>
          <w:highlight w:val="none"/>
        </w:rPr>
        <w:t>。</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ascii="宋体" w:cs="宋体"/>
          <w:b/>
          <w:bCs/>
          <w:color w:val="auto"/>
          <w:sz w:val="21"/>
          <w:szCs w:val="21"/>
        </w:rPr>
      </w:pPr>
      <w:r>
        <w:rPr>
          <w:rFonts w:hint="eastAsia" w:ascii="宋体" w:hAnsi="宋体" w:eastAsia="宋体" w:cs="宋体"/>
          <w:b/>
          <w:bCs/>
          <w:color w:val="auto"/>
          <w:sz w:val="21"/>
          <w:szCs w:val="21"/>
          <w:lang w:val="en-US" w:eastAsia="zh-CN"/>
        </w:rPr>
        <w:t>2.</w:t>
      </w:r>
      <w:bookmarkStart w:id="1" w:name="_Toc470074028"/>
      <w:r>
        <w:rPr>
          <w:rFonts w:hint="eastAsia" w:ascii="宋体" w:cs="宋体"/>
          <w:b/>
          <w:bCs/>
          <w:color w:val="auto"/>
          <w:sz w:val="21"/>
          <w:szCs w:val="21"/>
        </w:rPr>
        <w:t>设备规格及使用条件</w:t>
      </w:r>
      <w:bookmarkEnd w:id="1"/>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ascii="宋体" w:cs="宋体"/>
          <w:bCs/>
          <w:color w:val="auto"/>
          <w:sz w:val="21"/>
          <w:szCs w:val="21"/>
        </w:rPr>
      </w:pPr>
      <w:r>
        <w:rPr>
          <w:rFonts w:hint="eastAsia" w:ascii="宋体" w:cs="宋体"/>
          <w:bCs/>
          <w:color w:val="auto"/>
          <w:sz w:val="21"/>
          <w:szCs w:val="21"/>
        </w:rPr>
        <w:t>2.1设备名称</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eastAsia="宋体" w:cs="宋体"/>
          <w:color w:val="auto"/>
          <w:sz w:val="21"/>
          <w:szCs w:val="21"/>
          <w:lang w:eastAsia="zh-CN"/>
        </w:rPr>
      </w:pPr>
      <w:r>
        <w:rPr>
          <w:rFonts w:hint="eastAsia" w:ascii="宋体" w:cs="宋体"/>
          <w:color w:val="auto"/>
          <w:sz w:val="21"/>
          <w:szCs w:val="21"/>
        </w:rPr>
        <w:t>2.1.1设备名称：</w:t>
      </w:r>
      <w:r>
        <w:rPr>
          <w:rFonts w:hint="eastAsia" w:ascii="宋体" w:hAnsi="宋体" w:eastAsia="宋体" w:cs="宋体"/>
          <w:i w:val="0"/>
          <w:color w:val="auto"/>
          <w:kern w:val="0"/>
          <w:sz w:val="21"/>
          <w:szCs w:val="21"/>
          <w:u w:val="none"/>
          <w:lang w:val="en-US" w:eastAsia="zh-CN" w:bidi="ar"/>
        </w:rPr>
        <w:t>综合自动化系统</w:t>
      </w:r>
      <w:r>
        <w:rPr>
          <w:rFonts w:hint="eastAsia" w:ascii="宋体" w:hAnsi="宋体" w:cs="宋体"/>
          <w:i w:val="0"/>
          <w:color w:val="auto"/>
          <w:kern w:val="0"/>
          <w:sz w:val="21"/>
          <w:szCs w:val="21"/>
          <w:u w:val="none"/>
          <w:lang w:val="en-US" w:eastAsia="zh-CN" w:bidi="ar"/>
        </w:rPr>
        <w:t>。</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eastAsia="宋体" w:cs="宋体"/>
          <w:color w:val="auto"/>
          <w:sz w:val="21"/>
          <w:szCs w:val="21"/>
          <w:lang w:eastAsia="zh-CN"/>
        </w:rPr>
      </w:pPr>
      <w:r>
        <w:rPr>
          <w:rFonts w:hint="eastAsia" w:ascii="宋体" w:cs="宋体"/>
          <w:color w:val="auto"/>
          <w:sz w:val="21"/>
          <w:szCs w:val="21"/>
        </w:rPr>
        <w:t>2.1.2生产厂家及型号：</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Times New Roman" w:cs="宋体"/>
          <w:color w:val="auto"/>
          <w:sz w:val="21"/>
          <w:szCs w:val="21"/>
        </w:rPr>
      </w:pPr>
      <w:r>
        <w:rPr>
          <w:rFonts w:hint="eastAsia" w:ascii="宋体" w:cs="宋体"/>
          <w:bCs/>
          <w:color w:val="auto"/>
          <w:sz w:val="21"/>
          <w:szCs w:val="21"/>
        </w:rPr>
        <w:t>2.2</w:t>
      </w:r>
      <w:r>
        <w:rPr>
          <w:rFonts w:hint="eastAsia" w:ascii="宋体" w:hAnsi="Times New Roman" w:cs="宋体"/>
          <w:color w:val="auto"/>
          <w:sz w:val="21"/>
          <w:szCs w:val="21"/>
        </w:rPr>
        <w:t>设备用途</w:t>
      </w:r>
    </w:p>
    <w:p>
      <w:pPr>
        <w:keepNext w:val="0"/>
        <w:keepLines w:val="0"/>
        <w:pageBreakBefore w:val="0"/>
        <w:kinsoku/>
        <w:wordWrap/>
        <w:overflowPunct/>
        <w:topLinePunct w:val="0"/>
        <w:autoSpaceDE/>
        <w:autoSpaceDN/>
        <w:bidi w:val="0"/>
        <w:snapToGrid/>
        <w:spacing w:line="400" w:lineRule="exact"/>
        <w:ind w:left="0" w:leftChars="0" w:right="0" w:rightChars="0" w:firstLine="420" w:firstLineChars="200"/>
        <w:textAlignment w:val="auto"/>
        <w:rPr>
          <w:rFonts w:hint="eastAsia" w:ascii="宋体" w:hAnsi="Times New Roman" w:cs="宋体"/>
          <w:color w:val="auto"/>
          <w:sz w:val="21"/>
          <w:szCs w:val="21"/>
        </w:rPr>
      </w:pPr>
      <w:r>
        <w:rPr>
          <w:rFonts w:hint="eastAsia" w:ascii="宋体" w:hAnsi="Times New Roman" w:cs="宋体"/>
          <w:color w:val="auto"/>
          <w:sz w:val="21"/>
          <w:szCs w:val="21"/>
        </w:rPr>
        <w:t>该设备实现对</w:t>
      </w:r>
      <w:r>
        <w:rPr>
          <w:rFonts w:hint="eastAsia" w:ascii="宋体" w:cs="宋体"/>
          <w:color w:val="auto"/>
          <w:sz w:val="21"/>
          <w:szCs w:val="21"/>
          <w:lang w:val="en-US" w:eastAsia="zh-CN"/>
        </w:rPr>
        <w:t>配电所</w:t>
      </w:r>
      <w:r>
        <w:rPr>
          <w:rFonts w:hint="eastAsia" w:ascii="宋体" w:hAnsi="Times New Roman" w:cs="宋体"/>
          <w:color w:val="auto"/>
          <w:sz w:val="21"/>
          <w:szCs w:val="21"/>
          <w:lang w:eastAsia="zh-CN"/>
        </w:rPr>
        <w:t>内</w:t>
      </w:r>
      <w:r>
        <w:rPr>
          <w:rFonts w:hint="eastAsia" w:ascii="宋体" w:hAnsi="Times New Roman" w:cs="宋体"/>
          <w:color w:val="auto"/>
          <w:sz w:val="21"/>
          <w:szCs w:val="21"/>
        </w:rPr>
        <w:t>的主要设备和输配电线路的自动监视</w:t>
      </w:r>
      <w:r>
        <w:rPr>
          <w:rFonts w:hint="eastAsia" w:ascii="宋体" w:cs="宋体"/>
          <w:color w:val="auto"/>
          <w:sz w:val="21"/>
          <w:szCs w:val="21"/>
          <w:lang w:eastAsia="zh-CN"/>
        </w:rPr>
        <w:t>、</w:t>
      </w:r>
      <w:r>
        <w:rPr>
          <w:rFonts w:hint="eastAsia" w:ascii="宋体" w:hAnsi="Times New Roman" w:cs="宋体"/>
          <w:color w:val="auto"/>
          <w:sz w:val="21"/>
          <w:szCs w:val="21"/>
        </w:rPr>
        <w:t>测量</w:t>
      </w:r>
      <w:r>
        <w:rPr>
          <w:rFonts w:hint="eastAsia" w:ascii="宋体" w:cs="宋体"/>
          <w:color w:val="auto"/>
          <w:sz w:val="21"/>
          <w:szCs w:val="21"/>
          <w:lang w:eastAsia="zh-CN"/>
        </w:rPr>
        <w:t>、</w:t>
      </w:r>
      <w:r>
        <w:rPr>
          <w:rFonts w:hint="eastAsia" w:ascii="宋体" w:hAnsi="Times New Roman" w:cs="宋体"/>
          <w:color w:val="auto"/>
          <w:sz w:val="21"/>
          <w:szCs w:val="21"/>
        </w:rPr>
        <w:t>控制</w:t>
      </w:r>
      <w:r>
        <w:rPr>
          <w:rFonts w:hint="eastAsia" w:ascii="宋体" w:cs="宋体"/>
          <w:color w:val="auto"/>
          <w:sz w:val="21"/>
          <w:szCs w:val="21"/>
          <w:lang w:eastAsia="zh-CN"/>
        </w:rPr>
        <w:t>、</w:t>
      </w:r>
      <w:r>
        <w:rPr>
          <w:rFonts w:hint="eastAsia" w:ascii="宋体" w:hAnsi="Times New Roman" w:cs="宋体"/>
          <w:color w:val="auto"/>
          <w:sz w:val="21"/>
          <w:szCs w:val="21"/>
        </w:rPr>
        <w:t>微机保护以及与调度通信等综合性的自动化功能。</w:t>
      </w:r>
    </w:p>
    <w:p>
      <w:pPr>
        <w:keepNext w:val="0"/>
        <w:keepLines w:val="0"/>
        <w:pageBreakBefore w:val="0"/>
        <w:widowControl w:val="0"/>
        <w:kinsoku/>
        <w:wordWrap/>
        <w:overflowPunct/>
        <w:topLinePunct w:val="0"/>
        <w:bidi w:val="0"/>
        <w:snapToGrid/>
        <w:spacing w:beforeAutospacing="0" w:afterAutospacing="0" w:line="360" w:lineRule="auto"/>
        <w:jc w:val="left"/>
        <w:textAlignment w:val="auto"/>
        <w:outlineLvl w:val="9"/>
        <w:rPr>
          <w:rFonts w:hint="eastAsia" w:ascii="宋体" w:hAnsi="宋体" w:eastAsia="宋体" w:cs="宋体"/>
          <w:bCs/>
          <w:color w:val="auto"/>
          <w:sz w:val="21"/>
          <w:szCs w:val="21"/>
        </w:rPr>
      </w:pPr>
      <w:r>
        <w:rPr>
          <w:rFonts w:hint="eastAsia" w:ascii="宋体" w:hAnsi="宋体" w:eastAsia="宋体" w:cs="宋体"/>
          <w:b/>
          <w:bCs/>
          <w:color w:val="auto"/>
          <w:sz w:val="21"/>
          <w:szCs w:val="21"/>
          <w:lang w:val="en-US" w:eastAsia="zh-CN"/>
        </w:rPr>
        <w:t>3.</w:t>
      </w:r>
      <w:r>
        <w:rPr>
          <w:rFonts w:hint="eastAsia" w:ascii="宋体" w:hAnsi="宋体" w:eastAsia="宋体" w:cs="宋体"/>
          <w:b/>
          <w:bCs/>
          <w:color w:val="auto"/>
          <w:sz w:val="21"/>
          <w:szCs w:val="21"/>
        </w:rPr>
        <w:t>设</w:t>
      </w:r>
      <w:r>
        <w:rPr>
          <w:rFonts w:hint="eastAsia" w:ascii="宋体" w:hAnsi="宋体" w:eastAsia="宋体" w:cs="宋体"/>
          <w:b/>
          <w:bCs/>
          <w:color w:val="auto"/>
          <w:sz w:val="21"/>
          <w:szCs w:val="21"/>
          <w:highlight w:val="none"/>
        </w:rPr>
        <w:t>备规格及要求</w:t>
      </w:r>
    </w:p>
    <w:p>
      <w:pPr>
        <w:keepNext w:val="0"/>
        <w:keepLines w:val="0"/>
        <w:pageBreakBefore w:val="0"/>
        <w:widowControl w:val="0"/>
        <w:kinsoku/>
        <w:wordWrap/>
        <w:overflowPunct/>
        <w:topLinePunct w:val="0"/>
        <w:bidi w:val="0"/>
        <w:snapToGrid/>
        <w:spacing w:line="360" w:lineRule="auto"/>
        <w:jc w:val="both"/>
        <w:textAlignment w:val="auto"/>
        <w:rPr>
          <w:rFonts w:hint="eastAsia" w:ascii="宋体" w:hAnsi="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3.1 技术要求</w:t>
      </w:r>
    </w:p>
    <w:p>
      <w:pPr>
        <w:keepNext w:val="0"/>
        <w:keepLines w:val="0"/>
        <w:pageBreakBefore w:val="0"/>
        <w:widowControl w:val="0"/>
        <w:kinsoku/>
        <w:wordWrap/>
        <w:overflowPunct/>
        <w:topLinePunct w:val="0"/>
        <w:bidi w:val="0"/>
        <w:snapToGrid/>
        <w:spacing w:line="360" w:lineRule="auto"/>
        <w:jc w:val="both"/>
        <w:textAlignment w:val="auto"/>
        <w:rPr>
          <w:rFonts w:hint="eastAsia" w:ascii="宋体" w:hAnsi="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3.1.1设备应遵循的现行标准</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系统的设计、制造、检查、试验和验收除了应满足本技术规格书的要求外，还应符合如下标准，所有合同设备都应遵照适用的最新版IEC标准、中国国家标准（GB）、电力行业（DL）标准、铁道行业标准（TB），以及国际单位制（SI）。</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IEC 255             《电气继电器》</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IEC 60870-5-101     《基本远动任务配套标准》</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IEC 60870-5-102     《电力系统中传输电能脉冲计数量配套标准》</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IEC 60870-5-103     《继电保护设备信息接口配套标准》</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IEC 60870-5-104     《远动网络传输规约》</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IEC 694             《高压开关设备和控制设备标准的共用条款》</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GB 4208             《外壳防护等级》</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 xml:space="preserve">GB/T 13729     </w:t>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《远动终端通用技术条件》</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 xml:space="preserve">GB 14285       </w:t>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《继电保护和安全自动装置技术规程》</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 xml:space="preserve">GB/T 17626    </w:t>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《电磁兼容试验和测量技术》</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 xml:space="preserve">GB/T 14598.26   </w:t>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《量度继电器和保护装置 第26部分 电磁兼容要求》</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GB 2423             《电工电子产品基本环境试验规程》</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GB 2887             《电子计算机场地通用规范》</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GB 50062            《电力装置的继电保护和自动装置设计规范》</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GB/T 9361           《计算站场地安全要求》</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GB 191-2000         《包装储运图示标记》</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GB 7261             《继电器及继电保护装置基本试验方法》</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 xml:space="preserve">GB 50217 </w:t>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 xml:space="preserve">   《电力电缆工程设计规范》</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 xml:space="preserve">DL/T 478 </w:t>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 xml:space="preserve">       《继电保护和安全自动装置通用技术条件》</w:t>
      </w:r>
      <w:bookmarkStart w:id="2" w:name="_Toc466028472"/>
      <w:bookmarkEnd w:id="2"/>
      <w:bookmarkStart w:id="3" w:name="_Toc466028651"/>
      <w:bookmarkEnd w:id="3"/>
      <w:bookmarkStart w:id="4" w:name="_Toc466028980"/>
      <w:bookmarkEnd w:id="4"/>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TB 10008－2015</w:t>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《铁路电力设计规范》</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TB 10064－2000</w:t>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ab/>
      </w:r>
      <w:r>
        <w:rPr>
          <w:rFonts w:hint="eastAsia" w:ascii="宋体" w:hAnsi="宋体" w:cs="宋体"/>
          <w:bCs/>
          <w:color w:val="auto"/>
          <w:sz w:val="21"/>
          <w:szCs w:val="21"/>
          <w:highlight w:val="none"/>
          <w:lang w:eastAsia="zh-CN"/>
        </w:rPr>
        <w:t>《铁路电力远动系统工程设计规范》</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cs="宋体"/>
          <w:bCs/>
          <w:color w:val="auto"/>
          <w:sz w:val="21"/>
          <w:szCs w:val="21"/>
          <w:highlight w:val="none"/>
          <w:lang w:eastAsia="zh-CN"/>
        </w:rPr>
      </w:pPr>
      <w:bookmarkStart w:id="5" w:name="_Toc6458656"/>
      <w:bookmarkStart w:id="6" w:name="_Toc6458770"/>
      <w:r>
        <w:rPr>
          <w:rFonts w:hint="eastAsia" w:ascii="宋体" w:hAnsi="宋体" w:cs="宋体"/>
          <w:bCs/>
          <w:color w:val="auto"/>
          <w:sz w:val="21"/>
          <w:szCs w:val="21"/>
          <w:highlight w:val="none"/>
          <w:lang w:eastAsia="zh-CN"/>
        </w:rPr>
        <w:t>所有标准都应是最新版本，如标准间出现矛盾时，则按最新标准执行或按双方商定的标准执行。</w:t>
      </w:r>
      <w:bookmarkStart w:id="7" w:name="_Toc48982044"/>
      <w:bookmarkStart w:id="8" w:name="_Toc48959265"/>
      <w:bookmarkStart w:id="9" w:name="_Toc48910500"/>
    </w:p>
    <w:bookmarkEnd w:id="5"/>
    <w:bookmarkEnd w:id="6"/>
    <w:bookmarkEnd w:id="7"/>
    <w:bookmarkEnd w:id="8"/>
    <w:bookmarkEnd w:id="9"/>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9"/>
        <w:rPr>
          <w:rFonts w:hint="eastAsia" w:ascii="宋体" w:hAnsi="宋体" w:eastAsia="宋体" w:cs="宋体"/>
          <w:b/>
          <w:bCs/>
          <w:color w:val="auto"/>
          <w:sz w:val="21"/>
          <w:szCs w:val="21"/>
          <w:lang w:val="zh-CN" w:eastAsia="zh-CN"/>
        </w:rPr>
      </w:pPr>
      <w:r>
        <w:rPr>
          <w:rFonts w:hint="eastAsia" w:ascii="宋体" w:hAnsi="宋体" w:eastAsia="宋体" w:cs="宋体"/>
          <w:b/>
          <w:bCs/>
          <w:color w:val="auto"/>
          <w:sz w:val="21"/>
          <w:szCs w:val="21"/>
          <w:lang w:val="en-US" w:eastAsia="zh-CN"/>
        </w:rPr>
        <w:t>3.</w:t>
      </w:r>
      <w:r>
        <w:rPr>
          <w:rFonts w:hint="eastAsia" w:ascii="宋体" w:hAnsi="宋体" w:cs="宋体"/>
          <w:b/>
          <w:bCs/>
          <w:color w:val="auto"/>
          <w:sz w:val="21"/>
          <w:szCs w:val="21"/>
          <w:lang w:val="en-US" w:eastAsia="zh-CN"/>
        </w:rPr>
        <w:t xml:space="preserve">1.2 </w:t>
      </w:r>
      <w:r>
        <w:rPr>
          <w:rFonts w:hint="eastAsia" w:ascii="宋体" w:hAnsi="宋体" w:eastAsia="宋体" w:cs="宋体"/>
          <w:b/>
          <w:bCs/>
          <w:color w:val="auto"/>
          <w:sz w:val="21"/>
          <w:szCs w:val="21"/>
          <w:lang w:val="zh-CN" w:eastAsia="zh-CN"/>
        </w:rPr>
        <w:t>每座配电所配置明细表（不限于此</w:t>
      </w:r>
      <w:r>
        <w:rPr>
          <w:rFonts w:hint="eastAsia" w:ascii="宋体" w:hAnsi="宋体" w:cs="宋体"/>
          <w:b/>
          <w:bCs/>
          <w:color w:val="auto"/>
          <w:sz w:val="21"/>
          <w:szCs w:val="21"/>
          <w:lang w:val="zh-CN" w:eastAsia="zh-CN"/>
        </w:rPr>
        <w:t>，</w:t>
      </w:r>
      <w:r>
        <w:rPr>
          <w:rFonts w:hint="eastAsia" w:ascii="宋体" w:hAnsi="宋体" w:cs="宋体"/>
          <w:b/>
          <w:bCs/>
          <w:color w:val="auto"/>
          <w:sz w:val="21"/>
          <w:szCs w:val="21"/>
          <w:lang w:val="en-US" w:eastAsia="zh-CN"/>
        </w:rPr>
        <w:t>凉城配电所安装在高压开关柜内，其他两所集中组屏</w:t>
      </w:r>
      <w:r>
        <w:rPr>
          <w:rFonts w:hint="eastAsia" w:ascii="宋体" w:hAnsi="宋体" w:eastAsia="宋体" w:cs="宋体"/>
          <w:b/>
          <w:bCs/>
          <w:color w:val="auto"/>
          <w:sz w:val="21"/>
          <w:szCs w:val="21"/>
          <w:lang w:val="zh-CN" w:eastAsia="zh-CN"/>
        </w:rPr>
        <w:t>）</w:t>
      </w:r>
    </w:p>
    <w:tbl>
      <w:tblPr>
        <w:tblStyle w:val="7"/>
        <w:tblW w:w="8904" w:type="dxa"/>
        <w:jc w:val="center"/>
        <w:tblInd w:w="-289" w:type="dxa"/>
        <w:tblLayout w:type="fixed"/>
        <w:tblCellMar>
          <w:top w:w="0" w:type="dxa"/>
          <w:left w:w="108" w:type="dxa"/>
          <w:bottom w:w="0" w:type="dxa"/>
          <w:right w:w="108" w:type="dxa"/>
        </w:tblCellMar>
      </w:tblPr>
      <w:tblGrid>
        <w:gridCol w:w="676"/>
        <w:gridCol w:w="2014"/>
        <w:gridCol w:w="2871"/>
        <w:gridCol w:w="633"/>
        <w:gridCol w:w="664"/>
        <w:gridCol w:w="2046"/>
      </w:tblGrid>
      <w:tr>
        <w:tblPrEx>
          <w:tblLayout w:type="fixed"/>
          <w:tblCellMar>
            <w:top w:w="0" w:type="dxa"/>
            <w:left w:w="108" w:type="dxa"/>
            <w:bottom w:w="0" w:type="dxa"/>
            <w:right w:w="108" w:type="dxa"/>
          </w:tblCellMar>
        </w:tblPrEx>
        <w:trPr>
          <w:trHeight w:val="318"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序号</w:t>
            </w:r>
          </w:p>
        </w:tc>
        <w:tc>
          <w:tcPr>
            <w:tcW w:w="201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项目</w:t>
            </w:r>
          </w:p>
        </w:tc>
        <w:tc>
          <w:tcPr>
            <w:tcW w:w="287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val="en-US" w:eastAsia="zh-CN"/>
              </w:rPr>
            </w:pPr>
            <w:r>
              <w:rPr>
                <w:rFonts w:hint="eastAsia" w:ascii="宋体" w:hAnsi="宋体" w:cs="宋体"/>
                <w:b w:val="0"/>
                <w:bCs w:val="0"/>
                <w:color w:val="auto"/>
                <w:kern w:val="0"/>
                <w:sz w:val="21"/>
                <w:szCs w:val="21"/>
                <w:lang w:val="en-US" w:eastAsia="zh-CN"/>
              </w:rPr>
              <w:t>规格型号</w:t>
            </w:r>
          </w:p>
        </w:tc>
        <w:tc>
          <w:tcPr>
            <w:tcW w:w="633"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单位</w:t>
            </w:r>
          </w:p>
        </w:tc>
        <w:tc>
          <w:tcPr>
            <w:tcW w:w="6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数量</w:t>
            </w:r>
          </w:p>
        </w:tc>
        <w:tc>
          <w:tcPr>
            <w:tcW w:w="204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备注/来源</w:t>
            </w:r>
          </w:p>
        </w:tc>
      </w:tr>
      <w:tr>
        <w:tblPrEx>
          <w:tblLayout w:type="fixed"/>
          <w:tblCellMar>
            <w:top w:w="0" w:type="dxa"/>
            <w:left w:w="108" w:type="dxa"/>
            <w:bottom w:w="0" w:type="dxa"/>
            <w:right w:w="108" w:type="dxa"/>
          </w:tblCellMar>
        </w:tblPrEx>
        <w:trPr>
          <w:trHeight w:val="318"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w:t>
            </w:r>
          </w:p>
        </w:tc>
        <w:tc>
          <w:tcPr>
            <w:tcW w:w="201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10KV保护设备</w:t>
            </w:r>
          </w:p>
        </w:tc>
        <w:tc>
          <w:tcPr>
            <w:tcW w:w="287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　</w:t>
            </w:r>
          </w:p>
        </w:tc>
        <w:tc>
          <w:tcPr>
            <w:tcW w:w="633" w:type="dxa"/>
            <w:tcBorders>
              <w:top w:val="single" w:color="auto" w:sz="4" w:space="0"/>
              <w:left w:val="single" w:color="auto" w:sz="4" w:space="0"/>
              <w:bottom w:val="single" w:color="auto" w:sz="4" w:space="0"/>
              <w:right w:val="single" w:color="auto" w:sz="4" w:space="0"/>
            </w:tcBorders>
            <w:vAlign w:val="center"/>
          </w:tcPr>
          <w:p>
            <w:pPr>
              <w:widowControl/>
              <w:jc w:val="left"/>
              <w:rPr>
                <w:color w:val="auto"/>
                <w:sz w:val="21"/>
                <w:szCs w:val="21"/>
              </w:rPr>
            </w:pPr>
            <w:r>
              <w:rPr>
                <w:rFonts w:hint="eastAsia" w:ascii="宋体" w:hAnsi="宋体" w:eastAsia="宋体" w:cs="宋体"/>
                <w:b w:val="0"/>
                <w:bCs w:val="0"/>
                <w:color w:val="auto"/>
                <w:kern w:val="0"/>
                <w:sz w:val="21"/>
                <w:szCs w:val="21"/>
              </w:rPr>
              <w:t>　</w:t>
            </w:r>
          </w:p>
        </w:tc>
        <w:tc>
          <w:tcPr>
            <w:tcW w:w="66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　</w:t>
            </w:r>
          </w:p>
        </w:tc>
        <w:tc>
          <w:tcPr>
            <w:tcW w:w="204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single" w:color="auto" w:sz="4" w:space="0"/>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1.1</w:t>
            </w:r>
            <w:r>
              <w:rPr>
                <w:rFonts w:hint="eastAsia" w:ascii="宋体" w:hAnsi="宋体" w:eastAsia="宋体" w:cs="宋体"/>
                <w:b w:val="0"/>
                <w:bCs w:val="0"/>
                <w:color w:val="auto"/>
                <w:kern w:val="0"/>
                <w:sz w:val="21"/>
                <w:szCs w:val="21"/>
              </w:rPr>
              <w:t>　</w:t>
            </w:r>
          </w:p>
        </w:tc>
        <w:tc>
          <w:tcPr>
            <w:tcW w:w="201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微机馈线保护装置</w:t>
            </w:r>
          </w:p>
        </w:tc>
        <w:tc>
          <w:tcPr>
            <w:tcW w:w="287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val="en-US" w:eastAsia="zh-CN"/>
              </w:rPr>
            </w:pPr>
            <w:r>
              <w:rPr>
                <w:rFonts w:hint="eastAsia" w:ascii="宋体" w:hAnsi="宋体" w:cs="宋体"/>
                <w:b w:val="0"/>
                <w:bCs w:val="0"/>
                <w:color w:val="auto"/>
                <w:kern w:val="0"/>
                <w:sz w:val="21"/>
                <w:szCs w:val="21"/>
                <w:lang w:val="en-US" w:eastAsia="zh-CN"/>
              </w:rPr>
              <w:t>投标人填写</w:t>
            </w:r>
          </w:p>
        </w:tc>
        <w:tc>
          <w:tcPr>
            <w:tcW w:w="633" w:type="dxa"/>
            <w:tcBorders>
              <w:top w:val="single" w:color="auto" w:sz="4" w:space="0"/>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eastAsia="zh-CN"/>
              </w:rPr>
            </w:pPr>
            <w:r>
              <w:rPr>
                <w:rFonts w:hint="eastAsia" w:ascii="宋体" w:hAnsi="宋体" w:eastAsia="宋体" w:cs="宋体"/>
                <w:b w:val="0"/>
                <w:bCs w:val="0"/>
                <w:color w:val="auto"/>
                <w:kern w:val="0"/>
                <w:sz w:val="21"/>
                <w:szCs w:val="21"/>
                <w:lang w:val="en-US" w:eastAsia="zh-CN"/>
              </w:rPr>
              <w:t>9</w:t>
            </w:r>
          </w:p>
        </w:tc>
        <w:tc>
          <w:tcPr>
            <w:tcW w:w="2046"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1.2</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微机备用电源自投装置</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1.3</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微机电容保护装置</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2</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eastAsia="zh-CN"/>
              </w:rPr>
            </w:pPr>
            <w:r>
              <w:rPr>
                <w:rFonts w:hint="eastAsia" w:ascii="宋体" w:hAnsi="宋体" w:cs="宋体"/>
                <w:b w:val="0"/>
                <w:bCs w:val="0"/>
                <w:color w:val="auto"/>
                <w:kern w:val="0"/>
                <w:sz w:val="21"/>
                <w:szCs w:val="21"/>
                <w:lang w:val="en-US" w:eastAsia="zh-CN"/>
              </w:rPr>
              <w:t>2</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公共测控及通讯处理盘</w:t>
            </w:r>
          </w:p>
        </w:tc>
        <w:tc>
          <w:tcPr>
            <w:tcW w:w="287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　</w:t>
            </w:r>
          </w:p>
        </w:tc>
        <w:tc>
          <w:tcPr>
            <w:tcW w:w="633" w:type="dxa"/>
            <w:tcBorders>
              <w:top w:val="nil"/>
              <w:left w:val="nil"/>
              <w:bottom w:val="single" w:color="auto" w:sz="4" w:space="0"/>
              <w:right w:val="single" w:color="auto" w:sz="4" w:space="0"/>
            </w:tcBorders>
            <w:vAlign w:val="center"/>
          </w:tcPr>
          <w:p>
            <w:pPr>
              <w:widowControl/>
              <w:jc w:val="left"/>
              <w:rPr>
                <w:color w:val="auto"/>
                <w:sz w:val="21"/>
                <w:szCs w:val="21"/>
              </w:rPr>
            </w:pPr>
            <w:r>
              <w:rPr>
                <w:rFonts w:hint="eastAsia" w:ascii="宋体" w:hAnsi="宋体" w:eastAsia="宋体" w:cs="宋体"/>
                <w:b w:val="0"/>
                <w:bCs w:val="0"/>
                <w:color w:val="auto"/>
                <w:kern w:val="0"/>
                <w:sz w:val="21"/>
                <w:szCs w:val="21"/>
              </w:rPr>
              <w:t>　</w:t>
            </w:r>
          </w:p>
        </w:tc>
        <w:tc>
          <w:tcPr>
            <w:tcW w:w="66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　</w:t>
            </w:r>
          </w:p>
        </w:tc>
        <w:tc>
          <w:tcPr>
            <w:tcW w:w="2046" w:type="dxa"/>
            <w:tcBorders>
              <w:top w:val="nil"/>
              <w:left w:val="single" w:color="auto" w:sz="4" w:space="0"/>
              <w:bottom w:val="single" w:color="auto" w:sz="4" w:space="0"/>
              <w:right w:val="single" w:color="auto" w:sz="8" w:space="0"/>
            </w:tcBorders>
            <w:vAlign w:val="center"/>
          </w:tcPr>
          <w:p>
            <w:pPr>
              <w:widowControl/>
              <w:jc w:val="left"/>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2.1</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微机通讯管理装置</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eastAsia="zh-CN"/>
              </w:rPr>
            </w:pPr>
            <w:r>
              <w:rPr>
                <w:rFonts w:hint="eastAsia" w:ascii="宋体" w:hAnsi="宋体" w:cs="宋体"/>
                <w:b w:val="0"/>
                <w:bCs w:val="0"/>
                <w:color w:val="auto"/>
                <w:kern w:val="0"/>
                <w:sz w:val="21"/>
                <w:szCs w:val="21"/>
                <w:lang w:val="en-US" w:eastAsia="zh-CN"/>
              </w:rPr>
              <w:t>2</w:t>
            </w:r>
          </w:p>
        </w:tc>
        <w:tc>
          <w:tcPr>
            <w:tcW w:w="2046" w:type="dxa"/>
            <w:tcBorders>
              <w:top w:val="nil"/>
              <w:left w:val="single" w:color="auto" w:sz="4" w:space="0"/>
              <w:bottom w:val="single" w:color="auto" w:sz="4" w:space="0"/>
              <w:right w:val="single" w:color="auto" w:sz="8" w:space="0"/>
            </w:tcBorders>
            <w:vAlign w:val="center"/>
          </w:tcPr>
          <w:p>
            <w:pPr>
              <w:widowControl/>
              <w:jc w:val="both"/>
              <w:rPr>
                <w:rFonts w:hint="eastAsia" w:ascii="宋体" w:hAnsi="宋体" w:eastAsia="宋体" w:cs="宋体"/>
                <w:b w:val="0"/>
                <w:bCs w:val="0"/>
                <w:color w:val="auto"/>
                <w:kern w:val="0"/>
                <w:sz w:val="21"/>
                <w:szCs w:val="21"/>
                <w:lang w:val="en-US" w:eastAsia="zh-CN"/>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2.2</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微机综合测控装置</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2.3</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小电流接地装置</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2.4</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交换机</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2.5</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柜体及附件</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面</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eastAsia="zh-CN"/>
              </w:rPr>
            </w:pPr>
            <w:r>
              <w:rPr>
                <w:rFonts w:hint="eastAsia" w:ascii="宋体" w:hAnsi="宋体" w:cs="宋体"/>
                <w:b w:val="0"/>
                <w:bCs w:val="0"/>
                <w:color w:val="auto"/>
                <w:kern w:val="0"/>
                <w:sz w:val="21"/>
                <w:szCs w:val="21"/>
                <w:lang w:val="en-US" w:eastAsia="zh-CN"/>
              </w:rPr>
              <w:t>2</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lang w:eastAsia="zh-CN"/>
              </w:rPr>
            </w:pPr>
            <w:r>
              <w:rPr>
                <w:rFonts w:hint="eastAsia" w:ascii="宋体" w:hAnsi="宋体" w:cs="宋体"/>
                <w:b w:val="0"/>
                <w:bCs w:val="0"/>
                <w:color w:val="auto"/>
                <w:kern w:val="0"/>
                <w:sz w:val="21"/>
                <w:szCs w:val="21"/>
                <w:lang w:eastAsia="zh-CN"/>
              </w:rPr>
              <w:t>凉城配电所采用分散式保护可取消柜体</w:t>
            </w: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3</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后台监控</w:t>
            </w:r>
          </w:p>
        </w:tc>
        <w:tc>
          <w:tcPr>
            <w:tcW w:w="287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　</w:t>
            </w:r>
          </w:p>
        </w:tc>
        <w:tc>
          <w:tcPr>
            <w:tcW w:w="633" w:type="dxa"/>
            <w:tcBorders>
              <w:top w:val="nil"/>
              <w:left w:val="nil"/>
              <w:bottom w:val="single" w:color="auto" w:sz="4" w:space="0"/>
              <w:right w:val="single" w:color="auto" w:sz="4" w:space="0"/>
            </w:tcBorders>
            <w:vAlign w:val="center"/>
          </w:tcPr>
          <w:p>
            <w:pPr>
              <w:widowControl/>
              <w:jc w:val="left"/>
              <w:rPr>
                <w:color w:val="auto"/>
                <w:sz w:val="21"/>
                <w:szCs w:val="21"/>
              </w:rPr>
            </w:pPr>
            <w:r>
              <w:rPr>
                <w:rFonts w:hint="eastAsia" w:ascii="宋体" w:hAnsi="宋体" w:eastAsia="宋体" w:cs="宋体"/>
                <w:b w:val="0"/>
                <w:bCs w:val="0"/>
                <w:color w:val="auto"/>
                <w:kern w:val="0"/>
                <w:sz w:val="21"/>
                <w:szCs w:val="21"/>
              </w:rPr>
              <w:t>　</w:t>
            </w:r>
          </w:p>
        </w:tc>
        <w:tc>
          <w:tcPr>
            <w:tcW w:w="66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　</w:t>
            </w:r>
          </w:p>
        </w:tc>
        <w:tc>
          <w:tcPr>
            <w:tcW w:w="2046" w:type="dxa"/>
            <w:tcBorders>
              <w:top w:val="nil"/>
              <w:left w:val="single" w:color="auto" w:sz="4" w:space="0"/>
              <w:bottom w:val="single" w:color="auto" w:sz="4" w:space="0"/>
              <w:right w:val="single" w:color="auto" w:sz="8" w:space="0"/>
            </w:tcBorders>
            <w:vAlign w:val="center"/>
          </w:tcPr>
          <w:p>
            <w:pPr>
              <w:widowControl/>
              <w:jc w:val="left"/>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val="en-US" w:eastAsia="zh-CN"/>
              </w:rPr>
            </w:pPr>
            <w:r>
              <w:rPr>
                <w:rFonts w:hint="eastAsia" w:ascii="宋体" w:hAnsi="宋体" w:cs="宋体"/>
                <w:b w:val="0"/>
                <w:bCs w:val="0"/>
                <w:color w:val="auto"/>
                <w:kern w:val="0"/>
                <w:sz w:val="21"/>
                <w:szCs w:val="21"/>
                <w:lang w:val="en-US" w:eastAsia="zh-CN"/>
              </w:rPr>
              <w:t>3.1</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工控机</w:t>
            </w:r>
          </w:p>
        </w:tc>
        <w:tc>
          <w:tcPr>
            <w:tcW w:w="287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研华工控机IPC-610L/ASMB-813/E52603V4/32G/1T固态盘/DVD刻录/键鼠</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eastAsia="zh-CN"/>
              </w:rPr>
            </w:pPr>
            <w:r>
              <w:rPr>
                <w:rFonts w:hint="eastAsia" w:ascii="宋体" w:hAnsi="宋体" w:eastAsia="宋体" w:cs="宋体"/>
                <w:b w:val="0"/>
                <w:bCs w:val="0"/>
                <w:color w:val="auto"/>
                <w:kern w:val="0"/>
                <w:sz w:val="21"/>
                <w:szCs w:val="21"/>
                <w:lang w:val="en-US" w:eastAsia="zh-CN"/>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lang w:val="en-US" w:eastAsia="zh-CN"/>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3.2</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22</w:t>
            </w:r>
            <w:r>
              <w:rPr>
                <w:rFonts w:hint="eastAsia" w:ascii="宋体" w:hAnsi="宋体" w:eastAsia="宋体" w:cs="宋体"/>
                <w:b w:val="0"/>
                <w:bCs w:val="0"/>
                <w:color w:val="auto"/>
                <w:kern w:val="0"/>
                <w:sz w:val="21"/>
                <w:szCs w:val="21"/>
              </w:rPr>
              <w:t>英寸液晶显示器</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eastAsia="zh-CN"/>
              </w:rPr>
            </w:pPr>
            <w:r>
              <w:rPr>
                <w:rFonts w:hint="eastAsia" w:ascii="宋体" w:hAnsi="宋体" w:eastAsia="宋体" w:cs="宋体"/>
                <w:b w:val="0"/>
                <w:bCs w:val="0"/>
                <w:color w:val="auto"/>
                <w:kern w:val="0"/>
                <w:sz w:val="21"/>
                <w:szCs w:val="21"/>
                <w:lang w:val="en-US" w:eastAsia="zh-CN"/>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3.3</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逆变电源</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eastAsia="zh-CN"/>
              </w:rPr>
            </w:pPr>
            <w:r>
              <w:rPr>
                <w:rFonts w:hint="eastAsia" w:ascii="宋体" w:hAnsi="宋体" w:eastAsia="宋体" w:cs="宋体"/>
                <w:b w:val="0"/>
                <w:bCs w:val="0"/>
                <w:color w:val="auto"/>
                <w:kern w:val="0"/>
                <w:sz w:val="21"/>
                <w:szCs w:val="21"/>
                <w:lang w:val="en-US" w:eastAsia="zh-CN"/>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3.4</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打印机</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val="en-US" w:eastAsia="zh-CN"/>
              </w:rPr>
            </w:pPr>
            <w:r>
              <w:rPr>
                <w:rFonts w:hint="eastAsia" w:ascii="宋体" w:hAnsi="宋体" w:cs="宋体"/>
                <w:b w:val="0"/>
                <w:bCs w:val="0"/>
                <w:color w:val="auto"/>
                <w:kern w:val="0"/>
                <w:sz w:val="21"/>
                <w:szCs w:val="21"/>
                <w:lang w:val="en-US" w:eastAsia="zh-CN"/>
              </w:rPr>
              <w:t>惠普 M403d 自动双面打印机</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eastAsia="zh-CN"/>
              </w:rPr>
            </w:pPr>
            <w:r>
              <w:rPr>
                <w:rFonts w:hint="eastAsia" w:ascii="宋体" w:hAnsi="宋体" w:eastAsia="宋体" w:cs="宋体"/>
                <w:b w:val="0"/>
                <w:bCs w:val="0"/>
                <w:color w:val="auto"/>
                <w:kern w:val="0"/>
                <w:sz w:val="21"/>
                <w:szCs w:val="21"/>
                <w:lang w:val="en-US" w:eastAsia="zh-CN"/>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val="en-US" w:eastAsia="zh-CN"/>
              </w:rPr>
            </w:pPr>
            <w:r>
              <w:rPr>
                <w:rFonts w:hint="eastAsia" w:ascii="宋体" w:hAnsi="宋体" w:cs="宋体"/>
                <w:b w:val="0"/>
                <w:bCs w:val="0"/>
                <w:color w:val="auto"/>
                <w:kern w:val="0"/>
                <w:sz w:val="21"/>
                <w:szCs w:val="21"/>
                <w:lang w:val="en-US" w:eastAsia="zh-CN"/>
              </w:rPr>
              <w:t>3.6</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7700独显工作站</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台</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lang w:val="en-US" w:eastAsia="zh-CN"/>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3.7</w:t>
            </w:r>
            <w:r>
              <w:rPr>
                <w:rFonts w:hint="eastAsia" w:ascii="宋体" w:hAnsi="宋体" w:eastAsia="宋体" w:cs="宋体"/>
                <w:b w:val="0"/>
                <w:bCs w:val="0"/>
                <w:color w:val="auto"/>
                <w:kern w:val="0"/>
                <w:sz w:val="21"/>
                <w:szCs w:val="21"/>
              </w:rPr>
              <w:t>　</w:t>
            </w:r>
          </w:p>
        </w:tc>
        <w:tc>
          <w:tcPr>
            <w:tcW w:w="201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监控软件</w:t>
            </w:r>
          </w:p>
        </w:tc>
        <w:tc>
          <w:tcPr>
            <w:tcW w:w="287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cs="宋体"/>
                <w:b w:val="0"/>
                <w:bCs w:val="0"/>
                <w:color w:val="auto"/>
                <w:kern w:val="0"/>
                <w:sz w:val="21"/>
                <w:szCs w:val="21"/>
                <w:lang w:val="en-US" w:eastAsia="zh-CN"/>
              </w:rPr>
              <w:t>投标人填写</w:t>
            </w:r>
          </w:p>
        </w:tc>
        <w:tc>
          <w:tcPr>
            <w:tcW w:w="633" w:type="dxa"/>
            <w:tcBorders>
              <w:top w:val="nil"/>
              <w:left w:val="nil"/>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rPr>
              <w:t>套</w:t>
            </w:r>
          </w:p>
        </w:tc>
        <w:tc>
          <w:tcPr>
            <w:tcW w:w="66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w:t>
            </w:r>
          </w:p>
        </w:tc>
        <w:tc>
          <w:tcPr>
            <w:tcW w:w="2046"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p>
        </w:tc>
        <w:tc>
          <w:tcPr>
            <w:tcW w:w="201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lang w:eastAsia="zh-CN"/>
              </w:rPr>
            </w:pPr>
            <w:r>
              <w:rPr>
                <w:rFonts w:hint="eastAsia" w:ascii="宋体" w:hAnsi="宋体" w:eastAsia="宋体" w:cs="宋体"/>
                <w:b w:val="0"/>
                <w:bCs w:val="0"/>
                <w:color w:val="auto"/>
                <w:kern w:val="0"/>
                <w:sz w:val="21"/>
                <w:szCs w:val="21"/>
                <w:lang w:eastAsia="zh-CN"/>
              </w:rPr>
              <w:t>控制台</w:t>
            </w:r>
          </w:p>
        </w:tc>
        <w:tc>
          <w:tcPr>
            <w:tcW w:w="287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val="en-US" w:eastAsia="zh-CN"/>
              </w:rPr>
            </w:pPr>
            <w:r>
              <w:rPr>
                <w:rFonts w:hint="eastAsia" w:ascii="宋体" w:hAnsi="宋体" w:cs="宋体"/>
                <w:b w:val="0"/>
                <w:bCs w:val="0"/>
                <w:color w:val="auto"/>
                <w:kern w:val="0"/>
                <w:sz w:val="21"/>
                <w:szCs w:val="21"/>
                <w:lang w:val="en-US" w:eastAsia="zh-CN"/>
              </w:rPr>
              <w:t>投标人填写</w:t>
            </w:r>
          </w:p>
        </w:tc>
        <w:tc>
          <w:tcPr>
            <w:tcW w:w="633"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lang w:val="en-US" w:eastAsia="zh-CN"/>
              </w:rPr>
              <w:t>面</w:t>
            </w:r>
          </w:p>
        </w:tc>
        <w:tc>
          <w:tcPr>
            <w:tcW w:w="6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04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p>
        </w:tc>
      </w:tr>
      <w:tr>
        <w:tblPrEx>
          <w:tblLayout w:type="fixed"/>
          <w:tblCellMar>
            <w:top w:w="0" w:type="dxa"/>
            <w:left w:w="108" w:type="dxa"/>
            <w:bottom w:w="0" w:type="dxa"/>
            <w:right w:w="108" w:type="dxa"/>
          </w:tblCellMar>
        </w:tblPrEx>
        <w:trPr>
          <w:trHeight w:val="318"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p>
        </w:tc>
        <w:tc>
          <w:tcPr>
            <w:tcW w:w="201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机房温度调节器冷暖5匹</w:t>
            </w:r>
          </w:p>
        </w:tc>
        <w:tc>
          <w:tcPr>
            <w:tcW w:w="287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val="en-US" w:eastAsia="zh-CN"/>
              </w:rPr>
            </w:pPr>
            <w:r>
              <w:rPr>
                <w:rFonts w:hint="eastAsia" w:ascii="宋体" w:hAnsi="宋体" w:cs="宋体"/>
                <w:b w:val="0"/>
                <w:bCs w:val="0"/>
                <w:color w:val="auto"/>
                <w:kern w:val="0"/>
                <w:sz w:val="21"/>
                <w:szCs w:val="21"/>
                <w:lang w:val="en-US" w:eastAsia="zh-CN"/>
              </w:rPr>
              <w:t>投标人填写</w:t>
            </w:r>
          </w:p>
        </w:tc>
        <w:tc>
          <w:tcPr>
            <w:tcW w:w="633"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sz w:val="21"/>
                <w:szCs w:val="21"/>
              </w:rPr>
            </w:pPr>
            <w:r>
              <w:rPr>
                <w:rFonts w:hint="eastAsia" w:ascii="宋体" w:hAnsi="宋体" w:eastAsia="宋体" w:cs="宋体"/>
                <w:b w:val="0"/>
                <w:bCs w:val="0"/>
                <w:color w:val="auto"/>
                <w:kern w:val="0"/>
                <w:sz w:val="21"/>
                <w:szCs w:val="21"/>
                <w:lang w:val="en-US" w:eastAsia="zh-CN"/>
              </w:rPr>
              <w:t>台</w:t>
            </w:r>
          </w:p>
        </w:tc>
        <w:tc>
          <w:tcPr>
            <w:tcW w:w="6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04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auto"/>
                <w:kern w:val="0"/>
                <w:sz w:val="21"/>
                <w:szCs w:val="21"/>
              </w:rPr>
            </w:pPr>
          </w:p>
        </w:tc>
      </w:tr>
    </w:tbl>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b/>
          <w:bCs/>
          <w:color w:val="auto"/>
          <w:sz w:val="21"/>
          <w:szCs w:val="21"/>
        </w:rPr>
      </w:pPr>
      <w:bookmarkStart w:id="10" w:name="_Toc235886363"/>
      <w:bookmarkStart w:id="11" w:name="_Toc2680"/>
      <w:bookmarkStart w:id="12" w:name="_Toc21851"/>
      <w:bookmarkStart w:id="13" w:name="_Toc20443"/>
      <w:bookmarkStart w:id="14" w:name="_Toc30171"/>
      <w:bookmarkStart w:id="15" w:name="_Toc28933"/>
      <w:bookmarkStart w:id="16" w:name="_Toc888"/>
      <w:bookmarkStart w:id="17" w:name="_Toc21967"/>
      <w:bookmarkStart w:id="18" w:name="_Toc27887"/>
      <w:bookmarkStart w:id="19" w:name="_Toc26216"/>
      <w:bookmarkStart w:id="20" w:name="_Toc48965946"/>
      <w:bookmarkStart w:id="21" w:name="_Toc48959900"/>
      <w:bookmarkStart w:id="22" w:name="_Toc48965622"/>
      <w:bookmarkStart w:id="23" w:name="_Toc48962850"/>
      <w:bookmarkStart w:id="24" w:name="_Toc226337706"/>
      <w:bookmarkStart w:id="25" w:name="_Toc4424591"/>
      <w:bookmarkStart w:id="26" w:name="_Toc48982046"/>
      <w:r>
        <w:rPr>
          <w:rFonts w:hint="eastAsia" w:ascii="宋体"/>
          <w:b/>
          <w:bCs/>
          <w:color w:val="auto"/>
          <w:sz w:val="21"/>
          <w:szCs w:val="21"/>
          <w:lang w:val="en-US" w:eastAsia="zh-CN"/>
        </w:rPr>
        <w:t>3</w:t>
      </w:r>
      <w:r>
        <w:rPr>
          <w:rFonts w:hint="eastAsia" w:ascii="宋体"/>
          <w:b/>
          <w:bCs/>
          <w:color w:val="auto"/>
          <w:sz w:val="21"/>
          <w:szCs w:val="21"/>
        </w:rPr>
        <w:t>.</w:t>
      </w:r>
      <w:bookmarkEnd w:id="10"/>
      <w:bookmarkEnd w:id="11"/>
      <w:bookmarkEnd w:id="12"/>
      <w:bookmarkEnd w:id="13"/>
      <w:bookmarkEnd w:id="14"/>
      <w:bookmarkEnd w:id="15"/>
      <w:bookmarkEnd w:id="16"/>
      <w:bookmarkEnd w:id="17"/>
      <w:bookmarkEnd w:id="18"/>
      <w:bookmarkEnd w:id="19"/>
      <w:r>
        <w:rPr>
          <w:rFonts w:hint="eastAsia" w:ascii="宋体"/>
          <w:b/>
          <w:bCs/>
          <w:color w:val="auto"/>
          <w:sz w:val="21"/>
          <w:szCs w:val="21"/>
          <w:lang w:val="en-US" w:eastAsia="zh-CN"/>
        </w:rPr>
        <w:t xml:space="preserve">1.3 </w:t>
      </w:r>
      <w:r>
        <w:rPr>
          <w:rFonts w:hint="eastAsia" w:ascii="宋体" w:hAnsi="宋体"/>
          <w:b/>
          <w:bCs/>
          <w:color w:val="auto"/>
          <w:sz w:val="21"/>
          <w:szCs w:val="21"/>
        </w:rPr>
        <w:t>接口要求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outlineLvl w:val="9"/>
        <w:rPr>
          <w:rFonts w:hint="eastAsia" w:ascii="宋体" w:hAnsi="宋体"/>
          <w:b w:val="0"/>
          <w:bCs w:val="0"/>
          <w:color w:val="auto"/>
          <w:sz w:val="21"/>
          <w:szCs w:val="21"/>
        </w:rPr>
      </w:pPr>
      <w:r>
        <w:rPr>
          <w:rFonts w:hint="eastAsia" w:ascii="宋体" w:hAnsi="宋体"/>
          <w:b w:val="0"/>
          <w:bCs w:val="0"/>
          <w:color w:val="auto"/>
          <w:sz w:val="21"/>
          <w:szCs w:val="21"/>
          <w:lang w:val="en-US" w:eastAsia="zh-CN"/>
        </w:rPr>
        <w:t>*3.1.3.1</w:t>
      </w:r>
      <w:r>
        <w:rPr>
          <w:rFonts w:hint="eastAsia" w:ascii="宋体" w:hAnsi="宋体"/>
          <w:b w:val="0"/>
          <w:bCs w:val="0"/>
          <w:color w:val="auto"/>
          <w:sz w:val="21"/>
          <w:szCs w:val="21"/>
        </w:rPr>
        <w:t>按设计要求提供整体设计方案、硬件接线设计以及系统的组屏方案，并应充分考虑与其他子系统的接口设计，</w:t>
      </w:r>
      <w:r>
        <w:rPr>
          <w:rFonts w:hint="eastAsia" w:ascii="宋体" w:hAnsi="宋体"/>
          <w:b w:val="0"/>
          <w:bCs w:val="0"/>
          <w:color w:val="auto"/>
          <w:sz w:val="21"/>
          <w:szCs w:val="21"/>
          <w:lang w:val="en-US" w:eastAsia="zh-CN"/>
        </w:rPr>
        <w:t>凉城配电所</w:t>
      </w:r>
      <w:r>
        <w:rPr>
          <w:rFonts w:hint="eastAsia" w:ascii="宋体" w:hAnsi="宋体"/>
          <w:b w:val="0"/>
          <w:bCs w:val="0"/>
          <w:color w:val="auto"/>
          <w:sz w:val="21"/>
          <w:szCs w:val="21"/>
        </w:rPr>
        <w:t>保护单元设置在高压柜内</w:t>
      </w:r>
      <w:r>
        <w:rPr>
          <w:rFonts w:hint="eastAsia" w:ascii="宋体" w:hAnsi="宋体"/>
          <w:b w:val="0"/>
          <w:bCs w:val="0"/>
          <w:color w:val="auto"/>
          <w:sz w:val="21"/>
          <w:szCs w:val="21"/>
          <w:lang w:eastAsia="zh-CN"/>
        </w:rPr>
        <w:t>（</w:t>
      </w:r>
      <w:r>
        <w:rPr>
          <w:rFonts w:hint="eastAsia" w:ascii="宋体" w:hAnsi="宋体"/>
          <w:b w:val="0"/>
          <w:bCs w:val="0"/>
          <w:color w:val="auto"/>
          <w:sz w:val="21"/>
          <w:szCs w:val="21"/>
          <w:lang w:val="en-US" w:eastAsia="zh-CN"/>
        </w:rPr>
        <w:t>保护装置需进行现场安装在高压柜内</w:t>
      </w:r>
      <w:r>
        <w:rPr>
          <w:rFonts w:hint="eastAsia" w:ascii="宋体" w:hAnsi="宋体"/>
          <w:b w:val="0"/>
          <w:bCs w:val="0"/>
          <w:color w:val="auto"/>
          <w:sz w:val="21"/>
          <w:szCs w:val="21"/>
          <w:lang w:eastAsia="zh-CN"/>
        </w:rPr>
        <w:t>）</w:t>
      </w:r>
      <w:r>
        <w:rPr>
          <w:rFonts w:hint="eastAsia" w:ascii="宋体" w:hAnsi="宋体"/>
          <w:b w:val="0"/>
          <w:bCs w:val="0"/>
          <w:color w:val="auto"/>
          <w:sz w:val="21"/>
          <w:szCs w:val="21"/>
        </w:rPr>
        <w:t>，</w:t>
      </w:r>
      <w:r>
        <w:rPr>
          <w:rFonts w:hint="eastAsia" w:ascii="宋体" w:hAnsi="宋体"/>
          <w:b w:val="0"/>
          <w:bCs w:val="0"/>
          <w:color w:val="auto"/>
          <w:sz w:val="21"/>
          <w:szCs w:val="21"/>
          <w:lang w:val="en-US" w:eastAsia="zh-CN"/>
        </w:rPr>
        <w:t>其他两所集中组屏，</w:t>
      </w:r>
      <w:r>
        <w:rPr>
          <w:rFonts w:hint="eastAsia" w:ascii="宋体" w:hAnsi="宋体"/>
          <w:b w:val="0"/>
          <w:bCs w:val="0"/>
          <w:color w:val="auto"/>
          <w:sz w:val="21"/>
          <w:szCs w:val="21"/>
        </w:rPr>
        <w:t>后台机（含显示屏）等</w:t>
      </w:r>
      <w:r>
        <w:rPr>
          <w:rFonts w:hint="eastAsia" w:ascii="宋体" w:hAnsi="宋体"/>
          <w:b w:val="0"/>
          <w:bCs w:val="0"/>
          <w:color w:val="auto"/>
          <w:sz w:val="21"/>
          <w:szCs w:val="21"/>
          <w:lang w:val="en-US" w:eastAsia="zh-CN"/>
        </w:rPr>
        <w:t>放置于控制台上</w:t>
      </w:r>
      <w:r>
        <w:rPr>
          <w:rFonts w:hint="eastAsia" w:ascii="宋体" w:hAnsi="宋体"/>
          <w:b w:val="0"/>
          <w:bCs w:val="0"/>
          <w:color w:val="auto"/>
          <w:sz w:val="21"/>
          <w:szCs w:val="21"/>
        </w:rPr>
        <w:t xml:space="preserve">。 </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b w:val="0"/>
          <w:bCs w:val="0"/>
          <w:color w:val="auto"/>
          <w:sz w:val="21"/>
          <w:szCs w:val="21"/>
        </w:rPr>
      </w:pPr>
      <w:r>
        <w:rPr>
          <w:rFonts w:hint="eastAsia" w:ascii="宋体" w:hAnsi="宋体"/>
          <w:b w:val="0"/>
          <w:bCs w:val="0"/>
          <w:color w:val="auto"/>
          <w:sz w:val="21"/>
          <w:szCs w:val="21"/>
        </w:rPr>
        <w:t>与高压柜的接口为高压柜继电仪表室二次端子排；</w:t>
      </w:r>
      <w:r>
        <w:rPr>
          <w:rFonts w:hint="eastAsia" w:ascii="宋体" w:hAnsi="宋体"/>
          <w:b w:val="0"/>
          <w:bCs w:val="0"/>
          <w:color w:val="auto"/>
          <w:sz w:val="21"/>
          <w:szCs w:val="21"/>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b w:val="0"/>
          <w:bCs w:val="0"/>
          <w:color w:val="auto"/>
          <w:sz w:val="21"/>
          <w:szCs w:val="21"/>
        </w:rPr>
      </w:pPr>
      <w:r>
        <w:rPr>
          <w:rFonts w:hint="eastAsia" w:ascii="宋体" w:hAnsi="宋体"/>
          <w:b w:val="0"/>
          <w:bCs w:val="0"/>
          <w:color w:val="auto"/>
          <w:sz w:val="21"/>
          <w:szCs w:val="21"/>
          <w:lang w:val="en-US" w:eastAsia="zh-CN"/>
        </w:rPr>
        <w:t>需采集</w:t>
      </w:r>
      <w:r>
        <w:rPr>
          <w:rFonts w:hint="eastAsia" w:ascii="宋体" w:hAnsi="宋体"/>
          <w:b w:val="0"/>
          <w:bCs w:val="0"/>
          <w:color w:val="auto"/>
          <w:sz w:val="21"/>
          <w:szCs w:val="21"/>
        </w:rPr>
        <w:t>交直流盘的</w:t>
      </w:r>
      <w:r>
        <w:rPr>
          <w:rFonts w:hint="eastAsia" w:ascii="宋体" w:hAnsi="宋体"/>
          <w:b w:val="0"/>
          <w:bCs w:val="0"/>
          <w:color w:val="auto"/>
          <w:sz w:val="21"/>
          <w:szCs w:val="21"/>
          <w:lang w:val="en-US" w:eastAsia="zh-CN"/>
        </w:rPr>
        <w:t>信息量</w:t>
      </w:r>
      <w:r>
        <w:rPr>
          <w:rFonts w:hint="eastAsia" w:ascii="宋体" w:hAnsi="宋体"/>
          <w:b w:val="0"/>
          <w:bCs w:val="0"/>
          <w:color w:val="auto"/>
          <w:sz w:val="21"/>
          <w:szCs w:val="21"/>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color w:val="auto"/>
          <w:sz w:val="21"/>
          <w:szCs w:val="21"/>
        </w:rPr>
      </w:pPr>
      <w:r>
        <w:rPr>
          <w:rFonts w:hint="eastAsia" w:ascii="宋体" w:hAnsi="宋体"/>
          <w:color w:val="auto"/>
          <w:sz w:val="21"/>
          <w:szCs w:val="21"/>
          <w:lang w:val="en-US" w:eastAsia="zh-CN"/>
        </w:rPr>
        <w:t>需采集</w:t>
      </w:r>
      <w:r>
        <w:rPr>
          <w:rFonts w:hint="eastAsia" w:ascii="宋体" w:hAnsi="宋体"/>
          <w:color w:val="auto"/>
          <w:sz w:val="21"/>
          <w:szCs w:val="21"/>
        </w:rPr>
        <w:t>调压变压器的</w:t>
      </w:r>
      <w:r>
        <w:rPr>
          <w:rFonts w:hint="eastAsia" w:ascii="宋体" w:hAnsi="宋体"/>
          <w:color w:val="auto"/>
          <w:sz w:val="21"/>
          <w:szCs w:val="21"/>
          <w:lang w:val="en-US" w:eastAsia="zh-CN"/>
        </w:rPr>
        <w:t>信息量</w:t>
      </w:r>
      <w:r>
        <w:rPr>
          <w:rFonts w:hint="eastAsia" w:ascii="宋体" w:hAnsi="宋体"/>
          <w:color w:val="auto"/>
          <w:sz w:val="21"/>
          <w:szCs w:val="21"/>
        </w:rPr>
        <w:t>（调压控制器安装位置及其安装由综自</w:t>
      </w:r>
      <w:r>
        <w:rPr>
          <w:rFonts w:hint="eastAsia" w:ascii="宋体" w:hAnsi="宋体"/>
          <w:color w:val="auto"/>
          <w:sz w:val="21"/>
          <w:szCs w:val="21"/>
          <w:lang w:eastAsia="zh-CN"/>
        </w:rPr>
        <w:t>投标方</w:t>
      </w:r>
      <w:r>
        <w:rPr>
          <w:rFonts w:hint="eastAsia" w:ascii="宋体" w:hAnsi="宋体"/>
          <w:color w:val="auto"/>
          <w:sz w:val="21"/>
          <w:szCs w:val="21"/>
        </w:rPr>
        <w:t>负责）；</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color w:val="auto"/>
          <w:sz w:val="21"/>
          <w:szCs w:val="21"/>
        </w:rPr>
      </w:pPr>
      <w:r>
        <w:rPr>
          <w:rFonts w:hint="eastAsia" w:ascii="宋体" w:hAnsi="宋体"/>
          <w:color w:val="auto"/>
          <w:sz w:val="21"/>
          <w:szCs w:val="21"/>
          <w:lang w:val="en-US" w:eastAsia="zh-CN"/>
        </w:rPr>
        <w:t>需采集</w:t>
      </w:r>
      <w:r>
        <w:rPr>
          <w:rFonts w:hint="eastAsia" w:ascii="宋体" w:hAnsi="宋体"/>
          <w:color w:val="auto"/>
          <w:sz w:val="21"/>
          <w:szCs w:val="21"/>
        </w:rPr>
        <w:t>电度表计的</w:t>
      </w:r>
      <w:r>
        <w:rPr>
          <w:rFonts w:hint="eastAsia" w:ascii="宋体" w:hAnsi="宋体"/>
          <w:color w:val="auto"/>
          <w:sz w:val="21"/>
          <w:szCs w:val="21"/>
          <w:lang w:val="en-US" w:eastAsia="zh-CN"/>
        </w:rPr>
        <w:t>信息量</w:t>
      </w:r>
      <w:r>
        <w:rPr>
          <w:rFonts w:hint="eastAsia" w:ascii="宋体" w:hAnsi="宋体"/>
          <w:color w:val="auto"/>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b/>
          <w:bCs/>
          <w:color w:val="auto"/>
          <w:sz w:val="21"/>
          <w:szCs w:val="21"/>
        </w:rPr>
      </w:pPr>
      <w:r>
        <w:rPr>
          <w:rFonts w:hint="eastAsia" w:ascii="宋体" w:hAnsi="宋体"/>
          <w:b/>
          <w:bCs/>
          <w:color w:val="auto"/>
          <w:sz w:val="21"/>
          <w:szCs w:val="21"/>
          <w:lang w:val="en-US" w:eastAsia="zh-CN"/>
        </w:rPr>
        <w:t>3.1.4</w:t>
      </w:r>
      <w:r>
        <w:rPr>
          <w:rFonts w:hint="eastAsia" w:ascii="宋体" w:hAnsi="宋体"/>
          <w:b/>
          <w:bCs/>
          <w:color w:val="auto"/>
          <w:sz w:val="21"/>
          <w:szCs w:val="21"/>
        </w:rPr>
        <w:t>系统构成</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color w:val="auto"/>
          <w:sz w:val="21"/>
          <w:szCs w:val="21"/>
        </w:rPr>
      </w:pPr>
      <w:r>
        <w:rPr>
          <w:rFonts w:hint="eastAsia" w:ascii="宋体" w:hAnsi="宋体"/>
          <w:color w:val="auto"/>
          <w:sz w:val="21"/>
          <w:szCs w:val="21"/>
        </w:rPr>
        <w:t>配电所采用微机型综合自动化系统，包括站级管理层、通信层、间隔层。系统采用分层分布式结构。综合自动化系统完成本所就地的运行管理（保护、控制、测量、通信等功能），并与SCADA远动系统主站交互四遥（遥测、遥信、遥控、遥调）信息。</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color w:val="auto"/>
          <w:sz w:val="21"/>
          <w:szCs w:val="21"/>
        </w:rPr>
      </w:pPr>
      <w:r>
        <w:rPr>
          <w:rFonts w:hint="eastAsia" w:ascii="宋体" w:hAnsi="宋体"/>
          <w:color w:val="auto"/>
          <w:sz w:val="21"/>
          <w:szCs w:val="21"/>
        </w:rPr>
        <w:t>站级管理层包括远动通信单元、维修通信单元；通信层为所内通信网络；间隔层包括各保护测控单元。</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color w:val="auto"/>
          <w:sz w:val="21"/>
          <w:szCs w:val="21"/>
        </w:rPr>
      </w:pPr>
      <w:r>
        <w:rPr>
          <w:rFonts w:hint="eastAsia" w:ascii="宋体" w:hAnsi="宋体"/>
          <w:color w:val="auto"/>
          <w:sz w:val="21"/>
          <w:szCs w:val="21"/>
        </w:rPr>
        <w:t>间隔单元通过与一次开关设备、CT/PT等设备接口完成保护、控制、数据采集，并通过间隔单元间的硬线连接完成所内安全联锁功能。</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color w:val="auto"/>
          <w:sz w:val="21"/>
          <w:szCs w:val="21"/>
        </w:rPr>
      </w:pPr>
      <w:r>
        <w:rPr>
          <w:rFonts w:hint="eastAsia" w:ascii="宋体" w:hAnsi="宋体"/>
          <w:color w:val="auto"/>
          <w:sz w:val="21"/>
          <w:szCs w:val="21"/>
        </w:rPr>
        <w:t>间隔单元与站级管理层设备之间通过所内通信网络组网进行数据交换，实现所内站级管理层设备的集中控制、监视、测量、自动控制、数据集中管理、远程通信及远程维护等综合自动化管理功能。间隔单元不应依赖于所内通信网，能独立完成本单元保护测控功能。整个系统应面向全所通盘考虑，合理配置间隔单元，充分利用系统资源，完成自动化综合测控管理功能。</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color w:val="auto"/>
          <w:sz w:val="21"/>
          <w:szCs w:val="21"/>
        </w:rPr>
      </w:pPr>
      <w:r>
        <w:rPr>
          <w:rFonts w:hint="eastAsia" w:ascii="宋体" w:hAnsi="宋体"/>
          <w:color w:val="auto"/>
          <w:sz w:val="21"/>
          <w:szCs w:val="21"/>
        </w:rPr>
        <w:t>所内主要配置但不限于以下间隔单元：</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olor w:val="auto"/>
          <w:sz w:val="21"/>
          <w:szCs w:val="21"/>
        </w:rPr>
      </w:pPr>
      <w:r>
        <w:rPr>
          <w:rFonts w:hint="eastAsia" w:ascii="宋体" w:hAnsi="宋体"/>
          <w:color w:val="auto"/>
          <w:sz w:val="21"/>
          <w:szCs w:val="21"/>
        </w:rPr>
        <w:t>进线保护测控单元</w:t>
      </w:r>
      <w:r>
        <w:rPr>
          <w:rFonts w:hint="eastAsia" w:ascii="宋体" w:hAnsi="宋体"/>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olor w:val="auto"/>
          <w:sz w:val="21"/>
          <w:szCs w:val="21"/>
        </w:rPr>
      </w:pPr>
      <w:r>
        <w:rPr>
          <w:rFonts w:hint="eastAsia" w:ascii="宋体" w:hAnsi="宋体"/>
          <w:color w:val="auto"/>
          <w:sz w:val="21"/>
          <w:szCs w:val="21"/>
        </w:rPr>
        <w:t>馈线保护测控单元</w:t>
      </w:r>
      <w:r>
        <w:rPr>
          <w:rFonts w:hint="eastAsia" w:ascii="宋体" w:hAnsi="宋体"/>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olor w:val="auto"/>
          <w:sz w:val="21"/>
          <w:szCs w:val="21"/>
        </w:rPr>
      </w:pPr>
      <w:r>
        <w:rPr>
          <w:rFonts w:hint="eastAsia" w:ascii="宋体" w:hAnsi="宋体"/>
          <w:color w:val="auto"/>
          <w:sz w:val="21"/>
          <w:szCs w:val="21"/>
          <w:lang w:val="en-US" w:eastAsia="zh-CN"/>
        </w:rPr>
        <w:t>贯通、自闭</w:t>
      </w:r>
      <w:r>
        <w:rPr>
          <w:rFonts w:hint="eastAsia" w:ascii="宋体" w:hAnsi="宋体"/>
          <w:color w:val="auto"/>
          <w:sz w:val="21"/>
          <w:szCs w:val="21"/>
        </w:rPr>
        <w:t>线保护测控单元</w:t>
      </w:r>
      <w:r>
        <w:rPr>
          <w:rFonts w:hint="eastAsia" w:ascii="宋体" w:hAnsi="宋体"/>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olor w:val="auto"/>
          <w:sz w:val="21"/>
          <w:szCs w:val="21"/>
        </w:rPr>
      </w:pPr>
      <w:r>
        <w:rPr>
          <w:rFonts w:hint="eastAsia" w:ascii="宋体" w:hAnsi="宋体"/>
          <w:color w:val="auto"/>
          <w:sz w:val="21"/>
          <w:szCs w:val="21"/>
        </w:rPr>
        <w:t>母联保护测控单元</w:t>
      </w:r>
      <w:r>
        <w:rPr>
          <w:rFonts w:hint="eastAsia" w:ascii="宋体" w:hAnsi="宋体"/>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olor w:val="auto"/>
          <w:sz w:val="21"/>
          <w:szCs w:val="21"/>
        </w:rPr>
      </w:pPr>
      <w:r>
        <w:rPr>
          <w:rFonts w:hint="eastAsia" w:ascii="宋体" w:hAnsi="宋体"/>
          <w:color w:val="auto"/>
          <w:sz w:val="21"/>
          <w:szCs w:val="21"/>
        </w:rPr>
        <w:t>接地装置保护测控单元</w:t>
      </w:r>
      <w:r>
        <w:rPr>
          <w:rFonts w:hint="eastAsia" w:ascii="宋体" w:hAnsi="宋体"/>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olor w:val="auto"/>
          <w:sz w:val="21"/>
          <w:szCs w:val="21"/>
        </w:rPr>
      </w:pPr>
      <w:r>
        <w:rPr>
          <w:rFonts w:hint="eastAsia" w:ascii="宋体" w:hAnsi="宋体"/>
          <w:color w:val="auto"/>
          <w:sz w:val="21"/>
          <w:szCs w:val="21"/>
        </w:rPr>
        <w:t>公用测控单元</w:t>
      </w:r>
      <w:r>
        <w:rPr>
          <w:rFonts w:hint="eastAsia" w:ascii="宋体" w:hAnsi="宋体"/>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olor w:val="auto"/>
          <w:sz w:val="21"/>
          <w:szCs w:val="21"/>
        </w:rPr>
      </w:pPr>
      <w:r>
        <w:rPr>
          <w:rFonts w:hint="eastAsia" w:ascii="宋体" w:hAnsi="宋体"/>
          <w:color w:val="auto"/>
          <w:sz w:val="21"/>
          <w:szCs w:val="21"/>
        </w:rPr>
        <w:t>根据进线电压等级，配置相应保护控制单元。</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color w:val="auto"/>
          <w:sz w:val="21"/>
          <w:szCs w:val="21"/>
        </w:rPr>
      </w:pPr>
      <w:r>
        <w:rPr>
          <w:rFonts w:hint="eastAsia" w:ascii="宋体" w:hAnsi="宋体"/>
          <w:color w:val="auto"/>
          <w:sz w:val="21"/>
          <w:szCs w:val="21"/>
        </w:rPr>
        <w:t>所内通信网络采用工业以太网、现场总线或两者相结合组网方式。系统应根据设备种类优化组网，组网方式应考虑便于故障的查找与隔离，所内通信采用以太网屏蔽双绞线，以保证系统的安全性和可靠性。</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color w:val="auto"/>
          <w:sz w:val="21"/>
          <w:szCs w:val="21"/>
        </w:rPr>
      </w:pPr>
      <w:r>
        <w:rPr>
          <w:rFonts w:hint="eastAsia" w:ascii="宋体" w:hAnsi="宋体"/>
          <w:color w:val="auto"/>
          <w:sz w:val="21"/>
          <w:szCs w:val="21"/>
        </w:rPr>
        <w:t>所内重要的闭锁功能由硬线接线实现，在通信处理设备上应可通过软件实现联动闭锁功能，作为硬线闭锁的后备，具体实现在设计联络中进一步确定。</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b/>
          <w:bCs/>
          <w:color w:val="auto"/>
          <w:sz w:val="21"/>
          <w:szCs w:val="21"/>
        </w:rPr>
      </w:pPr>
      <w:r>
        <w:rPr>
          <w:rFonts w:hint="eastAsia" w:ascii="宋体"/>
          <w:b/>
          <w:bCs/>
          <w:color w:val="auto"/>
          <w:sz w:val="21"/>
          <w:szCs w:val="21"/>
          <w:lang w:val="en-US" w:eastAsia="zh-CN"/>
        </w:rPr>
        <w:t>3</w:t>
      </w:r>
      <w:r>
        <w:rPr>
          <w:rFonts w:hint="eastAsia" w:ascii="宋体" w:hAnsi="宋体"/>
          <w:b/>
          <w:bCs/>
          <w:color w:val="auto"/>
          <w:sz w:val="21"/>
          <w:szCs w:val="21"/>
        </w:rPr>
        <w:t>.</w:t>
      </w:r>
      <w:r>
        <w:rPr>
          <w:rFonts w:hint="eastAsia" w:ascii="宋体" w:hAnsi="宋体"/>
          <w:b/>
          <w:bCs/>
          <w:color w:val="auto"/>
          <w:sz w:val="21"/>
          <w:szCs w:val="21"/>
          <w:lang w:val="en-US" w:eastAsia="zh-CN"/>
        </w:rPr>
        <w:t>1.5</w:t>
      </w:r>
      <w:r>
        <w:rPr>
          <w:rFonts w:hint="eastAsia" w:ascii="宋体" w:hAnsi="宋体"/>
          <w:b/>
          <w:bCs/>
          <w:color w:val="auto"/>
          <w:sz w:val="21"/>
          <w:szCs w:val="21"/>
        </w:rPr>
        <w:t xml:space="preserve"> 系统主要功能要求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宋体" w:hAnsi="宋体"/>
          <w:color w:val="auto"/>
          <w:sz w:val="21"/>
          <w:szCs w:val="21"/>
        </w:rPr>
      </w:pPr>
      <w:r>
        <w:rPr>
          <w:rFonts w:hint="eastAsia" w:ascii="宋体" w:hAnsi="宋体"/>
          <w:color w:val="auto"/>
          <w:sz w:val="21"/>
          <w:szCs w:val="21"/>
        </w:rPr>
        <w:t>配电所控制方式采用远程控制、所内集中控制、设备本体控制三级控制方式。三种控制方式相互闭锁，以达到安全控制的目的。</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outlineLvl w:val="9"/>
        <w:rPr>
          <w:rFonts w:hint="eastAsia" w:ascii="宋体" w:hAnsi="宋体"/>
          <w:color w:val="auto"/>
          <w:sz w:val="21"/>
          <w:szCs w:val="21"/>
        </w:rPr>
      </w:pPr>
      <w:r>
        <w:rPr>
          <w:rFonts w:hint="eastAsia" w:ascii="宋体" w:hAnsi="宋体"/>
          <w:color w:val="auto"/>
          <w:sz w:val="21"/>
          <w:szCs w:val="21"/>
          <w:lang w:val="en-US" w:eastAsia="zh-CN"/>
        </w:rPr>
        <w:t>3.1.5.1</w:t>
      </w:r>
      <w:r>
        <w:rPr>
          <w:rFonts w:hint="eastAsia" w:ascii="宋体" w:hAnsi="宋体"/>
          <w:color w:val="auto"/>
          <w:sz w:val="21"/>
          <w:szCs w:val="21"/>
        </w:rPr>
        <w:t>站级管理层设备的主要功能</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color w:val="auto"/>
          <w:sz w:val="21"/>
          <w:szCs w:val="21"/>
        </w:rPr>
      </w:pPr>
      <w:r>
        <w:rPr>
          <w:rFonts w:hint="eastAsia" w:ascii="宋体" w:hAnsi="宋体"/>
          <w:color w:val="auto"/>
          <w:sz w:val="21"/>
          <w:szCs w:val="21"/>
        </w:rPr>
        <w:t>与SCADA调度所系统通信</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宋体" w:hAnsi="宋体"/>
          <w:color w:val="auto"/>
          <w:sz w:val="21"/>
          <w:szCs w:val="21"/>
        </w:rPr>
      </w:pPr>
      <w:r>
        <w:rPr>
          <w:rFonts w:hint="eastAsia" w:ascii="宋体" w:hAnsi="宋体"/>
          <w:color w:val="auto"/>
          <w:sz w:val="21"/>
          <w:szCs w:val="21"/>
        </w:rPr>
        <w:t>站级管理层采用冗余配置通信接口实现与SCADA远动系统主站之间的通信, 远动通信单元应具备双机热备用和自动切换功能。系统应采取完善的防护措施，保证系统内外的隔离，防止将系统外部故障引入系统内部。</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color w:val="auto"/>
          <w:sz w:val="21"/>
          <w:szCs w:val="21"/>
        </w:rPr>
      </w:pPr>
      <w:r>
        <w:rPr>
          <w:rFonts w:hint="eastAsia" w:ascii="宋体" w:hAnsi="宋体"/>
          <w:color w:val="auto"/>
          <w:sz w:val="21"/>
          <w:szCs w:val="21"/>
        </w:rPr>
        <w:t>所内数据通信</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宋体" w:hAnsi="宋体"/>
          <w:color w:val="auto"/>
          <w:sz w:val="21"/>
          <w:szCs w:val="21"/>
        </w:rPr>
      </w:pPr>
      <w:r>
        <w:rPr>
          <w:rFonts w:hint="eastAsia" w:ascii="宋体" w:hAnsi="宋体"/>
          <w:color w:val="auto"/>
          <w:sz w:val="21"/>
          <w:szCs w:val="21"/>
        </w:rPr>
        <w:t>通过配置的所内通信网络，完成与各间隔单元的接口功能，并进行规约处理，实施对间隔单元的数据采集与控制输出，所内通信网络应达到工业级网络标准。</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color w:val="auto"/>
          <w:sz w:val="21"/>
          <w:szCs w:val="21"/>
        </w:rPr>
      </w:pPr>
      <w:r>
        <w:rPr>
          <w:rFonts w:hint="eastAsia" w:ascii="宋体" w:hAnsi="宋体"/>
          <w:color w:val="auto"/>
          <w:sz w:val="21"/>
          <w:szCs w:val="21"/>
        </w:rPr>
        <w:t>与直流盘等其他智能设备通信的功能</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olor w:val="auto"/>
          <w:sz w:val="21"/>
          <w:szCs w:val="21"/>
        </w:rPr>
      </w:pPr>
      <w:r>
        <w:rPr>
          <w:rFonts w:hint="eastAsia" w:ascii="宋体" w:hAnsi="宋体"/>
          <w:color w:val="auto"/>
          <w:sz w:val="21"/>
          <w:szCs w:val="21"/>
        </w:rPr>
        <w:t>综合自动化系统与交直流系统、计量表计之间的通信在设计联络时确定。</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color w:val="auto"/>
          <w:sz w:val="21"/>
          <w:szCs w:val="21"/>
        </w:rPr>
      </w:pPr>
      <w:r>
        <w:rPr>
          <w:rFonts w:hint="eastAsia" w:ascii="宋体" w:hAnsi="宋体"/>
          <w:color w:val="auto"/>
          <w:sz w:val="21"/>
          <w:szCs w:val="21"/>
        </w:rPr>
        <w:t>当地监控功能</w:t>
      </w:r>
      <w:r>
        <w:rPr>
          <w:rFonts w:hint="eastAsia" w:ascii="宋体" w:hAnsi="宋体"/>
          <w:color w:val="auto"/>
          <w:sz w:val="21"/>
          <w:szCs w:val="21"/>
          <w:lang w:eastAsia="zh-CN"/>
        </w:rPr>
        <w:t>，</w:t>
      </w:r>
      <w:r>
        <w:rPr>
          <w:rFonts w:hint="eastAsia" w:ascii="宋体" w:hAnsi="宋体"/>
          <w:color w:val="auto"/>
          <w:sz w:val="21"/>
          <w:szCs w:val="21"/>
        </w:rPr>
        <w:t>接入电脑工作站，实现以下功能：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测量监视及处理功能；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信号监视及处理功能；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控制功能；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画面显示功能；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权限管理功能；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数据存储功能；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系统维护功能</w:t>
      </w:r>
      <w:r>
        <w:rPr>
          <w:rFonts w:hint="eastAsia" w:ascii="宋体" w:hAnsi="宋体"/>
          <w:color w:val="auto"/>
          <w:sz w:val="21"/>
          <w:szCs w:val="21"/>
          <w:lang w:eastAsia="zh-CN"/>
        </w:rPr>
        <w:t>。</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color w:val="auto"/>
          <w:sz w:val="21"/>
          <w:szCs w:val="21"/>
        </w:rPr>
      </w:pPr>
      <w:r>
        <w:rPr>
          <w:rFonts w:hint="eastAsia" w:ascii="宋体" w:hAnsi="宋体"/>
          <w:color w:val="auto"/>
          <w:sz w:val="21"/>
          <w:szCs w:val="21"/>
        </w:rPr>
        <w:t>系统自检</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olor w:val="auto"/>
          <w:sz w:val="21"/>
          <w:szCs w:val="21"/>
          <w:lang w:eastAsia="zh-CN"/>
        </w:rPr>
      </w:pPr>
      <w:r>
        <w:rPr>
          <w:rFonts w:hint="eastAsia" w:ascii="宋体" w:hAnsi="宋体"/>
          <w:color w:val="auto"/>
          <w:sz w:val="21"/>
          <w:szCs w:val="21"/>
        </w:rPr>
        <w:t>具有看门狗、自诊断、自恢复功能</w:t>
      </w:r>
      <w:r>
        <w:rPr>
          <w:rFonts w:hint="eastAsia" w:ascii="宋体" w:hAnsi="宋体"/>
          <w:color w:val="auto"/>
          <w:sz w:val="21"/>
          <w:szCs w:val="21"/>
          <w:lang w:eastAsia="zh-CN"/>
        </w:rPr>
        <w:t>。</w:t>
      </w:r>
    </w:p>
    <w:p>
      <w:pPr>
        <w:keepNext w:val="0"/>
        <w:keepLines w:val="0"/>
        <w:pageBreakBefore w:val="0"/>
        <w:widowControl w:val="0"/>
        <w:numPr>
          <w:ilvl w:val="0"/>
          <w:numId w:val="0"/>
        </w:numPr>
        <w:tabs>
          <w:tab w:val="left" w:pos="1335"/>
        </w:tabs>
        <w:kinsoku/>
        <w:wordWrap/>
        <w:overflowPunct/>
        <w:topLinePunct w:val="0"/>
        <w:autoSpaceDE/>
        <w:autoSpaceDN/>
        <w:bidi w:val="0"/>
        <w:spacing w:line="360" w:lineRule="auto"/>
        <w:ind w:leftChars="0"/>
        <w:textAlignment w:val="auto"/>
        <w:outlineLvl w:val="9"/>
        <w:rPr>
          <w:rFonts w:hint="eastAsia" w:ascii="宋体"/>
          <w:color w:val="auto"/>
          <w:sz w:val="21"/>
          <w:szCs w:val="21"/>
        </w:rPr>
      </w:pPr>
      <w:bookmarkStart w:id="27" w:name="_Toc32171"/>
      <w:bookmarkStart w:id="28" w:name="_Toc29758"/>
      <w:bookmarkStart w:id="29" w:name="_Toc22168"/>
      <w:bookmarkStart w:id="30" w:name="_Toc26760"/>
      <w:bookmarkStart w:id="31" w:name="_Toc7582"/>
      <w:bookmarkStart w:id="32" w:name="_Toc28450"/>
      <w:bookmarkStart w:id="33" w:name="_Toc16799"/>
      <w:bookmarkStart w:id="34" w:name="_Toc235886364"/>
      <w:bookmarkStart w:id="35" w:name="_Toc8382"/>
      <w:bookmarkStart w:id="36" w:name="_Toc29313"/>
      <w:r>
        <w:rPr>
          <w:rFonts w:hint="eastAsia" w:ascii="宋体"/>
          <w:color w:val="auto"/>
          <w:sz w:val="21"/>
          <w:szCs w:val="21"/>
          <w:lang w:val="en-US" w:eastAsia="zh-CN"/>
        </w:rPr>
        <w:t>3.1.5.2</w:t>
      </w:r>
      <w:r>
        <w:rPr>
          <w:rFonts w:hint="eastAsia" w:ascii="宋体"/>
          <w:color w:val="auto"/>
          <w:sz w:val="21"/>
          <w:szCs w:val="21"/>
        </w:rPr>
        <w:t>主要间隔单元设备功能</w:t>
      </w:r>
      <w:bookmarkEnd w:id="27"/>
      <w:bookmarkEnd w:id="28"/>
      <w:bookmarkEnd w:id="29"/>
      <w:bookmarkEnd w:id="30"/>
      <w:bookmarkEnd w:id="31"/>
      <w:bookmarkEnd w:id="32"/>
      <w:bookmarkEnd w:id="33"/>
      <w:bookmarkEnd w:id="34"/>
      <w:bookmarkEnd w:id="35"/>
      <w:bookmarkEnd w:id="36"/>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color w:val="auto"/>
          <w:sz w:val="21"/>
          <w:szCs w:val="21"/>
        </w:rPr>
      </w:pPr>
      <w:r>
        <w:rPr>
          <w:rFonts w:hint="eastAsia" w:ascii="宋体" w:hAnsi="宋体"/>
          <w:color w:val="auto"/>
          <w:sz w:val="21"/>
          <w:szCs w:val="21"/>
        </w:rPr>
        <w:t>基本要求</w:t>
      </w:r>
    </w:p>
    <w:p>
      <w:pPr>
        <w:keepNext w:val="0"/>
        <w:keepLines w:val="0"/>
        <w:pageBreakBefore w:val="0"/>
        <w:widowControl w:val="0"/>
        <w:numPr>
          <w:ilvl w:val="0"/>
          <w:numId w:val="7"/>
        </w:numPr>
        <w:kinsoku/>
        <w:wordWrap/>
        <w:overflowPunct/>
        <w:topLinePunct w:val="0"/>
        <w:autoSpaceDE/>
        <w:autoSpaceDN/>
        <w:bidi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系统配置的各种保护单元应满足选择性、速动性、灵敏性、可靠性的要求实施对系统各种故障设备或故障区段的快速隔离，保证供电系统的可靠供电。</w:t>
      </w:r>
    </w:p>
    <w:p>
      <w:pPr>
        <w:keepNext w:val="0"/>
        <w:keepLines w:val="0"/>
        <w:pageBreakBefore w:val="0"/>
        <w:widowControl w:val="0"/>
        <w:numPr>
          <w:ilvl w:val="0"/>
          <w:numId w:val="7"/>
        </w:numPr>
        <w:kinsoku/>
        <w:wordWrap/>
        <w:overflowPunct/>
        <w:topLinePunct w:val="0"/>
        <w:autoSpaceDE/>
        <w:autoSpaceDN/>
        <w:bidi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所有保护测控单元功能应具有独立性，应不依赖于所内通信网络。当通信网络故障时,不应影响装置本体的功能及所有通过硬线实现的安全自动控制功能。</w:t>
      </w:r>
    </w:p>
    <w:p>
      <w:pPr>
        <w:keepNext w:val="0"/>
        <w:keepLines w:val="0"/>
        <w:pageBreakBefore w:val="0"/>
        <w:widowControl w:val="0"/>
        <w:numPr>
          <w:ilvl w:val="0"/>
          <w:numId w:val="7"/>
        </w:numPr>
        <w:kinsoku/>
        <w:wordWrap/>
        <w:overflowPunct/>
        <w:topLinePunct w:val="0"/>
        <w:autoSpaceDE/>
        <w:autoSpaceDN/>
        <w:bidi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每套保护测控单元负责一台开关柜内断路器的保护、测量与控制，自带操作回路，不需附加设备和外加继电器即可直接跳合断路器。</w:t>
      </w:r>
    </w:p>
    <w:p>
      <w:pPr>
        <w:pStyle w:val="9"/>
        <w:keepNext w:val="0"/>
        <w:keepLines w:val="0"/>
        <w:pageBreakBefore w:val="0"/>
        <w:widowControl w:val="0"/>
        <w:numPr>
          <w:ilvl w:val="0"/>
          <w:numId w:val="7"/>
        </w:numPr>
        <w:kinsoku/>
        <w:wordWrap/>
        <w:overflowPunct/>
        <w:topLinePunct w:val="0"/>
        <w:autoSpaceDE/>
        <w:autoSpaceDN/>
        <w:bidi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微机综合自动化装置采用单元式微机保护装置，</w:t>
      </w:r>
      <w:r>
        <w:rPr>
          <w:rFonts w:hint="eastAsia" w:ascii="宋体" w:hAnsi="宋体"/>
          <w:color w:val="auto"/>
          <w:sz w:val="21"/>
          <w:szCs w:val="21"/>
          <w:lang w:val="en-US" w:eastAsia="zh-CN"/>
        </w:rPr>
        <w:t>凉</w:t>
      </w:r>
      <w:r>
        <w:rPr>
          <w:rFonts w:hint="eastAsia" w:ascii="宋体" w:hAnsi="宋体"/>
          <w:b w:val="0"/>
          <w:bCs w:val="0"/>
          <w:color w:val="auto"/>
          <w:sz w:val="21"/>
          <w:szCs w:val="21"/>
          <w:lang w:val="en-US" w:eastAsia="zh-CN"/>
        </w:rPr>
        <w:t>城配电所</w:t>
      </w:r>
      <w:r>
        <w:rPr>
          <w:rFonts w:hint="eastAsia" w:ascii="宋体" w:hAnsi="宋体"/>
          <w:b w:val="0"/>
          <w:bCs w:val="0"/>
          <w:color w:val="auto"/>
          <w:sz w:val="21"/>
          <w:szCs w:val="21"/>
        </w:rPr>
        <w:t>保护单元设置在高压柜内，</w:t>
      </w:r>
      <w:r>
        <w:rPr>
          <w:rFonts w:hint="eastAsia" w:ascii="宋体" w:hAnsi="宋体"/>
          <w:b w:val="0"/>
          <w:bCs w:val="0"/>
          <w:color w:val="auto"/>
          <w:sz w:val="21"/>
          <w:szCs w:val="21"/>
          <w:lang w:val="en-US" w:eastAsia="zh-CN"/>
        </w:rPr>
        <w:t>其他两所安装在控制屏内</w:t>
      </w:r>
      <w:r>
        <w:rPr>
          <w:rFonts w:hint="eastAsia" w:ascii="宋体" w:hAnsi="宋体"/>
          <w:b w:val="0"/>
          <w:bCs w:val="0"/>
          <w:color w:val="auto"/>
          <w:sz w:val="21"/>
          <w:szCs w:val="21"/>
        </w:rPr>
        <w:t>。系统由微机继电保护装置、通信</w:t>
      </w:r>
      <w:r>
        <w:rPr>
          <w:rFonts w:hint="eastAsia" w:ascii="宋体" w:hAnsi="宋体"/>
          <w:color w:val="auto"/>
          <w:sz w:val="21"/>
          <w:szCs w:val="21"/>
        </w:rPr>
        <w:t>管理机、监控后台及系统软件等组成。</w:t>
      </w:r>
    </w:p>
    <w:p>
      <w:pPr>
        <w:pStyle w:val="9"/>
        <w:keepNext w:val="0"/>
        <w:keepLines w:val="0"/>
        <w:pageBreakBefore w:val="0"/>
        <w:widowControl w:val="0"/>
        <w:numPr>
          <w:ilvl w:val="0"/>
          <w:numId w:val="7"/>
        </w:numPr>
        <w:kinsoku/>
        <w:wordWrap/>
        <w:overflowPunct/>
        <w:topLinePunct w:val="0"/>
        <w:autoSpaceDE/>
        <w:autoSpaceDN/>
        <w:bidi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通信管理机：提供多种通信方式接口，具备多种规约转换功能，把相关数据信息上传远动系统，能通过接收天线完成系统GPS和北斗对时功能。</w:t>
      </w:r>
    </w:p>
    <w:p>
      <w:pPr>
        <w:pStyle w:val="9"/>
        <w:keepNext w:val="0"/>
        <w:keepLines w:val="0"/>
        <w:pageBreakBefore w:val="0"/>
        <w:widowControl w:val="0"/>
        <w:numPr>
          <w:ilvl w:val="0"/>
          <w:numId w:val="7"/>
        </w:numPr>
        <w:kinsoku/>
        <w:wordWrap/>
        <w:overflowPunct/>
        <w:topLinePunct w:val="0"/>
        <w:autoSpaceDE/>
        <w:autoSpaceDN/>
        <w:bidi w:val="0"/>
        <w:spacing w:line="360" w:lineRule="auto"/>
        <w:ind w:left="0" w:leftChars="0" w:firstLine="403" w:firstLineChars="0"/>
        <w:textAlignment w:val="auto"/>
        <w:outlineLvl w:val="9"/>
        <w:rPr>
          <w:rFonts w:hint="eastAsia" w:ascii="宋体" w:hAnsi="宋体"/>
          <w:color w:val="auto"/>
          <w:sz w:val="21"/>
          <w:szCs w:val="21"/>
        </w:rPr>
      </w:pPr>
      <w:r>
        <w:rPr>
          <w:rFonts w:hint="eastAsia" w:ascii="宋体" w:hAnsi="宋体"/>
          <w:color w:val="auto"/>
          <w:sz w:val="21"/>
          <w:szCs w:val="21"/>
        </w:rPr>
        <w:t>监控后台及系统软件：具备断路器控制操作功能、</w:t>
      </w:r>
      <w:r>
        <w:rPr>
          <w:rFonts w:hint="eastAsia" w:ascii="宋体" w:hAnsi="宋体"/>
          <w:color w:val="auto"/>
          <w:sz w:val="21"/>
          <w:szCs w:val="21"/>
          <w:lang w:val="en-US" w:eastAsia="zh-CN"/>
        </w:rPr>
        <w:t>信号监测</w:t>
      </w:r>
      <w:r>
        <w:rPr>
          <w:rFonts w:hint="eastAsia" w:ascii="宋体" w:hAnsi="宋体"/>
          <w:color w:val="auto"/>
          <w:sz w:val="21"/>
          <w:szCs w:val="21"/>
        </w:rPr>
        <w:t>、状态报警、故障</w:t>
      </w:r>
      <w:r>
        <w:rPr>
          <w:rFonts w:hint="eastAsia" w:ascii="宋体" w:hAnsi="宋体"/>
          <w:color w:val="auto"/>
          <w:sz w:val="21"/>
          <w:szCs w:val="21"/>
          <w:lang w:val="en-US" w:eastAsia="zh-CN"/>
        </w:rPr>
        <w:t>告警</w:t>
      </w:r>
      <w:r>
        <w:rPr>
          <w:rFonts w:hint="eastAsia" w:ascii="宋体" w:hAnsi="宋体"/>
          <w:color w:val="auto"/>
          <w:sz w:val="21"/>
          <w:szCs w:val="21"/>
        </w:rPr>
        <w:t>等数据进行采集和处理功能、人机对话功能、显示打印功能、历史记录功能等。</w:t>
      </w:r>
    </w:p>
    <w:p>
      <w:pPr>
        <w:pStyle w:val="10"/>
        <w:spacing w:line="360" w:lineRule="exact"/>
        <w:rPr>
          <w:rFonts w:hint="eastAsia" w:ascii="宋体" w:hAnsi="宋体"/>
          <w:color w:val="auto"/>
          <w:sz w:val="21"/>
          <w:szCs w:val="21"/>
        </w:rPr>
      </w:pPr>
      <w:r>
        <w:rPr>
          <w:rFonts w:hint="eastAsia" w:ascii="宋体" w:hAnsi="宋体"/>
          <w:color w:val="auto"/>
          <w:sz w:val="21"/>
          <w:szCs w:val="21"/>
        </w:rPr>
        <w:t>配电所继电保护及自动装置配置</w:t>
      </w:r>
    </w:p>
    <w:tbl>
      <w:tblPr>
        <w:tblStyle w:val="7"/>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06"/>
        <w:gridCol w:w="388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2006"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单元名称</w:t>
            </w:r>
          </w:p>
        </w:tc>
        <w:tc>
          <w:tcPr>
            <w:tcW w:w="3882"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继  电  保  护</w:t>
            </w:r>
          </w:p>
        </w:tc>
        <w:tc>
          <w:tcPr>
            <w:tcW w:w="3187"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自  动  装  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2006"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电源</w:t>
            </w:r>
          </w:p>
        </w:tc>
        <w:tc>
          <w:tcPr>
            <w:tcW w:w="3882"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电流速断、定时过电流、低电压</w:t>
            </w:r>
          </w:p>
        </w:tc>
        <w:tc>
          <w:tcPr>
            <w:tcW w:w="3187"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具备用电源自投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2006"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母联</w:t>
            </w:r>
          </w:p>
        </w:tc>
        <w:tc>
          <w:tcPr>
            <w:tcW w:w="3882"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电流速断、定时过电流</w:t>
            </w:r>
          </w:p>
        </w:tc>
        <w:tc>
          <w:tcPr>
            <w:tcW w:w="3187"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备用电源自投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2006"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一般馈出线</w:t>
            </w:r>
          </w:p>
        </w:tc>
        <w:tc>
          <w:tcPr>
            <w:tcW w:w="3882"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电流速断、定时过电流</w:t>
            </w:r>
          </w:p>
        </w:tc>
        <w:tc>
          <w:tcPr>
            <w:tcW w:w="3187"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单相接地信号/零序电流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2006"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贯通馈出线</w:t>
            </w:r>
          </w:p>
        </w:tc>
        <w:tc>
          <w:tcPr>
            <w:tcW w:w="3882"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电流速断、定时过电流、失压、零序过电流、零序速断</w:t>
            </w:r>
          </w:p>
        </w:tc>
        <w:tc>
          <w:tcPr>
            <w:tcW w:w="3187"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一次自动重合闸或备用电源自投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0" w:hRule="atLeast"/>
          <w:jc w:val="center"/>
        </w:trPr>
        <w:tc>
          <w:tcPr>
            <w:tcW w:w="2006"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母线电压互感器</w:t>
            </w:r>
          </w:p>
        </w:tc>
        <w:tc>
          <w:tcPr>
            <w:tcW w:w="3882" w:type="dxa"/>
            <w:vAlign w:val="center"/>
          </w:tcPr>
          <w:p>
            <w:pPr>
              <w:pStyle w:val="11"/>
              <w:spacing w:line="360" w:lineRule="exact"/>
              <w:rPr>
                <w:rFonts w:hint="eastAsia" w:ascii="宋体" w:hAnsi="宋体"/>
                <w:color w:val="auto"/>
                <w:sz w:val="21"/>
                <w:szCs w:val="21"/>
              </w:rPr>
            </w:pPr>
          </w:p>
        </w:tc>
        <w:tc>
          <w:tcPr>
            <w:tcW w:w="3187" w:type="dxa"/>
            <w:vAlign w:val="center"/>
          </w:tcPr>
          <w:p>
            <w:pPr>
              <w:pStyle w:val="11"/>
              <w:spacing w:line="360" w:lineRule="exact"/>
              <w:rPr>
                <w:rFonts w:hint="eastAsia" w:ascii="宋体" w:hAnsi="宋体"/>
                <w:color w:val="auto"/>
                <w:sz w:val="21"/>
                <w:szCs w:val="21"/>
              </w:rPr>
            </w:pPr>
            <w:r>
              <w:rPr>
                <w:rFonts w:hint="eastAsia" w:ascii="宋体" w:hAnsi="宋体"/>
                <w:color w:val="auto"/>
                <w:sz w:val="21"/>
                <w:szCs w:val="21"/>
              </w:rPr>
              <w:t>母线绝缘监察</w:t>
            </w:r>
          </w:p>
        </w:tc>
      </w:tr>
    </w:tbl>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进线保护测控单元</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电流速断保护；</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定时过电流保护；</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失压保护；</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PT断线告警；</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控制回路异常告警；</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故障、负荷录波功能；</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母线联锁保护功能（闭锁式简易母线保护）；</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馈线保护测控单元</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电流速断保护；</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过电流保护；</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失压保护；</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PT断线告警；</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控制回路异常告警；</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故障、负荷录波功能；</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贯通线路保护测控单元</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电流速断保护；</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过电流保护；</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失压保护；</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零序过电压告警；</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零序过流保护、零序速断保护</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备用电源自投；</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合闸检同期；</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PT断线告警；</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控制回路异常告警；</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故障、负荷录波功能；</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一次重合闸</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调压器保护测控单元</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电流速断保护；</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过电流保护；</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手动/自动调压；</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合闸检同期；</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PT断线告警；</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控制回路异常告警；</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故障、负荷录波功能；</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母联备自投保护测控单元</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电流速断保护；</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过电流保护；</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备用电源自投；</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合闸检同期；</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PT断线告警；</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控制回路异常告警；</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故障、负荷录波功能；</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合闸后加速保护（母线充电保护）；</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315" w:firstLineChars="15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7</w:t>
      </w:r>
      <w:r>
        <w:rPr>
          <w:rFonts w:hint="eastAsia" w:ascii="宋体" w:hAnsi="宋体" w:cs="宋体"/>
          <w:color w:val="auto"/>
          <w:sz w:val="21"/>
          <w:szCs w:val="21"/>
          <w:lang w:eastAsia="zh-CN"/>
        </w:rPr>
        <w:t>）</w:t>
      </w:r>
      <w:r>
        <w:rPr>
          <w:rFonts w:hint="eastAsia" w:ascii="宋体" w:hAnsi="宋体" w:eastAsia="宋体" w:cs="宋体"/>
          <w:color w:val="auto"/>
          <w:sz w:val="21"/>
          <w:szCs w:val="21"/>
        </w:rPr>
        <w:t>预留足够的遥信、遥测、遥控点位用于控制电动隔离开关等装置，满足</w:t>
      </w:r>
      <w:r>
        <w:rPr>
          <w:rFonts w:hint="eastAsia" w:ascii="宋体" w:hAnsi="宋体" w:cs="宋体"/>
          <w:color w:val="auto"/>
          <w:sz w:val="21"/>
          <w:szCs w:val="21"/>
          <w:lang w:val="en-US" w:eastAsia="zh-CN"/>
        </w:rPr>
        <w:t>扩容</w:t>
      </w:r>
      <w:r>
        <w:rPr>
          <w:rFonts w:hint="eastAsia" w:ascii="宋体" w:hAnsi="宋体" w:eastAsia="宋体" w:cs="宋体"/>
          <w:color w:val="auto"/>
          <w:sz w:val="21"/>
          <w:szCs w:val="21"/>
        </w:rPr>
        <w:t>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val="en-US" w:eastAsia="zh-CN"/>
        </w:rPr>
        <w:t>3.1.5.3</w:t>
      </w:r>
      <w:r>
        <w:rPr>
          <w:rFonts w:hint="eastAsia" w:ascii="宋体" w:hAnsi="宋体" w:eastAsia="宋体" w:cs="宋体"/>
          <w:color w:val="auto"/>
          <w:sz w:val="21"/>
          <w:szCs w:val="21"/>
        </w:rPr>
        <w:t>系统硬件技术规格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系统的硬件、软件的设计应充分考虑可靠性、可维护性和可扩性，同时遵循模块化和冗余设计的原则。软件设计应采用面向对象的模块化设计和开放的国际软件接口标准。间隔单元的关键芯片达到工业级标准,系统设备具有高的抗干扰性、良好的电磁兼容性、较强的抗震性及抗腐蚀性，保证在现场恶劣的运行环境下的安全运行。</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站级管理层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通信设备包括远动通信单元以及维修通信单元，应采用可靠性高，处理能力强，实时响应速度快的工业级产品。</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远动通信单元配置NTP(Net Time Protocol)对时模块,当远动信道故障时,可采用软时钟对时。</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通信层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无论采用何种网络架构，所内交换机等通信设备达到工业级标准,通信媒体应采用以太网屏蔽双绞线。</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间隔单元设备</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间隔单元设备采用微机保护测控设备。间隔单元芯片选型及结构的设计应适应现场恶劣的运行环境，重要芯片采用工业级标准。</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系统配置的各种保护单元应满足选择性、速动性、灵敏性、可靠性的要求，实施对系统各种故障设备或故障区段的快速隔离，保证供电系统的可靠供电。</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保护测控单元功能应具有独立性，应不依赖于所内通信网络。当通信网络故障时,不应影响装置本体的功能及所有通过硬线实现的安全自动控制功能。</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软硬件都应采取抗干扰措施，具有高抗干扰性。出口继电器应具有防止“抖动”和“粘结”的功能。</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可靠的硬件闭锁功能。具有在任何情况下都能保证单元不误动，只有在保护区内发生故障时，才允许保护出口。</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具有在线自检、自恢复及自复位功能</w:t>
      </w:r>
      <w:r>
        <w:rPr>
          <w:rFonts w:hint="eastAsia" w:ascii="宋体" w:hAnsi="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在单元故障的情况下，应能够发出单元异常信号，所有自检信号应向配电所综合自动化系统转发。自检标志达到模块级。</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在外部电源故障或失电时，单元所有信息不应丢失，并能在外部电源恢复时，恢复其正常功能，重新正确显示并输出。</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单元应采取安全可靠的防误操作措施，闭锁所有不正确操作。</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通信规约应采用符合国际标准的通信规约，并完全向用户开放。</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控制输出采用继电器接点方式，接点容量应与被控制开关的合/分闸回路参数匹配，并保证在被控制开关拒动时，本单元及二次回路完好无损。</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输入采用光电隔离及防抖措施。</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输入/输出接点数量应满足现场设备出口驱动能力及现场设备接线的实际需要并预留一定的扩展裕度。输入/输出应采取过压、过流保护措施。</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跳闸回路监视功能：对跳闸回路的开、合状态进行监视。</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模拟量采集：采用交流采样方式对交流模拟量进行采样。应分别满足保护范围与测量精度的要求。测量及显示精度不低于1级。</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网络通信：具备屏蔽双绞线以太网接口功能。间隔单元设备还应设有与计算机直接连接的标准接口，用于单元设备的调试维护。</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应设置参数整定保护密码。装置的整定参数的修改应在输入密码后才能设置。保护配置应可通过软件完成，在设备投运时所有未用保护都应处于闭锁状态。</w:t>
      </w:r>
    </w:p>
    <w:p>
      <w:pPr>
        <w:keepNext w:val="0"/>
        <w:keepLines w:val="0"/>
        <w:pageBreakBefore w:val="0"/>
        <w:widowControl w:val="0"/>
        <w:tabs>
          <w:tab w:val="left" w:pos="1335"/>
        </w:tabs>
        <w:kinsoku/>
        <w:wordWrap/>
        <w:overflowPunct/>
        <w:topLinePunct w:val="0"/>
        <w:bidi w:val="0"/>
        <w:spacing w:line="360" w:lineRule="auto"/>
        <w:textAlignment w:val="auto"/>
        <w:outlineLvl w:val="9"/>
        <w:rPr>
          <w:rFonts w:hint="eastAsia" w:ascii="宋体" w:hAnsi="宋体" w:eastAsia="宋体" w:cs="宋体"/>
          <w:b/>
          <w:bCs/>
          <w:color w:val="auto"/>
          <w:sz w:val="21"/>
          <w:szCs w:val="21"/>
        </w:rPr>
      </w:pPr>
      <w:bookmarkStart w:id="37" w:name="_Toc4988"/>
      <w:bookmarkStart w:id="38" w:name="_Toc9687"/>
      <w:bookmarkStart w:id="39" w:name="_Toc14810"/>
      <w:bookmarkStart w:id="40" w:name="_Toc10216"/>
      <w:bookmarkStart w:id="41" w:name="_Toc23226"/>
      <w:bookmarkStart w:id="42" w:name="_Toc14188"/>
      <w:bookmarkStart w:id="43" w:name="_Toc7151"/>
      <w:bookmarkStart w:id="44" w:name="_Toc10952"/>
      <w:bookmarkStart w:id="45" w:name="_Toc12440"/>
      <w:bookmarkStart w:id="46" w:name="_Toc235886367"/>
      <w:r>
        <w:rPr>
          <w:rFonts w:hint="eastAsia" w:ascii="宋体" w:hAnsi="宋体" w:eastAsia="宋体" w:cs="宋体"/>
          <w:b/>
          <w:bCs/>
          <w:color w:val="auto"/>
          <w:sz w:val="21"/>
          <w:szCs w:val="21"/>
          <w:lang w:val="en-US" w:eastAsia="zh-CN"/>
        </w:rPr>
        <w:t>3.</w:t>
      </w:r>
      <w:r>
        <w:rPr>
          <w:rFonts w:hint="eastAsia" w:ascii="宋体" w:hAnsi="宋体" w:cs="宋体"/>
          <w:b/>
          <w:bCs/>
          <w:color w:val="auto"/>
          <w:sz w:val="21"/>
          <w:szCs w:val="21"/>
          <w:lang w:val="en-US" w:eastAsia="zh-CN"/>
        </w:rPr>
        <w:t>1.6</w:t>
      </w:r>
      <w:r>
        <w:rPr>
          <w:rFonts w:hint="eastAsia" w:ascii="宋体" w:hAnsi="宋体" w:eastAsia="宋体" w:cs="宋体"/>
          <w:b/>
          <w:bCs/>
          <w:color w:val="auto"/>
          <w:sz w:val="21"/>
          <w:szCs w:val="21"/>
        </w:rPr>
        <w:t>盘体及设备结构</w:t>
      </w:r>
      <w:bookmarkEnd w:id="37"/>
      <w:bookmarkEnd w:id="38"/>
      <w:bookmarkEnd w:id="39"/>
      <w:bookmarkEnd w:id="40"/>
      <w:bookmarkEnd w:id="41"/>
      <w:bookmarkEnd w:id="42"/>
      <w:bookmarkEnd w:id="43"/>
      <w:bookmarkEnd w:id="44"/>
      <w:bookmarkEnd w:id="45"/>
      <w:bookmarkEnd w:id="46"/>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盘体由钢板及骨架组成，采用钢性好</w:t>
      </w:r>
      <w:r>
        <w:rPr>
          <w:rFonts w:hint="eastAsia" w:ascii="宋体" w:hAnsi="宋体" w:cs="宋体"/>
          <w:color w:val="auto"/>
          <w:sz w:val="21"/>
          <w:szCs w:val="21"/>
          <w:lang w:eastAsia="zh-CN"/>
        </w:rPr>
        <w:t>、</w:t>
      </w:r>
      <w:r>
        <w:rPr>
          <w:rFonts w:hint="eastAsia" w:ascii="宋体" w:hAnsi="宋体" w:eastAsia="宋体" w:cs="宋体"/>
          <w:color w:val="auto"/>
          <w:sz w:val="21"/>
          <w:szCs w:val="21"/>
        </w:rPr>
        <w:t>有一定耐热能力的钢材，钢板厚度不小于2mm。盘内辅助钢板厚度不应小于1.6mm。制成的面板及屏架应有足够的机械强度，以保证元件安装及操作时无摇晃，盘面板及盘架无变形。保护控制盘的尺寸、开门方式、结构、颜色在设计联络时确定。</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保护测控装置应由全密封防尘金属机箱防护，装置外壳防护符合GB4208外壳防护等级（端子：IP20，壳体：IP51，柜内安装：IP30）。机箱应采取必要的防静电及电磁辐射干扰的防护措施。机箱应可靠接地。机箱模件如为插拔式结构，应插拔灵活，接触可靠，互换性好。</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所有盘柜在组装、调试完毕后，整体抗震性能应良好，强度高，无松散晃动。盘内配线，电流回路不低于2.5mm2,其他配线不低于2.5mm2,采用绝缘多股铜电线，可动部分应过渡柔软，并能承受挠曲而不致疲劳损伤，盘内编号应统一、清晰。</w:t>
      </w:r>
    </w:p>
    <w:p>
      <w:pPr>
        <w:keepNext w:val="0"/>
        <w:keepLines w:val="0"/>
        <w:pageBreakBefore w:val="0"/>
        <w:widowControl w:val="0"/>
        <w:numPr>
          <w:ilvl w:val="0"/>
          <w:numId w:val="15"/>
        </w:numPr>
        <w:kinsoku/>
        <w:wordWrap/>
        <w:overflowPunct/>
        <w:topLinePunct w:val="0"/>
        <w:autoSpaceDE/>
        <w:autoSpaceDN/>
        <w:bidi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盘上端子排的设计应考虑运行、检修、调试的方便，采用在铁路上有多年实际运行经验的抗震动免维护的高质量阻燃端子，端子应有明显的标识。一般端子、弱电端子之间应有所间隔。适当考虑与设备位置对应，端子排导电部分为铜质。端子的选用应满足回路载流量及所接电缆截面的需要。盘内应预留适当数量的端子及端子安装位置。</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盘上装设接地螺栓，盘的活动金属构件及金属门，与盘体之间应用铜线牢固连接。盘体的喷漆及颜色在设计联络时确定。</w:t>
      </w:r>
    </w:p>
    <w:p>
      <w:pPr>
        <w:keepNext w:val="0"/>
        <w:keepLines w:val="0"/>
        <w:pageBreakBefore w:val="0"/>
        <w:widowControl w:val="0"/>
        <w:numPr>
          <w:ilvl w:val="0"/>
          <w:numId w:val="15"/>
        </w:numPr>
        <w:kinsoku/>
        <w:wordWrap/>
        <w:overflowPunct/>
        <w:topLinePunct w:val="0"/>
        <w:autoSpaceDE/>
        <w:autoSpaceDN/>
        <w:bidi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盘柜内设置二次配线用电缆槽，在电缆槽下方附近的盘柜底部钢板上预留电缆引入孔及密封胶圈，并在电缆引入孔处设置高为50mm防火封堵盒。电缆槽下方盘柜底部向下100mm处设电缆固定夹子，以便电缆的固定（设计联络时再次确定）。</w:t>
      </w:r>
    </w:p>
    <w:p>
      <w:pPr>
        <w:keepNext w:val="0"/>
        <w:keepLines w:val="0"/>
        <w:pageBreakBefore w:val="0"/>
        <w:widowControl w:val="0"/>
        <w:numPr>
          <w:ilvl w:val="0"/>
          <w:numId w:val="15"/>
        </w:numPr>
        <w:kinsoku/>
        <w:wordWrap/>
        <w:overflowPunct/>
        <w:topLinePunct w:val="0"/>
        <w:autoSpaceDE/>
        <w:autoSpaceDN/>
        <w:bidi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调压控制器安装于10kV配电所当地监控盘内，控制器到调压器的电缆由控制器</w:t>
      </w:r>
      <w:r>
        <w:rPr>
          <w:rFonts w:hint="eastAsia" w:ascii="宋体" w:hAnsi="宋体" w:eastAsia="宋体" w:cs="宋体"/>
          <w:color w:val="auto"/>
          <w:sz w:val="21"/>
          <w:szCs w:val="21"/>
          <w:lang w:eastAsia="zh-CN"/>
        </w:rPr>
        <w:t>投标方</w:t>
      </w:r>
      <w:r>
        <w:rPr>
          <w:rFonts w:hint="eastAsia" w:ascii="宋体" w:hAnsi="宋体" w:eastAsia="宋体" w:cs="宋体"/>
          <w:color w:val="auto"/>
          <w:sz w:val="21"/>
          <w:szCs w:val="21"/>
        </w:rPr>
        <w:t>提供，施工单位敷设，控制器由调压器厂提供给综自</w:t>
      </w:r>
      <w:r>
        <w:rPr>
          <w:rFonts w:hint="eastAsia" w:ascii="宋体" w:hAnsi="宋体" w:eastAsia="宋体" w:cs="宋体"/>
          <w:color w:val="auto"/>
          <w:sz w:val="21"/>
          <w:szCs w:val="21"/>
          <w:lang w:eastAsia="zh-CN"/>
        </w:rPr>
        <w:t>投标方</w:t>
      </w:r>
      <w:r>
        <w:rPr>
          <w:rFonts w:hint="eastAsia" w:ascii="宋体" w:hAnsi="宋体" w:eastAsia="宋体" w:cs="宋体"/>
          <w:color w:val="auto"/>
          <w:sz w:val="21"/>
          <w:szCs w:val="21"/>
        </w:rPr>
        <w:t>安装。</w:t>
      </w:r>
    </w:p>
    <w:p>
      <w:pPr>
        <w:keepNext w:val="0"/>
        <w:keepLines w:val="0"/>
        <w:pageBreakBefore w:val="0"/>
        <w:widowControl w:val="0"/>
        <w:numPr>
          <w:ilvl w:val="0"/>
          <w:numId w:val="15"/>
        </w:numPr>
        <w:kinsoku/>
        <w:wordWrap/>
        <w:overflowPunct/>
        <w:topLinePunct w:val="0"/>
        <w:autoSpaceDE/>
        <w:autoSpaceDN/>
        <w:bidi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调压器非电量跳闸信号需要提供2对接点给调压器保护测控装置。</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微保单元设置在高压柜上。高压开关柜生产商做好接口工作。后台系统和通信处理机设于控制室。</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微机保护屏必须配备中央信号报警系统，预告、事故告警除通过后台监控主机报警外，中央信号系统也能同时给出报警信息，并且能够正常手动复归。</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配电所所有的多功能电能表及指示仪表应具有远程传输的通信接口，生产</w:t>
      </w:r>
      <w:r>
        <w:rPr>
          <w:rFonts w:hint="eastAsia" w:ascii="宋体" w:hAnsi="宋体" w:eastAsia="宋体" w:cs="宋体"/>
          <w:color w:val="auto"/>
          <w:sz w:val="21"/>
          <w:szCs w:val="21"/>
          <w:lang w:eastAsia="zh-CN"/>
        </w:rPr>
        <w:t>投标方</w:t>
      </w:r>
      <w:r>
        <w:rPr>
          <w:rFonts w:hint="eastAsia" w:ascii="宋体" w:hAnsi="宋体" w:eastAsia="宋体" w:cs="宋体"/>
          <w:color w:val="auto"/>
          <w:sz w:val="21"/>
          <w:szCs w:val="21"/>
        </w:rPr>
        <w:t>应将通信规约提供给配电所微机综合自动化</w:t>
      </w:r>
      <w:r>
        <w:rPr>
          <w:rFonts w:hint="eastAsia" w:ascii="宋体" w:hAnsi="宋体" w:eastAsia="宋体" w:cs="宋体"/>
          <w:color w:val="auto"/>
          <w:sz w:val="21"/>
          <w:szCs w:val="21"/>
          <w:lang w:eastAsia="zh-CN"/>
        </w:rPr>
        <w:t>投标方</w:t>
      </w:r>
      <w:r>
        <w:rPr>
          <w:rFonts w:hint="eastAsia" w:ascii="宋体" w:hAnsi="宋体" w:eastAsia="宋体" w:cs="宋体"/>
          <w:color w:val="auto"/>
          <w:sz w:val="21"/>
          <w:szCs w:val="21"/>
        </w:rPr>
        <w:t>，并配合接入综自系统。</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配电所内电度表屏由综合自动化</w:t>
      </w:r>
      <w:r>
        <w:rPr>
          <w:rFonts w:hint="eastAsia" w:ascii="宋体" w:hAnsi="宋体" w:eastAsia="宋体" w:cs="宋体"/>
          <w:color w:val="auto"/>
          <w:sz w:val="21"/>
          <w:szCs w:val="21"/>
          <w:lang w:eastAsia="zh-CN"/>
        </w:rPr>
        <w:t>投标方</w:t>
      </w:r>
      <w:r>
        <w:rPr>
          <w:rFonts w:hint="eastAsia" w:ascii="宋体" w:hAnsi="宋体" w:eastAsia="宋体" w:cs="宋体"/>
          <w:color w:val="auto"/>
          <w:sz w:val="21"/>
          <w:szCs w:val="21"/>
        </w:rPr>
        <w:t>提供。</w:t>
      </w:r>
    </w:p>
    <w:p>
      <w:pPr>
        <w:keepNext w:val="0"/>
        <w:keepLines w:val="0"/>
        <w:pageBreakBefore w:val="0"/>
        <w:widowControl w:val="0"/>
        <w:numPr>
          <w:ilvl w:val="0"/>
          <w:numId w:val="0"/>
        </w:numPr>
        <w:tabs>
          <w:tab w:val="left" w:pos="1335"/>
        </w:tabs>
        <w:kinsoku/>
        <w:wordWrap/>
        <w:overflowPunct/>
        <w:topLinePunct w:val="0"/>
        <w:autoSpaceDE/>
        <w:autoSpaceDN/>
        <w:bidi w:val="0"/>
        <w:spacing w:line="360" w:lineRule="auto"/>
        <w:ind w:leftChars="0"/>
        <w:textAlignment w:val="auto"/>
        <w:outlineLvl w:val="9"/>
        <w:rPr>
          <w:rFonts w:hint="eastAsia" w:ascii="宋体" w:hAnsi="宋体" w:eastAsia="宋体" w:cs="宋体"/>
          <w:b/>
          <w:bCs/>
          <w:color w:val="auto"/>
          <w:sz w:val="21"/>
          <w:szCs w:val="21"/>
        </w:rPr>
      </w:pPr>
      <w:bookmarkStart w:id="47" w:name="_Toc1313"/>
      <w:bookmarkStart w:id="48" w:name="_Toc235886368"/>
      <w:bookmarkStart w:id="49" w:name="_Toc19493"/>
      <w:bookmarkStart w:id="50" w:name="_Toc24652"/>
      <w:bookmarkStart w:id="51" w:name="_Toc9886"/>
      <w:bookmarkStart w:id="52" w:name="_Toc14028"/>
      <w:bookmarkStart w:id="53" w:name="_Toc7691"/>
      <w:bookmarkStart w:id="54" w:name="_Toc17193"/>
      <w:bookmarkStart w:id="55" w:name="_Toc255"/>
      <w:bookmarkStart w:id="56" w:name="_Toc7249"/>
      <w:r>
        <w:rPr>
          <w:rFonts w:hint="eastAsia" w:ascii="宋体" w:hAnsi="宋体" w:eastAsia="宋体" w:cs="宋体"/>
          <w:b/>
          <w:bCs/>
          <w:color w:val="auto"/>
          <w:sz w:val="21"/>
          <w:szCs w:val="21"/>
          <w:lang w:val="en-US" w:eastAsia="zh-CN"/>
        </w:rPr>
        <w:t>3.</w:t>
      </w:r>
      <w:r>
        <w:rPr>
          <w:rFonts w:hint="eastAsia" w:ascii="宋体" w:hAnsi="宋体" w:cs="宋体"/>
          <w:b/>
          <w:bCs/>
          <w:color w:val="auto"/>
          <w:sz w:val="21"/>
          <w:szCs w:val="21"/>
          <w:lang w:val="en-US" w:eastAsia="zh-CN"/>
        </w:rPr>
        <w:t>1.7</w:t>
      </w:r>
      <w:r>
        <w:rPr>
          <w:rFonts w:hint="eastAsia" w:ascii="宋体" w:hAnsi="宋体" w:eastAsia="宋体" w:cs="宋体"/>
          <w:b/>
          <w:bCs/>
          <w:color w:val="auto"/>
          <w:sz w:val="21"/>
          <w:szCs w:val="21"/>
        </w:rPr>
        <w:t>系统软件要求</w:t>
      </w:r>
      <w:bookmarkEnd w:id="47"/>
      <w:bookmarkEnd w:id="48"/>
      <w:bookmarkEnd w:id="49"/>
      <w:bookmarkEnd w:id="50"/>
      <w:bookmarkEnd w:id="51"/>
      <w:bookmarkEnd w:id="52"/>
      <w:bookmarkEnd w:id="53"/>
      <w:bookmarkEnd w:id="54"/>
      <w:bookmarkEnd w:id="55"/>
      <w:bookmarkEnd w:id="56"/>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系统应提供运行成熟、先进可靠、标准化高、开放性好的软件资源。软件结构采用模块化设计。软件功能丰富、实用、自动化水平高。编程手段应简捷、易学。</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通信单元应采用通用性强、实时响应性快、内核占用容量小的工业标准实时多任务操作系统。</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应用软件应是开放性的，用户在遵循操作规则的前提下，可以根据运营的要求修改、增扩系统容量。</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应配置维护软件包，可维护各种设备，诊断各种设备故障。</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应具有看门狗功能、自诊断自恢复功能。</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应配置专用的综合自动化系统应用软件。</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应配置专用的综合自动化系统调试维护软件。</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left="0" w:lef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招标方</w:t>
      </w:r>
      <w:r>
        <w:rPr>
          <w:rFonts w:hint="eastAsia" w:ascii="宋体" w:hAnsi="宋体" w:eastAsia="宋体" w:cs="宋体"/>
          <w:color w:val="auto"/>
          <w:sz w:val="21"/>
          <w:szCs w:val="21"/>
        </w:rPr>
        <w:t>有权要求</w:t>
      </w:r>
      <w:r>
        <w:rPr>
          <w:rFonts w:hint="eastAsia" w:ascii="宋体" w:hAnsi="宋体" w:eastAsia="宋体" w:cs="宋体"/>
          <w:color w:val="auto"/>
          <w:sz w:val="21"/>
          <w:szCs w:val="21"/>
          <w:lang w:eastAsia="zh-CN"/>
        </w:rPr>
        <w:t>投标方</w:t>
      </w:r>
      <w:r>
        <w:rPr>
          <w:rFonts w:hint="eastAsia" w:ascii="宋体" w:hAnsi="宋体" w:eastAsia="宋体" w:cs="宋体"/>
          <w:color w:val="auto"/>
          <w:sz w:val="21"/>
          <w:szCs w:val="21"/>
        </w:rPr>
        <w:t>按照用户要求对软件功能进行相应的修改。</w:t>
      </w:r>
    </w:p>
    <w:p>
      <w:pPr>
        <w:keepNext w:val="0"/>
        <w:keepLines w:val="0"/>
        <w:pageBreakBefore w:val="0"/>
        <w:widowControl w:val="0"/>
        <w:tabs>
          <w:tab w:val="left" w:pos="1335"/>
        </w:tabs>
        <w:kinsoku/>
        <w:wordWrap/>
        <w:overflowPunct/>
        <w:topLinePunct w:val="0"/>
        <w:bidi w:val="0"/>
        <w:spacing w:line="360" w:lineRule="auto"/>
        <w:textAlignment w:val="auto"/>
        <w:outlineLvl w:val="9"/>
        <w:rPr>
          <w:rFonts w:hint="eastAsia" w:ascii="宋体" w:hAnsi="宋体" w:eastAsia="宋体" w:cs="宋体"/>
          <w:b/>
          <w:bCs/>
          <w:color w:val="auto"/>
          <w:sz w:val="21"/>
          <w:szCs w:val="21"/>
        </w:rPr>
      </w:pPr>
      <w:bookmarkStart w:id="57" w:name="_Toc5033"/>
      <w:bookmarkStart w:id="58" w:name="_Toc235886369"/>
      <w:bookmarkStart w:id="59" w:name="_Toc16219"/>
      <w:bookmarkStart w:id="60" w:name="_Toc28065"/>
      <w:bookmarkStart w:id="61" w:name="_Toc45"/>
      <w:bookmarkStart w:id="62" w:name="_Toc16104"/>
      <w:bookmarkStart w:id="63" w:name="_Toc17563"/>
      <w:bookmarkStart w:id="64" w:name="_Toc9898"/>
      <w:bookmarkStart w:id="65" w:name="_Toc15546"/>
      <w:bookmarkStart w:id="66" w:name="_Toc24408"/>
      <w:r>
        <w:rPr>
          <w:rFonts w:hint="eastAsia" w:ascii="宋体" w:hAnsi="宋体" w:cs="宋体"/>
          <w:b/>
          <w:bCs/>
          <w:color w:val="auto"/>
          <w:sz w:val="21"/>
          <w:szCs w:val="21"/>
          <w:lang w:val="en-US" w:eastAsia="zh-CN"/>
        </w:rPr>
        <w:t>3.1.8</w:t>
      </w:r>
      <w:r>
        <w:rPr>
          <w:rFonts w:hint="eastAsia" w:ascii="宋体" w:hAnsi="宋体" w:eastAsia="宋体" w:cs="宋体"/>
          <w:b/>
          <w:bCs/>
          <w:color w:val="auto"/>
          <w:sz w:val="21"/>
          <w:szCs w:val="21"/>
        </w:rPr>
        <w:t>系统主要技术指标</w:t>
      </w:r>
      <w:bookmarkEnd w:id="57"/>
      <w:bookmarkEnd w:id="58"/>
      <w:bookmarkEnd w:id="59"/>
      <w:bookmarkEnd w:id="60"/>
      <w:bookmarkEnd w:id="61"/>
      <w:bookmarkEnd w:id="62"/>
      <w:bookmarkEnd w:id="63"/>
      <w:bookmarkEnd w:id="64"/>
      <w:bookmarkEnd w:id="65"/>
      <w:bookmarkEnd w:id="66"/>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color w:val="auto"/>
          <w:sz w:val="21"/>
          <w:szCs w:val="21"/>
        </w:rPr>
      </w:pPr>
      <w:bookmarkStart w:id="67" w:name="_Toc8019"/>
      <w:bookmarkStart w:id="68" w:name="_Toc981"/>
      <w:bookmarkStart w:id="69" w:name="_Toc25088"/>
      <w:r>
        <w:rPr>
          <w:rFonts w:hint="eastAsia" w:ascii="宋体" w:hAnsi="宋体" w:cs="宋体"/>
          <w:b w:val="0"/>
          <w:bCs w:val="0"/>
          <w:color w:val="auto"/>
          <w:sz w:val="21"/>
          <w:szCs w:val="21"/>
          <w:lang w:val="en-US" w:eastAsia="zh-CN"/>
        </w:rPr>
        <w:t>3.1.8.1</w:t>
      </w:r>
      <w:r>
        <w:rPr>
          <w:rFonts w:hint="eastAsia" w:ascii="宋体" w:hAnsi="宋体" w:eastAsia="宋体" w:cs="宋体"/>
          <w:b w:val="0"/>
          <w:bCs w:val="0"/>
          <w:color w:val="auto"/>
          <w:sz w:val="21"/>
          <w:szCs w:val="21"/>
        </w:rPr>
        <w:t>系统技术指标</w:t>
      </w:r>
      <w:bookmarkEnd w:id="67"/>
      <w:bookmarkEnd w:id="68"/>
      <w:bookmarkEnd w:id="69"/>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站控层系统可用率不少于99.9%</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站控层平均无故障时间（MTBF）不小于27,000小时</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间隔层平均无故障时间（MTBF）不小于40,000小时</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系统设计容量：支持256个节点</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主机正常负荷率低于30%，事故负荷率低于50%。网络正常负荷率低于20%，事故负荷率低于40%</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(6)双机切换时间＜2s,网络切换时间＜0.5s</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事件分辨率 ≤2ms</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遥信正确率 ≥99.9%</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遥控正确率 = 100%</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状态量变位更新时间≤2s</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遥测量更新时间≤2s</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画面和实时数据刷新时间≤2s</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画面调用时间≤2s</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间隔层对时精度≤2ms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(15)以太网通信速率：10Mbps/100Mbps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val="0"/>
          <w:bCs w:val="0"/>
          <w:color w:val="auto"/>
          <w:sz w:val="21"/>
          <w:szCs w:val="21"/>
        </w:rPr>
      </w:pPr>
      <w:bookmarkStart w:id="70" w:name="_Toc4543"/>
      <w:bookmarkStart w:id="71" w:name="_Toc29092"/>
      <w:bookmarkStart w:id="72" w:name="_Toc21839"/>
      <w:r>
        <w:rPr>
          <w:rFonts w:hint="eastAsia" w:ascii="宋体" w:hAnsi="宋体" w:cs="宋体"/>
          <w:b w:val="0"/>
          <w:bCs w:val="0"/>
          <w:color w:val="auto"/>
          <w:sz w:val="21"/>
          <w:szCs w:val="21"/>
          <w:lang w:val="en-US" w:eastAsia="zh-CN"/>
        </w:rPr>
        <w:t>3.1.8.2</w:t>
      </w:r>
      <w:r>
        <w:rPr>
          <w:rFonts w:hint="eastAsia" w:ascii="宋体" w:hAnsi="宋体" w:eastAsia="宋体" w:cs="宋体"/>
          <w:b w:val="0"/>
          <w:bCs w:val="0"/>
          <w:color w:val="auto"/>
          <w:sz w:val="21"/>
          <w:szCs w:val="21"/>
        </w:rPr>
        <w:t>保护测控装置技术指标</w:t>
      </w:r>
      <w:bookmarkEnd w:id="70"/>
      <w:bookmarkEnd w:id="71"/>
      <w:bookmarkEnd w:id="72"/>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bookmarkStart w:id="73" w:name="_Toc24433"/>
      <w:bookmarkStart w:id="74" w:name="_Toc5986"/>
      <w:bookmarkStart w:id="75" w:name="_Toc8064"/>
      <w:bookmarkStart w:id="76" w:name="_Toc6041"/>
      <w:bookmarkStart w:id="77" w:name="_Toc7646"/>
      <w:r>
        <w:rPr>
          <w:rFonts w:hint="eastAsia" w:ascii="宋体" w:hAnsi="宋体" w:eastAsia="宋体" w:cs="宋体"/>
          <w:color w:val="auto"/>
          <w:sz w:val="21"/>
          <w:szCs w:val="21"/>
        </w:rPr>
        <w:t>电源</w:t>
      </w:r>
      <w:bookmarkEnd w:id="73"/>
      <w:bookmarkEnd w:id="74"/>
      <w:bookmarkEnd w:id="75"/>
      <w:bookmarkEnd w:id="76"/>
      <w:bookmarkEnd w:id="77"/>
    </w:p>
    <w:p>
      <w:pPr>
        <w:keepNext w:val="0"/>
        <w:keepLines w:val="0"/>
        <w:pageBreakBefore w:val="0"/>
        <w:widowControl w:val="0"/>
        <w:kinsoku/>
        <w:wordWrap/>
        <w:overflowPunct/>
        <w:topLinePunct w:val="0"/>
        <w:bidi w:val="0"/>
        <w:adjustRightInd w:val="0"/>
        <w:snapToGrid w:val="0"/>
        <w:spacing w:line="360" w:lineRule="auto"/>
        <w:ind w:left="227"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DC 220V或110V，允许偏差：-20%～+15%。</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bookmarkStart w:id="78" w:name="_Toc27460"/>
      <w:bookmarkStart w:id="79" w:name="_Toc29736"/>
      <w:bookmarkStart w:id="80" w:name="_Toc25551"/>
      <w:bookmarkStart w:id="81" w:name="_Toc27315"/>
      <w:bookmarkStart w:id="82" w:name="_Toc16024"/>
      <w:r>
        <w:rPr>
          <w:rFonts w:hint="eastAsia" w:ascii="宋体" w:hAnsi="宋体" w:eastAsia="宋体" w:cs="宋体"/>
          <w:color w:val="auto"/>
          <w:sz w:val="21"/>
          <w:szCs w:val="21"/>
        </w:rPr>
        <w:t>额定交流数据</w:t>
      </w:r>
      <w:bookmarkEnd w:id="78"/>
      <w:bookmarkEnd w:id="79"/>
      <w:bookmarkEnd w:id="80"/>
      <w:bookmarkEnd w:id="81"/>
      <w:bookmarkEnd w:id="82"/>
    </w:p>
    <w:p>
      <w:pPr>
        <w:keepNext w:val="0"/>
        <w:keepLines w:val="0"/>
        <w:pageBreakBefore w:val="0"/>
        <w:widowControl w:val="0"/>
        <w:numPr>
          <w:ilvl w:val="0"/>
          <w:numId w:val="19"/>
        </w:numPr>
        <w:tabs>
          <w:tab w:val="left" w:pos="420"/>
        </w:tabs>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额定电压：</w:t>
      </w:r>
      <w:r>
        <w:rPr>
          <w:rFonts w:hint="eastAsia" w:ascii="宋体" w:hAnsi="宋体" w:eastAsia="宋体" w:cs="宋体"/>
          <w:color w:val="auto"/>
          <w:sz w:val="21"/>
          <w:szCs w:val="21"/>
        </w:rPr>
        <w:object>
          <v:shape id="_x0000_i1025" o:spt="75" type="#_x0000_t75" style="height:19.45pt;width:45.7pt;" o:ole="t" filled="f" stroked="f" coordsize="21600,21600">
            <v:path/>
            <v:fill on="f" focussize="0,0"/>
            <v:stroke on="f"/>
            <v:imagedata r:id="rId5" o:title="141472435204562"/>
            <o:lock v:ext="edit" aspectratio="t"/>
            <w10:wrap type="none"/>
            <w10:anchorlock/>
          </v:shape>
          <o:OLEObject Type="Embed" ProgID="Excel.Sheet.8" ShapeID="_x0000_i1025" DrawAspect="Content" ObjectID="_1468075725" r:id="rId4">
            <o:LockedField>false</o:LockedField>
          </o:OLEObject>
        </w:object>
      </w:r>
      <w:r>
        <w:rPr>
          <w:rFonts w:hint="eastAsia" w:ascii="宋体" w:hAnsi="宋体" w:eastAsia="宋体" w:cs="宋体"/>
          <w:color w:val="auto"/>
          <w:sz w:val="21"/>
          <w:szCs w:val="21"/>
        </w:rPr>
        <w:t>V，100V；</w:t>
      </w:r>
    </w:p>
    <w:p>
      <w:pPr>
        <w:keepNext w:val="0"/>
        <w:keepLines w:val="0"/>
        <w:pageBreakBefore w:val="0"/>
        <w:widowControl w:val="0"/>
        <w:numPr>
          <w:ilvl w:val="0"/>
          <w:numId w:val="19"/>
        </w:numPr>
        <w:tabs>
          <w:tab w:val="left" w:pos="420"/>
        </w:tabs>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交流电流：5A或1A；</w:t>
      </w:r>
    </w:p>
    <w:p>
      <w:pPr>
        <w:keepNext w:val="0"/>
        <w:keepLines w:val="0"/>
        <w:pageBreakBefore w:val="0"/>
        <w:widowControl w:val="0"/>
        <w:numPr>
          <w:ilvl w:val="0"/>
          <w:numId w:val="19"/>
        </w:numPr>
        <w:tabs>
          <w:tab w:val="left" w:pos="420"/>
        </w:tabs>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额定频率：50Hz。</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bookmarkStart w:id="83" w:name="_Toc23501"/>
      <w:bookmarkStart w:id="84" w:name="_Toc6774"/>
      <w:bookmarkStart w:id="85" w:name="_Toc20427"/>
      <w:bookmarkStart w:id="86" w:name="_Toc5829"/>
      <w:bookmarkStart w:id="87" w:name="_Toc24673"/>
      <w:r>
        <w:rPr>
          <w:rFonts w:hint="eastAsia" w:ascii="宋体" w:hAnsi="宋体" w:eastAsia="宋体" w:cs="宋体"/>
          <w:color w:val="auto"/>
          <w:sz w:val="21"/>
          <w:szCs w:val="21"/>
        </w:rPr>
        <w:t>功率消耗</w:t>
      </w:r>
      <w:bookmarkEnd w:id="83"/>
      <w:bookmarkEnd w:id="84"/>
      <w:bookmarkEnd w:id="85"/>
      <w:bookmarkEnd w:id="86"/>
      <w:bookmarkEnd w:id="87"/>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直流电源回路</w:t>
      </w:r>
      <w:r>
        <w:rPr>
          <w:rFonts w:hint="eastAsia" w:ascii="宋体" w:hAnsi="宋体" w:cs="宋体"/>
          <w:color w:val="auto"/>
          <w:sz w:val="21"/>
          <w:szCs w:val="21"/>
          <w:lang w:eastAsia="zh-CN"/>
        </w:rPr>
        <w:t>：</w:t>
      </w:r>
      <w:r>
        <w:rPr>
          <w:rFonts w:hint="eastAsia" w:ascii="宋体" w:hAnsi="宋体" w:eastAsia="宋体" w:cs="宋体"/>
          <w:color w:val="auto"/>
          <w:sz w:val="21"/>
          <w:szCs w:val="21"/>
        </w:rPr>
        <w:t>正常工作时，不大于8W</w:t>
      </w:r>
      <w:r>
        <w:rPr>
          <w:rFonts w:hint="eastAsia" w:ascii="宋体" w:hAnsi="宋体" w:cs="宋体"/>
          <w:color w:val="auto"/>
          <w:sz w:val="21"/>
          <w:szCs w:val="21"/>
          <w:lang w:eastAsia="zh-CN"/>
        </w:rPr>
        <w:t>；</w:t>
      </w:r>
      <w:r>
        <w:rPr>
          <w:rFonts w:hint="eastAsia" w:ascii="宋体" w:hAnsi="宋体" w:eastAsia="宋体" w:cs="宋体"/>
          <w:color w:val="auto"/>
          <w:sz w:val="21"/>
          <w:szCs w:val="21"/>
        </w:rPr>
        <w:t>装置动作时，不大于12W；</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交流电压回路</w:t>
      </w:r>
      <w:r>
        <w:rPr>
          <w:rFonts w:hint="eastAsia" w:ascii="宋体" w:hAnsi="宋体" w:cs="宋体"/>
          <w:color w:val="auto"/>
          <w:sz w:val="21"/>
          <w:szCs w:val="21"/>
          <w:lang w:eastAsia="zh-CN"/>
        </w:rPr>
        <w:t>：</w:t>
      </w:r>
      <w:r>
        <w:rPr>
          <w:rFonts w:hint="eastAsia" w:ascii="宋体" w:hAnsi="宋体" w:eastAsia="宋体" w:cs="宋体"/>
          <w:color w:val="auto"/>
          <w:sz w:val="21"/>
          <w:szCs w:val="21"/>
        </w:rPr>
        <w:t>每相不大于0.5VA；</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left="0" w:leftChars="0" w:firstLine="403"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交流电流回路</w:t>
      </w:r>
      <w:r>
        <w:rPr>
          <w:rFonts w:hint="eastAsia" w:ascii="宋体" w:hAnsi="宋体" w:cs="宋体"/>
          <w:color w:val="auto"/>
          <w:sz w:val="21"/>
          <w:szCs w:val="21"/>
          <w:lang w:eastAsia="zh-CN"/>
        </w:rPr>
        <w:t>：</w:t>
      </w:r>
      <w:r>
        <w:rPr>
          <w:rFonts w:hint="eastAsia" w:ascii="宋体" w:hAnsi="宋体" w:eastAsia="宋体" w:cs="宋体"/>
          <w:color w:val="auto"/>
          <w:sz w:val="21"/>
          <w:szCs w:val="21"/>
        </w:rPr>
        <w:t>额定电流为5A时：每相不大于0.5VA，额定电流为1A时：每相不大于0.3VA。</w:t>
      </w:r>
    </w:p>
    <w:p>
      <w:pPr>
        <w:keepNext w:val="0"/>
        <w:keepLines w:val="0"/>
        <w:pageBreakBefore w:val="0"/>
        <w:widowControl w:val="0"/>
        <w:tabs>
          <w:tab w:val="left" w:pos="1335"/>
        </w:tabs>
        <w:kinsoku/>
        <w:wordWrap/>
        <w:overflowPunct/>
        <w:topLinePunct w:val="0"/>
        <w:bidi w:val="0"/>
        <w:spacing w:line="360" w:lineRule="auto"/>
        <w:textAlignment w:val="auto"/>
        <w:outlineLvl w:val="9"/>
        <w:rPr>
          <w:rFonts w:hint="eastAsia" w:ascii="宋体" w:hAnsi="宋体" w:eastAsia="宋体" w:cs="宋体"/>
          <w:b/>
          <w:bCs/>
          <w:color w:val="auto"/>
          <w:sz w:val="21"/>
          <w:szCs w:val="21"/>
        </w:rPr>
      </w:pPr>
      <w:bookmarkStart w:id="88" w:name="_Toc210990815"/>
      <w:bookmarkStart w:id="89" w:name="_Toc467997009"/>
      <w:bookmarkStart w:id="90" w:name="_Toc466802122"/>
      <w:bookmarkStart w:id="91" w:name="_Toc372378048"/>
      <w:r>
        <w:rPr>
          <w:rFonts w:hint="eastAsia" w:ascii="宋体" w:hAnsi="宋体" w:eastAsia="宋体" w:cs="宋体"/>
          <w:b/>
          <w:bCs/>
          <w:color w:val="auto"/>
          <w:sz w:val="21"/>
          <w:szCs w:val="21"/>
        </w:rPr>
        <w:t>3.</w:t>
      </w:r>
      <w:r>
        <w:rPr>
          <w:rFonts w:hint="eastAsia" w:ascii="宋体" w:hAnsi="宋体" w:cs="宋体"/>
          <w:b/>
          <w:bCs/>
          <w:color w:val="auto"/>
          <w:sz w:val="21"/>
          <w:szCs w:val="21"/>
          <w:lang w:val="en-US" w:eastAsia="zh-CN"/>
        </w:rPr>
        <w:t>1.9</w:t>
      </w:r>
      <w:r>
        <w:rPr>
          <w:rFonts w:hint="eastAsia" w:ascii="宋体" w:hAnsi="宋体" w:eastAsia="宋体" w:cs="宋体"/>
          <w:b/>
          <w:bCs/>
          <w:color w:val="auto"/>
          <w:sz w:val="21"/>
          <w:szCs w:val="21"/>
        </w:rPr>
        <w:t>试验</w:t>
      </w:r>
      <w:bookmarkEnd w:id="88"/>
      <w:bookmarkEnd w:id="89"/>
      <w:bookmarkEnd w:id="90"/>
      <w:bookmarkEnd w:id="91"/>
    </w:p>
    <w:p>
      <w:pPr>
        <w:keepNext w:val="0"/>
        <w:keepLines w:val="0"/>
        <w:pageBreakBefore w:val="0"/>
        <w:widowControl w:val="0"/>
        <w:kinsoku/>
        <w:wordWrap/>
        <w:overflowPunct/>
        <w:topLinePunct w:val="0"/>
        <w:bidi w:val="0"/>
        <w:spacing w:line="360" w:lineRule="auto"/>
        <w:ind w:left="703"/>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试验分型式试验和出厂试验</w:t>
      </w:r>
      <w:r>
        <w:rPr>
          <w:rFonts w:hint="eastAsia" w:ascii="宋体" w:hAnsi="宋体" w:cs="宋体"/>
          <w:color w:val="auto"/>
          <w:sz w:val="21"/>
          <w:szCs w:val="21"/>
          <w:lang w:eastAsia="zh-CN"/>
        </w:rPr>
        <w:t>，</w:t>
      </w:r>
      <w:r>
        <w:rPr>
          <w:rFonts w:hint="eastAsia" w:ascii="宋体" w:hAnsi="宋体" w:eastAsia="宋体" w:cs="宋体"/>
          <w:color w:val="auto"/>
          <w:sz w:val="21"/>
          <w:szCs w:val="21"/>
        </w:rPr>
        <w:t>试验按GB、DL等有关标准的规定进行。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1"/>
          <w:szCs w:val="21"/>
        </w:rPr>
      </w:pPr>
      <w:bookmarkStart w:id="92" w:name="_Toc466802123"/>
      <w:bookmarkStart w:id="93" w:name="_Toc210990816"/>
      <w:bookmarkStart w:id="94" w:name="_Toc372378049"/>
      <w:r>
        <w:rPr>
          <w:rFonts w:hint="eastAsia" w:ascii="宋体" w:hAnsi="宋体" w:cs="宋体"/>
          <w:b/>
          <w:bCs/>
          <w:color w:val="auto"/>
          <w:sz w:val="21"/>
          <w:szCs w:val="21"/>
          <w:lang w:val="en-US" w:eastAsia="zh-CN"/>
        </w:rPr>
        <w:t>3.1.9.1</w:t>
      </w:r>
      <w:r>
        <w:rPr>
          <w:rFonts w:hint="eastAsia" w:ascii="宋体" w:hAnsi="宋体" w:eastAsia="宋体" w:cs="宋体"/>
          <w:b/>
          <w:bCs/>
          <w:color w:val="auto"/>
          <w:sz w:val="21"/>
          <w:szCs w:val="21"/>
        </w:rPr>
        <w:t>型式试验</w:t>
      </w:r>
      <w:bookmarkEnd w:id="92"/>
      <w:bookmarkEnd w:id="93"/>
      <w:bookmarkEnd w:id="94"/>
      <w:r>
        <w:rPr>
          <w:rFonts w:hint="eastAsia" w:ascii="宋体" w:hAnsi="宋体" w:eastAsia="宋体" w:cs="宋体"/>
          <w:b/>
          <w:bCs/>
          <w:color w:val="auto"/>
          <w:sz w:val="21"/>
          <w:szCs w:val="21"/>
        </w:rPr>
        <w:t>（提供试验报告）</w:t>
      </w:r>
    </w:p>
    <w:p>
      <w:pPr>
        <w:keepNext w:val="0"/>
        <w:keepLines w:val="0"/>
        <w:pageBreakBefore w:val="0"/>
        <w:widowControl w:val="0"/>
        <w:numPr>
          <w:ilvl w:val="0"/>
          <w:numId w:val="0"/>
        </w:numPr>
        <w:tabs>
          <w:tab w:val="left" w:pos="397"/>
          <w:tab w:val="left" w:pos="1140"/>
        </w:tabs>
        <w:kinsoku/>
        <w:wordWrap/>
        <w:overflowPunct/>
        <w:topLinePunct w:val="0"/>
        <w:autoSpaceDE/>
        <w:autoSpaceDN/>
        <w:bidi w:val="0"/>
        <w:adjustRightInd/>
        <w:snapToGrid/>
        <w:spacing w:line="360" w:lineRule="auto"/>
        <w:ind w:leftChars="15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1</w:t>
      </w:r>
      <w:r>
        <w:rPr>
          <w:rFonts w:hint="eastAsia" w:ascii="宋体" w:hAnsi="宋体" w:cs="宋体"/>
          <w:color w:val="auto"/>
          <w:sz w:val="21"/>
          <w:szCs w:val="21"/>
          <w:lang w:eastAsia="zh-CN"/>
        </w:rPr>
        <w:t>）</w:t>
      </w:r>
      <w:r>
        <w:rPr>
          <w:rFonts w:hint="eastAsia" w:ascii="宋体" w:hAnsi="宋体" w:eastAsia="宋体" w:cs="宋体"/>
          <w:color w:val="auto"/>
          <w:sz w:val="21"/>
          <w:szCs w:val="21"/>
        </w:rPr>
        <w:t>绝缘试验</w:t>
      </w:r>
    </w:p>
    <w:p>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绝缘试验除作一般气候条件下的工频和雷电冲击耐压试验外还需进行凝露条件下的工频和雷电冲击耐压试验。绝缘试验还包括辅助回路和控制回路的耐压试验、局部放电和泄漏电流的测量以及需要时进行老化试验等。</w:t>
      </w:r>
    </w:p>
    <w:p>
      <w:pPr>
        <w:keepNext w:val="0"/>
        <w:keepLines w:val="0"/>
        <w:pageBreakBefore w:val="0"/>
        <w:widowControl w:val="0"/>
        <w:numPr>
          <w:ilvl w:val="0"/>
          <w:numId w:val="0"/>
        </w:numPr>
        <w:tabs>
          <w:tab w:val="left" w:pos="397"/>
          <w:tab w:val="left" w:pos="1140"/>
        </w:tabs>
        <w:kinsoku/>
        <w:wordWrap/>
        <w:overflowPunct/>
        <w:topLinePunct w:val="0"/>
        <w:autoSpaceDE/>
        <w:autoSpaceDN/>
        <w:bidi w:val="0"/>
        <w:adjustRightInd/>
        <w:snapToGrid/>
        <w:spacing w:line="360" w:lineRule="auto"/>
        <w:ind w:leftChars="15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2</w:t>
      </w:r>
      <w:r>
        <w:rPr>
          <w:rFonts w:hint="eastAsia" w:ascii="宋体" w:hAnsi="宋体" w:cs="宋体"/>
          <w:color w:val="auto"/>
          <w:sz w:val="21"/>
          <w:szCs w:val="21"/>
          <w:lang w:eastAsia="zh-CN"/>
        </w:rPr>
        <w:t>）</w:t>
      </w:r>
      <w:r>
        <w:rPr>
          <w:rFonts w:hint="eastAsia" w:ascii="宋体" w:hAnsi="宋体" w:eastAsia="宋体" w:cs="宋体"/>
          <w:color w:val="auto"/>
          <w:sz w:val="21"/>
          <w:szCs w:val="21"/>
        </w:rPr>
        <w:t>主回路电阻测量和温升试验</w:t>
      </w:r>
    </w:p>
    <w:p>
      <w:pPr>
        <w:keepNext w:val="0"/>
        <w:keepLines w:val="0"/>
        <w:pageBreakBefore w:val="0"/>
        <w:widowControl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温升试验应按1.1倍额定电流进行。</w:t>
      </w:r>
    </w:p>
    <w:p>
      <w:pPr>
        <w:keepNext w:val="0"/>
        <w:keepLines w:val="0"/>
        <w:pageBreakBefore w:val="0"/>
        <w:widowControl w:val="0"/>
        <w:numPr>
          <w:ilvl w:val="0"/>
          <w:numId w:val="0"/>
        </w:numPr>
        <w:tabs>
          <w:tab w:val="left" w:pos="1140"/>
        </w:tabs>
        <w:kinsoku/>
        <w:wordWrap/>
        <w:overflowPunct/>
        <w:topLinePunct w:val="0"/>
        <w:autoSpaceDE/>
        <w:autoSpaceDN/>
        <w:bidi w:val="0"/>
        <w:adjustRightInd/>
        <w:snapToGrid/>
        <w:spacing w:line="360" w:lineRule="auto"/>
        <w:ind w:leftChars="0" w:firstLine="210" w:firstLineChars="1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3</w:t>
      </w:r>
      <w:r>
        <w:rPr>
          <w:rFonts w:hint="eastAsia" w:ascii="宋体" w:hAnsi="宋体" w:cs="宋体"/>
          <w:color w:val="auto"/>
          <w:sz w:val="21"/>
          <w:szCs w:val="21"/>
          <w:lang w:eastAsia="zh-CN"/>
        </w:rPr>
        <w:t>）</w:t>
      </w:r>
      <w:r>
        <w:rPr>
          <w:rFonts w:hint="eastAsia" w:ascii="宋体" w:hAnsi="宋体" w:eastAsia="宋体" w:cs="宋体"/>
          <w:color w:val="auto"/>
          <w:sz w:val="21"/>
          <w:szCs w:val="21"/>
        </w:rPr>
        <w:t>峰值耐受电流和短时耐受电流试验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本试验包括主回路和接地回路。接地回路短时耐受电流为主回路额定短路开断电流的0.866倍。</w:t>
      </w:r>
    </w:p>
    <w:p>
      <w:pPr>
        <w:keepNext w:val="0"/>
        <w:keepLines w:val="0"/>
        <w:pageBreakBefore w:val="0"/>
        <w:widowControl w:val="0"/>
        <w:numPr>
          <w:ilvl w:val="0"/>
          <w:numId w:val="0"/>
        </w:numPr>
        <w:tabs>
          <w:tab w:val="left" w:pos="397"/>
          <w:tab w:val="left" w:pos="1140"/>
        </w:tabs>
        <w:kinsoku/>
        <w:wordWrap/>
        <w:overflowPunct/>
        <w:topLinePunct w:val="0"/>
        <w:autoSpaceDE/>
        <w:autoSpaceDN/>
        <w:bidi w:val="0"/>
        <w:adjustRightInd/>
        <w:snapToGrid/>
        <w:spacing w:line="360" w:lineRule="auto"/>
        <w:ind w:leftChars="15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4</w:t>
      </w:r>
      <w:r>
        <w:rPr>
          <w:rFonts w:hint="eastAsia" w:ascii="宋体" w:hAnsi="宋体" w:cs="宋体"/>
          <w:color w:val="auto"/>
          <w:sz w:val="21"/>
          <w:szCs w:val="21"/>
          <w:lang w:eastAsia="zh-CN"/>
        </w:rPr>
        <w:t>）</w:t>
      </w:r>
      <w:r>
        <w:rPr>
          <w:rFonts w:hint="eastAsia" w:ascii="宋体" w:hAnsi="宋体" w:eastAsia="宋体" w:cs="宋体"/>
          <w:color w:val="auto"/>
          <w:sz w:val="21"/>
          <w:szCs w:val="21"/>
        </w:rPr>
        <w:t>关合与开断能力试验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按相关标准进行开断、关合试验。开断关合试验后均应进行绝缘状态检验。状态检验的工频耐压值为额定工频耐压值的80%。</w:t>
      </w:r>
    </w:p>
    <w:p>
      <w:pPr>
        <w:keepNext w:val="0"/>
        <w:keepLines w:val="0"/>
        <w:pageBreakBefore w:val="0"/>
        <w:widowControl w:val="0"/>
        <w:numPr>
          <w:ilvl w:val="0"/>
          <w:numId w:val="0"/>
        </w:numPr>
        <w:tabs>
          <w:tab w:val="left" w:pos="397"/>
        </w:tabs>
        <w:kinsoku/>
        <w:wordWrap/>
        <w:overflowPunct/>
        <w:topLinePunct w:val="0"/>
        <w:autoSpaceDE/>
        <w:autoSpaceDN/>
        <w:bidi w:val="0"/>
        <w:adjustRightInd/>
        <w:snapToGrid/>
        <w:spacing w:line="360" w:lineRule="auto"/>
        <w:ind w:leftChars="15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4</w:t>
      </w:r>
      <w:r>
        <w:rPr>
          <w:rFonts w:hint="eastAsia" w:ascii="宋体" w:hAnsi="宋体" w:cs="宋体"/>
          <w:color w:val="auto"/>
          <w:sz w:val="21"/>
          <w:szCs w:val="21"/>
          <w:lang w:eastAsia="zh-CN"/>
        </w:rPr>
        <w:t>）</w:t>
      </w:r>
      <w:r>
        <w:rPr>
          <w:rFonts w:hint="eastAsia" w:ascii="宋体" w:hAnsi="宋体" w:eastAsia="宋体" w:cs="宋体"/>
          <w:color w:val="auto"/>
          <w:sz w:val="21"/>
          <w:szCs w:val="21"/>
        </w:rPr>
        <w:t>机械试验</w:t>
      </w:r>
    </w:p>
    <w:p>
      <w:pPr>
        <w:pStyle w:val="5"/>
        <w:keepNext w:val="0"/>
        <w:keepLines w:val="0"/>
        <w:pageBreakBefore w:val="0"/>
        <w:widowControl w:val="0"/>
        <w:kinsoku/>
        <w:wordWrap/>
        <w:overflowPunct/>
        <w:topLinePunct w:val="0"/>
        <w:bidi w:val="0"/>
        <w:spacing w:after="0" w:line="360" w:lineRule="auto"/>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断路器和隔离开关（或手车）各自要求的次数进行机械稳定性试验</w:t>
      </w:r>
      <w:r>
        <w:rPr>
          <w:rFonts w:hint="eastAsia" w:ascii="宋体" w:hAnsi="宋体" w:cs="宋体"/>
          <w:color w:val="auto"/>
          <w:sz w:val="21"/>
          <w:szCs w:val="21"/>
          <w:lang w:eastAsia="zh-CN"/>
        </w:rPr>
        <w:t>，</w:t>
      </w:r>
      <w:r>
        <w:rPr>
          <w:rFonts w:hint="eastAsia" w:ascii="宋体" w:hAnsi="宋体" w:eastAsia="宋体" w:cs="宋体"/>
          <w:color w:val="auto"/>
          <w:sz w:val="21"/>
          <w:szCs w:val="21"/>
        </w:rPr>
        <w:t>机械操作试验包括机械联锁试验。</w:t>
      </w:r>
    </w:p>
    <w:p>
      <w:pPr>
        <w:keepNext w:val="0"/>
        <w:keepLines w:val="0"/>
        <w:pageBreakBefore w:val="0"/>
        <w:widowControl w:val="0"/>
        <w:numPr>
          <w:ilvl w:val="0"/>
          <w:numId w:val="0"/>
        </w:numPr>
        <w:tabs>
          <w:tab w:val="left" w:pos="397"/>
          <w:tab w:val="left" w:pos="1140"/>
        </w:tabs>
        <w:kinsoku/>
        <w:wordWrap/>
        <w:overflowPunct/>
        <w:topLinePunct w:val="0"/>
        <w:autoSpaceDE/>
        <w:autoSpaceDN/>
        <w:bidi w:val="0"/>
        <w:adjustRightInd/>
        <w:snapToGrid/>
        <w:spacing w:line="360" w:lineRule="auto"/>
        <w:ind w:leftChars="15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5</w:t>
      </w:r>
      <w:r>
        <w:rPr>
          <w:rFonts w:hint="eastAsia" w:ascii="宋体" w:hAnsi="宋体" w:cs="宋体"/>
          <w:color w:val="auto"/>
          <w:sz w:val="21"/>
          <w:szCs w:val="21"/>
          <w:lang w:eastAsia="zh-CN"/>
        </w:rPr>
        <w:t>）</w:t>
      </w:r>
      <w:r>
        <w:rPr>
          <w:rFonts w:hint="eastAsia" w:ascii="宋体" w:hAnsi="宋体" w:eastAsia="宋体" w:cs="宋体"/>
          <w:color w:val="auto"/>
          <w:sz w:val="21"/>
          <w:szCs w:val="21"/>
        </w:rPr>
        <w:t>防护等级试验</w:t>
      </w:r>
    </w:p>
    <w:p>
      <w:pPr>
        <w:keepNext w:val="0"/>
        <w:keepLines w:val="0"/>
        <w:pageBreakBefore w:val="0"/>
        <w:widowControl w:val="0"/>
        <w:numPr>
          <w:ilvl w:val="0"/>
          <w:numId w:val="0"/>
        </w:numPr>
        <w:tabs>
          <w:tab w:val="left" w:pos="397"/>
          <w:tab w:val="left" w:pos="1140"/>
        </w:tabs>
        <w:kinsoku/>
        <w:wordWrap/>
        <w:overflowPunct/>
        <w:topLinePunct w:val="0"/>
        <w:autoSpaceDE/>
        <w:autoSpaceDN/>
        <w:bidi w:val="0"/>
        <w:adjustRightInd/>
        <w:snapToGrid/>
        <w:spacing w:line="360" w:lineRule="auto"/>
        <w:ind w:leftChars="15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6</w:t>
      </w:r>
      <w:r>
        <w:rPr>
          <w:rFonts w:hint="eastAsia" w:ascii="宋体" w:hAnsi="宋体" w:cs="宋体"/>
          <w:color w:val="auto"/>
          <w:sz w:val="21"/>
          <w:szCs w:val="21"/>
          <w:lang w:eastAsia="zh-CN"/>
        </w:rPr>
        <w:t>）</w:t>
      </w:r>
      <w:r>
        <w:rPr>
          <w:rFonts w:hint="eastAsia" w:ascii="宋体" w:hAnsi="宋体" w:eastAsia="宋体" w:cs="宋体"/>
          <w:color w:val="auto"/>
          <w:sz w:val="21"/>
          <w:szCs w:val="21"/>
        </w:rPr>
        <w:t>操作振动试验</w:t>
      </w:r>
    </w:p>
    <w:p>
      <w:pPr>
        <w:keepNext w:val="0"/>
        <w:keepLines w:val="0"/>
        <w:pageBreakBefore w:val="0"/>
        <w:widowControl w:val="0"/>
        <w:numPr>
          <w:ilvl w:val="0"/>
          <w:numId w:val="0"/>
        </w:numPr>
        <w:tabs>
          <w:tab w:val="left" w:pos="397"/>
          <w:tab w:val="left" w:pos="1140"/>
        </w:tabs>
        <w:kinsoku/>
        <w:wordWrap/>
        <w:overflowPunct/>
        <w:topLinePunct w:val="0"/>
        <w:autoSpaceDE/>
        <w:autoSpaceDN/>
        <w:bidi w:val="0"/>
        <w:adjustRightInd/>
        <w:snapToGrid/>
        <w:spacing w:line="360" w:lineRule="auto"/>
        <w:ind w:leftChars="15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7</w:t>
      </w:r>
      <w:r>
        <w:rPr>
          <w:rFonts w:hint="eastAsia" w:ascii="宋体" w:hAnsi="宋体" w:cs="宋体"/>
          <w:color w:val="auto"/>
          <w:sz w:val="21"/>
          <w:szCs w:val="21"/>
          <w:lang w:eastAsia="zh-CN"/>
        </w:rPr>
        <w:t>）</w:t>
      </w:r>
      <w:r>
        <w:rPr>
          <w:rFonts w:hint="eastAsia" w:ascii="宋体" w:hAnsi="宋体" w:eastAsia="宋体" w:cs="宋体"/>
          <w:color w:val="auto"/>
          <w:sz w:val="21"/>
          <w:szCs w:val="21"/>
        </w:rPr>
        <w:t>内部故障试验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1"/>
          <w:szCs w:val="21"/>
        </w:rPr>
      </w:pPr>
      <w:bookmarkStart w:id="95" w:name="_Toc210990817"/>
      <w:bookmarkStart w:id="96" w:name="_Toc372378050"/>
      <w:bookmarkStart w:id="97" w:name="_Toc466802124"/>
      <w:r>
        <w:rPr>
          <w:rFonts w:hint="eastAsia" w:ascii="宋体" w:hAnsi="宋体" w:cs="宋体"/>
          <w:b/>
          <w:bCs/>
          <w:color w:val="auto"/>
          <w:sz w:val="21"/>
          <w:szCs w:val="21"/>
          <w:lang w:val="en-US" w:eastAsia="zh-CN"/>
        </w:rPr>
        <w:t>3.1.9.2</w:t>
      </w:r>
      <w:r>
        <w:rPr>
          <w:rFonts w:hint="eastAsia" w:ascii="宋体" w:hAnsi="宋体" w:eastAsia="宋体" w:cs="宋体"/>
          <w:b/>
          <w:bCs/>
          <w:color w:val="auto"/>
          <w:sz w:val="21"/>
          <w:szCs w:val="21"/>
        </w:rPr>
        <w:t>出厂试验</w:t>
      </w:r>
      <w:bookmarkEnd w:id="95"/>
      <w:bookmarkEnd w:id="96"/>
      <w:bookmarkEnd w:id="97"/>
      <w:r>
        <w:rPr>
          <w:rFonts w:hint="eastAsia" w:ascii="宋体" w:hAnsi="宋体" w:eastAsia="宋体" w:cs="宋体"/>
          <w:b/>
          <w:bCs/>
          <w:color w:val="auto"/>
          <w:sz w:val="21"/>
          <w:szCs w:val="21"/>
        </w:rPr>
        <w:t>（提供试验报告）</w:t>
      </w:r>
    </w:p>
    <w:p>
      <w:pPr>
        <w:keepNext w:val="0"/>
        <w:keepLines w:val="0"/>
        <w:pageBreakBefore w:val="0"/>
        <w:widowControl w:val="0"/>
        <w:numPr>
          <w:ilvl w:val="0"/>
          <w:numId w:val="0"/>
        </w:numPr>
        <w:tabs>
          <w:tab w:val="left" w:pos="1140"/>
        </w:tabs>
        <w:kinsoku/>
        <w:wordWrap/>
        <w:overflowPunct/>
        <w:topLinePunct w:val="0"/>
        <w:autoSpaceDE/>
        <w:autoSpaceDN/>
        <w:bidi w:val="0"/>
        <w:adjustRightInd w:val="0"/>
        <w:snapToGrid w:val="0"/>
        <w:spacing w:line="360" w:lineRule="auto"/>
        <w:ind w:left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1</w:t>
      </w:r>
      <w:r>
        <w:rPr>
          <w:rFonts w:hint="eastAsia" w:ascii="宋体" w:hAnsi="宋体" w:cs="宋体"/>
          <w:color w:val="auto"/>
          <w:sz w:val="21"/>
          <w:szCs w:val="21"/>
          <w:lang w:eastAsia="zh-CN"/>
        </w:rPr>
        <w:t>）</w:t>
      </w:r>
      <w:r>
        <w:rPr>
          <w:rFonts w:hint="eastAsia" w:ascii="宋体" w:hAnsi="宋体" w:eastAsia="宋体" w:cs="宋体"/>
          <w:color w:val="auto"/>
          <w:sz w:val="21"/>
          <w:szCs w:val="21"/>
        </w:rPr>
        <w:t>主回路工频耐压试验</w:t>
      </w:r>
    </w:p>
    <w:p>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包括局部放电测量，若高压开关柜中所装的有机绝缘件已单独进行过局部放电测量，应在出厂检验报告中附上原试验报告，可不再进行局部放电试验。</w:t>
      </w:r>
    </w:p>
    <w:p>
      <w:pPr>
        <w:keepNext w:val="0"/>
        <w:keepLines w:val="0"/>
        <w:pageBreakBefore w:val="0"/>
        <w:widowControl w:val="0"/>
        <w:numPr>
          <w:ilvl w:val="0"/>
          <w:numId w:val="0"/>
        </w:numPr>
        <w:tabs>
          <w:tab w:val="left" w:pos="1140"/>
        </w:tabs>
        <w:kinsoku/>
        <w:wordWrap/>
        <w:overflowPunct/>
        <w:topLinePunct w:val="0"/>
        <w:autoSpaceDE/>
        <w:autoSpaceDN/>
        <w:bidi w:val="0"/>
        <w:adjustRightInd w:val="0"/>
        <w:snapToGrid w:val="0"/>
        <w:spacing w:line="360" w:lineRule="auto"/>
        <w:ind w:left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2</w:t>
      </w:r>
      <w:r>
        <w:rPr>
          <w:rFonts w:hint="eastAsia" w:ascii="宋体" w:hAnsi="宋体" w:cs="宋体"/>
          <w:color w:val="auto"/>
          <w:sz w:val="21"/>
          <w:szCs w:val="21"/>
          <w:lang w:eastAsia="zh-CN"/>
        </w:rPr>
        <w:t>）</w:t>
      </w:r>
      <w:r>
        <w:rPr>
          <w:rFonts w:hint="eastAsia" w:ascii="宋体" w:hAnsi="宋体" w:eastAsia="宋体" w:cs="宋体"/>
          <w:color w:val="auto"/>
          <w:sz w:val="21"/>
          <w:szCs w:val="21"/>
        </w:rPr>
        <w:t>辅助和控制回路工频耐压试验</w:t>
      </w:r>
    </w:p>
    <w:p>
      <w:pPr>
        <w:keepNext w:val="0"/>
        <w:keepLines w:val="0"/>
        <w:pageBreakBefore w:val="0"/>
        <w:widowControl w:val="0"/>
        <w:numPr>
          <w:ilvl w:val="0"/>
          <w:numId w:val="0"/>
        </w:numPr>
        <w:tabs>
          <w:tab w:val="left" w:pos="1140"/>
        </w:tabs>
        <w:kinsoku/>
        <w:wordWrap/>
        <w:overflowPunct/>
        <w:topLinePunct w:val="0"/>
        <w:autoSpaceDE/>
        <w:autoSpaceDN/>
        <w:bidi w:val="0"/>
        <w:adjustRightInd w:val="0"/>
        <w:snapToGrid w:val="0"/>
        <w:spacing w:line="360" w:lineRule="auto"/>
        <w:ind w:left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3</w:t>
      </w:r>
      <w:r>
        <w:rPr>
          <w:rFonts w:hint="eastAsia" w:ascii="宋体" w:hAnsi="宋体" w:cs="宋体"/>
          <w:color w:val="auto"/>
          <w:sz w:val="21"/>
          <w:szCs w:val="21"/>
          <w:lang w:eastAsia="zh-CN"/>
        </w:rPr>
        <w:t>）</w:t>
      </w:r>
      <w:r>
        <w:rPr>
          <w:rFonts w:hint="eastAsia" w:ascii="宋体" w:hAnsi="宋体" w:eastAsia="宋体" w:cs="宋体"/>
          <w:color w:val="auto"/>
          <w:sz w:val="21"/>
          <w:szCs w:val="21"/>
        </w:rPr>
        <w:t>主回路电阻测量</w:t>
      </w:r>
    </w:p>
    <w:p>
      <w:pPr>
        <w:keepNext w:val="0"/>
        <w:keepLines w:val="0"/>
        <w:pageBreakBefore w:val="0"/>
        <w:widowControl w:val="0"/>
        <w:numPr>
          <w:ilvl w:val="0"/>
          <w:numId w:val="0"/>
        </w:numPr>
        <w:tabs>
          <w:tab w:val="left" w:pos="1140"/>
        </w:tabs>
        <w:kinsoku/>
        <w:wordWrap/>
        <w:overflowPunct/>
        <w:topLinePunct w:val="0"/>
        <w:autoSpaceDE/>
        <w:autoSpaceDN/>
        <w:bidi w:val="0"/>
        <w:adjustRightInd w:val="0"/>
        <w:snapToGrid w:val="0"/>
        <w:spacing w:line="360" w:lineRule="auto"/>
        <w:ind w:left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4</w:t>
      </w:r>
      <w:r>
        <w:rPr>
          <w:rFonts w:hint="eastAsia" w:ascii="宋体" w:hAnsi="宋体" w:cs="宋体"/>
          <w:color w:val="auto"/>
          <w:sz w:val="21"/>
          <w:szCs w:val="21"/>
          <w:lang w:eastAsia="zh-CN"/>
        </w:rPr>
        <w:t>）</w:t>
      </w:r>
      <w:r>
        <w:rPr>
          <w:rFonts w:hint="eastAsia" w:ascii="宋体" w:hAnsi="宋体" w:eastAsia="宋体" w:cs="宋体"/>
          <w:color w:val="auto"/>
          <w:sz w:val="21"/>
          <w:szCs w:val="21"/>
        </w:rPr>
        <w:t>机械特性和机械操作试验</w:t>
      </w:r>
    </w:p>
    <w:p>
      <w:pPr>
        <w:keepNext w:val="0"/>
        <w:keepLines w:val="0"/>
        <w:pageBreakBefore w:val="0"/>
        <w:widowControl w:val="0"/>
        <w:numPr>
          <w:ilvl w:val="0"/>
          <w:numId w:val="0"/>
        </w:numPr>
        <w:tabs>
          <w:tab w:val="left" w:pos="1140"/>
        </w:tabs>
        <w:kinsoku/>
        <w:wordWrap/>
        <w:overflowPunct/>
        <w:topLinePunct w:val="0"/>
        <w:autoSpaceDE/>
        <w:autoSpaceDN/>
        <w:bidi w:val="0"/>
        <w:adjustRightInd w:val="0"/>
        <w:snapToGrid w:val="0"/>
        <w:spacing w:line="360" w:lineRule="auto"/>
        <w:ind w:left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5</w:t>
      </w:r>
      <w:r>
        <w:rPr>
          <w:rFonts w:hint="eastAsia" w:ascii="宋体" w:hAnsi="宋体" w:cs="宋体"/>
          <w:color w:val="auto"/>
          <w:sz w:val="21"/>
          <w:szCs w:val="21"/>
          <w:lang w:eastAsia="zh-CN"/>
        </w:rPr>
        <w:t>）</w:t>
      </w:r>
      <w:r>
        <w:rPr>
          <w:rFonts w:hint="eastAsia" w:ascii="宋体" w:hAnsi="宋体" w:eastAsia="宋体" w:cs="宋体"/>
          <w:color w:val="auto"/>
          <w:sz w:val="21"/>
          <w:szCs w:val="21"/>
        </w:rPr>
        <w:t>防误操作功能验证</w:t>
      </w:r>
    </w:p>
    <w:p>
      <w:pPr>
        <w:keepNext w:val="0"/>
        <w:keepLines w:val="0"/>
        <w:pageBreakBefore w:val="0"/>
        <w:widowControl w:val="0"/>
        <w:numPr>
          <w:ilvl w:val="0"/>
          <w:numId w:val="0"/>
        </w:numPr>
        <w:tabs>
          <w:tab w:val="left" w:pos="1140"/>
        </w:tabs>
        <w:kinsoku/>
        <w:wordWrap/>
        <w:overflowPunct/>
        <w:topLinePunct w:val="0"/>
        <w:autoSpaceDE/>
        <w:autoSpaceDN/>
        <w:bidi w:val="0"/>
        <w:adjustRightInd w:val="0"/>
        <w:snapToGrid w:val="0"/>
        <w:spacing w:line="360" w:lineRule="auto"/>
        <w:ind w:left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6</w:t>
      </w:r>
      <w:r>
        <w:rPr>
          <w:rFonts w:hint="eastAsia" w:ascii="宋体" w:hAnsi="宋体" w:cs="宋体"/>
          <w:color w:val="auto"/>
          <w:sz w:val="21"/>
          <w:szCs w:val="21"/>
          <w:lang w:eastAsia="zh-CN"/>
        </w:rPr>
        <w:t>）</w:t>
      </w:r>
      <w:r>
        <w:rPr>
          <w:rFonts w:hint="eastAsia" w:ascii="宋体" w:hAnsi="宋体" w:eastAsia="宋体" w:cs="宋体"/>
          <w:color w:val="auto"/>
          <w:sz w:val="21"/>
          <w:szCs w:val="21"/>
        </w:rPr>
        <w:t>防护等级检验</w:t>
      </w:r>
    </w:p>
    <w:p>
      <w:pPr>
        <w:keepNext w:val="0"/>
        <w:keepLines w:val="0"/>
        <w:pageBreakBefore w:val="0"/>
        <w:widowControl w:val="0"/>
        <w:kinsoku/>
        <w:wordWrap/>
        <w:overflowPunct/>
        <w:topLinePunct w:val="0"/>
        <w:bidi w:val="0"/>
        <w:spacing w:line="360" w:lineRule="auto"/>
        <w:jc w:val="left"/>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3.</w:t>
      </w:r>
      <w:r>
        <w:rPr>
          <w:rFonts w:hint="eastAsia" w:ascii="宋体" w:hAnsi="宋体" w:cs="宋体"/>
          <w:b/>
          <w:bCs/>
          <w:color w:val="auto"/>
          <w:sz w:val="21"/>
          <w:szCs w:val="21"/>
          <w:lang w:val="en-US" w:eastAsia="zh-CN"/>
        </w:rPr>
        <w:t>1.10</w:t>
      </w:r>
      <w:r>
        <w:rPr>
          <w:rFonts w:hint="eastAsia" w:ascii="宋体" w:hAnsi="宋体" w:eastAsia="宋体" w:cs="宋体"/>
          <w:b/>
          <w:bCs/>
          <w:color w:val="auto"/>
          <w:sz w:val="21"/>
          <w:szCs w:val="21"/>
        </w:rPr>
        <w:t>保护</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bookmarkStart w:id="98" w:name="_Toc19109"/>
      <w:bookmarkStart w:id="99" w:name="_Toc20861"/>
      <w:bookmarkStart w:id="100" w:name="_Toc16801"/>
      <w:bookmarkStart w:id="101" w:name="_Toc32675"/>
      <w:bookmarkStart w:id="102" w:name="_Toc19152"/>
      <w:r>
        <w:rPr>
          <w:rFonts w:hint="eastAsia" w:ascii="宋体" w:hAnsi="宋体" w:eastAsia="宋体" w:cs="宋体"/>
          <w:b/>
          <w:bCs/>
          <w:color w:val="auto"/>
          <w:sz w:val="21"/>
          <w:szCs w:val="21"/>
        </w:rPr>
        <w:t>保护元件精确工作范围</w:t>
      </w:r>
      <w:bookmarkEnd w:id="98"/>
      <w:bookmarkEnd w:id="99"/>
      <w:bookmarkEnd w:id="100"/>
      <w:bookmarkEnd w:id="101"/>
      <w:bookmarkEnd w:id="102"/>
    </w:p>
    <w:p>
      <w:pPr>
        <w:keepNext w:val="0"/>
        <w:keepLines w:val="0"/>
        <w:pageBreakBefore w:val="0"/>
        <w:widowControl w:val="0"/>
        <w:kinsoku/>
        <w:wordWrap/>
        <w:overflowPunct/>
        <w:topLinePunct w:val="0"/>
        <w:bidi w:val="0"/>
        <w:adjustRightInd w:val="0"/>
        <w:snapToGrid w:val="0"/>
        <w:spacing w:line="360" w:lineRule="auto"/>
        <w:ind w:left="227"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电压：1.0V</w:t>
      </w:r>
      <w:r>
        <w:rPr>
          <w:rFonts w:hint="eastAsia" w:ascii="宋体" w:hAnsi="宋体" w:eastAsia="宋体" w:cs="宋体"/>
          <w:color w:val="auto"/>
          <w:sz w:val="21"/>
          <w:szCs w:val="21"/>
          <w:lang w:val="zh-CN"/>
        </w:rPr>
        <w:t>～</w:t>
      </w:r>
      <w:r>
        <w:rPr>
          <w:rFonts w:hint="eastAsia" w:ascii="宋体" w:hAnsi="宋体" w:eastAsia="宋体" w:cs="宋体"/>
          <w:color w:val="auto"/>
          <w:sz w:val="21"/>
          <w:szCs w:val="21"/>
        </w:rPr>
        <w:t>150.0V；</w:t>
      </w:r>
    </w:p>
    <w:p>
      <w:pPr>
        <w:keepNext w:val="0"/>
        <w:keepLines w:val="0"/>
        <w:pageBreakBefore w:val="0"/>
        <w:widowControl w:val="0"/>
        <w:kinsoku/>
        <w:wordWrap/>
        <w:overflowPunct/>
        <w:topLinePunct w:val="0"/>
        <w:bidi w:val="0"/>
        <w:adjustRightInd w:val="0"/>
        <w:snapToGrid w:val="0"/>
        <w:spacing w:line="360" w:lineRule="auto"/>
        <w:ind w:left="227"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电流：0.04IN～20IN；</w:t>
      </w:r>
    </w:p>
    <w:p>
      <w:pPr>
        <w:keepNext w:val="0"/>
        <w:keepLines w:val="0"/>
        <w:pageBreakBefore w:val="0"/>
        <w:widowControl w:val="0"/>
        <w:kinsoku/>
        <w:wordWrap/>
        <w:overflowPunct/>
        <w:topLinePunct w:val="0"/>
        <w:bidi w:val="0"/>
        <w:adjustRightInd w:val="0"/>
        <w:snapToGrid w:val="0"/>
        <w:spacing w:line="360" w:lineRule="auto"/>
        <w:ind w:left="227"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零序电流：0.02A～12.0A 或0.08A～20.0A或0.20 A～100.0 A。</w:t>
      </w:r>
    </w:p>
    <w:p>
      <w:pPr>
        <w:keepNext w:val="0"/>
        <w:keepLines w:val="0"/>
        <w:pageBreakBefore w:val="0"/>
        <w:widowControl w:val="0"/>
        <w:kinsoku/>
        <w:wordWrap/>
        <w:overflowPunct/>
        <w:topLinePunct w:val="0"/>
        <w:bidi w:val="0"/>
        <w:spacing w:line="360" w:lineRule="auto"/>
        <w:ind w:firstLine="630" w:firstLineChars="3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注：IN为额定值，下同。</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bookmarkStart w:id="103" w:name="_Toc10751"/>
      <w:bookmarkStart w:id="104" w:name="_Toc8431"/>
      <w:bookmarkStart w:id="105" w:name="_Toc32326"/>
      <w:bookmarkStart w:id="106" w:name="_Toc7008"/>
      <w:bookmarkStart w:id="107" w:name="_Toc19048"/>
      <w:r>
        <w:rPr>
          <w:rFonts w:hint="eastAsia" w:ascii="宋体" w:hAnsi="宋体" w:eastAsia="宋体" w:cs="宋体"/>
          <w:b/>
          <w:bCs/>
          <w:color w:val="auto"/>
          <w:sz w:val="21"/>
          <w:szCs w:val="21"/>
        </w:rPr>
        <w:t>接点容量</w:t>
      </w:r>
      <w:bookmarkEnd w:id="103"/>
      <w:bookmarkEnd w:id="104"/>
      <w:bookmarkEnd w:id="105"/>
      <w:bookmarkEnd w:id="106"/>
      <w:bookmarkEnd w:id="107"/>
    </w:p>
    <w:p>
      <w:pPr>
        <w:keepNext w:val="0"/>
        <w:keepLines w:val="0"/>
        <w:pageBreakBefore w:val="0"/>
        <w:widowControl w:val="0"/>
        <w:numPr>
          <w:ilvl w:val="0"/>
          <w:numId w:val="0"/>
        </w:numPr>
        <w:tabs>
          <w:tab w:val="left" w:pos="732"/>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操作回路接点闭合容量：DC 220V 5A；</w:t>
      </w:r>
    </w:p>
    <w:p>
      <w:pPr>
        <w:keepNext w:val="0"/>
        <w:keepLines w:val="0"/>
        <w:pageBreakBefore w:val="0"/>
        <w:widowControl w:val="0"/>
        <w:numPr>
          <w:ilvl w:val="0"/>
          <w:numId w:val="0"/>
        </w:numPr>
        <w:tabs>
          <w:tab w:val="left" w:pos="732"/>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信号回路接点闭合容量：DC 220V 5A；</w:t>
      </w:r>
    </w:p>
    <w:p>
      <w:pPr>
        <w:keepNext w:val="0"/>
        <w:keepLines w:val="0"/>
        <w:pageBreakBefore w:val="0"/>
        <w:widowControl w:val="0"/>
        <w:numPr>
          <w:ilvl w:val="0"/>
          <w:numId w:val="0"/>
        </w:numPr>
        <w:tabs>
          <w:tab w:val="left" w:pos="732"/>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信号回路接点切换容量：DC 220V 60W（阻性负载）。</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bookmarkStart w:id="108" w:name="_Toc21309"/>
      <w:bookmarkStart w:id="109" w:name="_Toc22800"/>
      <w:bookmarkStart w:id="110" w:name="_Toc31318"/>
      <w:bookmarkStart w:id="111" w:name="_Toc22911"/>
      <w:r>
        <w:rPr>
          <w:rFonts w:hint="eastAsia" w:ascii="宋体" w:hAnsi="宋体" w:eastAsia="宋体" w:cs="宋体"/>
          <w:b/>
          <w:bCs/>
          <w:color w:val="auto"/>
          <w:sz w:val="21"/>
          <w:szCs w:val="21"/>
        </w:rPr>
        <w:t>状态量电平</w:t>
      </w:r>
      <w:bookmarkEnd w:id="108"/>
      <w:bookmarkEnd w:id="109"/>
      <w:bookmarkEnd w:id="110"/>
      <w:bookmarkEnd w:id="111"/>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CPU模件中输入状态量电平</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DC 220V  动作范围：143V～300V，返回值：121V，</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DC 110V  动作范围：72V～300V，返回值：55V；</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DIO模件的输入状态量电平</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DC 220V  动作范围：143V～300V，返回值：121V，</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DC 110V  动作范围：72V～300V，返回值：55V。</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bookmarkStart w:id="112" w:name="_Toc19247"/>
      <w:bookmarkStart w:id="113" w:name="_Toc7257"/>
      <w:bookmarkStart w:id="114" w:name="_Toc26340"/>
      <w:bookmarkStart w:id="115" w:name="_Toc21835"/>
      <w:bookmarkStart w:id="116" w:name="_Toc3986"/>
      <w:r>
        <w:rPr>
          <w:rFonts w:hint="eastAsia" w:ascii="宋体" w:hAnsi="宋体" w:eastAsia="宋体" w:cs="宋体"/>
          <w:b/>
          <w:bCs/>
          <w:color w:val="auto"/>
          <w:sz w:val="21"/>
          <w:szCs w:val="21"/>
        </w:rPr>
        <w:t>装置通信接口</w:t>
      </w:r>
      <w:bookmarkEnd w:id="112"/>
      <w:bookmarkEnd w:id="113"/>
      <w:bookmarkEnd w:id="114"/>
      <w:bookmarkEnd w:id="115"/>
      <w:bookmarkEnd w:id="116"/>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以太网波特率：100Mbps。</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bookmarkStart w:id="117" w:name="_Toc338"/>
      <w:bookmarkStart w:id="118" w:name="_Toc10012"/>
      <w:bookmarkStart w:id="119" w:name="_Toc18612"/>
      <w:bookmarkStart w:id="120" w:name="_Toc5324"/>
      <w:bookmarkStart w:id="121" w:name="_Toc10747"/>
      <w:r>
        <w:rPr>
          <w:rFonts w:hint="eastAsia" w:ascii="宋体" w:hAnsi="宋体" w:eastAsia="宋体" w:cs="宋体"/>
          <w:b/>
          <w:bCs/>
          <w:color w:val="auto"/>
          <w:sz w:val="21"/>
          <w:szCs w:val="21"/>
        </w:rPr>
        <w:t>测控功能技术性能</w:t>
      </w:r>
      <w:bookmarkEnd w:id="117"/>
      <w:bookmarkEnd w:id="118"/>
      <w:bookmarkEnd w:id="119"/>
      <w:bookmarkEnd w:id="120"/>
      <w:bookmarkEnd w:id="121"/>
    </w:p>
    <w:p>
      <w:pPr>
        <w:keepNext w:val="0"/>
        <w:keepLines w:val="0"/>
        <w:pageBreakBefore w:val="0"/>
        <w:widowControl w:val="0"/>
        <w:numPr>
          <w:ilvl w:val="0"/>
          <w:numId w:val="22"/>
        </w:numPr>
        <w:tabs>
          <w:tab w:val="left" w:pos="397"/>
        </w:tabs>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工频模拟量测量精度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交流电压、交流电流：±0.2%（0.2级），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有功功率、无功功率：±0.5%（0.5级），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相角或功率因数：±0.5%（0.5级），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频率：±0.01 Hz；</w:t>
      </w:r>
    </w:p>
    <w:p>
      <w:pPr>
        <w:keepNext w:val="0"/>
        <w:keepLines w:val="0"/>
        <w:pageBreakBefore w:val="0"/>
        <w:widowControl w:val="0"/>
        <w:numPr>
          <w:ilvl w:val="0"/>
          <w:numId w:val="22"/>
        </w:numPr>
        <w:tabs>
          <w:tab w:val="left" w:pos="397"/>
          <w:tab w:val="left" w:pos="845"/>
        </w:tabs>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工频模拟量测量范围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电流：（0～1.2）IN，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电压：(0～1.2)×100 V，</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lang w:val="de-DE" w:eastAsia="de-DE"/>
        </w:rPr>
      </w:pPr>
      <w:r>
        <w:rPr>
          <w:rFonts w:hint="eastAsia" w:ascii="宋体" w:hAnsi="宋体" w:eastAsia="宋体" w:cs="宋体"/>
          <w:color w:val="auto"/>
          <w:sz w:val="21"/>
          <w:szCs w:val="21"/>
        </w:rPr>
        <w:t>三相有功功率</w:t>
      </w:r>
      <w:r>
        <w:rPr>
          <w:rFonts w:hint="eastAsia" w:ascii="宋体" w:hAnsi="宋体" w:eastAsia="宋体" w:cs="宋体"/>
          <w:color w:val="auto"/>
          <w:sz w:val="21"/>
          <w:szCs w:val="21"/>
          <w:lang w:val="de-DE" w:eastAsia="de-DE"/>
        </w:rPr>
        <w:t>：-(1.2×UN.L</w:t>
      </w:r>
      <w:r>
        <w:rPr>
          <w:rFonts w:hint="eastAsia" w:ascii="宋体" w:hAnsi="宋体" w:eastAsia="宋体" w:cs="宋体"/>
          <w:color w:val="auto"/>
          <w:sz w:val="21"/>
          <w:szCs w:val="21"/>
        </w:rPr>
        <w:object>
          <v:shape id="_x0000_i1026" o:spt="75" type="#_x0000_t75" style="height:15.3pt;width:15.35pt;" o:ole="t" filled="f" stroked="f" coordsize="21600,21600">
            <v:path/>
            <v:fill on="f" focussize="0,0"/>
            <v:stroke on="f"/>
            <v:imagedata r:id="rId7" o:title="171472435204562"/>
            <o:lock v:ext="edit" aspectratio="t"/>
            <w10:wrap type="none"/>
            <w10:anchorlock/>
          </v:shape>
          <o:OLEObject Type="Embed" ProgID="Excel.Sheet.8" ShapeID="_x0000_i1026" DrawAspect="Content" ObjectID="_1468075726" r:id="rId6">
            <o:LockedField>false</o:LockedField>
          </o:OLEObject>
        </w:object>
      </w:r>
      <w:r>
        <w:rPr>
          <w:rFonts w:hint="eastAsia" w:ascii="宋体" w:hAnsi="宋体" w:eastAsia="宋体" w:cs="宋体"/>
          <w:color w:val="auto"/>
          <w:sz w:val="21"/>
          <w:szCs w:val="21"/>
          <w:lang w:val="de-DE" w:eastAsia="de-DE"/>
        </w:rPr>
        <w:t>) IN W</w:t>
      </w:r>
      <w:r>
        <w:rPr>
          <w:rFonts w:hint="eastAsia" w:ascii="宋体" w:hAnsi="宋体" w:eastAsia="宋体" w:cs="宋体"/>
          <w:color w:val="auto"/>
          <w:sz w:val="21"/>
          <w:szCs w:val="21"/>
        </w:rPr>
        <w:t>～</w:t>
      </w:r>
      <w:r>
        <w:rPr>
          <w:rFonts w:hint="eastAsia" w:ascii="宋体" w:hAnsi="宋体" w:eastAsia="宋体" w:cs="宋体"/>
          <w:color w:val="auto"/>
          <w:sz w:val="21"/>
          <w:szCs w:val="21"/>
          <w:lang w:val="de-DE" w:eastAsia="de-DE"/>
        </w:rPr>
        <w:t>＋(1.2×UN.L</w:t>
      </w:r>
      <w:r>
        <w:rPr>
          <w:rFonts w:hint="eastAsia" w:ascii="宋体" w:hAnsi="宋体" w:eastAsia="宋体" w:cs="宋体"/>
          <w:color w:val="auto"/>
          <w:sz w:val="21"/>
          <w:szCs w:val="21"/>
        </w:rPr>
        <w:object>
          <v:shape id="_x0000_i1027" o:spt="75" type="#_x0000_t75" style="height:15.3pt;width:15.35pt;" o:ole="t" filled="f" stroked="f" coordsize="21600,21600">
            <v:path/>
            <v:fill on="f" focussize="0,0"/>
            <v:stroke on="f"/>
            <v:imagedata r:id="rId9" o:title="201472435204562"/>
            <o:lock v:ext="edit" aspectratio="t"/>
            <w10:wrap type="none"/>
            <w10:anchorlock/>
          </v:shape>
          <o:OLEObject Type="Embed" ProgID="Excel.Sheet.8" ShapeID="_x0000_i1027" DrawAspect="Content" ObjectID="_1468075727" r:id="rId8">
            <o:LockedField>false</o:LockedField>
          </o:OLEObject>
        </w:object>
      </w:r>
      <w:r>
        <w:rPr>
          <w:rFonts w:hint="eastAsia" w:ascii="宋体" w:hAnsi="宋体" w:eastAsia="宋体" w:cs="宋体"/>
          <w:color w:val="auto"/>
          <w:sz w:val="21"/>
          <w:szCs w:val="21"/>
          <w:lang w:val="de-DE" w:eastAsia="de-DE"/>
        </w:rPr>
        <w:t>) IN W，</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lang w:val="de-DE" w:eastAsia="de-DE"/>
        </w:rPr>
      </w:pPr>
      <w:r>
        <w:rPr>
          <w:rFonts w:hint="eastAsia" w:ascii="宋体" w:hAnsi="宋体" w:eastAsia="宋体" w:cs="宋体"/>
          <w:color w:val="auto"/>
          <w:sz w:val="21"/>
          <w:szCs w:val="21"/>
        </w:rPr>
        <w:t>三相有功功率</w:t>
      </w:r>
      <w:r>
        <w:rPr>
          <w:rFonts w:hint="eastAsia" w:ascii="宋体" w:hAnsi="宋体" w:eastAsia="宋体" w:cs="宋体"/>
          <w:color w:val="auto"/>
          <w:sz w:val="21"/>
          <w:szCs w:val="21"/>
          <w:lang w:val="de-DE" w:eastAsia="de-DE"/>
        </w:rPr>
        <w:t>：-1.2×</w:t>
      </w:r>
      <w:r>
        <w:rPr>
          <w:rFonts w:hint="eastAsia" w:ascii="宋体" w:hAnsi="宋体" w:eastAsia="宋体" w:cs="宋体"/>
          <w:color w:val="auto"/>
          <w:sz w:val="21"/>
          <w:szCs w:val="21"/>
        </w:rPr>
        <w:object>
          <v:shape id="_x0000_i1028" o:spt="75" type="#_x0000_t75" style="height:15.3pt;width:15.35pt;" o:ole="t" filled="f" stroked="f" coordsize="21600,21600">
            <v:path/>
            <v:fill on="f" focussize="0,0"/>
            <v:stroke on="f"/>
            <v:imagedata r:id="rId11" o:title="231472435204562"/>
            <o:lock v:ext="edit" aspectratio="t"/>
            <w10:wrap type="none"/>
            <w10:anchorlock/>
          </v:shape>
          <o:OLEObject Type="Embed" ProgID="Excel.Sheet.8" ShapeID="_x0000_i1028" DrawAspect="Content" ObjectID="_1468075728" r:id="rId10">
            <o:LockedField>false</o:LockedField>
          </o:OLEObject>
        </w:object>
      </w:r>
      <w:r>
        <w:rPr>
          <w:rFonts w:hint="eastAsia" w:ascii="宋体" w:hAnsi="宋体" w:eastAsia="宋体" w:cs="宋体"/>
          <w:color w:val="auto"/>
          <w:sz w:val="21"/>
          <w:szCs w:val="21"/>
          <w:lang w:val="de-DE" w:eastAsia="de-DE"/>
        </w:rPr>
        <w:t>UN.LIN W</w:t>
      </w:r>
      <w:r>
        <w:rPr>
          <w:rFonts w:hint="eastAsia" w:ascii="宋体" w:hAnsi="宋体" w:eastAsia="宋体" w:cs="宋体"/>
          <w:color w:val="auto"/>
          <w:sz w:val="21"/>
          <w:szCs w:val="21"/>
        </w:rPr>
        <w:t>～</w:t>
      </w:r>
      <w:r>
        <w:rPr>
          <w:rFonts w:hint="eastAsia" w:ascii="宋体" w:hAnsi="宋体" w:eastAsia="宋体" w:cs="宋体"/>
          <w:color w:val="auto"/>
          <w:sz w:val="21"/>
          <w:szCs w:val="21"/>
          <w:lang w:val="de-DE" w:eastAsia="de-DE"/>
        </w:rPr>
        <w:t>＋1.2×</w:t>
      </w:r>
      <w:r>
        <w:rPr>
          <w:rFonts w:hint="eastAsia" w:ascii="宋体" w:hAnsi="宋体" w:eastAsia="宋体" w:cs="宋体"/>
          <w:color w:val="auto"/>
          <w:sz w:val="21"/>
          <w:szCs w:val="21"/>
        </w:rPr>
        <w:object>
          <v:shape id="_x0000_i1029" o:spt="75" type="#_x0000_t75" style="height:15.3pt;width:15.35pt;" o:ole="t" filled="f" stroked="f" coordsize="21600,21600">
            <v:path/>
            <v:fill on="f" focussize="0,0"/>
            <v:stroke on="f"/>
            <v:imagedata r:id="rId13" o:title="261472435204562"/>
            <o:lock v:ext="edit" aspectratio="t"/>
            <w10:wrap type="none"/>
            <w10:anchorlock/>
          </v:shape>
          <o:OLEObject Type="Embed" ProgID="Excel.Sheet.8" ShapeID="_x0000_i1029" DrawAspect="Content" ObjectID="_1468075729" r:id="rId12">
            <o:LockedField>false</o:LockedField>
          </o:OLEObject>
        </w:object>
      </w:r>
      <w:r>
        <w:rPr>
          <w:rFonts w:hint="eastAsia" w:ascii="宋体" w:hAnsi="宋体" w:eastAsia="宋体" w:cs="宋体"/>
          <w:color w:val="auto"/>
          <w:sz w:val="21"/>
          <w:szCs w:val="21"/>
          <w:lang w:val="de-DE" w:eastAsia="de-DE"/>
        </w:rPr>
        <w:t xml:space="preserve"> UN.LIN W，</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三相无功功率：-(1.2×UN.L</w:t>
      </w:r>
      <w:r>
        <w:rPr>
          <w:rFonts w:hint="eastAsia" w:ascii="宋体" w:hAnsi="宋体" w:eastAsia="宋体" w:cs="宋体"/>
          <w:color w:val="auto"/>
          <w:sz w:val="21"/>
          <w:szCs w:val="21"/>
        </w:rPr>
        <w:object>
          <v:shape id="_x0000_i1030" o:spt="75" type="#_x0000_t75" style="height:15.3pt;width:15.35pt;" o:ole="t" filled="f" stroked="f" coordsize="21600,21600">
            <v:path/>
            <v:fill on="f" focussize="0,0"/>
            <v:stroke on="f"/>
            <v:imagedata r:id="rId15" o:title="291472435204562"/>
            <o:lock v:ext="edit" aspectratio="t"/>
            <w10:wrap type="none"/>
            <w10:anchorlock/>
          </v:shape>
          <o:OLEObject Type="Embed" ProgID="Excel.Sheet.8" ShapeID="_x0000_i1030" DrawAspect="Content" ObjectID="_1468075730" r:id="rId14">
            <o:LockedField>false</o:LockedField>
          </o:OLEObject>
        </w:object>
      </w:r>
      <w:r>
        <w:rPr>
          <w:rFonts w:hint="eastAsia" w:ascii="宋体" w:hAnsi="宋体" w:eastAsia="宋体" w:cs="宋体"/>
          <w:color w:val="auto"/>
          <w:sz w:val="21"/>
          <w:szCs w:val="21"/>
        </w:rPr>
        <w:t>) IN Var～＋(1.2×UN.L</w:t>
      </w:r>
      <w:r>
        <w:rPr>
          <w:rFonts w:hint="eastAsia" w:ascii="宋体" w:hAnsi="宋体" w:eastAsia="宋体" w:cs="宋体"/>
          <w:color w:val="auto"/>
          <w:sz w:val="21"/>
          <w:szCs w:val="21"/>
        </w:rPr>
        <w:object>
          <v:shape id="_x0000_i1031" o:spt="75" type="#_x0000_t75" style="height:15.3pt;width:15.35pt;" o:ole="t" filled="f" stroked="f" coordsize="21600,21600">
            <v:path/>
            <v:fill on="f" focussize="0,0"/>
            <v:stroke on="f"/>
            <v:imagedata r:id="rId17" o:title="321472435204562"/>
            <o:lock v:ext="edit" aspectratio="t"/>
            <w10:wrap type="none"/>
            <w10:anchorlock/>
          </v:shape>
          <o:OLEObject Type="Embed" ProgID="Excel.Sheet.8" ShapeID="_x0000_i1031" DrawAspect="Content" ObjectID="_1468075731" r:id="rId16">
            <o:LockedField>false</o:LockedField>
          </o:OLEObject>
        </w:object>
      </w:r>
      <w:r>
        <w:rPr>
          <w:rFonts w:hint="eastAsia" w:ascii="宋体" w:hAnsi="宋体" w:eastAsia="宋体" w:cs="宋体"/>
          <w:color w:val="auto"/>
          <w:sz w:val="21"/>
          <w:szCs w:val="21"/>
        </w:rPr>
        <w:t>) IN Var，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三相无功功率：-1.2×</w:t>
      </w:r>
      <w:r>
        <w:rPr>
          <w:rFonts w:hint="eastAsia" w:ascii="宋体" w:hAnsi="宋体" w:eastAsia="宋体" w:cs="宋体"/>
          <w:color w:val="auto"/>
          <w:sz w:val="21"/>
          <w:szCs w:val="21"/>
        </w:rPr>
        <w:object>
          <v:shape id="_x0000_i1032" o:spt="75" type="#_x0000_t75" style="height:15.3pt;width:15.35pt;" o:ole="t" filled="f" stroked="f" coordsize="21600,21600">
            <v:path/>
            <v:fill on="f" focussize="0,0"/>
            <v:stroke on="f"/>
            <v:imagedata r:id="rId19" o:title="351472435204562"/>
            <o:lock v:ext="edit" aspectratio="t"/>
            <w10:wrap type="none"/>
            <w10:anchorlock/>
          </v:shape>
          <o:OLEObject Type="Embed" ProgID="Excel.Sheet.8" ShapeID="_x0000_i1032" DrawAspect="Content" ObjectID="_1468075732" r:id="rId18">
            <o:LockedField>false</o:LockedField>
          </o:OLEObject>
        </w:object>
      </w:r>
      <w:r>
        <w:rPr>
          <w:rFonts w:hint="eastAsia" w:ascii="宋体" w:hAnsi="宋体" w:eastAsia="宋体" w:cs="宋体"/>
          <w:color w:val="auto"/>
          <w:sz w:val="21"/>
          <w:szCs w:val="21"/>
        </w:rPr>
        <w:t xml:space="preserve"> UN.LIN Var～＋1.2×</w:t>
      </w:r>
      <w:r>
        <w:rPr>
          <w:rFonts w:hint="eastAsia" w:ascii="宋体" w:hAnsi="宋体" w:eastAsia="宋体" w:cs="宋体"/>
          <w:color w:val="auto"/>
          <w:sz w:val="21"/>
          <w:szCs w:val="21"/>
        </w:rPr>
        <w:object>
          <v:shape id="_x0000_i1033" o:spt="75" type="#_x0000_t75" style="height:15.3pt;width:15.35pt;" o:ole="t" filled="f" stroked="f" coordsize="21600,21600">
            <v:path/>
            <v:fill on="f" focussize="0,0"/>
            <v:stroke on="f"/>
            <v:imagedata r:id="rId21" o:title="381472435204562"/>
            <o:lock v:ext="edit" aspectratio="t"/>
            <w10:wrap type="none"/>
            <w10:anchorlock/>
          </v:shape>
          <o:OLEObject Type="Embed" ProgID="Excel.Sheet.8" ShapeID="_x0000_i1033" DrawAspect="Content" ObjectID="_1468075733" r:id="rId20">
            <o:LockedField>false</o:LockedField>
          </o:OLEObject>
        </w:object>
      </w:r>
      <w:r>
        <w:rPr>
          <w:rFonts w:hint="eastAsia" w:ascii="宋体" w:hAnsi="宋体" w:eastAsia="宋体" w:cs="宋体"/>
          <w:color w:val="auto"/>
          <w:sz w:val="21"/>
          <w:szCs w:val="21"/>
        </w:rPr>
        <w:t xml:space="preserve"> UN.LIN Var，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功率因数：-1.00～＋1.00，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频率：45 Hz～55 Hz；</w:t>
      </w:r>
    </w:p>
    <w:p>
      <w:pPr>
        <w:keepNext w:val="0"/>
        <w:keepLines w:val="0"/>
        <w:pageBreakBefore w:val="0"/>
        <w:widowControl w:val="0"/>
        <w:numPr>
          <w:ilvl w:val="0"/>
          <w:numId w:val="22"/>
        </w:numPr>
        <w:tabs>
          <w:tab w:val="left" w:pos="397"/>
          <w:tab w:val="left" w:pos="845"/>
        </w:tabs>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状态量</w:t>
      </w:r>
    </w:p>
    <w:p>
      <w:pPr>
        <w:keepNext w:val="0"/>
        <w:keepLines w:val="0"/>
        <w:pageBreakBefore w:val="0"/>
        <w:widowControl w:val="0"/>
        <w:kinsoku/>
        <w:wordWrap/>
        <w:overflowPunct/>
        <w:topLinePunct w:val="0"/>
        <w:bidi w:val="0"/>
        <w:spacing w:line="360" w:lineRule="auto"/>
        <w:ind w:left="425" w:firstLine="415"/>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事件顺序记录（SOE）分辨率：≤2 ms；</w:t>
      </w:r>
    </w:p>
    <w:p>
      <w:pPr>
        <w:keepNext w:val="0"/>
        <w:keepLines w:val="0"/>
        <w:pageBreakBefore w:val="0"/>
        <w:widowControl w:val="0"/>
        <w:numPr>
          <w:ilvl w:val="0"/>
          <w:numId w:val="22"/>
        </w:numPr>
        <w:tabs>
          <w:tab w:val="left" w:pos="397"/>
          <w:tab w:val="left" w:pos="845"/>
        </w:tabs>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脉冲量</w:t>
      </w:r>
    </w:p>
    <w:p>
      <w:pPr>
        <w:keepNext w:val="0"/>
        <w:keepLines w:val="0"/>
        <w:pageBreakBefore w:val="0"/>
        <w:widowControl w:val="0"/>
        <w:kinsoku/>
        <w:wordWrap/>
        <w:overflowPunct/>
        <w:topLinePunct w:val="0"/>
        <w:bidi w:val="0"/>
        <w:spacing w:line="360" w:lineRule="auto"/>
        <w:ind w:left="425" w:firstLine="415"/>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允许最小脉冲宽度：10 ms；</w:t>
      </w:r>
    </w:p>
    <w:p>
      <w:pPr>
        <w:keepNext w:val="0"/>
        <w:keepLines w:val="0"/>
        <w:pageBreakBefore w:val="0"/>
        <w:widowControl w:val="0"/>
        <w:numPr>
          <w:ilvl w:val="0"/>
          <w:numId w:val="22"/>
        </w:numPr>
        <w:tabs>
          <w:tab w:val="left" w:pos="397"/>
          <w:tab w:val="left" w:pos="845"/>
        </w:tabs>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信息响应时间</w:t>
      </w:r>
    </w:p>
    <w:p>
      <w:pPr>
        <w:keepNext w:val="0"/>
        <w:keepLines w:val="0"/>
        <w:pageBreakBefore w:val="0"/>
        <w:widowControl w:val="0"/>
        <w:kinsoku/>
        <w:wordWrap/>
        <w:overflowPunct/>
        <w:topLinePunct w:val="0"/>
        <w:bidi w:val="0"/>
        <w:spacing w:line="360" w:lineRule="auto"/>
        <w:ind w:left="425" w:firstLine="415"/>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遥信变位响应时间：＜1 s，</w:t>
      </w:r>
    </w:p>
    <w:p>
      <w:pPr>
        <w:keepNext w:val="0"/>
        <w:keepLines w:val="0"/>
        <w:pageBreakBefore w:val="0"/>
        <w:widowControl w:val="0"/>
        <w:kinsoku/>
        <w:wordWrap/>
        <w:overflowPunct/>
        <w:topLinePunct w:val="0"/>
        <w:bidi w:val="0"/>
        <w:spacing w:line="360" w:lineRule="auto"/>
        <w:ind w:left="425" w:firstLine="415"/>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遥测信息响应时间：＜2 s，</w:t>
      </w:r>
    </w:p>
    <w:p>
      <w:pPr>
        <w:keepNext w:val="0"/>
        <w:keepLines w:val="0"/>
        <w:pageBreakBefore w:val="0"/>
        <w:widowControl w:val="0"/>
        <w:kinsoku/>
        <w:wordWrap/>
        <w:overflowPunct/>
        <w:topLinePunct w:val="0"/>
        <w:bidi w:val="0"/>
        <w:spacing w:line="360" w:lineRule="auto"/>
        <w:ind w:left="425" w:firstLine="415"/>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遥控传输延时时间：＜1 s；</w:t>
      </w:r>
    </w:p>
    <w:p>
      <w:pPr>
        <w:keepNext w:val="0"/>
        <w:keepLines w:val="0"/>
        <w:pageBreakBefore w:val="0"/>
        <w:widowControl w:val="0"/>
        <w:numPr>
          <w:ilvl w:val="0"/>
          <w:numId w:val="22"/>
        </w:numPr>
        <w:tabs>
          <w:tab w:val="left" w:pos="397"/>
          <w:tab w:val="left" w:pos="845"/>
        </w:tabs>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遥控动作成功率：100%。</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bookmarkStart w:id="122" w:name="_Toc13177"/>
      <w:bookmarkStart w:id="123" w:name="_Toc132187470"/>
      <w:bookmarkStart w:id="124" w:name="_Toc8720"/>
      <w:bookmarkStart w:id="125" w:name="_Toc136845870"/>
      <w:bookmarkStart w:id="126" w:name="_Toc28298"/>
      <w:bookmarkStart w:id="127" w:name="_Toc115758680"/>
      <w:bookmarkStart w:id="128" w:name="_Toc29787"/>
      <w:bookmarkStart w:id="129" w:name="_Toc25053"/>
      <w:bookmarkStart w:id="130" w:name="_Toc116720795"/>
      <w:r>
        <w:rPr>
          <w:rFonts w:hint="eastAsia" w:ascii="宋体" w:hAnsi="宋体" w:eastAsia="宋体" w:cs="宋体"/>
          <w:b/>
          <w:bCs/>
          <w:color w:val="auto"/>
          <w:sz w:val="21"/>
          <w:szCs w:val="21"/>
        </w:rPr>
        <w:t>过载能力</w:t>
      </w:r>
      <w:bookmarkEnd w:id="122"/>
      <w:bookmarkEnd w:id="123"/>
      <w:bookmarkEnd w:id="124"/>
      <w:bookmarkEnd w:id="125"/>
      <w:bookmarkEnd w:id="126"/>
      <w:bookmarkEnd w:id="127"/>
      <w:bookmarkEnd w:id="128"/>
      <w:bookmarkEnd w:id="129"/>
      <w:bookmarkEnd w:id="130"/>
    </w:p>
    <w:p>
      <w:pPr>
        <w:keepNext w:val="0"/>
        <w:keepLines w:val="0"/>
        <w:pageBreakBefore w:val="0"/>
        <w:widowControl w:val="0"/>
        <w:kinsoku/>
        <w:wordWrap/>
        <w:overflowPunct/>
        <w:topLinePunct w:val="0"/>
        <w:bidi w:val="0"/>
        <w:spacing w:line="360" w:lineRule="auto"/>
        <w:ind w:firstLine="42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交流电流回路：2倍额定电流，连续工作，10倍额定电流，允许16s，40倍额定电流，允许1s；</w:t>
      </w:r>
    </w:p>
    <w:p>
      <w:pPr>
        <w:keepNext w:val="0"/>
        <w:keepLines w:val="0"/>
        <w:pageBreakBefore w:val="0"/>
        <w:widowControl w:val="0"/>
        <w:kinsoku/>
        <w:wordWrap/>
        <w:overflowPunct/>
        <w:topLinePunct w:val="0"/>
        <w:bidi w:val="0"/>
        <w:spacing w:line="360" w:lineRule="auto"/>
        <w:ind w:firstLine="42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交流电压回路：1.5×100V连续工作。</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bookmarkStart w:id="131" w:name="_Toc21341"/>
      <w:bookmarkStart w:id="132" w:name="_Toc136845872"/>
      <w:bookmarkStart w:id="133" w:name="_Toc103578811"/>
      <w:bookmarkStart w:id="134" w:name="_Toc26374"/>
      <w:bookmarkStart w:id="135" w:name="_Toc21199"/>
      <w:bookmarkStart w:id="136" w:name="_Toc6780"/>
      <w:bookmarkStart w:id="137" w:name="_Toc17225"/>
      <w:bookmarkStart w:id="138" w:name="_Toc74124175"/>
      <w:bookmarkStart w:id="139" w:name="_Toc132187472"/>
      <w:r>
        <w:rPr>
          <w:rFonts w:hint="eastAsia" w:ascii="宋体" w:hAnsi="宋体" w:eastAsia="宋体" w:cs="宋体"/>
          <w:b/>
          <w:bCs/>
          <w:color w:val="auto"/>
          <w:sz w:val="21"/>
          <w:szCs w:val="21"/>
        </w:rPr>
        <w:t>绝缘性能</w:t>
      </w:r>
      <w:bookmarkEnd w:id="131"/>
      <w:bookmarkEnd w:id="132"/>
      <w:bookmarkEnd w:id="133"/>
      <w:bookmarkEnd w:id="134"/>
      <w:bookmarkEnd w:id="135"/>
      <w:bookmarkEnd w:id="136"/>
      <w:bookmarkEnd w:id="137"/>
      <w:bookmarkEnd w:id="138"/>
      <w:bookmarkEnd w:id="139"/>
    </w:p>
    <w:p>
      <w:pPr>
        <w:keepNext w:val="0"/>
        <w:keepLines w:val="0"/>
        <w:pageBreakBefore w:val="0"/>
        <w:widowControl w:val="0"/>
        <w:numPr>
          <w:ilvl w:val="0"/>
          <w:numId w:val="23"/>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绝缘电阻</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正常试验大气条件下，装置的带电部分（通信接口回路除外）和非带电金属部分及外壳之间以及电气上无联系的各电路之间用开路电压为直流1000 V的兆欧表测量其绝缘电阻值，应不小于50 MΩ；通信接口回路对地，用开路电压为直流500 V的兆欧表测量其绝缘电阻值，应不小于100 MΩ。</w:t>
      </w:r>
    </w:p>
    <w:p>
      <w:pPr>
        <w:keepNext w:val="0"/>
        <w:keepLines w:val="0"/>
        <w:pageBreakBefore w:val="0"/>
        <w:widowControl w:val="0"/>
        <w:numPr>
          <w:ilvl w:val="0"/>
          <w:numId w:val="23"/>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介质强度</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在正常试验大气条件下，装置通信接口回路及24V弱电输入输出等端子对地能承受50 Hz、500 V的交流电压，历时1min的试验而无击穿闪络及元件损坏现象；电源回路对地能承受2650 V的直流电压；其余的各带电导电电路分别对地之间，交流回路和直流回路之间，交流电压回路和交流电流回路之间能承受50 Hz、2000 V的交流电压，历时1min的试验而无击穿闪络及元件损坏现象。试验过程中，任一被试回路施加电压时其余回路等电位互联接地。</w:t>
      </w:r>
    </w:p>
    <w:p>
      <w:pPr>
        <w:keepNext w:val="0"/>
        <w:keepLines w:val="0"/>
        <w:pageBreakBefore w:val="0"/>
        <w:widowControl w:val="0"/>
        <w:numPr>
          <w:ilvl w:val="0"/>
          <w:numId w:val="23"/>
        </w:numPr>
        <w:kinsoku/>
        <w:wordWrap/>
        <w:overflowPunct/>
        <w:topLinePunct w:val="0"/>
        <w:autoSpaceDE/>
        <w:autoSpaceDN/>
        <w:bidi w:val="0"/>
        <w:adjustRightInd/>
        <w:snapToGrid/>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冲击电压</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在正常试验大气条件下，装置通信接口回路及24V弱电输入输出等端子对地能承受开路试验电压为1kV的标准雷电冲击波试验。其余的各带电导电电路分别对地之间，交流回路和直流回路之间，交流电压回路和交流电流回路之间能承受开路试验电压为5kV的标准雷电冲击波试验。</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bookmarkStart w:id="140" w:name="_Toc136845873"/>
      <w:bookmarkStart w:id="141" w:name="_Toc29352"/>
      <w:bookmarkStart w:id="142" w:name="_Toc132187473"/>
      <w:bookmarkStart w:id="143" w:name="_Toc30488"/>
      <w:bookmarkStart w:id="144" w:name="_Toc5486"/>
      <w:bookmarkStart w:id="145" w:name="_Toc7056"/>
      <w:bookmarkStart w:id="146" w:name="_Toc22790"/>
      <w:r>
        <w:rPr>
          <w:rFonts w:hint="eastAsia" w:ascii="宋体" w:hAnsi="宋体" w:eastAsia="宋体" w:cs="宋体"/>
          <w:b/>
          <w:bCs/>
          <w:color w:val="auto"/>
          <w:sz w:val="21"/>
          <w:szCs w:val="21"/>
        </w:rPr>
        <w:t>耐湿热性能</w:t>
      </w:r>
      <w:bookmarkEnd w:id="140"/>
      <w:bookmarkEnd w:id="141"/>
      <w:bookmarkEnd w:id="142"/>
      <w:bookmarkEnd w:id="143"/>
      <w:bookmarkEnd w:id="144"/>
      <w:bookmarkEnd w:id="145"/>
      <w:bookmarkEnd w:id="146"/>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装置能承受GB/T 2423.9规定的恒定湿热试验。试验温度+40 ℃±2 ℃、相对湿度（93±3）％，试验时间为48 h。在试验结束前2小时内根据2.4.1的要求，测量各导电电路对外露非带电金属部分及外壳之间、电气上不联系的各回路之间的绝缘电阻不小于1.5 MΩ，介质耐压强度不低于2.4.2规定的介质强度试验电压幅值的75％。</w:t>
      </w:r>
    </w:p>
    <w:p>
      <w:pPr>
        <w:keepNext w:val="0"/>
        <w:keepLines w:val="0"/>
        <w:pageBreakBefore w:val="0"/>
        <w:widowControl w:val="0"/>
        <w:kinsoku/>
        <w:wordWrap/>
        <w:overflowPunct/>
        <w:topLinePunct w:val="0"/>
        <w:bidi w:val="0"/>
        <w:spacing w:line="360" w:lineRule="auto"/>
        <w:textAlignment w:val="auto"/>
        <w:outlineLvl w:val="9"/>
        <w:rPr>
          <w:rFonts w:hint="eastAsia" w:ascii="宋体" w:hAnsi="宋体" w:eastAsia="宋体" w:cs="宋体"/>
          <w:b/>
          <w:bCs/>
          <w:color w:val="auto"/>
          <w:sz w:val="21"/>
          <w:szCs w:val="21"/>
          <w:lang w:val="en-US" w:eastAsia="zh-CN"/>
        </w:rPr>
      </w:pPr>
      <w:bookmarkStart w:id="147" w:name="_Toc30589"/>
      <w:bookmarkStart w:id="148" w:name="_Toc11788"/>
      <w:bookmarkStart w:id="149" w:name="_Toc1785"/>
      <w:r>
        <w:rPr>
          <w:rFonts w:hint="eastAsia" w:ascii="宋体" w:hAnsi="宋体" w:eastAsia="宋体" w:cs="宋体"/>
          <w:b/>
          <w:bCs/>
          <w:color w:val="auto"/>
          <w:sz w:val="21"/>
          <w:szCs w:val="21"/>
          <w:lang w:val="en-US" w:eastAsia="zh-CN"/>
        </w:rPr>
        <w:t>3.</w:t>
      </w:r>
      <w:r>
        <w:rPr>
          <w:rFonts w:hint="eastAsia" w:ascii="宋体" w:hAnsi="宋体" w:cs="宋体"/>
          <w:b/>
          <w:bCs/>
          <w:color w:val="auto"/>
          <w:sz w:val="21"/>
          <w:szCs w:val="21"/>
          <w:lang w:val="en-US" w:eastAsia="zh-CN"/>
        </w:rPr>
        <w:t>1.11</w:t>
      </w:r>
      <w:r>
        <w:rPr>
          <w:rFonts w:hint="eastAsia" w:ascii="宋体" w:hAnsi="宋体" w:eastAsia="宋体" w:cs="宋体"/>
          <w:b/>
          <w:bCs/>
          <w:color w:val="auto"/>
          <w:sz w:val="21"/>
          <w:szCs w:val="21"/>
          <w:lang w:val="en-US" w:eastAsia="zh-CN"/>
        </w:rPr>
        <w:t>保护装置性能要求</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主要保护定值范围</w:t>
      </w:r>
      <w:bookmarkEnd w:id="147"/>
      <w:bookmarkEnd w:id="148"/>
      <w:bookmarkEnd w:id="149"/>
    </w:p>
    <w:p>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电流速断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动作电流：0.2In～10In</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动作时间：0.03s～5s</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固有动作时间：≤40ms</w:t>
      </w:r>
    </w:p>
    <w:p>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过电流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动作电流：0.2In～10In</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动作时间：0.03s～5s</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固有动作时间：≤40ms  </w:t>
      </w:r>
    </w:p>
    <w:p>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零序过电流</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动作电流：0.2In～4In</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动作时间：0s～10s</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固有动作时间：≤40ms</w:t>
      </w:r>
    </w:p>
    <w:p>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零序过电压</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动作电压：10V～100V</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动作时间：0s～10s</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固有动作时间：≤40ms</w:t>
      </w:r>
    </w:p>
    <w:p>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过电压</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动作电压：80V～120V</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动作时间：0s～10s</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固有动作时间：≤40ms</w:t>
      </w:r>
    </w:p>
    <w:p>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失电压</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动作电压：10V～80V</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动作时间：0s～10s</w:t>
      </w:r>
    </w:p>
    <w:p>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自动重合闸</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合闸间隔时间：10s～25s</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重合闸时间：0.5s～5s</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固有动作时间：≤40ms</w:t>
      </w:r>
    </w:p>
    <w:p>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同期检查</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电压差：2V～100V</w:t>
      </w:r>
    </w:p>
    <w:p>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4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相位差：0～90º。</w:t>
      </w:r>
    </w:p>
    <w:p>
      <w:pPr>
        <w:keepNext w:val="0"/>
        <w:keepLines w:val="0"/>
        <w:pageBreakBefore w:val="0"/>
        <w:widowControl w:val="0"/>
        <w:numPr>
          <w:ilvl w:val="0"/>
          <w:numId w:val="25"/>
        </w:numPr>
        <w:kinsoku/>
        <w:wordWrap/>
        <w:overflowPunct/>
        <w:topLinePunct w:val="0"/>
        <w:autoSpaceDE/>
        <w:autoSpaceDN/>
        <w:bidi w:val="0"/>
        <w:adjustRightInd w:val="0"/>
        <w:snapToGrid w:val="0"/>
        <w:spacing w:line="360" w:lineRule="auto"/>
        <w:ind w:left="0" w:leftChars="0" w:firstLine="315" w:firstLineChars="15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绝缘性能</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在标准试验大气压条件下，装置绝缘电阻及介质强度应满相关IEC标准或GB标准要求。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15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10</w:t>
      </w:r>
      <w:r>
        <w:rPr>
          <w:rFonts w:hint="eastAsia" w:ascii="宋体" w:hAnsi="宋体" w:cs="宋体"/>
          <w:color w:val="auto"/>
          <w:sz w:val="21"/>
          <w:szCs w:val="21"/>
          <w:lang w:eastAsia="zh-CN"/>
        </w:rPr>
        <w:t>）</w:t>
      </w:r>
      <w:r>
        <w:rPr>
          <w:rFonts w:hint="eastAsia" w:ascii="宋体" w:hAnsi="宋体" w:eastAsia="宋体" w:cs="宋体"/>
          <w:color w:val="auto"/>
          <w:sz w:val="21"/>
          <w:szCs w:val="21"/>
        </w:rPr>
        <w:t>故障录波功能及显示功能</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录波功能具备故障前5个周波，故障后5个周波。故障电流、电压波形可分相和重叠查看；故障报告显示故障时刻的一次电压值、电流值、时间，保护动作名称。数据能上传至远动。</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
          <w:bCs/>
          <w:color w:val="auto"/>
          <w:sz w:val="21"/>
          <w:szCs w:val="21"/>
        </w:rPr>
      </w:pPr>
      <w:bookmarkStart w:id="150" w:name="_Toc11332"/>
      <w:bookmarkStart w:id="151" w:name="_Toc29319"/>
      <w:bookmarkStart w:id="152" w:name="_Toc7568"/>
      <w:r>
        <w:rPr>
          <w:rFonts w:hint="eastAsia" w:ascii="宋体" w:hAnsi="宋体" w:eastAsia="宋体" w:cs="宋体"/>
          <w:b/>
          <w:bCs/>
          <w:color w:val="auto"/>
          <w:sz w:val="21"/>
          <w:szCs w:val="21"/>
        </w:rPr>
        <w:t>装置抗电磁干扰要求</w:t>
      </w:r>
      <w:bookmarkEnd w:id="150"/>
      <w:bookmarkEnd w:id="151"/>
      <w:bookmarkEnd w:id="152"/>
    </w:p>
    <w:tbl>
      <w:tblPr>
        <w:tblStyle w:val="7"/>
        <w:tblW w:w="8297" w:type="dxa"/>
        <w:jc w:val="center"/>
        <w:tblInd w:w="395"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47"/>
        <w:gridCol w:w="1613"/>
        <w:gridCol w:w="593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eastAsia="宋体"/>
                <w:color w:val="auto"/>
                <w:sz w:val="21"/>
                <w:szCs w:val="21"/>
                <w:lang w:eastAsia="zh-CN"/>
              </w:rPr>
            </w:pPr>
            <w:r>
              <w:rPr>
                <w:rFonts w:hint="eastAsia" w:ascii="宋体"/>
                <w:color w:val="auto"/>
                <w:sz w:val="21"/>
                <w:szCs w:val="21"/>
                <w:lang w:eastAsia="zh-CN"/>
              </w:rPr>
              <w:t>序号</w:t>
            </w:r>
          </w:p>
        </w:tc>
        <w:tc>
          <w:tcPr>
            <w:tcW w:w="1613" w:type="dxa"/>
            <w:vAlign w:val="center"/>
          </w:tcPr>
          <w:p>
            <w:pPr>
              <w:spacing w:line="240" w:lineRule="exact"/>
              <w:jc w:val="center"/>
              <w:rPr>
                <w:rFonts w:hint="eastAsia" w:ascii="宋体"/>
                <w:color w:val="auto"/>
                <w:sz w:val="21"/>
                <w:szCs w:val="21"/>
              </w:rPr>
            </w:pPr>
            <w:r>
              <w:rPr>
                <w:rFonts w:hint="eastAsia" w:ascii="宋体"/>
                <w:color w:val="auto"/>
                <w:sz w:val="21"/>
                <w:szCs w:val="21"/>
              </w:rPr>
              <w:t>试 验 项 目</w:t>
            </w:r>
          </w:p>
        </w:tc>
        <w:tc>
          <w:tcPr>
            <w:tcW w:w="5937" w:type="dxa"/>
            <w:vAlign w:val="center"/>
          </w:tcPr>
          <w:p>
            <w:pPr>
              <w:spacing w:line="240" w:lineRule="exact"/>
              <w:jc w:val="center"/>
              <w:rPr>
                <w:rFonts w:hint="eastAsia" w:ascii="宋体"/>
                <w:color w:val="auto"/>
                <w:sz w:val="21"/>
                <w:szCs w:val="21"/>
              </w:rPr>
            </w:pPr>
            <w:r>
              <w:rPr>
                <w:rFonts w:hint="eastAsia" w:ascii="宋体"/>
                <w:color w:val="auto"/>
                <w:sz w:val="21"/>
                <w:szCs w:val="21"/>
              </w:rPr>
              <w:t>要          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1</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辐射电磁场骚扰试验</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满足GB/T 14598.9－2002（IEC 60255-22-3:2000，IDT）规定的Ⅲ级试验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2</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快速瞬变干抗试验</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满足GB/T 14598.10－1996（idt IEC 60255-22-4:1992）规定的Ⅳ级试验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3</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1MHz脉冲群干扰试验</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满足GB/T 14598.13－1998（eqv IEC 60255-22-1:1988）规定的Ⅲ级试验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4</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静电放电试验</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满足GB/T 14598.14－1998（idt IEC 60255-22-2:1996）规定的4级试验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5</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电磁发射试验</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满足GB/T 14598.16－2002（IEC 60255-25:2000，IDT）规定的A类试验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6</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浪涌（冲击）抗扰度</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满足GB/T 17626.5－1999（idt IEC 61000-4-5:1995）规定的4级试验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7</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射频场感应的传导骚扰度</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满足GB/T 17626.6－1998（idt IEC 61000-4-6:1996）规定的3级试验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8</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工频磁场抗扰度</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满足GB/T 17626.8－1998（idt IEC 61000-4-8:1993）规定的4级试验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9</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脉冲磁场抗扰度</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满足GB/T 17626.9－1998（idt IEC 61000-4-9:1993）规定的4级试验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747" w:type="dxa"/>
            <w:vAlign w:val="center"/>
          </w:tcPr>
          <w:p>
            <w:pPr>
              <w:spacing w:line="240" w:lineRule="exact"/>
              <w:jc w:val="center"/>
              <w:rPr>
                <w:rFonts w:hint="eastAsia" w:ascii="宋体"/>
                <w:color w:val="auto"/>
                <w:sz w:val="21"/>
                <w:szCs w:val="21"/>
              </w:rPr>
            </w:pPr>
            <w:r>
              <w:rPr>
                <w:rFonts w:hint="eastAsia" w:ascii="宋体"/>
                <w:color w:val="auto"/>
                <w:sz w:val="21"/>
                <w:szCs w:val="21"/>
              </w:rPr>
              <w:t>10</w:t>
            </w:r>
          </w:p>
        </w:tc>
        <w:tc>
          <w:tcPr>
            <w:tcW w:w="1613" w:type="dxa"/>
            <w:vAlign w:val="center"/>
          </w:tcPr>
          <w:p>
            <w:pPr>
              <w:spacing w:line="240" w:lineRule="exact"/>
              <w:rPr>
                <w:rFonts w:hint="eastAsia" w:ascii="宋体"/>
                <w:color w:val="auto"/>
                <w:sz w:val="21"/>
                <w:szCs w:val="21"/>
              </w:rPr>
            </w:pPr>
            <w:r>
              <w:rPr>
                <w:rFonts w:hint="eastAsia" w:ascii="宋体"/>
                <w:color w:val="auto"/>
                <w:sz w:val="21"/>
                <w:szCs w:val="21"/>
              </w:rPr>
              <w:t>直流电源电压突降和电压中断影响</w:t>
            </w:r>
          </w:p>
        </w:tc>
        <w:tc>
          <w:tcPr>
            <w:tcW w:w="5937" w:type="dxa"/>
            <w:vAlign w:val="center"/>
          </w:tcPr>
          <w:p>
            <w:pPr>
              <w:spacing w:line="240" w:lineRule="exact"/>
              <w:rPr>
                <w:rFonts w:hint="eastAsia" w:ascii="宋体"/>
                <w:color w:val="auto"/>
                <w:sz w:val="21"/>
                <w:szCs w:val="21"/>
              </w:rPr>
            </w:pPr>
            <w:r>
              <w:rPr>
                <w:rFonts w:hint="eastAsia" w:ascii="宋体"/>
                <w:color w:val="auto"/>
                <w:sz w:val="21"/>
                <w:szCs w:val="21"/>
              </w:rPr>
              <w:t>允许GB/T 8367－1987（eqv IEC 60255-11:1979）中要求100 ms的电压中断，30％电压突降0.5 s</w:t>
            </w:r>
          </w:p>
        </w:tc>
      </w:tr>
    </w:tbl>
    <w:p>
      <w:pPr>
        <w:keepNext w:val="0"/>
        <w:keepLines w:val="0"/>
        <w:pageBreakBefore w:val="0"/>
        <w:widowControl w:val="0"/>
        <w:numPr>
          <w:ilvl w:val="0"/>
          <w:numId w:val="24"/>
        </w:numPr>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b/>
          <w:bCs/>
          <w:color w:val="auto"/>
          <w:sz w:val="21"/>
          <w:szCs w:val="21"/>
        </w:rPr>
      </w:pPr>
      <w:bookmarkStart w:id="153" w:name="_Toc16998"/>
      <w:bookmarkStart w:id="154" w:name="_Toc28001"/>
      <w:bookmarkStart w:id="155" w:name="_Toc24219"/>
      <w:bookmarkStart w:id="156" w:name="_Toc9140"/>
      <w:bookmarkStart w:id="157" w:name="_Toc17648"/>
      <w:bookmarkStart w:id="158" w:name="_Toc17900"/>
      <w:bookmarkStart w:id="159" w:name="_Toc20708"/>
      <w:bookmarkStart w:id="160" w:name="_Toc7082"/>
      <w:r>
        <w:rPr>
          <w:rFonts w:hint="eastAsia" w:ascii="宋体" w:hAnsi="宋体"/>
          <w:b/>
          <w:bCs/>
          <w:color w:val="auto"/>
          <w:sz w:val="21"/>
          <w:szCs w:val="21"/>
        </w:rPr>
        <w:t>机箱防护等级</w:t>
      </w:r>
      <w:bookmarkEnd w:id="153"/>
      <w:bookmarkEnd w:id="154"/>
      <w:bookmarkEnd w:id="155"/>
      <w:bookmarkEnd w:id="156"/>
      <w:bookmarkEnd w:id="157"/>
      <w:bookmarkEnd w:id="158"/>
      <w:bookmarkEnd w:id="159"/>
      <w:bookmarkEnd w:id="160"/>
    </w:p>
    <w:p>
      <w:pPr>
        <w:adjustRightInd w:val="0"/>
        <w:snapToGrid w:val="0"/>
        <w:spacing w:line="360" w:lineRule="exact"/>
        <w:ind w:firstLine="436" w:firstLineChars="200"/>
        <w:rPr>
          <w:rFonts w:hint="eastAsia" w:ascii="宋体" w:hAnsi="宋体"/>
          <w:color w:val="auto"/>
          <w:sz w:val="21"/>
          <w:szCs w:val="21"/>
        </w:rPr>
      </w:pPr>
      <w:r>
        <w:rPr>
          <w:rFonts w:hint="eastAsia" w:ascii="宋体" w:hAnsi="宋体"/>
          <w:color w:val="auto"/>
          <w:spacing w:val="4"/>
          <w:sz w:val="21"/>
          <w:szCs w:val="21"/>
        </w:rPr>
        <w:t>满足GB 4208-1993对外壳防护等级的要求，其中装置背面符合IP10，其余部分均符合IP54(前面板加上玻璃罩情况下)。</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b/>
          <w:bCs/>
          <w:color w:val="auto"/>
          <w:sz w:val="21"/>
          <w:szCs w:val="21"/>
        </w:rPr>
      </w:pPr>
      <w:bookmarkStart w:id="161" w:name="_Toc3455"/>
      <w:bookmarkStart w:id="162" w:name="_Toc2648"/>
      <w:bookmarkStart w:id="163" w:name="_Toc3339"/>
      <w:bookmarkStart w:id="164" w:name="_Toc30316"/>
      <w:bookmarkStart w:id="165" w:name="_Toc7526"/>
      <w:bookmarkStart w:id="166" w:name="_Toc2686"/>
      <w:bookmarkStart w:id="167" w:name="_Toc24346"/>
      <w:bookmarkStart w:id="168" w:name="_Toc19806"/>
      <w:r>
        <w:rPr>
          <w:rFonts w:hint="eastAsia" w:ascii="宋体" w:hAnsi="宋体"/>
          <w:b/>
          <w:bCs/>
          <w:color w:val="auto"/>
          <w:sz w:val="21"/>
          <w:szCs w:val="21"/>
        </w:rPr>
        <w:t>机械性能</w:t>
      </w:r>
      <w:bookmarkEnd w:id="161"/>
      <w:bookmarkEnd w:id="162"/>
      <w:bookmarkEnd w:id="163"/>
      <w:bookmarkEnd w:id="164"/>
      <w:bookmarkEnd w:id="165"/>
      <w:bookmarkEnd w:id="166"/>
      <w:bookmarkEnd w:id="167"/>
      <w:bookmarkEnd w:id="168"/>
    </w:p>
    <w:tbl>
      <w:tblPr>
        <w:tblStyle w:val="7"/>
        <w:tblW w:w="8598" w:type="dxa"/>
        <w:jc w:val="center"/>
        <w:tblInd w:w="379"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10"/>
        <w:gridCol w:w="950"/>
        <w:gridCol w:w="693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710" w:type="dxa"/>
            <w:vAlign w:val="center"/>
          </w:tcPr>
          <w:p>
            <w:pPr>
              <w:spacing w:line="240" w:lineRule="exact"/>
              <w:jc w:val="center"/>
              <w:rPr>
                <w:rFonts w:hint="eastAsia" w:ascii="宋体" w:eastAsia="宋体"/>
                <w:color w:val="auto"/>
                <w:sz w:val="21"/>
                <w:szCs w:val="21"/>
                <w:lang w:eastAsia="zh-CN"/>
              </w:rPr>
            </w:pPr>
            <w:r>
              <w:rPr>
                <w:rFonts w:hint="eastAsia" w:ascii="宋体"/>
                <w:color w:val="auto"/>
                <w:sz w:val="21"/>
                <w:szCs w:val="21"/>
                <w:lang w:eastAsia="zh-CN"/>
              </w:rPr>
              <w:t>序号</w:t>
            </w:r>
          </w:p>
        </w:tc>
        <w:tc>
          <w:tcPr>
            <w:tcW w:w="950" w:type="dxa"/>
            <w:vAlign w:val="center"/>
          </w:tcPr>
          <w:p>
            <w:pPr>
              <w:spacing w:line="240" w:lineRule="exact"/>
              <w:jc w:val="center"/>
              <w:rPr>
                <w:rFonts w:hint="eastAsia" w:ascii="宋体"/>
                <w:color w:val="auto"/>
                <w:sz w:val="21"/>
                <w:szCs w:val="21"/>
              </w:rPr>
            </w:pPr>
            <w:r>
              <w:rPr>
                <w:rFonts w:hint="eastAsia" w:ascii="宋体"/>
                <w:color w:val="auto"/>
                <w:sz w:val="21"/>
                <w:szCs w:val="21"/>
              </w:rPr>
              <w:t>项目</w:t>
            </w:r>
          </w:p>
        </w:tc>
        <w:tc>
          <w:tcPr>
            <w:tcW w:w="6938" w:type="dxa"/>
            <w:vAlign w:val="center"/>
          </w:tcPr>
          <w:p>
            <w:pPr>
              <w:spacing w:line="240" w:lineRule="exact"/>
              <w:jc w:val="center"/>
              <w:rPr>
                <w:rFonts w:hint="eastAsia" w:ascii="宋体"/>
                <w:color w:val="auto"/>
                <w:sz w:val="21"/>
                <w:szCs w:val="21"/>
              </w:rPr>
            </w:pPr>
            <w:r>
              <w:rPr>
                <w:rFonts w:hint="eastAsia" w:ascii="宋体"/>
                <w:color w:val="auto"/>
                <w:sz w:val="21"/>
                <w:szCs w:val="21"/>
              </w:rPr>
              <w:t>要                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710" w:type="dxa"/>
            <w:vAlign w:val="center"/>
          </w:tcPr>
          <w:p>
            <w:pPr>
              <w:spacing w:line="240" w:lineRule="exact"/>
              <w:jc w:val="center"/>
              <w:rPr>
                <w:rFonts w:hint="eastAsia" w:ascii="宋体"/>
                <w:color w:val="auto"/>
                <w:sz w:val="21"/>
                <w:szCs w:val="21"/>
              </w:rPr>
            </w:pPr>
            <w:r>
              <w:rPr>
                <w:rFonts w:hint="eastAsia" w:ascii="宋体"/>
                <w:color w:val="auto"/>
                <w:sz w:val="21"/>
                <w:szCs w:val="21"/>
              </w:rPr>
              <w:t>1</w:t>
            </w:r>
          </w:p>
        </w:tc>
        <w:tc>
          <w:tcPr>
            <w:tcW w:w="950" w:type="dxa"/>
            <w:vAlign w:val="center"/>
          </w:tcPr>
          <w:p>
            <w:pPr>
              <w:spacing w:line="240" w:lineRule="exact"/>
              <w:jc w:val="center"/>
              <w:rPr>
                <w:rFonts w:hint="eastAsia" w:ascii="宋体"/>
                <w:color w:val="auto"/>
                <w:sz w:val="21"/>
                <w:szCs w:val="21"/>
              </w:rPr>
            </w:pPr>
            <w:r>
              <w:rPr>
                <w:rFonts w:hint="eastAsia" w:ascii="宋体"/>
                <w:color w:val="auto"/>
                <w:sz w:val="21"/>
                <w:szCs w:val="21"/>
              </w:rPr>
              <w:t>振动</w:t>
            </w:r>
          </w:p>
        </w:tc>
        <w:tc>
          <w:tcPr>
            <w:tcW w:w="6938" w:type="dxa"/>
            <w:vAlign w:val="center"/>
          </w:tcPr>
          <w:p>
            <w:pPr>
              <w:spacing w:line="240" w:lineRule="exact"/>
              <w:rPr>
                <w:rFonts w:hint="eastAsia" w:ascii="宋体"/>
                <w:color w:val="auto"/>
                <w:sz w:val="21"/>
                <w:szCs w:val="21"/>
              </w:rPr>
            </w:pPr>
            <w:r>
              <w:rPr>
                <w:rFonts w:hint="eastAsia" w:ascii="宋体"/>
                <w:color w:val="auto"/>
                <w:sz w:val="21"/>
                <w:szCs w:val="21"/>
              </w:rPr>
              <w:t>装置能承受GB/T 11287-2000中3.2.1规定的严酷等级为1级的振动响应试验，3.2.2规定的严酷等级为1级的振动耐久试验。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710" w:type="dxa"/>
            <w:vAlign w:val="center"/>
          </w:tcPr>
          <w:p>
            <w:pPr>
              <w:spacing w:line="240" w:lineRule="exact"/>
              <w:jc w:val="center"/>
              <w:rPr>
                <w:rFonts w:hint="eastAsia" w:ascii="宋体"/>
                <w:color w:val="auto"/>
                <w:sz w:val="21"/>
                <w:szCs w:val="21"/>
              </w:rPr>
            </w:pPr>
            <w:r>
              <w:rPr>
                <w:rFonts w:hint="eastAsia" w:ascii="宋体"/>
                <w:color w:val="auto"/>
                <w:sz w:val="21"/>
                <w:szCs w:val="21"/>
              </w:rPr>
              <w:t>2</w:t>
            </w:r>
          </w:p>
        </w:tc>
        <w:tc>
          <w:tcPr>
            <w:tcW w:w="950" w:type="dxa"/>
            <w:vAlign w:val="center"/>
          </w:tcPr>
          <w:p>
            <w:pPr>
              <w:spacing w:line="240" w:lineRule="exact"/>
              <w:jc w:val="center"/>
              <w:rPr>
                <w:rFonts w:hint="eastAsia" w:ascii="宋体"/>
                <w:color w:val="auto"/>
                <w:sz w:val="21"/>
                <w:szCs w:val="21"/>
              </w:rPr>
            </w:pPr>
            <w:r>
              <w:rPr>
                <w:rFonts w:hint="eastAsia" w:ascii="宋体"/>
                <w:color w:val="auto"/>
                <w:sz w:val="21"/>
                <w:szCs w:val="21"/>
              </w:rPr>
              <w:t>冲击</w:t>
            </w:r>
          </w:p>
        </w:tc>
        <w:tc>
          <w:tcPr>
            <w:tcW w:w="6938" w:type="dxa"/>
            <w:vAlign w:val="center"/>
          </w:tcPr>
          <w:p>
            <w:pPr>
              <w:spacing w:line="240" w:lineRule="exact"/>
              <w:jc w:val="left"/>
              <w:rPr>
                <w:rFonts w:hint="eastAsia" w:ascii="宋体"/>
                <w:color w:val="auto"/>
                <w:sz w:val="21"/>
                <w:szCs w:val="21"/>
              </w:rPr>
            </w:pPr>
            <w:r>
              <w:rPr>
                <w:rFonts w:hint="eastAsia" w:ascii="宋体"/>
                <w:color w:val="auto"/>
                <w:sz w:val="21"/>
                <w:szCs w:val="21"/>
              </w:rPr>
              <w:t>装置能承受GB/T 14537-1993中4.2.1规定的严酷等级为1级的冲击响应试验，4.2.2规定的严酷等级为1级的冲击耐久试验。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710" w:type="dxa"/>
            <w:vAlign w:val="center"/>
          </w:tcPr>
          <w:p>
            <w:pPr>
              <w:spacing w:line="240" w:lineRule="exact"/>
              <w:jc w:val="center"/>
              <w:rPr>
                <w:rFonts w:hint="eastAsia" w:ascii="宋体"/>
                <w:color w:val="auto"/>
                <w:sz w:val="21"/>
                <w:szCs w:val="21"/>
              </w:rPr>
            </w:pPr>
            <w:r>
              <w:rPr>
                <w:rFonts w:hint="eastAsia" w:ascii="宋体"/>
                <w:color w:val="auto"/>
                <w:sz w:val="21"/>
                <w:szCs w:val="21"/>
              </w:rPr>
              <w:t>3</w:t>
            </w:r>
          </w:p>
        </w:tc>
        <w:tc>
          <w:tcPr>
            <w:tcW w:w="950" w:type="dxa"/>
            <w:vAlign w:val="center"/>
          </w:tcPr>
          <w:p>
            <w:pPr>
              <w:spacing w:line="240" w:lineRule="exact"/>
              <w:jc w:val="center"/>
              <w:rPr>
                <w:rFonts w:hint="eastAsia" w:ascii="宋体"/>
                <w:color w:val="auto"/>
                <w:sz w:val="21"/>
                <w:szCs w:val="21"/>
              </w:rPr>
            </w:pPr>
            <w:r>
              <w:rPr>
                <w:rFonts w:hint="eastAsia" w:ascii="宋体"/>
                <w:color w:val="auto"/>
                <w:sz w:val="21"/>
                <w:szCs w:val="21"/>
              </w:rPr>
              <w:t>碰撞</w:t>
            </w:r>
          </w:p>
        </w:tc>
        <w:tc>
          <w:tcPr>
            <w:tcW w:w="6938" w:type="dxa"/>
            <w:vAlign w:val="center"/>
          </w:tcPr>
          <w:p>
            <w:pPr>
              <w:spacing w:line="240" w:lineRule="exact"/>
              <w:rPr>
                <w:rFonts w:hint="eastAsia" w:ascii="宋体"/>
                <w:color w:val="auto"/>
                <w:sz w:val="21"/>
                <w:szCs w:val="21"/>
              </w:rPr>
            </w:pPr>
            <w:r>
              <w:rPr>
                <w:rFonts w:hint="eastAsia" w:ascii="宋体"/>
                <w:color w:val="auto"/>
                <w:sz w:val="21"/>
                <w:szCs w:val="21"/>
              </w:rPr>
              <w:t>装置能承受GB/T 14537-1993中4.3规定的严酷等级为1级的冲击碰撞试验。</w:t>
            </w:r>
          </w:p>
        </w:tc>
      </w:tr>
      <w:bookmarkEnd w:id="20"/>
      <w:bookmarkEnd w:id="21"/>
      <w:bookmarkEnd w:id="22"/>
      <w:bookmarkEnd w:id="23"/>
      <w:bookmarkEnd w:id="24"/>
      <w:bookmarkEnd w:id="25"/>
      <w:bookmarkEnd w:id="26"/>
    </w:tbl>
    <w:p>
      <w:pPr>
        <w:tabs>
          <w:tab w:val="left" w:pos="2100"/>
        </w:tabs>
        <w:spacing w:line="360" w:lineRule="auto"/>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val="en-US" w:eastAsia="zh-CN"/>
        </w:rPr>
        <w:t>*</w:t>
      </w:r>
      <w:r>
        <w:rPr>
          <w:rFonts w:hint="eastAsia" w:ascii="宋体" w:hAnsi="宋体" w:eastAsia="宋体" w:cs="宋体"/>
          <w:b/>
          <w:color w:val="auto"/>
          <w:sz w:val="21"/>
          <w:szCs w:val="21"/>
          <w:highlight w:val="none"/>
          <w:lang w:val="en-US" w:eastAsia="zh-CN"/>
        </w:rPr>
        <w:t>3.</w:t>
      </w:r>
      <w:r>
        <w:rPr>
          <w:rFonts w:hint="eastAsia" w:ascii="宋体" w:hAnsi="宋体" w:cs="宋体"/>
          <w:b/>
          <w:color w:val="auto"/>
          <w:sz w:val="21"/>
          <w:szCs w:val="21"/>
          <w:highlight w:val="none"/>
          <w:lang w:val="en-US" w:eastAsia="zh-CN"/>
        </w:rPr>
        <w:t>1.12</w:t>
      </w:r>
      <w:r>
        <w:rPr>
          <w:rFonts w:hint="eastAsia" w:ascii="宋体" w:hAnsi="宋体" w:cs="宋体"/>
          <w:b/>
          <w:color w:val="auto"/>
          <w:sz w:val="21"/>
          <w:szCs w:val="21"/>
          <w:highlight w:val="none"/>
          <w:lang w:eastAsia="zh-CN"/>
        </w:rPr>
        <w:t>配套</w:t>
      </w:r>
      <w:r>
        <w:rPr>
          <w:rFonts w:hint="eastAsia" w:ascii="宋体" w:hAnsi="宋体" w:cs="宋体"/>
          <w:b/>
          <w:color w:val="auto"/>
          <w:sz w:val="21"/>
          <w:szCs w:val="21"/>
          <w:highlight w:val="none"/>
          <w:lang w:val="en-US" w:eastAsia="zh-CN"/>
        </w:rPr>
        <w:t>材料</w:t>
      </w:r>
      <w:r>
        <w:rPr>
          <w:rFonts w:hint="eastAsia" w:ascii="宋体" w:hAnsi="宋体" w:cs="宋体"/>
          <w:b/>
          <w:color w:val="auto"/>
          <w:sz w:val="21"/>
          <w:szCs w:val="21"/>
          <w:highlight w:val="none"/>
          <w:lang w:eastAsia="zh-CN"/>
        </w:rPr>
        <w:t>要求</w:t>
      </w:r>
    </w:p>
    <w:p>
      <w:pPr>
        <w:pStyle w:val="2"/>
        <w:keepNext/>
        <w:keepLines/>
        <w:pageBreakBefore w:val="0"/>
        <w:widowControl w:val="0"/>
        <w:kinsoku/>
        <w:wordWrap/>
        <w:overflowPunct/>
        <w:topLinePunct w:val="0"/>
        <w:autoSpaceDE/>
        <w:autoSpaceDN/>
        <w:bidi w:val="0"/>
        <w:adjustRightInd/>
        <w:snapToGrid/>
        <w:spacing w:before="0" w:after="0" w:line="416" w:lineRule="auto"/>
        <w:textAlignment w:val="auto"/>
        <w:outlineLvl w:val="1"/>
        <w:rPr>
          <w:rFonts w:hint="eastAsia" w:ascii="宋体" w:hAnsi="宋体" w:eastAsia="宋体" w:cs="宋体"/>
          <w:b w:val="0"/>
          <w:color w:val="auto"/>
          <w:kern w:val="2"/>
          <w:sz w:val="21"/>
          <w:szCs w:val="21"/>
          <w:lang w:val="en-US" w:eastAsia="zh-CN"/>
        </w:rPr>
      </w:pPr>
      <w:r>
        <w:rPr>
          <w:rFonts w:hint="eastAsia" w:ascii="宋体" w:hAnsi="宋体" w:eastAsia="宋体" w:cs="宋体"/>
          <w:b w:val="0"/>
          <w:color w:val="auto"/>
          <w:kern w:val="2"/>
          <w:sz w:val="21"/>
          <w:szCs w:val="21"/>
          <w:lang w:val="en-US" w:eastAsia="zh-CN"/>
        </w:rPr>
        <w:t>*配套供应设备室内冷暖温度控制装置（房间面积约100m2）6套；各型号按分类综合自动化保护电路板各1套，电源板2套，远动管理机1台，交换机1套。</w:t>
      </w:r>
    </w:p>
    <w:p>
      <w:pPr>
        <w:pageBreakBefore w:val="0"/>
        <w:kinsoku/>
        <w:wordWrap/>
        <w:overflowPunct/>
        <w:topLinePunct w:val="0"/>
        <w:autoSpaceDE/>
        <w:autoSpaceDN/>
        <w:bidi w:val="0"/>
        <w:spacing w:line="360" w:lineRule="auto"/>
        <w:jc w:val="left"/>
        <w:textAlignment w:val="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3.</w:t>
      </w:r>
      <w:r>
        <w:rPr>
          <w:rFonts w:hint="eastAsia" w:ascii="宋体" w:hAnsi="宋体" w:cs="宋体"/>
          <w:b/>
          <w:bCs w:val="0"/>
          <w:color w:val="auto"/>
          <w:sz w:val="21"/>
          <w:szCs w:val="21"/>
          <w:lang w:val="en-US" w:eastAsia="zh-CN"/>
        </w:rPr>
        <w:t>1.13</w:t>
      </w:r>
      <w:r>
        <w:rPr>
          <w:rFonts w:hint="eastAsia" w:ascii="宋体" w:hAnsi="宋体" w:eastAsia="宋体" w:cs="宋体"/>
          <w:b/>
          <w:bCs w:val="0"/>
          <w:color w:val="auto"/>
          <w:sz w:val="21"/>
          <w:szCs w:val="21"/>
          <w:lang w:val="en-US" w:eastAsia="zh-CN"/>
        </w:rPr>
        <w:t xml:space="preserve"> 其他技术要求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sz w:val="21"/>
          <w:szCs w:val="21"/>
          <w:lang w:val="zh-CN"/>
        </w:rPr>
      </w:pPr>
      <w:r>
        <w:rPr>
          <w:rFonts w:hint="eastAsia" w:ascii="宋体" w:hAnsi="宋体" w:cs="宋体"/>
          <w:color w:val="auto"/>
          <w:sz w:val="21"/>
          <w:szCs w:val="21"/>
          <w:lang w:val="en-US" w:eastAsia="zh-CN"/>
        </w:rPr>
        <w:t>3.1.13.1</w:t>
      </w:r>
      <w:r>
        <w:rPr>
          <w:rFonts w:hint="eastAsia" w:ascii="宋体" w:hAnsi="宋体" w:eastAsia="宋体" w:cs="宋体"/>
          <w:color w:val="auto"/>
          <w:sz w:val="21"/>
          <w:szCs w:val="21"/>
          <w:lang w:val="zh-CN" w:eastAsia="zh-CN"/>
        </w:rPr>
        <w:t>招标方</w:t>
      </w:r>
      <w:r>
        <w:rPr>
          <w:rFonts w:hint="eastAsia" w:ascii="宋体" w:hAnsi="宋体" w:eastAsia="宋体" w:cs="宋体"/>
          <w:color w:val="auto"/>
          <w:sz w:val="21"/>
          <w:szCs w:val="21"/>
          <w:lang w:val="zh-CN"/>
        </w:rPr>
        <w:t>向</w:t>
      </w:r>
      <w:r>
        <w:rPr>
          <w:rFonts w:hint="eastAsia" w:ascii="宋体" w:hAnsi="宋体" w:eastAsia="宋体" w:cs="宋体"/>
          <w:color w:val="auto"/>
          <w:sz w:val="21"/>
          <w:szCs w:val="21"/>
          <w:lang w:val="zh-CN" w:eastAsia="zh-CN"/>
        </w:rPr>
        <w:t>投标方</w:t>
      </w:r>
      <w:r>
        <w:rPr>
          <w:rFonts w:hint="eastAsia" w:ascii="宋体" w:hAnsi="宋体" w:eastAsia="宋体" w:cs="宋体"/>
          <w:color w:val="auto"/>
          <w:sz w:val="21"/>
          <w:szCs w:val="21"/>
          <w:lang w:val="zh-CN"/>
        </w:rPr>
        <w:t>提供</w:t>
      </w:r>
      <w:r>
        <w:rPr>
          <w:rFonts w:hint="eastAsia" w:ascii="宋体" w:hAnsi="宋体" w:eastAsia="宋体" w:cs="宋体"/>
          <w:color w:val="auto"/>
          <w:sz w:val="21"/>
          <w:szCs w:val="21"/>
          <w:lang w:val="zh-CN" w:eastAsia="zh-CN"/>
        </w:rPr>
        <w:t>既有</w:t>
      </w:r>
      <w:r>
        <w:rPr>
          <w:rFonts w:hint="eastAsia" w:ascii="宋体" w:hAnsi="宋体" w:eastAsia="宋体" w:cs="宋体"/>
          <w:color w:val="auto"/>
          <w:sz w:val="21"/>
          <w:szCs w:val="21"/>
          <w:lang w:val="zh-CN"/>
        </w:rPr>
        <w:t>一系统图，</w:t>
      </w:r>
      <w:r>
        <w:rPr>
          <w:rFonts w:hint="eastAsia" w:ascii="宋体" w:hAnsi="宋体" w:eastAsia="宋体" w:cs="宋体"/>
          <w:color w:val="auto"/>
          <w:sz w:val="21"/>
          <w:szCs w:val="21"/>
          <w:lang w:val="zh-CN" w:eastAsia="zh-CN"/>
        </w:rPr>
        <w:t>投标方根据现场实际设计二次设计图，设计</w:t>
      </w:r>
      <w:r>
        <w:rPr>
          <w:rFonts w:hint="eastAsia" w:ascii="宋体" w:hAnsi="宋体" w:eastAsia="宋体" w:cs="宋体"/>
          <w:color w:val="auto"/>
          <w:sz w:val="21"/>
          <w:szCs w:val="21"/>
          <w:lang w:val="zh-CN"/>
        </w:rPr>
        <w:t>经</w:t>
      </w:r>
      <w:r>
        <w:rPr>
          <w:rFonts w:hint="eastAsia" w:ascii="宋体" w:hAnsi="宋体" w:eastAsia="宋体" w:cs="宋体"/>
          <w:color w:val="auto"/>
          <w:sz w:val="21"/>
          <w:szCs w:val="21"/>
          <w:lang w:val="zh-CN" w:eastAsia="zh-CN"/>
        </w:rPr>
        <w:t>招标方</w:t>
      </w:r>
      <w:r>
        <w:rPr>
          <w:rFonts w:hint="eastAsia" w:ascii="宋体" w:hAnsi="宋体" w:eastAsia="宋体" w:cs="宋体"/>
          <w:color w:val="auto"/>
          <w:sz w:val="21"/>
          <w:szCs w:val="21"/>
          <w:lang w:val="zh-CN"/>
        </w:rPr>
        <w:t>确认后方可生产。</w:t>
      </w:r>
      <w:r>
        <w:rPr>
          <w:rFonts w:hint="eastAsia" w:ascii="宋体" w:hAnsi="宋体" w:eastAsia="宋体" w:cs="宋体"/>
          <w:color w:val="auto"/>
          <w:sz w:val="21"/>
          <w:szCs w:val="21"/>
          <w:lang w:val="zh-CN" w:eastAsia="zh-CN"/>
        </w:rPr>
        <w:t>本项目是对</w:t>
      </w:r>
      <w:r>
        <w:rPr>
          <w:rFonts w:hint="eastAsia" w:ascii="宋体" w:hAnsi="宋体" w:eastAsia="宋体" w:cs="宋体"/>
          <w:color w:val="auto"/>
          <w:sz w:val="21"/>
          <w:szCs w:val="21"/>
          <w:lang w:val="zh-CN"/>
        </w:rPr>
        <w:t>生产运输有影响的</w:t>
      </w:r>
      <w:r>
        <w:rPr>
          <w:rFonts w:hint="eastAsia" w:ascii="宋体" w:hAnsi="宋体" w:eastAsia="宋体" w:cs="宋体"/>
          <w:color w:val="auto"/>
          <w:sz w:val="21"/>
          <w:szCs w:val="21"/>
          <w:lang w:val="zh-CN" w:eastAsia="zh-CN"/>
        </w:rPr>
        <w:t>安装，</w:t>
      </w:r>
      <w:r>
        <w:rPr>
          <w:rFonts w:hint="eastAsia" w:ascii="宋体" w:hAnsi="宋体" w:eastAsia="宋体" w:cs="宋体"/>
          <w:color w:val="auto"/>
          <w:sz w:val="21"/>
          <w:szCs w:val="21"/>
          <w:lang w:val="zh-CN"/>
        </w:rPr>
        <w:t>须在大准铁路天窗点（每月约3个天窗点，每个天窗约2小时）内进行，并与大准铁路供电段签订配合协议。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color w:val="auto"/>
          <w:sz w:val="21"/>
          <w:szCs w:val="21"/>
          <w:lang w:val="zh-CN"/>
        </w:rPr>
      </w:pPr>
      <w:r>
        <w:rPr>
          <w:rFonts w:hint="eastAsia" w:ascii="宋体" w:hAnsi="宋体" w:cs="宋体"/>
          <w:color w:val="auto"/>
          <w:sz w:val="21"/>
          <w:szCs w:val="21"/>
          <w:lang w:val="en-US" w:eastAsia="zh-CN"/>
        </w:rPr>
        <w:t xml:space="preserve">*3.1.13.2 </w:t>
      </w:r>
      <w:r>
        <w:rPr>
          <w:rFonts w:hint="eastAsia" w:ascii="宋体" w:hAnsi="宋体" w:eastAsia="宋体" w:cs="宋体"/>
          <w:bCs/>
          <w:color w:val="auto"/>
          <w:sz w:val="21"/>
          <w:szCs w:val="21"/>
          <w:highlight w:val="none"/>
          <w:lang w:val="en-US" w:eastAsia="zh-CN"/>
        </w:rPr>
        <w:t>投标方应对大准铁路现场进行充分了解，并在投标前进行现场技术参数的测试，</w:t>
      </w:r>
      <w:r>
        <w:rPr>
          <w:rFonts w:hint="eastAsia" w:ascii="宋体" w:hAnsi="宋体" w:cs="宋体"/>
          <w:bCs/>
          <w:color w:val="auto"/>
          <w:sz w:val="21"/>
          <w:szCs w:val="21"/>
          <w:highlight w:val="none"/>
          <w:lang w:val="en-US" w:eastAsia="zh-CN"/>
        </w:rPr>
        <w:t>并将详细的实施方案附在本项目投标文件中，</w:t>
      </w:r>
      <w:r>
        <w:rPr>
          <w:rFonts w:hint="eastAsia" w:ascii="宋体" w:hAnsi="宋体" w:eastAsia="宋体" w:cs="宋体"/>
          <w:bCs/>
          <w:color w:val="auto"/>
          <w:sz w:val="21"/>
          <w:szCs w:val="21"/>
          <w:highlight w:val="none"/>
          <w:lang w:val="en-US" w:eastAsia="zh-CN"/>
        </w:rPr>
        <w:t>负责设备供应、安装、调试、试验，配套配件的供应等，并负责拆除既有设备。以上均含在投标报价中。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sz w:val="21"/>
          <w:szCs w:val="21"/>
          <w:lang w:val="zh-CN"/>
        </w:rPr>
      </w:pPr>
      <w:r>
        <w:rPr>
          <w:rFonts w:hint="eastAsia" w:ascii="宋体" w:hAnsi="宋体" w:cs="宋体"/>
          <w:color w:val="auto"/>
          <w:sz w:val="21"/>
          <w:szCs w:val="21"/>
          <w:lang w:val="en-US" w:eastAsia="zh-CN"/>
        </w:rPr>
        <w:t>*3.1.13.3</w:t>
      </w:r>
      <w:r>
        <w:rPr>
          <w:rFonts w:hint="eastAsia" w:ascii="宋体" w:hAnsi="宋体" w:eastAsia="宋体" w:cs="宋体"/>
          <w:color w:val="auto"/>
          <w:sz w:val="21"/>
          <w:szCs w:val="21"/>
          <w:lang w:val="zh-CN" w:eastAsia="zh-CN"/>
        </w:rPr>
        <w:t>投标方</w:t>
      </w:r>
      <w:r>
        <w:rPr>
          <w:rFonts w:hint="eastAsia" w:ascii="宋体" w:hAnsi="宋体" w:eastAsia="宋体" w:cs="宋体"/>
          <w:color w:val="auto"/>
          <w:sz w:val="21"/>
          <w:szCs w:val="21"/>
          <w:lang w:val="zh-CN"/>
        </w:rPr>
        <w:t>负责</w:t>
      </w:r>
      <w:r>
        <w:rPr>
          <w:rFonts w:hint="eastAsia" w:ascii="宋体" w:hAnsi="宋体" w:eastAsia="宋体" w:cs="宋体"/>
          <w:color w:val="auto"/>
          <w:sz w:val="21"/>
          <w:szCs w:val="21"/>
          <w:lang w:val="zh-CN" w:eastAsia="zh-CN"/>
        </w:rPr>
        <w:t>拆除既有设备和供应并安装本分散式保护装置在既有高压开关柜内安装及相关</w:t>
      </w:r>
      <w:r>
        <w:rPr>
          <w:rFonts w:hint="eastAsia" w:ascii="宋体" w:hAnsi="宋体" w:eastAsia="宋体" w:cs="宋体"/>
          <w:color w:val="auto"/>
          <w:sz w:val="21"/>
          <w:szCs w:val="21"/>
          <w:lang w:val="zh-CN"/>
        </w:rPr>
        <w:t>设施（配套提供电缆，光缆</w:t>
      </w:r>
      <w:r>
        <w:rPr>
          <w:rFonts w:hint="eastAsia" w:ascii="宋体" w:hAnsi="宋体" w:eastAsia="宋体" w:cs="宋体"/>
          <w:color w:val="auto"/>
          <w:sz w:val="21"/>
          <w:szCs w:val="21"/>
          <w:lang w:val="zh-CN" w:eastAsia="zh-CN"/>
        </w:rPr>
        <w:t>、安装场地清理</w:t>
      </w:r>
      <w:r>
        <w:rPr>
          <w:rFonts w:hint="eastAsia" w:ascii="宋体" w:hAnsi="宋体" w:eastAsia="宋体" w:cs="宋体"/>
          <w:color w:val="auto"/>
          <w:sz w:val="21"/>
          <w:szCs w:val="21"/>
          <w:lang w:val="zh-CN"/>
        </w:rPr>
        <w:t>及</w:t>
      </w:r>
      <w:r>
        <w:rPr>
          <w:rFonts w:hint="eastAsia" w:ascii="宋体" w:hAnsi="宋体" w:eastAsia="宋体" w:cs="宋体"/>
          <w:color w:val="auto"/>
          <w:sz w:val="21"/>
          <w:szCs w:val="21"/>
          <w:lang w:val="zh-CN" w:eastAsia="zh-CN"/>
        </w:rPr>
        <w:t>供应</w:t>
      </w:r>
      <w:r>
        <w:rPr>
          <w:rFonts w:hint="eastAsia" w:ascii="宋体" w:hAnsi="宋体" w:eastAsia="宋体" w:cs="宋体"/>
          <w:color w:val="auto"/>
          <w:sz w:val="21"/>
          <w:szCs w:val="21"/>
          <w:lang w:val="zh-CN"/>
        </w:rPr>
        <w:t>其他安装材料），以及协调接入既有远动系统（国电南京自动化有限公司）和承担相关费用。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sz w:val="21"/>
          <w:szCs w:val="21"/>
          <w:lang w:val="zh-CN"/>
        </w:rPr>
      </w:pPr>
      <w:r>
        <w:rPr>
          <w:rFonts w:hint="eastAsia" w:ascii="宋体" w:hAnsi="宋体" w:cs="宋体"/>
          <w:color w:val="auto"/>
          <w:sz w:val="21"/>
          <w:szCs w:val="21"/>
          <w:lang w:val="en-US" w:eastAsia="zh-CN"/>
        </w:rPr>
        <w:t>*3.1.13.4</w:t>
      </w:r>
      <w:r>
        <w:rPr>
          <w:rFonts w:hint="eastAsia" w:ascii="宋体" w:hAnsi="宋体" w:eastAsia="宋体" w:cs="宋体"/>
          <w:color w:val="auto"/>
          <w:sz w:val="21"/>
          <w:szCs w:val="21"/>
          <w:lang w:val="zh-CN" w:eastAsia="zh-CN"/>
        </w:rPr>
        <w:t>投标方</w:t>
      </w:r>
      <w:r>
        <w:rPr>
          <w:rFonts w:hint="eastAsia" w:ascii="宋体" w:hAnsi="宋体" w:eastAsia="宋体" w:cs="宋体"/>
          <w:color w:val="auto"/>
          <w:sz w:val="21"/>
          <w:szCs w:val="21"/>
          <w:lang w:val="zh-CN"/>
        </w:rPr>
        <w:t>应对其产品在本</w:t>
      </w:r>
      <w:r>
        <w:rPr>
          <w:rFonts w:hint="eastAsia" w:ascii="宋体" w:hAnsi="宋体" w:eastAsia="宋体" w:cs="宋体"/>
          <w:color w:val="auto"/>
          <w:sz w:val="21"/>
          <w:szCs w:val="21"/>
          <w:lang w:val="zh-CN" w:eastAsia="zh-CN"/>
        </w:rPr>
        <w:t>项目</w:t>
      </w:r>
      <w:r>
        <w:rPr>
          <w:rFonts w:hint="eastAsia" w:ascii="宋体" w:hAnsi="宋体" w:eastAsia="宋体" w:cs="宋体"/>
          <w:color w:val="auto"/>
          <w:sz w:val="21"/>
          <w:szCs w:val="21"/>
          <w:lang w:val="zh-CN"/>
        </w:rPr>
        <w:t>的兼容性和适用性负责。在技术联络阶段，</w:t>
      </w:r>
      <w:r>
        <w:rPr>
          <w:rFonts w:hint="eastAsia" w:ascii="宋体" w:hAnsi="宋体" w:eastAsia="宋体" w:cs="宋体"/>
          <w:color w:val="auto"/>
          <w:sz w:val="21"/>
          <w:szCs w:val="21"/>
          <w:lang w:val="en-US" w:eastAsia="zh-CN"/>
        </w:rPr>
        <w:t>投标方</w:t>
      </w:r>
      <w:r>
        <w:rPr>
          <w:rFonts w:hint="eastAsia" w:ascii="宋体" w:hAnsi="宋体" w:eastAsia="宋体" w:cs="宋体"/>
          <w:color w:val="auto"/>
          <w:sz w:val="21"/>
          <w:szCs w:val="21"/>
          <w:lang w:val="zh-CN"/>
        </w:rPr>
        <w:t>主动与相关接口设备</w:t>
      </w:r>
      <w:r>
        <w:rPr>
          <w:rFonts w:hint="eastAsia" w:ascii="宋体" w:hAnsi="宋体" w:eastAsia="宋体" w:cs="宋体"/>
          <w:color w:val="auto"/>
          <w:sz w:val="21"/>
          <w:szCs w:val="21"/>
          <w:lang w:val="zh-CN" w:eastAsia="zh-CN"/>
        </w:rPr>
        <w:t>投标方</w:t>
      </w:r>
      <w:r>
        <w:rPr>
          <w:rFonts w:hint="eastAsia" w:ascii="宋体" w:hAnsi="宋体" w:eastAsia="宋体" w:cs="宋体"/>
          <w:color w:val="auto"/>
          <w:sz w:val="21"/>
          <w:szCs w:val="21"/>
          <w:lang w:val="zh-CN"/>
        </w:rPr>
        <w:t>共同确定接口事宜，并将接口方案送</w:t>
      </w:r>
      <w:r>
        <w:rPr>
          <w:rFonts w:hint="eastAsia" w:ascii="宋体" w:hAnsi="宋体" w:eastAsia="宋体" w:cs="宋体"/>
          <w:color w:val="auto"/>
          <w:sz w:val="21"/>
          <w:szCs w:val="21"/>
          <w:lang w:val="zh-CN" w:eastAsia="zh-CN"/>
        </w:rPr>
        <w:t>招标方</w:t>
      </w:r>
      <w:r>
        <w:rPr>
          <w:rFonts w:hint="eastAsia" w:ascii="宋体" w:hAnsi="宋体" w:eastAsia="宋体" w:cs="宋体"/>
          <w:color w:val="auto"/>
          <w:sz w:val="21"/>
          <w:szCs w:val="21"/>
          <w:lang w:val="zh-CN"/>
        </w:rPr>
        <w:t>确认。因设备接口或与</w:t>
      </w:r>
      <w:r>
        <w:rPr>
          <w:rFonts w:hint="eastAsia" w:ascii="宋体" w:hAnsi="宋体" w:eastAsia="宋体" w:cs="宋体"/>
          <w:color w:val="auto"/>
          <w:sz w:val="21"/>
          <w:szCs w:val="21"/>
          <w:lang w:val="zh-CN" w:eastAsia="zh-CN"/>
        </w:rPr>
        <w:t>项目</w:t>
      </w:r>
      <w:r>
        <w:rPr>
          <w:rFonts w:hint="eastAsia" w:ascii="宋体" w:hAnsi="宋体" w:eastAsia="宋体" w:cs="宋体"/>
          <w:color w:val="auto"/>
          <w:sz w:val="21"/>
          <w:szCs w:val="21"/>
          <w:lang w:val="zh-CN"/>
        </w:rPr>
        <w:t>现场不匹配等原因引起的设备零部件变更时，</w:t>
      </w:r>
      <w:r>
        <w:rPr>
          <w:rFonts w:hint="eastAsia" w:ascii="宋体" w:hAnsi="宋体" w:eastAsia="宋体" w:cs="宋体"/>
          <w:color w:val="auto"/>
          <w:sz w:val="21"/>
          <w:szCs w:val="21"/>
          <w:lang w:val="en-US" w:eastAsia="zh-CN"/>
        </w:rPr>
        <w:t>投标方</w:t>
      </w:r>
      <w:r>
        <w:rPr>
          <w:rFonts w:hint="eastAsia" w:ascii="宋体" w:hAnsi="宋体" w:eastAsia="宋体" w:cs="宋体"/>
          <w:color w:val="auto"/>
          <w:sz w:val="21"/>
          <w:szCs w:val="21"/>
          <w:lang w:val="zh-CN"/>
        </w:rPr>
        <w:t>予以免费修正或更换。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sz w:val="21"/>
          <w:szCs w:val="21"/>
          <w:lang w:val="zh-CN"/>
        </w:rPr>
      </w:pPr>
      <w:r>
        <w:rPr>
          <w:rFonts w:hint="eastAsia" w:ascii="宋体" w:hAnsi="宋体" w:cs="宋体"/>
          <w:color w:val="auto"/>
          <w:sz w:val="21"/>
          <w:szCs w:val="21"/>
          <w:lang w:val="en-US" w:eastAsia="zh-CN"/>
        </w:rPr>
        <w:t xml:space="preserve">*3.1.13.5 </w:t>
      </w:r>
      <w:r>
        <w:rPr>
          <w:rFonts w:hint="eastAsia" w:ascii="宋体" w:hAnsi="宋体" w:eastAsia="宋体" w:cs="宋体"/>
          <w:color w:val="auto"/>
          <w:sz w:val="21"/>
          <w:szCs w:val="21"/>
          <w:lang w:val="zh-CN" w:eastAsia="zh-CN"/>
        </w:rPr>
        <w:t>投标方</w:t>
      </w:r>
      <w:r>
        <w:rPr>
          <w:rFonts w:hint="eastAsia" w:ascii="宋体" w:hAnsi="宋体" w:eastAsia="宋体" w:cs="宋体"/>
          <w:color w:val="auto"/>
          <w:sz w:val="21"/>
          <w:szCs w:val="21"/>
          <w:lang w:val="zh-CN"/>
        </w:rPr>
        <w:t>应负责协调统一技术规格书中各设备之间的接口，如</w:t>
      </w:r>
      <w:r>
        <w:rPr>
          <w:rFonts w:hint="eastAsia" w:ascii="宋体" w:hAnsi="宋体" w:eastAsia="宋体" w:cs="宋体"/>
          <w:color w:val="auto"/>
          <w:sz w:val="21"/>
          <w:szCs w:val="21"/>
          <w:lang w:val="en-US" w:eastAsia="zh-CN"/>
        </w:rPr>
        <w:t>所供</w:t>
      </w:r>
      <w:r>
        <w:rPr>
          <w:rFonts w:hint="eastAsia" w:ascii="宋体" w:hAnsi="宋体" w:eastAsia="宋体" w:cs="宋体"/>
          <w:color w:val="auto"/>
          <w:sz w:val="21"/>
          <w:szCs w:val="21"/>
          <w:lang w:val="zh-CN"/>
        </w:rPr>
        <w:t>设备与其它设备间有接口，</w:t>
      </w:r>
      <w:r>
        <w:rPr>
          <w:rFonts w:hint="eastAsia" w:ascii="宋体" w:hAnsi="宋体" w:eastAsia="宋体" w:cs="宋体"/>
          <w:color w:val="auto"/>
          <w:sz w:val="21"/>
          <w:szCs w:val="21"/>
          <w:lang w:val="zh-CN" w:eastAsia="zh-CN"/>
        </w:rPr>
        <w:t>投标方</w:t>
      </w:r>
      <w:r>
        <w:rPr>
          <w:rFonts w:hint="eastAsia" w:ascii="宋体" w:hAnsi="宋体" w:eastAsia="宋体" w:cs="宋体"/>
          <w:color w:val="auto"/>
          <w:sz w:val="21"/>
          <w:szCs w:val="21"/>
          <w:lang w:val="zh-CN"/>
        </w:rPr>
        <w:t>应根据标书要求及根据技</w:t>
      </w:r>
      <w:r>
        <w:rPr>
          <w:rFonts w:hint="eastAsia" w:ascii="宋体" w:hAnsi="宋体" w:eastAsia="宋体" w:cs="宋体"/>
          <w:color w:val="auto"/>
          <w:sz w:val="21"/>
          <w:szCs w:val="21"/>
          <w:lang w:val="zh-CN" w:eastAsia="zh-CN"/>
        </w:rPr>
        <w:t>招标方</w:t>
      </w:r>
      <w:r>
        <w:rPr>
          <w:rFonts w:hint="eastAsia" w:ascii="宋体" w:hAnsi="宋体" w:eastAsia="宋体" w:cs="宋体"/>
          <w:color w:val="auto"/>
          <w:sz w:val="21"/>
          <w:szCs w:val="21"/>
          <w:lang w:val="zh-CN"/>
        </w:rPr>
        <w:t>提出的相关资料信息满足设备间接口联系要求，</w:t>
      </w:r>
      <w:r>
        <w:rPr>
          <w:rFonts w:hint="eastAsia" w:ascii="宋体" w:hAnsi="宋体" w:eastAsia="宋体" w:cs="宋体"/>
          <w:color w:val="auto"/>
          <w:sz w:val="21"/>
          <w:szCs w:val="21"/>
          <w:lang w:val="en-US" w:eastAsia="zh-CN"/>
        </w:rPr>
        <w:t>投标方</w:t>
      </w:r>
      <w:r>
        <w:rPr>
          <w:rFonts w:hint="eastAsia" w:ascii="宋体" w:hAnsi="宋体" w:eastAsia="宋体" w:cs="宋体"/>
          <w:color w:val="auto"/>
          <w:sz w:val="21"/>
          <w:szCs w:val="21"/>
          <w:lang w:val="zh-CN"/>
        </w:rPr>
        <w:t>应保证在相互配合方面不出现任何问题。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lang w:val="en-US" w:eastAsia="zh-CN"/>
        </w:rPr>
        <w:t>*3.</w:t>
      </w:r>
      <w:r>
        <w:rPr>
          <w:rFonts w:hint="eastAsia" w:ascii="宋体" w:hAnsi="宋体" w:cs="宋体"/>
          <w:color w:val="auto"/>
          <w:sz w:val="21"/>
          <w:szCs w:val="21"/>
          <w:lang w:val="en-US" w:eastAsia="zh-CN"/>
        </w:rPr>
        <w:t>1.13.6</w:t>
      </w:r>
      <w:r>
        <w:rPr>
          <w:rFonts w:hint="eastAsia" w:ascii="宋体" w:hAnsi="宋体" w:cs="宋体"/>
          <w:bCs/>
          <w:color w:val="auto"/>
          <w:sz w:val="21"/>
          <w:szCs w:val="21"/>
          <w:highlight w:val="none"/>
          <w:lang w:eastAsia="zh-CN"/>
        </w:rPr>
        <w:t>投标方</w:t>
      </w:r>
      <w:r>
        <w:rPr>
          <w:rFonts w:hint="eastAsia" w:ascii="宋体" w:hAnsi="宋体" w:cs="宋体"/>
          <w:bCs/>
          <w:color w:val="auto"/>
          <w:sz w:val="21"/>
          <w:szCs w:val="21"/>
          <w:highlight w:val="none"/>
          <w:lang w:val="zh-CN" w:eastAsia="zh-CN"/>
        </w:rPr>
        <w:t>在</w:t>
      </w:r>
      <w:r>
        <w:rPr>
          <w:rFonts w:hint="eastAsia" w:ascii="宋体" w:hAnsi="宋体" w:cs="宋体"/>
          <w:bCs/>
          <w:color w:val="auto"/>
          <w:sz w:val="21"/>
          <w:szCs w:val="21"/>
          <w:highlight w:val="none"/>
          <w:lang w:eastAsia="zh-CN"/>
        </w:rPr>
        <w:t>201</w:t>
      </w:r>
      <w:r>
        <w:rPr>
          <w:rFonts w:hint="eastAsia" w:ascii="宋体" w:hAnsi="宋体" w:cs="宋体"/>
          <w:bCs/>
          <w:color w:val="auto"/>
          <w:sz w:val="21"/>
          <w:szCs w:val="21"/>
          <w:highlight w:val="none"/>
          <w:lang w:val="en-US" w:eastAsia="zh-CN"/>
        </w:rPr>
        <w:t>3</w:t>
      </w:r>
      <w:r>
        <w:rPr>
          <w:rFonts w:hint="eastAsia" w:ascii="宋体" w:hAnsi="宋体" w:cs="宋体"/>
          <w:bCs/>
          <w:color w:val="auto"/>
          <w:sz w:val="21"/>
          <w:szCs w:val="21"/>
          <w:highlight w:val="none"/>
          <w:lang w:eastAsia="zh-CN"/>
        </w:rPr>
        <w:t>年-至今必须具有</w:t>
      </w:r>
      <w:r>
        <w:rPr>
          <w:rFonts w:hint="eastAsia" w:ascii="宋体" w:hAnsi="宋体" w:cs="宋体"/>
          <w:bCs/>
          <w:color w:val="auto"/>
          <w:sz w:val="21"/>
          <w:szCs w:val="21"/>
          <w:highlight w:val="none"/>
          <w:lang w:val="zh-CN" w:eastAsia="zh-CN"/>
        </w:rPr>
        <w:t>销售给三个及以上</w:t>
      </w:r>
      <w:r>
        <w:rPr>
          <w:rFonts w:hint="eastAsia" w:ascii="宋体" w:hAnsi="宋体" w:cs="宋体"/>
          <w:bCs/>
          <w:color w:val="auto"/>
          <w:sz w:val="21"/>
          <w:szCs w:val="21"/>
          <w:highlight w:val="none"/>
          <w:lang w:val="en-US" w:eastAsia="zh-CN"/>
        </w:rPr>
        <w:t>铁路行业</w:t>
      </w:r>
      <w:r>
        <w:rPr>
          <w:rFonts w:hint="eastAsia" w:ascii="宋体" w:hAnsi="宋体" w:cs="宋体"/>
          <w:bCs/>
          <w:color w:val="auto"/>
          <w:sz w:val="21"/>
          <w:szCs w:val="21"/>
          <w:highlight w:val="none"/>
          <w:lang w:val="zh-CN" w:eastAsia="zh-CN"/>
        </w:rPr>
        <w:t>用户至少</w:t>
      </w:r>
      <w:r>
        <w:rPr>
          <w:rFonts w:hint="eastAsia" w:ascii="宋体" w:hAnsi="宋体" w:cs="宋体"/>
          <w:bCs/>
          <w:color w:val="auto"/>
          <w:sz w:val="21"/>
          <w:szCs w:val="21"/>
          <w:highlight w:val="none"/>
          <w:lang w:eastAsia="zh-CN"/>
        </w:rPr>
        <w:t>10套</w:t>
      </w:r>
      <w:r>
        <w:rPr>
          <w:rFonts w:hint="eastAsia" w:ascii="宋体" w:hAnsi="宋体" w:cs="宋体"/>
          <w:bCs/>
          <w:color w:val="auto"/>
          <w:sz w:val="21"/>
          <w:szCs w:val="21"/>
          <w:highlight w:val="none"/>
          <w:lang w:val="zh-CN" w:eastAsia="zh-CN"/>
        </w:rPr>
        <w:t>的业绩</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且能够</w:t>
      </w:r>
      <w:r>
        <w:rPr>
          <w:rFonts w:hint="eastAsia" w:ascii="宋体" w:hAnsi="宋体" w:cs="宋体"/>
          <w:bCs/>
          <w:color w:val="auto"/>
          <w:sz w:val="21"/>
          <w:szCs w:val="21"/>
          <w:highlight w:val="none"/>
          <w:lang w:eastAsia="zh-CN"/>
        </w:rPr>
        <w:t>提供相应</w:t>
      </w:r>
      <w:r>
        <w:rPr>
          <w:rFonts w:hint="eastAsia" w:ascii="宋体" w:hAnsi="宋体" w:cs="宋体"/>
          <w:bCs/>
          <w:color w:val="auto"/>
          <w:sz w:val="21"/>
          <w:szCs w:val="21"/>
          <w:highlight w:val="none"/>
          <w:lang w:val="en-US" w:eastAsia="zh-CN"/>
        </w:rPr>
        <w:t>合同复印件的用户证明。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sz w:val="21"/>
          <w:szCs w:val="21"/>
          <w:lang w:val="zh-CN"/>
        </w:rPr>
      </w:pPr>
      <w:r>
        <w:rPr>
          <w:rFonts w:hint="eastAsia" w:ascii="宋体" w:hAnsi="宋体" w:cs="宋体"/>
          <w:bCs/>
          <w:color w:val="auto"/>
          <w:sz w:val="21"/>
          <w:szCs w:val="21"/>
          <w:lang w:val="en-US" w:eastAsia="zh-CN"/>
        </w:rPr>
        <w:t>*3.</w:t>
      </w:r>
      <w:r>
        <w:rPr>
          <w:rFonts w:hint="eastAsia" w:ascii="宋体" w:hAnsi="宋体" w:cs="宋体"/>
          <w:color w:val="auto"/>
          <w:sz w:val="21"/>
          <w:szCs w:val="21"/>
          <w:lang w:val="en-US" w:eastAsia="zh-CN"/>
        </w:rPr>
        <w:t>1.13.7</w:t>
      </w:r>
      <w:r>
        <w:rPr>
          <w:rFonts w:hint="eastAsia" w:ascii="宋体" w:hAnsi="宋体" w:cs="宋体"/>
          <w:bCs/>
          <w:color w:val="auto"/>
          <w:sz w:val="21"/>
          <w:szCs w:val="21"/>
          <w:lang w:eastAsia="zh-CN"/>
        </w:rPr>
        <w:t>投标方</w:t>
      </w:r>
      <w:r>
        <w:rPr>
          <w:rFonts w:hint="eastAsia" w:ascii="宋体" w:hAnsi="宋体" w:eastAsia="宋体" w:cs="宋体"/>
          <w:bCs/>
          <w:color w:val="auto"/>
          <w:sz w:val="21"/>
          <w:szCs w:val="21"/>
        </w:rPr>
        <w:t>须提供</w:t>
      </w:r>
      <w:r>
        <w:rPr>
          <w:rFonts w:hint="eastAsia" w:ascii="宋体" w:hAnsi="宋体" w:cs="宋体"/>
          <w:bCs/>
          <w:color w:val="auto"/>
          <w:sz w:val="21"/>
          <w:szCs w:val="21"/>
          <w:lang w:val="en-US" w:eastAsia="zh-CN"/>
        </w:rPr>
        <w:t>具备资质的相关机构出具的检验报告。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outlineLvl w:val="9"/>
        <w:rPr>
          <w:rFonts w:hint="eastAsia" w:ascii="宋体" w:hAnsi="宋体" w:eastAsia="宋体" w:cs="宋体"/>
          <w:color w:val="auto"/>
          <w:sz w:val="21"/>
          <w:szCs w:val="21"/>
        </w:rPr>
      </w:pPr>
      <w:r>
        <w:rPr>
          <w:rFonts w:hint="eastAsia" w:ascii="宋体" w:hAnsi="宋体" w:cs="宋体"/>
          <w:bCs/>
          <w:color w:val="auto"/>
          <w:sz w:val="21"/>
          <w:szCs w:val="21"/>
          <w:lang w:val="en-US" w:eastAsia="zh-CN"/>
        </w:rPr>
        <w:t>3.</w:t>
      </w:r>
      <w:r>
        <w:rPr>
          <w:rFonts w:hint="eastAsia" w:ascii="宋体" w:hAnsi="宋体" w:cs="宋体"/>
          <w:color w:val="auto"/>
          <w:sz w:val="21"/>
          <w:szCs w:val="21"/>
          <w:lang w:val="en-US" w:eastAsia="zh-CN"/>
        </w:rPr>
        <w:t xml:space="preserve">1.13.8 </w:t>
      </w:r>
      <w:r>
        <w:rPr>
          <w:rFonts w:hint="eastAsia" w:ascii="宋体" w:hAnsi="宋体" w:eastAsia="宋体" w:cs="宋体"/>
          <w:bCs/>
          <w:color w:val="auto"/>
          <w:sz w:val="21"/>
          <w:szCs w:val="21"/>
        </w:rPr>
        <w:t>设计和制造要求</w:t>
      </w:r>
    </w:p>
    <w:p>
      <w:pPr>
        <w:pageBreakBefore w:val="0"/>
        <w:kinsoku/>
        <w:wordWrap/>
        <w:overflowPunct/>
        <w:topLinePunct w:val="0"/>
        <w:autoSpaceDE/>
        <w:autoSpaceDN/>
        <w:bidi w:val="0"/>
        <w:spacing w:line="360" w:lineRule="auto"/>
        <w:ind w:firstLine="420" w:firstLineChars="200"/>
        <w:jc w:val="left"/>
        <w:textAlignment w:val="auto"/>
        <w:rPr>
          <w:rFonts w:hint="eastAsia"/>
          <w:color w:val="auto"/>
          <w:sz w:val="21"/>
          <w:szCs w:val="21"/>
        </w:rPr>
      </w:pPr>
      <w:r>
        <w:rPr>
          <w:rFonts w:hint="eastAsia" w:ascii="宋体" w:hAnsi="宋体" w:eastAsia="宋体" w:cs="宋体"/>
          <w:bCs/>
          <w:color w:val="auto"/>
          <w:sz w:val="21"/>
          <w:szCs w:val="21"/>
        </w:rPr>
        <w:t>在设计制造中，零部件尽量采用同一标准，尽可能提高零部件之间的互换性。零部件必须易于拆装，便于维修。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3.1.13.9 </w:t>
      </w:r>
      <w:r>
        <w:rPr>
          <w:rFonts w:hint="eastAsia" w:ascii="宋体" w:hAnsi="宋体" w:eastAsia="宋体" w:cs="宋体"/>
          <w:color w:val="auto"/>
          <w:sz w:val="21"/>
          <w:szCs w:val="21"/>
        </w:rPr>
        <w:t>标牌</w:t>
      </w:r>
    </w:p>
    <w:p>
      <w:pPr>
        <w:pageBreakBefore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所有总成部件必须装有铭牌，铭牌应标有该总成件主要技术规格参数。配套的总成件铭牌要完好保留，便于察看。</w:t>
      </w:r>
    </w:p>
    <w:p>
      <w:pPr>
        <w:keepNext w:val="0"/>
        <w:keepLines w:val="0"/>
        <w:pageBreakBefore w:val="0"/>
        <w:kinsoku/>
        <w:wordWrap/>
        <w:overflowPunct/>
        <w:topLinePunct w:val="0"/>
        <w:autoSpaceDE/>
        <w:autoSpaceDN/>
        <w:bidi w:val="0"/>
        <w:snapToGrid/>
        <w:spacing w:line="400" w:lineRule="exact"/>
        <w:textAlignment w:val="auto"/>
        <w:outlineLvl w:val="9"/>
        <w:rPr>
          <w:rFonts w:hint="eastAsia" w:ascii="宋体" w:cs="宋体"/>
          <w:bCs/>
          <w:color w:val="auto"/>
          <w:sz w:val="21"/>
          <w:szCs w:val="21"/>
        </w:rPr>
      </w:pPr>
      <w:r>
        <w:rPr>
          <w:rFonts w:hint="eastAsia" w:ascii="宋体" w:cs="宋体"/>
          <w:b/>
          <w:bCs w:val="0"/>
          <w:color w:val="auto"/>
          <w:sz w:val="21"/>
          <w:szCs w:val="21"/>
        </w:rPr>
        <w:t>3.</w:t>
      </w:r>
      <w:r>
        <w:rPr>
          <w:rFonts w:hint="eastAsia" w:ascii="宋体" w:cs="宋体"/>
          <w:b/>
          <w:bCs w:val="0"/>
          <w:color w:val="auto"/>
          <w:sz w:val="21"/>
          <w:szCs w:val="21"/>
          <w:lang w:val="en-US" w:eastAsia="zh-CN"/>
        </w:rPr>
        <w:t>2</w:t>
      </w:r>
      <w:r>
        <w:rPr>
          <w:rFonts w:hint="eastAsia" w:ascii="宋体" w:cs="宋体"/>
          <w:b/>
          <w:bCs w:val="0"/>
          <w:color w:val="auto"/>
          <w:sz w:val="21"/>
          <w:szCs w:val="21"/>
          <w:lang w:eastAsia="zh-CN"/>
        </w:rPr>
        <w:t>投标方</w:t>
      </w:r>
      <w:r>
        <w:rPr>
          <w:rFonts w:hint="eastAsia" w:ascii="宋体" w:cs="宋体"/>
          <w:b/>
          <w:bCs w:val="0"/>
          <w:color w:val="auto"/>
          <w:sz w:val="21"/>
          <w:szCs w:val="21"/>
        </w:rPr>
        <w:t>按如下要求对投标设备的结构、性能进行详细描</w:t>
      </w:r>
      <w:r>
        <w:rPr>
          <w:rFonts w:hint="eastAsia" w:ascii="宋体" w:cs="宋体"/>
          <w:bCs/>
          <w:color w:val="auto"/>
          <w:sz w:val="21"/>
          <w:szCs w:val="21"/>
        </w:rPr>
        <w:t>述。</w:t>
      </w:r>
    </w:p>
    <w:p>
      <w:pPr>
        <w:keepNext w:val="0"/>
        <w:keepLines w:val="0"/>
        <w:pageBreakBefore w:val="0"/>
        <w:kinsoku/>
        <w:wordWrap/>
        <w:overflowPunct/>
        <w:topLinePunct w:val="0"/>
        <w:autoSpaceDE/>
        <w:autoSpaceDN/>
        <w:bidi w:val="0"/>
        <w:snapToGrid/>
        <w:spacing w:line="400" w:lineRule="exact"/>
        <w:textAlignment w:val="auto"/>
        <w:outlineLvl w:val="9"/>
        <w:rPr>
          <w:rFonts w:hint="eastAsia" w:ascii="宋体" w:cs="宋体"/>
          <w:bCs/>
          <w:color w:val="auto"/>
          <w:sz w:val="21"/>
          <w:szCs w:val="21"/>
        </w:rPr>
      </w:pPr>
      <w:r>
        <w:rPr>
          <w:rFonts w:hint="eastAsia" w:ascii="宋体" w:cs="宋体"/>
          <w:bCs/>
          <w:color w:val="auto"/>
          <w:sz w:val="21"/>
          <w:szCs w:val="21"/>
        </w:rPr>
        <w:t>3.2.1</w:t>
      </w:r>
      <w:r>
        <w:rPr>
          <w:rFonts w:hint="eastAsia" w:ascii="宋体" w:cs="宋体"/>
          <w:bCs/>
          <w:color w:val="auto"/>
          <w:sz w:val="21"/>
          <w:szCs w:val="21"/>
          <w:lang w:eastAsia="zh-CN"/>
        </w:rPr>
        <w:t>设备</w:t>
      </w:r>
      <w:r>
        <w:rPr>
          <w:rFonts w:hint="eastAsia" w:ascii="宋体" w:cs="宋体"/>
          <w:bCs/>
          <w:color w:val="auto"/>
          <w:sz w:val="21"/>
          <w:szCs w:val="21"/>
        </w:rPr>
        <w:t>的构造；</w:t>
      </w:r>
    </w:p>
    <w:p>
      <w:pPr>
        <w:keepNext w:val="0"/>
        <w:keepLines w:val="0"/>
        <w:pageBreakBefore w:val="0"/>
        <w:kinsoku/>
        <w:wordWrap/>
        <w:overflowPunct/>
        <w:topLinePunct w:val="0"/>
        <w:autoSpaceDE/>
        <w:autoSpaceDN/>
        <w:bidi w:val="0"/>
        <w:snapToGrid/>
        <w:spacing w:line="400" w:lineRule="exact"/>
        <w:textAlignment w:val="auto"/>
        <w:outlineLvl w:val="9"/>
        <w:rPr>
          <w:rFonts w:hint="eastAsia" w:ascii="宋体" w:cs="宋体"/>
          <w:bCs/>
          <w:color w:val="auto"/>
          <w:sz w:val="21"/>
          <w:szCs w:val="21"/>
        </w:rPr>
      </w:pPr>
      <w:r>
        <w:rPr>
          <w:rFonts w:hint="eastAsia" w:ascii="宋体" w:cs="宋体"/>
          <w:bCs/>
          <w:color w:val="auto"/>
          <w:sz w:val="21"/>
          <w:szCs w:val="21"/>
        </w:rPr>
        <w:t>3.2.2设备的</w:t>
      </w:r>
      <w:r>
        <w:rPr>
          <w:rFonts w:hint="eastAsia" w:ascii="宋体" w:cs="宋体"/>
          <w:bCs/>
          <w:color w:val="auto"/>
          <w:sz w:val="21"/>
          <w:szCs w:val="21"/>
          <w:lang w:eastAsia="zh-CN"/>
        </w:rPr>
        <w:t>组成清单，包括</w:t>
      </w:r>
      <w:r>
        <w:rPr>
          <w:rFonts w:hint="eastAsia" w:ascii="宋体" w:cs="宋体"/>
          <w:bCs/>
          <w:color w:val="auto"/>
          <w:sz w:val="21"/>
          <w:szCs w:val="21"/>
        </w:rPr>
        <w:t>规格型号、生产厂家、技术参数；</w:t>
      </w:r>
    </w:p>
    <w:p>
      <w:pPr>
        <w:keepNext w:val="0"/>
        <w:keepLines w:val="0"/>
        <w:pageBreakBefore w:val="0"/>
        <w:kinsoku/>
        <w:wordWrap/>
        <w:overflowPunct/>
        <w:topLinePunct w:val="0"/>
        <w:autoSpaceDE/>
        <w:autoSpaceDN/>
        <w:bidi w:val="0"/>
        <w:snapToGrid/>
        <w:spacing w:line="400" w:lineRule="exact"/>
        <w:textAlignment w:val="auto"/>
        <w:outlineLvl w:val="9"/>
        <w:rPr>
          <w:rFonts w:hint="eastAsia" w:ascii="宋体" w:cs="宋体"/>
          <w:bCs/>
          <w:color w:val="auto"/>
          <w:sz w:val="21"/>
          <w:szCs w:val="21"/>
        </w:rPr>
      </w:pPr>
      <w:r>
        <w:rPr>
          <w:rFonts w:hint="eastAsia" w:ascii="宋体" w:cs="宋体"/>
          <w:bCs/>
          <w:color w:val="auto"/>
          <w:sz w:val="21"/>
          <w:szCs w:val="21"/>
        </w:rPr>
        <w:t>3.2.3</w:t>
      </w:r>
      <w:r>
        <w:rPr>
          <w:rFonts w:hint="eastAsia" w:ascii="宋体" w:cs="宋体"/>
          <w:bCs/>
          <w:color w:val="auto"/>
          <w:sz w:val="21"/>
          <w:szCs w:val="21"/>
          <w:lang w:eastAsia="zh-CN"/>
        </w:rPr>
        <w:t>设备</w:t>
      </w:r>
      <w:r>
        <w:rPr>
          <w:rFonts w:hint="eastAsia" w:ascii="宋体" w:cs="宋体"/>
          <w:bCs/>
          <w:color w:val="auto"/>
          <w:sz w:val="21"/>
          <w:szCs w:val="21"/>
        </w:rPr>
        <w:t>的主要技术指标；</w:t>
      </w:r>
    </w:p>
    <w:p>
      <w:pPr>
        <w:keepNext w:val="0"/>
        <w:keepLines w:val="0"/>
        <w:pageBreakBefore w:val="0"/>
        <w:kinsoku/>
        <w:wordWrap/>
        <w:overflowPunct/>
        <w:topLinePunct w:val="0"/>
        <w:autoSpaceDE/>
        <w:autoSpaceDN/>
        <w:bidi w:val="0"/>
        <w:snapToGrid/>
        <w:spacing w:line="400" w:lineRule="exact"/>
        <w:textAlignment w:val="auto"/>
        <w:outlineLvl w:val="9"/>
        <w:rPr>
          <w:rFonts w:hint="eastAsia" w:ascii="宋体" w:hAnsi="Times New Roman" w:cs="宋体"/>
          <w:bCs/>
          <w:color w:val="auto"/>
          <w:sz w:val="21"/>
          <w:szCs w:val="21"/>
          <w:lang w:eastAsia="zh-CN"/>
        </w:rPr>
      </w:pPr>
      <w:r>
        <w:rPr>
          <w:rFonts w:hint="eastAsia" w:ascii="宋体" w:cs="宋体"/>
          <w:bCs/>
          <w:color w:val="auto"/>
          <w:sz w:val="21"/>
          <w:szCs w:val="21"/>
        </w:rPr>
        <w:t>3.2.4其它技术描述。</w:t>
      </w:r>
    </w:p>
    <w:p>
      <w:pPr>
        <w:spacing w:line="360" w:lineRule="auto"/>
        <w:jc w:val="both"/>
        <w:rPr>
          <w:rFonts w:hint="eastAsia" w:ascii="宋体" w:hAnsi="宋体" w:eastAsia="宋体" w:cs="宋体"/>
          <w:color w:val="auto"/>
          <w:sz w:val="21"/>
          <w:szCs w:val="21"/>
        </w:rPr>
      </w:pPr>
      <w:r>
        <w:rPr>
          <w:rFonts w:hint="eastAsia" w:ascii="宋体" w:hAnsi="宋体" w:cs="宋体"/>
          <w:b/>
          <w:bCs/>
          <w:color w:val="auto"/>
          <w:sz w:val="21"/>
          <w:szCs w:val="21"/>
          <w:lang w:val="en-US" w:eastAsia="zh-CN"/>
        </w:rPr>
        <w:t>4</w:t>
      </w: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供货范围</w:t>
      </w:r>
    </w:p>
    <w:p>
      <w:pPr>
        <w:tabs>
          <w:tab w:val="left" w:pos="360"/>
          <w:tab w:val="left" w:pos="1080"/>
        </w:tabs>
        <w:autoSpaceDE w:val="0"/>
        <w:autoSpaceDN w:val="0"/>
        <w:adjustRightInd w:val="0"/>
        <w:spacing w:line="400" w:lineRule="exact"/>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完整的、全新的、符合制造标准的、满足本招标技术附件第1-3节各项条件及技术要求的标准配置。其中包括</w:t>
      </w:r>
      <w:r>
        <w:rPr>
          <w:rFonts w:hint="eastAsia" w:ascii="宋体" w:hAnsi="宋体" w:cs="宋体"/>
          <w:color w:val="auto"/>
          <w:sz w:val="21"/>
          <w:szCs w:val="21"/>
          <w:lang w:eastAsia="zh-CN"/>
        </w:rPr>
        <w:t>安装</w:t>
      </w:r>
      <w:r>
        <w:rPr>
          <w:rFonts w:hint="eastAsia" w:ascii="宋体" w:hAnsi="宋体" w:eastAsia="宋体" w:cs="宋体"/>
          <w:color w:val="auto"/>
          <w:sz w:val="21"/>
          <w:szCs w:val="21"/>
        </w:rPr>
        <w:t>、调试设备所必须的全部零件和材料（如连接件、电气安装材料等）。主要设备及材料如下（但不限于此；包含在本次报价内）：</w:t>
      </w:r>
    </w:p>
    <w:tbl>
      <w:tblPr>
        <w:tblStyle w:val="7"/>
        <w:tblW w:w="89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38"/>
        <w:gridCol w:w="4400"/>
        <w:gridCol w:w="525"/>
        <w:gridCol w:w="688"/>
        <w:gridCol w:w="2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6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44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货物名称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单位</w:t>
            </w:r>
          </w:p>
        </w:tc>
        <w:tc>
          <w:tcPr>
            <w:tcW w:w="6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数量</w:t>
            </w:r>
          </w:p>
        </w:tc>
        <w:tc>
          <w:tcPr>
            <w:tcW w:w="26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交货时间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6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44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凉城配电所、清水河配电所、薛家湾配电所综合自动化系统</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6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26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自</w:t>
            </w:r>
            <w:r>
              <w:rPr>
                <w:rStyle w:val="8"/>
                <w:color w:val="auto"/>
                <w:sz w:val="21"/>
                <w:szCs w:val="21"/>
                <w:lang w:val="en-US" w:eastAsia="zh-CN" w:bidi="ar"/>
              </w:rPr>
              <w:t>签订合同之日起2个月内</w:t>
            </w:r>
          </w:p>
        </w:tc>
      </w:tr>
    </w:tbl>
    <w:p>
      <w:pPr>
        <w:keepNext w:val="0"/>
        <w:keepLines w:val="0"/>
        <w:pageBreakBefore w:val="0"/>
        <w:kinsoku/>
        <w:wordWrap/>
        <w:overflowPunct/>
        <w:topLinePunct w:val="0"/>
        <w:bidi w:val="0"/>
        <w:snapToGrid/>
        <w:spacing w:beforeAutospacing="0" w:afterAutospacing="0" w:line="360" w:lineRule="auto"/>
        <w:jc w:val="both"/>
        <w:textAlignment w:val="auto"/>
        <w:outlineLvl w:val="9"/>
        <w:rPr>
          <w:rFonts w:hint="eastAsia" w:ascii="宋体" w:hAnsi="宋体" w:eastAsia="宋体" w:cs="宋体"/>
          <w:b/>
          <w:color w:val="auto"/>
          <w:sz w:val="21"/>
          <w:szCs w:val="21"/>
        </w:rPr>
      </w:pPr>
      <w:r>
        <w:rPr>
          <w:rFonts w:hint="eastAsia" w:ascii="宋体" w:hAnsi="宋体" w:eastAsia="宋体" w:cs="宋体"/>
          <w:b/>
          <w:bCs/>
          <w:color w:val="auto"/>
          <w:sz w:val="21"/>
          <w:szCs w:val="21"/>
          <w:lang w:val="en-US" w:eastAsia="zh-CN"/>
        </w:rPr>
        <w:t>5.</w:t>
      </w:r>
      <w:r>
        <w:rPr>
          <w:rFonts w:hint="eastAsia" w:ascii="宋体" w:hAnsi="宋体" w:eastAsia="宋体" w:cs="宋体"/>
          <w:b/>
          <w:bCs/>
          <w:color w:val="auto"/>
          <w:sz w:val="21"/>
          <w:szCs w:val="21"/>
        </w:rPr>
        <w:t>技术资料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5.1投标方必须随设备交付（但不仅限于此）的技术资料，基础资料（包括出厂测试报告）、《操作手册》、《配件图册》、《保养维修手册》各</w:t>
      </w:r>
      <w:r>
        <w:rPr>
          <w:rFonts w:hint="eastAsia" w:ascii="宋体" w:hAnsi="宋体" w:cs="宋体"/>
          <w:bCs/>
          <w:color w:val="auto"/>
          <w:sz w:val="21"/>
          <w:szCs w:val="21"/>
          <w:highlight w:val="none"/>
          <w:lang w:val="en-US" w:eastAsia="zh-CN" w:bidi="ar-SA"/>
        </w:rPr>
        <w:t>3</w:t>
      </w:r>
      <w:r>
        <w:rPr>
          <w:rFonts w:hint="eastAsia" w:ascii="宋体" w:hAnsi="宋体" w:eastAsia="宋体" w:cs="宋体"/>
          <w:bCs/>
          <w:color w:val="auto"/>
          <w:sz w:val="21"/>
          <w:szCs w:val="21"/>
          <w:highlight w:val="none"/>
          <w:lang w:bidi="ar-SA"/>
        </w:rPr>
        <w:t>套，合格证1套</w:t>
      </w:r>
      <w:r>
        <w:rPr>
          <w:rFonts w:hint="eastAsia" w:ascii="宋体" w:hAnsi="宋体" w:eastAsia="宋体" w:cs="宋体"/>
          <w:bCs/>
          <w:color w:val="auto"/>
          <w:sz w:val="21"/>
          <w:szCs w:val="21"/>
          <w:highlight w:val="none"/>
          <w:lang w:eastAsia="zh-CN" w:bidi="ar-SA"/>
        </w:rPr>
        <w:t>，</w:t>
      </w:r>
      <w:r>
        <w:rPr>
          <w:rFonts w:hint="eastAsia" w:ascii="宋体" w:hAnsi="宋体" w:eastAsia="宋体" w:cs="宋体"/>
          <w:bCs/>
          <w:color w:val="auto"/>
          <w:sz w:val="21"/>
          <w:szCs w:val="21"/>
          <w:highlight w:val="none"/>
          <w:lang w:val="en-US" w:eastAsia="zh-CN" w:bidi="ar-SA"/>
        </w:rPr>
        <w:t>并提供设备竣工档案</w:t>
      </w:r>
      <w:r>
        <w:rPr>
          <w:rFonts w:hint="eastAsia" w:ascii="宋体" w:hAnsi="宋体" w:cs="宋体"/>
          <w:bCs/>
          <w:color w:val="auto"/>
          <w:sz w:val="21"/>
          <w:szCs w:val="21"/>
          <w:highlight w:val="none"/>
          <w:lang w:val="en-US" w:eastAsia="zh-CN" w:bidi="ar-SA"/>
        </w:rPr>
        <w:t>2</w:t>
      </w:r>
      <w:r>
        <w:rPr>
          <w:rFonts w:hint="eastAsia" w:ascii="宋体" w:hAnsi="宋体" w:eastAsia="宋体" w:cs="宋体"/>
          <w:bCs/>
          <w:color w:val="auto"/>
          <w:sz w:val="21"/>
          <w:szCs w:val="21"/>
          <w:highlight w:val="none"/>
          <w:lang w:val="en-US" w:eastAsia="zh-CN" w:bidi="ar-SA"/>
        </w:rPr>
        <w:t>套，提供电子版操作规程及作业指导书（图文结合）</w:t>
      </w:r>
      <w:r>
        <w:rPr>
          <w:rFonts w:hint="eastAsia" w:ascii="宋体" w:hAnsi="宋体" w:eastAsia="宋体" w:cs="宋体"/>
          <w:bCs/>
          <w:color w:val="auto"/>
          <w:sz w:val="21"/>
          <w:szCs w:val="21"/>
          <w:highlight w:val="none"/>
          <w:lang w:bidi="ar-SA"/>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5.1.2《保养维修手册》中要求详列有关检修方法及技术标准；详列设备的日常点检、安全注意事项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5.1.3《操作手册》、《保养维修手册》、《配件图册》分开或集成均可以</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rPr>
          <w:rFonts w:hint="eastAsia" w:ascii="宋体" w:hAnsi="宋体" w:eastAsia="宋体" w:cs="宋体"/>
          <w:bCs/>
          <w:color w:val="auto"/>
          <w:sz w:val="21"/>
          <w:szCs w:val="21"/>
          <w:highlight w:val="none"/>
          <w:lang w:bidi="ar-SA"/>
        </w:rPr>
      </w:pPr>
      <w:r>
        <w:rPr>
          <w:rFonts w:hint="eastAsia" w:ascii="宋体" w:hAnsi="宋体" w:eastAsia="宋体" w:cs="宋体"/>
          <w:color w:val="auto"/>
          <w:sz w:val="21"/>
          <w:szCs w:val="21"/>
          <w:highlight w:val="none"/>
        </w:rPr>
        <w:t>5.2</w:t>
      </w:r>
      <w:r>
        <w:rPr>
          <w:rFonts w:hint="eastAsia" w:ascii="宋体" w:hAnsi="宋体" w:cs="宋体"/>
          <w:bCs/>
          <w:color w:val="auto"/>
          <w:sz w:val="21"/>
          <w:szCs w:val="21"/>
          <w:highlight w:val="none"/>
          <w:lang w:eastAsia="zh-CN" w:bidi="ar-SA"/>
        </w:rPr>
        <w:t>投标方</w:t>
      </w:r>
      <w:r>
        <w:rPr>
          <w:rFonts w:hint="eastAsia" w:ascii="宋体" w:hAnsi="宋体" w:eastAsia="宋体" w:cs="宋体"/>
          <w:bCs/>
          <w:color w:val="auto"/>
          <w:sz w:val="21"/>
          <w:szCs w:val="21"/>
          <w:highlight w:val="none"/>
          <w:lang w:bidi="ar-SA"/>
        </w:rPr>
        <w:t>必须交付全新的、完整的、与提供设备相符的、招标方认可的技术资料和图纸（包括纸质版本与电子版本）。对于缺失损坏、不符合要求的技术资料和图纸，投标方在</w:t>
      </w:r>
      <w:r>
        <w:rPr>
          <w:rFonts w:hint="eastAsia" w:ascii="宋体" w:hAnsi="宋体" w:eastAsia="宋体" w:cs="宋体"/>
          <w:bCs/>
          <w:color w:val="auto"/>
          <w:sz w:val="21"/>
          <w:szCs w:val="21"/>
          <w:highlight w:val="none"/>
          <w:u w:val="none"/>
          <w:lang w:val="en-US" w:eastAsia="zh-CN" w:bidi="ar-SA"/>
        </w:rPr>
        <w:t>30</w:t>
      </w:r>
      <w:r>
        <w:rPr>
          <w:rFonts w:hint="eastAsia" w:ascii="宋体" w:hAnsi="宋体" w:eastAsia="宋体" w:cs="宋体"/>
          <w:bCs/>
          <w:color w:val="auto"/>
          <w:sz w:val="21"/>
          <w:szCs w:val="21"/>
          <w:highlight w:val="none"/>
          <w:lang w:bidi="ar-SA"/>
        </w:rPr>
        <w:t>日内，补齐、更换。招标方将</w:t>
      </w:r>
      <w:r>
        <w:rPr>
          <w:rFonts w:hint="eastAsia" w:ascii="宋体" w:hAnsi="宋体" w:eastAsia="宋体" w:cs="宋体"/>
          <w:bCs/>
          <w:color w:val="auto"/>
          <w:sz w:val="21"/>
          <w:szCs w:val="21"/>
          <w:highlight w:val="none"/>
          <w:u w:val="none"/>
          <w:lang w:val="en-US" w:eastAsia="zh-CN" w:bidi="ar-SA"/>
        </w:rPr>
        <w:t>2</w:t>
      </w:r>
      <w:r>
        <w:rPr>
          <w:rFonts w:hint="eastAsia" w:ascii="宋体" w:hAnsi="宋体" w:eastAsia="宋体" w:cs="宋体"/>
          <w:bCs/>
          <w:color w:val="auto"/>
          <w:sz w:val="21"/>
          <w:szCs w:val="21"/>
          <w:highlight w:val="none"/>
          <w:lang w:bidi="ar-SA"/>
        </w:rPr>
        <w:t>套电子版文件，分别存储于U盘中与纸质版本一并交付。招标方出于培训目的，有权复制交付的技术资料和图纸。</w:t>
      </w:r>
    </w:p>
    <w:p>
      <w:pPr>
        <w:spacing w:line="360" w:lineRule="auto"/>
        <w:jc w:val="both"/>
        <w:rPr>
          <w:rFonts w:hint="eastAsia" w:ascii="宋体" w:hAnsi="宋体" w:eastAsia="宋体" w:cs="宋体"/>
          <w:b/>
          <w:color w:val="auto"/>
          <w:sz w:val="21"/>
          <w:szCs w:val="21"/>
        </w:rPr>
      </w:pPr>
      <w:r>
        <w:rPr>
          <w:rFonts w:hint="eastAsia" w:ascii="宋体" w:hAnsi="宋体" w:cs="宋体"/>
          <w:b/>
          <w:bCs/>
          <w:color w:val="auto"/>
          <w:sz w:val="21"/>
          <w:szCs w:val="21"/>
          <w:lang w:val="en-US" w:eastAsia="zh-CN" w:bidi="ar-SA"/>
        </w:rPr>
        <w:t>6</w:t>
      </w:r>
      <w:r>
        <w:rPr>
          <w:rFonts w:hint="eastAsia" w:ascii="宋体" w:hAnsi="宋体" w:eastAsia="宋体" w:cs="宋体"/>
          <w:b/>
          <w:bCs/>
          <w:color w:val="auto"/>
          <w:sz w:val="21"/>
          <w:szCs w:val="21"/>
          <w:lang w:val="en-US" w:eastAsia="zh-CN" w:bidi="ar-SA"/>
        </w:rPr>
        <w:t>.</w:t>
      </w:r>
      <w:r>
        <w:rPr>
          <w:rFonts w:hint="eastAsia" w:ascii="宋体" w:hAnsi="宋体" w:eastAsia="宋体" w:cs="宋体"/>
          <w:b/>
          <w:bCs/>
          <w:color w:val="auto"/>
          <w:sz w:val="21"/>
          <w:szCs w:val="21"/>
          <w:lang w:bidi="ar-SA"/>
        </w:rPr>
        <w:t>技术服务、培训</w:t>
      </w:r>
    </w:p>
    <w:p>
      <w:pPr>
        <w:adjustRightInd w:val="0"/>
        <w:spacing w:line="360" w:lineRule="auto"/>
        <w:rPr>
          <w:rFonts w:hint="eastAsia" w:ascii="宋体" w:cs="新宋体"/>
          <w:b/>
          <w:bCs w:val="0"/>
          <w:color w:val="auto"/>
          <w:sz w:val="21"/>
          <w:szCs w:val="21"/>
        </w:rPr>
      </w:pPr>
      <w:r>
        <w:rPr>
          <w:rFonts w:hint="eastAsia" w:ascii="宋体" w:cs="新宋体"/>
          <w:b/>
          <w:bCs w:val="0"/>
          <w:color w:val="auto"/>
          <w:sz w:val="21"/>
          <w:szCs w:val="21"/>
        </w:rPr>
        <w:t>6.1设计联络</w:t>
      </w:r>
    </w:p>
    <w:p>
      <w:pPr>
        <w:keepNext w:val="0"/>
        <w:keepLines w:val="0"/>
        <w:pageBreakBefore w:val="0"/>
        <w:widowControl w:val="0"/>
        <w:tabs>
          <w:tab w:val="left" w:pos="525"/>
        </w:tabs>
        <w:kinsoku/>
        <w:wordWrap/>
        <w:overflowPunct/>
        <w:topLinePunct w:val="0"/>
        <w:autoSpaceDE/>
        <w:autoSpaceDN/>
        <w:bidi w:val="0"/>
        <w:snapToGrid/>
        <w:spacing w:line="360" w:lineRule="auto"/>
        <w:ind w:right="0" w:rightChars="0"/>
        <w:jc w:val="both"/>
        <w:textAlignment w:val="auto"/>
        <w:rPr>
          <w:rFonts w:hint="eastAsia" w:ascii="宋体"/>
          <w:color w:val="auto"/>
          <w:sz w:val="21"/>
          <w:szCs w:val="21"/>
        </w:rPr>
      </w:pPr>
      <w:r>
        <w:rPr>
          <w:rFonts w:hint="eastAsia" w:ascii="宋体"/>
          <w:snapToGrid w:val="0"/>
          <w:color w:val="auto"/>
          <w:kern w:val="0"/>
          <w:sz w:val="21"/>
          <w:szCs w:val="21"/>
          <w:lang w:val="en-US" w:eastAsia="zh-CN"/>
        </w:rPr>
        <w:t>6.1.1</w:t>
      </w:r>
      <w:r>
        <w:rPr>
          <w:rFonts w:hint="eastAsia" w:ascii="宋体"/>
          <w:snapToGrid w:val="0"/>
          <w:color w:val="auto"/>
          <w:kern w:val="0"/>
          <w:sz w:val="21"/>
          <w:szCs w:val="21"/>
        </w:rPr>
        <w:t>在合同生效后，设备制造之前，投标方将设计方案、需要了解和解读的技术要求提交给招标方使用单位，由使用单位进行审定，必要时进行深入沟通和讨论，确定具体设计方案，经使用单位书面签字确认。</w:t>
      </w:r>
      <w:r>
        <w:rPr>
          <w:rFonts w:hint="eastAsia" w:ascii="宋体"/>
          <w:color w:val="auto"/>
          <w:sz w:val="21"/>
          <w:szCs w:val="21"/>
          <w:lang w:eastAsia="zh-CN"/>
        </w:rPr>
        <w:t>投标方</w:t>
      </w:r>
      <w:r>
        <w:rPr>
          <w:rFonts w:hint="eastAsia" w:ascii="宋体"/>
          <w:color w:val="auto"/>
          <w:sz w:val="21"/>
          <w:szCs w:val="21"/>
        </w:rPr>
        <w:t>设计完成后在</w:t>
      </w:r>
      <w:r>
        <w:rPr>
          <w:rFonts w:hint="eastAsia" w:ascii="宋体"/>
          <w:color w:val="auto"/>
          <w:sz w:val="21"/>
          <w:szCs w:val="21"/>
          <w:lang w:eastAsia="zh-CN"/>
        </w:rPr>
        <w:t>投标方</w:t>
      </w:r>
      <w:r>
        <w:rPr>
          <w:rFonts w:hint="eastAsia" w:ascii="宋体"/>
          <w:color w:val="auto"/>
          <w:sz w:val="21"/>
          <w:szCs w:val="21"/>
        </w:rPr>
        <w:t>生产现场进行设计联络一次（</w:t>
      </w:r>
      <w:r>
        <w:rPr>
          <w:rFonts w:hint="eastAsia" w:ascii="宋体"/>
          <w:color w:val="auto"/>
          <w:sz w:val="21"/>
          <w:szCs w:val="21"/>
          <w:lang w:val="en-US" w:eastAsia="zh-CN"/>
        </w:rPr>
        <w:t>3</w:t>
      </w:r>
      <w:r>
        <w:rPr>
          <w:rFonts w:hint="eastAsia" w:ascii="宋体"/>
          <w:color w:val="auto"/>
          <w:sz w:val="21"/>
          <w:szCs w:val="21"/>
        </w:rPr>
        <w:t>人），会务费用由</w:t>
      </w:r>
      <w:r>
        <w:rPr>
          <w:rFonts w:hint="eastAsia" w:ascii="宋体"/>
          <w:color w:val="auto"/>
          <w:sz w:val="21"/>
          <w:szCs w:val="21"/>
          <w:lang w:eastAsia="zh-CN"/>
        </w:rPr>
        <w:t>投标方</w:t>
      </w:r>
      <w:r>
        <w:rPr>
          <w:rFonts w:hint="eastAsia" w:ascii="宋体"/>
          <w:color w:val="auto"/>
          <w:sz w:val="21"/>
          <w:szCs w:val="21"/>
        </w:rPr>
        <w:t>负责，包括食宿、交通费用。</w:t>
      </w:r>
    </w:p>
    <w:p>
      <w:pPr>
        <w:keepNext w:val="0"/>
        <w:keepLines w:val="0"/>
        <w:pageBreakBefore w:val="0"/>
        <w:widowControl w:val="0"/>
        <w:tabs>
          <w:tab w:val="left" w:pos="525"/>
        </w:tabs>
        <w:kinsoku/>
        <w:wordWrap/>
        <w:overflowPunct/>
        <w:topLinePunct w:val="0"/>
        <w:autoSpaceDE/>
        <w:autoSpaceDN/>
        <w:bidi w:val="0"/>
        <w:snapToGrid/>
        <w:spacing w:line="360" w:lineRule="auto"/>
        <w:ind w:right="0" w:rightChars="0"/>
        <w:jc w:val="both"/>
        <w:textAlignment w:val="auto"/>
        <w:rPr>
          <w:rFonts w:hint="eastAsia" w:ascii="宋体" w:cs="新宋体"/>
          <w:bCs/>
          <w:color w:val="auto"/>
          <w:sz w:val="21"/>
          <w:szCs w:val="21"/>
        </w:rPr>
      </w:pPr>
      <w:r>
        <w:rPr>
          <w:rFonts w:hint="eastAsia" w:ascii="宋体"/>
          <w:color w:val="auto"/>
          <w:sz w:val="21"/>
          <w:szCs w:val="21"/>
          <w:u w:val="none"/>
          <w:lang w:val="en-US" w:eastAsia="zh-CN"/>
        </w:rPr>
        <w:t>6.1.2</w:t>
      </w:r>
      <w:r>
        <w:rPr>
          <w:rFonts w:hint="eastAsia" w:ascii="宋体"/>
          <w:color w:val="auto"/>
          <w:sz w:val="21"/>
          <w:szCs w:val="21"/>
          <w:u w:val="none"/>
        </w:rPr>
        <w:t>在设备调试、试运转以及整机质量保证内。</w:t>
      </w:r>
      <w:r>
        <w:rPr>
          <w:rFonts w:hint="eastAsia" w:ascii="宋体"/>
          <w:color w:val="auto"/>
          <w:sz w:val="21"/>
          <w:szCs w:val="21"/>
          <w:u w:val="none"/>
          <w:lang w:eastAsia="zh-CN"/>
        </w:rPr>
        <w:t>投标方</w:t>
      </w:r>
      <w:r>
        <w:rPr>
          <w:rFonts w:hint="eastAsia" w:ascii="宋体"/>
          <w:color w:val="auto"/>
          <w:sz w:val="21"/>
          <w:szCs w:val="21"/>
          <w:u w:val="none"/>
        </w:rPr>
        <w:t>应派遣必要数量的有资格、有</w:t>
      </w:r>
      <w:r>
        <w:rPr>
          <w:rFonts w:hint="eastAsia" w:ascii="宋体"/>
          <w:color w:val="auto"/>
          <w:sz w:val="21"/>
          <w:szCs w:val="21"/>
        </w:rPr>
        <w:t>经验、有技术、健康、能胜任工作的技术人员到</w:t>
      </w:r>
      <w:r>
        <w:rPr>
          <w:rFonts w:hint="eastAsia" w:ascii="宋体"/>
          <w:color w:val="auto"/>
          <w:sz w:val="21"/>
          <w:szCs w:val="21"/>
          <w:lang w:eastAsia="zh-CN"/>
        </w:rPr>
        <w:t>招标方</w:t>
      </w:r>
      <w:r>
        <w:rPr>
          <w:rFonts w:hint="eastAsia" w:ascii="宋体"/>
          <w:color w:val="auto"/>
          <w:sz w:val="21"/>
          <w:szCs w:val="21"/>
        </w:rPr>
        <w:t>现场从事技术服务工作，在正确安装维修、故障排除、操作使用等方面为</w:t>
      </w:r>
      <w:r>
        <w:rPr>
          <w:rFonts w:hint="eastAsia" w:ascii="宋体"/>
          <w:color w:val="auto"/>
          <w:sz w:val="21"/>
          <w:szCs w:val="21"/>
          <w:lang w:eastAsia="zh-CN"/>
        </w:rPr>
        <w:t>招标方</w:t>
      </w:r>
      <w:r>
        <w:rPr>
          <w:rFonts w:hint="eastAsia" w:ascii="宋体"/>
          <w:color w:val="auto"/>
          <w:sz w:val="21"/>
          <w:szCs w:val="21"/>
        </w:rPr>
        <w:t>提供技术上的帮助和支持，以保证顺利投入使用。</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jc w:val="both"/>
        <w:textAlignment w:val="auto"/>
        <w:outlineLvl w:val="0"/>
        <w:rPr>
          <w:rFonts w:hint="eastAsia" w:ascii="宋体" w:cs="新宋体"/>
          <w:b/>
          <w:bCs w:val="0"/>
          <w:color w:val="auto"/>
          <w:sz w:val="21"/>
          <w:szCs w:val="21"/>
        </w:rPr>
      </w:pPr>
      <w:r>
        <w:rPr>
          <w:rFonts w:hint="eastAsia" w:ascii="宋体" w:cs="新宋体"/>
          <w:b/>
          <w:bCs w:val="0"/>
          <w:color w:val="auto"/>
          <w:sz w:val="21"/>
          <w:szCs w:val="21"/>
        </w:rPr>
        <w:t>6.2技术服务</w:t>
      </w:r>
    </w:p>
    <w:p>
      <w:pPr>
        <w:keepNext w:val="0"/>
        <w:keepLines w:val="0"/>
        <w:pageBreakBefore w:val="0"/>
        <w:widowControl w:val="0"/>
        <w:kinsoku/>
        <w:wordWrap/>
        <w:overflowPunct/>
        <w:topLinePunct w:val="0"/>
        <w:autoSpaceDE/>
        <w:autoSpaceDN/>
        <w:bidi w:val="0"/>
        <w:snapToGrid/>
        <w:spacing w:line="360" w:lineRule="auto"/>
        <w:ind w:left="0" w:leftChars="0" w:right="0" w:rightChars="0"/>
        <w:jc w:val="both"/>
        <w:textAlignment w:val="auto"/>
        <w:rPr>
          <w:rFonts w:hint="eastAsia" w:ascii="宋体"/>
          <w:snapToGrid w:val="0"/>
          <w:color w:val="auto"/>
          <w:kern w:val="0"/>
          <w:sz w:val="21"/>
          <w:szCs w:val="21"/>
        </w:rPr>
      </w:pPr>
      <w:r>
        <w:rPr>
          <w:rFonts w:hint="eastAsia" w:ascii="宋体"/>
          <w:snapToGrid w:val="0"/>
          <w:color w:val="auto"/>
          <w:kern w:val="0"/>
          <w:sz w:val="21"/>
          <w:szCs w:val="21"/>
        </w:rPr>
        <w:t>6.2.1在设备安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eastAsia" w:ascii="宋体"/>
          <w:snapToGrid w:val="0"/>
          <w:color w:val="auto"/>
          <w:kern w:val="0"/>
          <w:sz w:val="21"/>
          <w:szCs w:val="21"/>
          <w:lang w:eastAsia="zh-CN"/>
        </w:rPr>
        <w:t>设备</w:t>
      </w:r>
      <w:r>
        <w:rPr>
          <w:rFonts w:hint="eastAsia" w:ascii="宋体"/>
          <w:snapToGrid w:val="0"/>
          <w:color w:val="auto"/>
          <w:kern w:val="0"/>
          <w:sz w:val="21"/>
          <w:szCs w:val="21"/>
        </w:rPr>
        <w:t>能顺利投入使用。</w:t>
      </w:r>
    </w:p>
    <w:p>
      <w:pPr>
        <w:keepNext w:val="0"/>
        <w:keepLines w:val="0"/>
        <w:pageBreakBefore w:val="0"/>
        <w:widowControl w:val="0"/>
        <w:kinsoku/>
        <w:wordWrap/>
        <w:overflowPunct/>
        <w:topLinePunct w:val="0"/>
        <w:autoSpaceDE/>
        <w:autoSpaceDN/>
        <w:bidi w:val="0"/>
        <w:snapToGrid/>
        <w:spacing w:line="360" w:lineRule="auto"/>
        <w:ind w:left="0" w:leftChars="0" w:right="0" w:rightChars="0"/>
        <w:jc w:val="both"/>
        <w:textAlignment w:val="auto"/>
        <w:rPr>
          <w:rFonts w:hint="eastAsia" w:ascii="宋体"/>
          <w:snapToGrid w:val="0"/>
          <w:color w:val="auto"/>
          <w:kern w:val="0"/>
          <w:sz w:val="21"/>
          <w:szCs w:val="21"/>
        </w:rPr>
      </w:pPr>
      <w:r>
        <w:rPr>
          <w:rFonts w:hint="eastAsia" w:ascii="宋体"/>
          <w:snapToGrid w:val="0"/>
          <w:color w:val="auto"/>
          <w:kern w:val="0"/>
          <w:sz w:val="21"/>
          <w:szCs w:val="21"/>
        </w:rPr>
        <w:t>6.2.2投标方在报价中应根据上述要求详细列出技术服务人员的人数、专业类别、服务时间、工作内容。</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jc w:val="both"/>
        <w:textAlignment w:val="auto"/>
        <w:outlineLvl w:val="0"/>
        <w:rPr>
          <w:rFonts w:hint="eastAsia" w:ascii="宋体" w:cs="新宋体"/>
          <w:b/>
          <w:bCs w:val="0"/>
          <w:color w:val="auto"/>
          <w:sz w:val="21"/>
          <w:szCs w:val="21"/>
        </w:rPr>
      </w:pPr>
      <w:r>
        <w:rPr>
          <w:rFonts w:hint="eastAsia" w:ascii="宋体" w:cs="新宋体"/>
          <w:b/>
          <w:bCs w:val="0"/>
          <w:color w:val="auto"/>
          <w:sz w:val="21"/>
          <w:szCs w:val="21"/>
        </w:rPr>
        <w:t>6.</w:t>
      </w:r>
      <w:r>
        <w:rPr>
          <w:rFonts w:hint="eastAsia" w:ascii="宋体" w:cs="新宋体"/>
          <w:b/>
          <w:bCs w:val="0"/>
          <w:color w:val="auto"/>
          <w:sz w:val="21"/>
          <w:szCs w:val="21"/>
          <w:lang w:val="en-US" w:eastAsia="zh-CN"/>
        </w:rPr>
        <w:t>3</w:t>
      </w:r>
      <w:r>
        <w:rPr>
          <w:rFonts w:hint="eastAsia" w:ascii="宋体" w:cs="新宋体"/>
          <w:b/>
          <w:bCs w:val="0"/>
          <w:color w:val="auto"/>
          <w:sz w:val="21"/>
          <w:szCs w:val="21"/>
        </w:rPr>
        <w:t>技术培训</w:t>
      </w:r>
    </w:p>
    <w:p>
      <w:pPr>
        <w:keepNext w:val="0"/>
        <w:keepLines w:val="0"/>
        <w:pageBreakBefore w:val="0"/>
        <w:widowControl w:val="0"/>
        <w:tabs>
          <w:tab w:val="left" w:pos="525"/>
        </w:tabs>
        <w:kinsoku/>
        <w:wordWrap/>
        <w:overflowPunct/>
        <w:topLinePunct w:val="0"/>
        <w:autoSpaceDE/>
        <w:autoSpaceDN/>
        <w:bidi w:val="0"/>
        <w:snapToGrid/>
        <w:spacing w:line="360" w:lineRule="auto"/>
        <w:ind w:left="0" w:leftChars="0" w:right="0" w:rightChars="0"/>
        <w:jc w:val="both"/>
        <w:textAlignment w:val="auto"/>
        <w:rPr>
          <w:rFonts w:hint="eastAsia" w:ascii="宋体"/>
          <w:color w:val="auto"/>
          <w:sz w:val="21"/>
          <w:szCs w:val="21"/>
        </w:rPr>
      </w:pPr>
      <w:r>
        <w:rPr>
          <w:rFonts w:hint="eastAsia" w:ascii="宋体"/>
          <w:snapToGrid w:val="0"/>
          <w:color w:val="auto"/>
          <w:kern w:val="0"/>
          <w:sz w:val="21"/>
          <w:szCs w:val="21"/>
        </w:rPr>
        <w:t>6.</w:t>
      </w:r>
      <w:r>
        <w:rPr>
          <w:rFonts w:hint="eastAsia" w:ascii="宋体"/>
          <w:snapToGrid w:val="0"/>
          <w:color w:val="auto"/>
          <w:kern w:val="0"/>
          <w:sz w:val="21"/>
          <w:szCs w:val="21"/>
          <w:lang w:val="en-US" w:eastAsia="zh-CN"/>
        </w:rPr>
        <w:t>3</w:t>
      </w:r>
      <w:r>
        <w:rPr>
          <w:rFonts w:hint="eastAsia" w:ascii="宋体"/>
          <w:snapToGrid w:val="0"/>
          <w:color w:val="auto"/>
          <w:kern w:val="0"/>
          <w:sz w:val="21"/>
          <w:szCs w:val="21"/>
        </w:rPr>
        <w:t>.1</w:t>
      </w:r>
      <w:r>
        <w:rPr>
          <w:rFonts w:hint="eastAsia" w:ascii="宋体"/>
          <w:color w:val="auto"/>
          <w:sz w:val="21"/>
          <w:szCs w:val="21"/>
        </w:rPr>
        <w:t>购货合同生效后</w:t>
      </w:r>
      <w:r>
        <w:rPr>
          <w:rFonts w:hint="eastAsia" w:ascii="宋体"/>
          <w:color w:val="auto"/>
          <w:sz w:val="21"/>
          <w:szCs w:val="21"/>
          <w:lang w:eastAsia="zh-CN"/>
        </w:rPr>
        <w:t>投标方</w:t>
      </w:r>
      <w:r>
        <w:rPr>
          <w:rFonts w:hint="eastAsia" w:ascii="宋体"/>
          <w:color w:val="auto"/>
          <w:sz w:val="21"/>
          <w:szCs w:val="21"/>
        </w:rPr>
        <w:t>在技术服务期间要为</w:t>
      </w:r>
      <w:r>
        <w:rPr>
          <w:rFonts w:hint="eastAsia" w:ascii="宋体"/>
          <w:color w:val="auto"/>
          <w:sz w:val="21"/>
          <w:szCs w:val="21"/>
          <w:lang w:eastAsia="zh-CN"/>
        </w:rPr>
        <w:t>招标方</w:t>
      </w:r>
      <w:r>
        <w:rPr>
          <w:rFonts w:hint="eastAsia" w:ascii="宋体"/>
          <w:color w:val="auto"/>
          <w:sz w:val="21"/>
          <w:szCs w:val="21"/>
        </w:rPr>
        <w:t>人员进行</w:t>
      </w:r>
      <w:r>
        <w:rPr>
          <w:rFonts w:hint="eastAsia" w:ascii="宋体"/>
          <w:color w:val="auto"/>
          <w:sz w:val="21"/>
          <w:szCs w:val="21"/>
          <w:lang w:val="en-US" w:eastAsia="zh-CN"/>
        </w:rPr>
        <w:t>3</w:t>
      </w:r>
      <w:r>
        <w:rPr>
          <w:rFonts w:hint="eastAsia" w:ascii="宋体"/>
          <w:color w:val="auto"/>
          <w:sz w:val="21"/>
          <w:szCs w:val="21"/>
        </w:rPr>
        <w:t>人次不少于</w:t>
      </w:r>
      <w:r>
        <w:rPr>
          <w:rFonts w:hint="eastAsia" w:ascii="宋体"/>
          <w:color w:val="auto"/>
          <w:sz w:val="21"/>
          <w:szCs w:val="21"/>
          <w:lang w:val="en-US" w:eastAsia="zh-CN"/>
        </w:rPr>
        <w:t>7</w:t>
      </w:r>
      <w:r>
        <w:rPr>
          <w:rFonts w:hint="eastAsia" w:ascii="宋体"/>
          <w:color w:val="auto"/>
          <w:sz w:val="21"/>
          <w:szCs w:val="21"/>
        </w:rPr>
        <w:t>日在厂家进行免费技术培训（交通食宿厂家负责）。</w:t>
      </w:r>
      <w:r>
        <w:rPr>
          <w:rFonts w:hint="eastAsia" w:ascii="宋体"/>
          <w:color w:val="auto"/>
          <w:sz w:val="21"/>
          <w:szCs w:val="21"/>
          <w:lang w:eastAsia="zh-CN"/>
        </w:rPr>
        <w:t>投标方</w:t>
      </w:r>
      <w:r>
        <w:rPr>
          <w:rFonts w:hint="eastAsia" w:ascii="宋体"/>
          <w:color w:val="auto"/>
          <w:sz w:val="21"/>
          <w:szCs w:val="21"/>
        </w:rPr>
        <w:t>在技术服务期间要为</w:t>
      </w:r>
      <w:r>
        <w:rPr>
          <w:rFonts w:hint="eastAsia" w:ascii="宋体"/>
          <w:color w:val="auto"/>
          <w:sz w:val="21"/>
          <w:szCs w:val="21"/>
          <w:lang w:eastAsia="zh-CN"/>
        </w:rPr>
        <w:t>招标方</w:t>
      </w:r>
      <w:r>
        <w:rPr>
          <w:rFonts w:hint="eastAsia" w:ascii="宋体"/>
          <w:color w:val="auto"/>
          <w:sz w:val="21"/>
          <w:szCs w:val="21"/>
        </w:rPr>
        <w:t>人员在</w:t>
      </w:r>
      <w:r>
        <w:rPr>
          <w:rFonts w:hint="eastAsia" w:ascii="宋体"/>
          <w:color w:val="auto"/>
          <w:sz w:val="21"/>
          <w:szCs w:val="21"/>
          <w:lang w:eastAsia="zh-CN"/>
        </w:rPr>
        <w:t>招标方</w:t>
      </w:r>
      <w:r>
        <w:rPr>
          <w:rFonts w:hint="eastAsia" w:ascii="宋体"/>
          <w:color w:val="auto"/>
          <w:sz w:val="21"/>
          <w:szCs w:val="21"/>
        </w:rPr>
        <w:t>现场提供必要的技术培训。</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jc w:val="both"/>
        <w:textAlignment w:val="auto"/>
        <w:rPr>
          <w:rFonts w:hint="eastAsia" w:ascii="宋体"/>
          <w:snapToGrid w:val="0"/>
          <w:color w:val="auto"/>
          <w:kern w:val="0"/>
          <w:sz w:val="21"/>
          <w:szCs w:val="21"/>
        </w:rPr>
      </w:pPr>
      <w:r>
        <w:rPr>
          <w:rFonts w:hint="eastAsia" w:ascii="宋体"/>
          <w:snapToGrid w:val="0"/>
          <w:color w:val="auto"/>
          <w:kern w:val="0"/>
          <w:sz w:val="21"/>
          <w:szCs w:val="21"/>
        </w:rPr>
        <w:t>6.</w:t>
      </w:r>
      <w:r>
        <w:rPr>
          <w:rFonts w:hint="eastAsia" w:ascii="宋体"/>
          <w:snapToGrid w:val="0"/>
          <w:color w:val="auto"/>
          <w:kern w:val="0"/>
          <w:sz w:val="21"/>
          <w:szCs w:val="21"/>
          <w:lang w:val="en-US" w:eastAsia="zh-CN"/>
        </w:rPr>
        <w:t>3</w:t>
      </w:r>
      <w:r>
        <w:rPr>
          <w:rFonts w:hint="eastAsia" w:ascii="宋体"/>
          <w:snapToGrid w:val="0"/>
          <w:color w:val="auto"/>
          <w:kern w:val="0"/>
          <w:sz w:val="21"/>
          <w:szCs w:val="21"/>
        </w:rPr>
        <w:t>.</w:t>
      </w:r>
      <w:r>
        <w:rPr>
          <w:rFonts w:hint="eastAsia" w:ascii="宋体"/>
          <w:snapToGrid w:val="0"/>
          <w:color w:val="auto"/>
          <w:kern w:val="0"/>
          <w:sz w:val="21"/>
          <w:szCs w:val="21"/>
          <w:lang w:val="en-US" w:eastAsia="zh-CN"/>
        </w:rPr>
        <w:t>2</w:t>
      </w:r>
      <w:r>
        <w:rPr>
          <w:rFonts w:hint="eastAsia" w:ascii="宋体"/>
          <w:snapToGrid w:val="0"/>
          <w:color w:val="auto"/>
          <w:kern w:val="0"/>
          <w:sz w:val="21"/>
          <w:szCs w:val="21"/>
        </w:rPr>
        <w:t>投标方负责培训专家到项目现场并承担培训专家在培训期间所需的费用。</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b/>
          <w:bCs w:val="0"/>
          <w:color w:val="auto"/>
          <w:sz w:val="21"/>
          <w:szCs w:val="21"/>
          <w:highlight w:val="none"/>
          <w:lang w:bidi="ar-SA"/>
        </w:rPr>
      </w:pPr>
      <w:r>
        <w:rPr>
          <w:rFonts w:hint="eastAsia" w:ascii="宋体" w:hAnsi="宋体" w:eastAsia="宋体" w:cs="宋体"/>
          <w:b/>
          <w:bCs w:val="0"/>
          <w:color w:val="auto"/>
          <w:sz w:val="21"/>
          <w:szCs w:val="21"/>
          <w:highlight w:val="none"/>
          <w:lang w:bidi="ar-SA"/>
        </w:rPr>
        <w:t>7.安装调试、考核验收</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7.1安装调试</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.1安装调试全部由</w:t>
      </w:r>
      <w:r>
        <w:rPr>
          <w:rFonts w:hint="eastAsia" w:ascii="宋体" w:hAnsi="宋体" w:eastAsia="宋体" w:cs="宋体"/>
          <w:color w:val="auto"/>
          <w:sz w:val="21"/>
          <w:szCs w:val="21"/>
          <w:highlight w:val="none"/>
          <w:lang w:val="en-US" w:eastAsia="zh-CN"/>
        </w:rPr>
        <w:t>投</w:t>
      </w:r>
      <w:r>
        <w:rPr>
          <w:rFonts w:hint="eastAsia" w:ascii="宋体" w:hAnsi="宋体" w:eastAsia="宋体" w:cs="宋体"/>
          <w:color w:val="auto"/>
          <w:sz w:val="21"/>
          <w:szCs w:val="21"/>
          <w:highlight w:val="none"/>
        </w:rPr>
        <w:t>标方负责，包括设备的安装、调试、试运行。设备试运行期间，设备所出现的故障由</w:t>
      </w:r>
      <w:r>
        <w:rPr>
          <w:rFonts w:hint="eastAsia" w:ascii="宋体" w:hAnsi="宋体" w:eastAsia="宋体" w:cs="宋体"/>
          <w:color w:val="auto"/>
          <w:sz w:val="21"/>
          <w:szCs w:val="21"/>
          <w:highlight w:val="none"/>
          <w:lang w:val="en-US" w:eastAsia="zh-CN"/>
        </w:rPr>
        <w:t>投</w:t>
      </w:r>
      <w:r>
        <w:rPr>
          <w:rFonts w:hint="eastAsia" w:ascii="宋体" w:hAnsi="宋体" w:eastAsia="宋体" w:cs="宋体"/>
          <w:color w:val="auto"/>
          <w:sz w:val="21"/>
          <w:szCs w:val="21"/>
          <w:highlight w:val="none"/>
        </w:rPr>
        <w:t>标方负责解决，招标方给予协助。</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.2设备调试完成后，进行试运行，试运行由招标方操作人员在</w:t>
      </w:r>
      <w:r>
        <w:rPr>
          <w:rFonts w:hint="eastAsia" w:ascii="宋体" w:hAnsi="宋体" w:eastAsia="宋体" w:cs="宋体"/>
          <w:color w:val="auto"/>
          <w:sz w:val="21"/>
          <w:szCs w:val="21"/>
          <w:highlight w:val="none"/>
          <w:lang w:val="en-US" w:eastAsia="zh-CN"/>
        </w:rPr>
        <w:t>投</w:t>
      </w:r>
      <w:r>
        <w:rPr>
          <w:rFonts w:hint="eastAsia" w:ascii="宋体" w:hAnsi="宋体" w:eastAsia="宋体" w:cs="宋体"/>
          <w:color w:val="auto"/>
          <w:sz w:val="21"/>
          <w:szCs w:val="21"/>
          <w:highlight w:val="none"/>
        </w:rPr>
        <w:t>标方技术人员的密切、具体指导下进行。</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7.</w:t>
      </w:r>
      <w:r>
        <w:rPr>
          <w:rFonts w:hint="eastAsia" w:ascii="宋体" w:hAnsi="宋体" w:eastAsia="宋体" w:cs="宋体"/>
          <w:bCs/>
          <w:color w:val="auto"/>
          <w:sz w:val="21"/>
          <w:szCs w:val="21"/>
          <w:highlight w:val="none"/>
          <w:lang w:val="en-US" w:eastAsia="zh-CN" w:bidi="ar-SA"/>
        </w:rPr>
        <w:t>2</w:t>
      </w:r>
      <w:r>
        <w:rPr>
          <w:rFonts w:hint="eastAsia" w:ascii="宋体" w:hAnsi="宋体" w:eastAsia="宋体" w:cs="宋体"/>
          <w:bCs/>
          <w:color w:val="auto"/>
          <w:sz w:val="21"/>
          <w:szCs w:val="21"/>
          <w:highlight w:val="none"/>
          <w:lang w:bidi="ar-SA"/>
        </w:rPr>
        <w:t>设备考核</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.1设备考核期1个月，设备的故障次数不高于2次，故障累计时间不高于4小时。</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.2设备在首次考核未能通过，再经过更换部件或其他方法处理后，在1个月内仍未达到考核要求，不能通过考核，则视该设备为不合格产品。1个月的期限是从首次考核试运行开始的第一天计</w:t>
      </w:r>
      <w:r>
        <w:rPr>
          <w:rFonts w:hint="eastAsia" w:ascii="宋体" w:hAnsi="宋体" w:eastAsia="宋体" w:cs="宋体"/>
          <w:color w:val="auto"/>
          <w:sz w:val="21"/>
          <w:szCs w:val="21"/>
        </w:rPr>
        <w:t>算。设备不符合招标文件规定的要求及相关标准和规范的设备同样被视为不合格设备。</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.3如考核属于不合格设备，不能进行设备验收，投标方无偿更换设备。在双方同意的期限内将新设备运抵招标方现场，由此产生的一切费用由投标方承担。在新设备安装之前，原设备继续由招标方使用。</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b w:val="0"/>
          <w:color w:val="auto"/>
          <w:kern w:val="2"/>
          <w:sz w:val="21"/>
          <w:szCs w:val="21"/>
          <w:lang w:val="en-US" w:eastAsia="zh-CN"/>
        </w:rPr>
      </w:pPr>
      <w:r>
        <w:rPr>
          <w:rFonts w:hint="eastAsia" w:ascii="宋体" w:hAnsi="宋体" w:eastAsia="宋体" w:cs="宋体"/>
          <w:b w:val="0"/>
          <w:color w:val="auto"/>
          <w:kern w:val="2"/>
          <w:sz w:val="21"/>
          <w:szCs w:val="21"/>
          <w:lang w:val="en-US" w:eastAsia="zh-CN"/>
        </w:rPr>
        <w:t>7.2.4投标方应对大准铁路现场进行充分了解，并在投标前进行现场技术参数的测试，并将详细的实施方案附在本项目投标文件中，负责设备供应、安装、调试、试验，配套配件的供应等，并负责拆除既有设备。</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7.</w:t>
      </w:r>
      <w:r>
        <w:rPr>
          <w:rFonts w:hint="eastAsia" w:ascii="宋体" w:hAnsi="宋体" w:eastAsia="宋体" w:cs="宋体"/>
          <w:bCs/>
          <w:color w:val="auto"/>
          <w:sz w:val="21"/>
          <w:szCs w:val="21"/>
          <w:lang w:val="en-US" w:eastAsia="zh-CN" w:bidi="ar-SA"/>
        </w:rPr>
        <w:t>3</w:t>
      </w:r>
      <w:r>
        <w:rPr>
          <w:rFonts w:hint="eastAsia" w:ascii="宋体" w:hAnsi="宋体" w:eastAsia="宋体" w:cs="宋体"/>
          <w:bCs/>
          <w:color w:val="auto"/>
          <w:sz w:val="21"/>
          <w:szCs w:val="21"/>
          <w:lang w:bidi="ar-SA"/>
        </w:rPr>
        <w:t>设备验收</w:t>
      </w:r>
    </w:p>
    <w:p>
      <w:pPr>
        <w:keepNext w:val="0"/>
        <w:keepLines w:val="0"/>
        <w:pageBreakBefore w:val="0"/>
        <w:kinsoku/>
        <w:wordWrap/>
        <w:overflowPunct/>
        <w:topLinePunct w:val="0"/>
        <w:autoSpaceDE/>
        <w:autoSpaceDN/>
        <w:bidi w:val="0"/>
        <w:snapToGrid/>
        <w:spacing w:line="400" w:lineRule="exact"/>
        <w:ind w:left="0" w:leftChars="0" w:right="0" w:righ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考核完成后，双方对设备进行验收。验收标准为本规范书规定的要求和相关标准、规范。</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b/>
          <w:bCs w:val="0"/>
          <w:color w:val="auto"/>
          <w:sz w:val="21"/>
          <w:szCs w:val="21"/>
          <w:lang w:bidi="ar-SA"/>
        </w:rPr>
      </w:pPr>
      <w:r>
        <w:rPr>
          <w:rFonts w:hint="eastAsia" w:ascii="宋体" w:hAnsi="宋体" w:eastAsia="宋体" w:cs="宋体"/>
          <w:b/>
          <w:bCs w:val="0"/>
          <w:color w:val="auto"/>
          <w:sz w:val="21"/>
          <w:szCs w:val="21"/>
          <w:lang w:bidi="ar-SA"/>
        </w:rPr>
        <w:t>8.质量保证</w:t>
      </w:r>
    </w:p>
    <w:p>
      <w:pPr>
        <w:keepNext w:val="0"/>
        <w:keepLines w:val="0"/>
        <w:pageBreakBefore w:val="0"/>
        <w:kinsoku/>
        <w:wordWrap/>
        <w:overflowPunct/>
        <w:topLinePunct w:val="0"/>
        <w:autoSpaceDE/>
        <w:autoSpaceDN/>
        <w:bidi w:val="0"/>
        <w:snapToGrid/>
        <w:spacing w:line="400" w:lineRule="exact"/>
        <w:ind w:left="0" w:leftChars="0" w:right="0" w:righ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整机质量保证期为</w:t>
      </w:r>
      <w:r>
        <w:rPr>
          <w:rFonts w:hint="eastAsia" w:ascii="宋体" w:hAnsi="宋体" w:eastAsia="宋体" w:cs="宋体"/>
          <w:color w:val="auto"/>
          <w:sz w:val="21"/>
          <w:szCs w:val="21"/>
          <w:lang w:val="en-US" w:eastAsia="zh-CN"/>
        </w:rPr>
        <w:t>24</w:t>
      </w:r>
      <w:r>
        <w:rPr>
          <w:rFonts w:hint="eastAsia" w:ascii="宋体" w:hAnsi="宋体" w:eastAsia="宋体" w:cs="宋体"/>
          <w:color w:val="auto"/>
          <w:sz w:val="21"/>
          <w:szCs w:val="21"/>
        </w:rPr>
        <w:t>个月。</w:t>
      </w:r>
      <w:r>
        <w:rPr>
          <w:rFonts w:hint="eastAsia" w:ascii="宋体" w:hAnsi="宋体" w:cs="宋体"/>
          <w:color w:val="auto"/>
          <w:sz w:val="21"/>
          <w:szCs w:val="21"/>
          <w:lang w:eastAsia="zh-CN"/>
        </w:rPr>
        <w:t>设备验收合格后，从</w:t>
      </w:r>
      <w:r>
        <w:rPr>
          <w:rFonts w:hint="eastAsia" w:ascii="宋体" w:hAnsi="宋体" w:eastAsia="宋体" w:cs="宋体"/>
          <w:color w:val="auto"/>
          <w:sz w:val="21"/>
          <w:szCs w:val="21"/>
          <w:lang w:val="en-US" w:eastAsia="zh-CN"/>
        </w:rPr>
        <w:t>签订完设备验收报告</w:t>
      </w:r>
      <w:r>
        <w:rPr>
          <w:rFonts w:hint="eastAsia" w:ascii="宋体" w:hAnsi="宋体" w:eastAsia="宋体" w:cs="宋体"/>
          <w:color w:val="auto"/>
          <w:sz w:val="21"/>
          <w:szCs w:val="21"/>
        </w:rPr>
        <w:t>之日起</w:t>
      </w:r>
      <w:r>
        <w:rPr>
          <w:rFonts w:hint="eastAsia" w:ascii="宋体" w:hAnsi="宋体" w:eastAsia="宋体" w:cs="宋体"/>
          <w:color w:val="auto"/>
          <w:sz w:val="21"/>
          <w:szCs w:val="21"/>
          <w:lang w:val="en-US" w:eastAsia="zh-CN"/>
        </w:rPr>
        <w:t>进入质保期</w:t>
      </w:r>
      <w:r>
        <w:rPr>
          <w:rFonts w:hint="eastAsia" w:ascii="宋体" w:hAnsi="宋体" w:eastAsia="宋体" w:cs="宋体"/>
          <w:color w:val="auto"/>
          <w:sz w:val="21"/>
          <w:szCs w:val="21"/>
        </w:rPr>
        <w:t>。在质量保证期内，因产品设计或制造质量原因造成的问题，由投标方负责免费维修或更换。</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b/>
          <w:bCs w:val="0"/>
          <w:color w:val="auto"/>
          <w:sz w:val="21"/>
          <w:szCs w:val="21"/>
          <w:lang w:bidi="ar-SA"/>
        </w:rPr>
      </w:pPr>
      <w:r>
        <w:rPr>
          <w:rFonts w:hint="eastAsia" w:ascii="宋体" w:hAnsi="宋体" w:eastAsia="宋体" w:cs="宋体"/>
          <w:b/>
          <w:bCs w:val="0"/>
          <w:color w:val="auto"/>
          <w:sz w:val="21"/>
          <w:szCs w:val="21"/>
          <w:lang w:bidi="ar-SA"/>
        </w:rPr>
        <w:t>9.售后支持</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9.1在质保期内，如果出现故障，投标方在接到招标方书面通知后48小时内，指派技术服务人员到招标方使用现场，进行维修。</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9.2在整机质保期内，投标方指派技术服务人员到招标方使用单位进行回访和协助设备维护保养，费用由投标方承担。</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9.3投标方帮助和指导招标方解决使用中遇到的问题，对突发性故障和重大维修项目，将速派精干的服务工程师赴现场协助指导处理。</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9.4投标方根据招标方需要，保证长期提供优质、低价配件。</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9.5投标方根据招标方需要，保证长期提供配件图册、保养维修手册等技术资料。</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9.6投标方产品在技术改进后，应根据招标方需要，保证招标方设备的使用、维修及配件供应能够适应技术改进情况。</w:t>
      </w:r>
    </w:p>
    <w:p>
      <w:pPr>
        <w:keepNext w:val="0"/>
        <w:keepLines w:val="0"/>
        <w:pageBreakBefore w:val="0"/>
        <w:kinsoku/>
        <w:wordWrap/>
        <w:overflowPunct/>
        <w:topLinePunct w:val="0"/>
        <w:autoSpaceDE/>
        <w:autoSpaceDN/>
        <w:bidi w:val="0"/>
        <w:snapToGrid/>
        <w:spacing w:line="400" w:lineRule="exact"/>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r>
        <w:rPr>
          <w:rFonts w:hint="eastAsia" w:ascii="宋体" w:hAnsi="宋体" w:eastAsia="宋体" w:cs="宋体"/>
          <w:color w:val="auto"/>
          <w:sz w:val="21"/>
          <w:szCs w:val="21"/>
        </w:rPr>
        <w:t>9.8 投标方应在投标书中说明设备投入运行后，招标方向投标方正常订购配件时，投标方能给招标方多大幅度的优惠。说明如果招标方遇到配件急需时，投标方如何以最快的速度给予支持</w:t>
      </w:r>
      <w:r>
        <w:rPr>
          <w:rFonts w:hint="eastAsia" w:ascii="宋体" w:hAnsi="宋体" w:cs="宋体"/>
          <w:sz w:val="21"/>
          <w:szCs w:val="21"/>
        </w:rPr>
        <w:t>。</w:t>
      </w:r>
      <w:bookmarkStart w:id="169" w:name="_GoBack"/>
      <w:bookmarkEnd w:id="16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884B6"/>
    <w:multiLevelType w:val="singleLevel"/>
    <w:tmpl w:val="855884B6"/>
    <w:lvl w:ilvl="0" w:tentative="0">
      <w:start w:val="1"/>
      <w:numFmt w:val="lowerLetter"/>
      <w:suff w:val="nothing"/>
      <w:lvlText w:val="%1　"/>
      <w:lvlJc w:val="left"/>
      <w:pPr>
        <w:ind w:left="0" w:firstLine="403"/>
      </w:pPr>
      <w:rPr>
        <w:rFonts w:hint="default"/>
      </w:rPr>
    </w:lvl>
  </w:abstractNum>
  <w:abstractNum w:abstractNumId="1">
    <w:nsid w:val="87BD1ADB"/>
    <w:multiLevelType w:val="singleLevel"/>
    <w:tmpl w:val="87BD1ADB"/>
    <w:lvl w:ilvl="0" w:tentative="0">
      <w:start w:val="1"/>
      <w:numFmt w:val="decimal"/>
      <w:lvlText w:val="(%1)"/>
      <w:lvlJc w:val="left"/>
      <w:pPr>
        <w:ind w:left="425" w:hanging="425"/>
      </w:pPr>
      <w:rPr>
        <w:rFonts w:hint="default"/>
      </w:rPr>
    </w:lvl>
  </w:abstractNum>
  <w:abstractNum w:abstractNumId="2">
    <w:nsid w:val="9976CD6C"/>
    <w:multiLevelType w:val="singleLevel"/>
    <w:tmpl w:val="9976CD6C"/>
    <w:lvl w:ilvl="0" w:tentative="0">
      <w:start w:val="1"/>
      <w:numFmt w:val="decimal"/>
      <w:lvlText w:val="(%1)"/>
      <w:lvlJc w:val="left"/>
      <w:pPr>
        <w:tabs>
          <w:tab w:val="left" w:pos="312"/>
        </w:tabs>
      </w:pPr>
    </w:lvl>
  </w:abstractNum>
  <w:abstractNum w:abstractNumId="3">
    <w:nsid w:val="9D0CB975"/>
    <w:multiLevelType w:val="singleLevel"/>
    <w:tmpl w:val="9D0CB975"/>
    <w:lvl w:ilvl="0" w:tentative="0">
      <w:start w:val="1"/>
      <w:numFmt w:val="lowerLetter"/>
      <w:suff w:val="nothing"/>
      <w:lvlText w:val="%1　"/>
      <w:lvlJc w:val="left"/>
      <w:pPr>
        <w:ind w:left="0" w:firstLine="403"/>
      </w:pPr>
      <w:rPr>
        <w:rFonts w:hint="default"/>
      </w:rPr>
    </w:lvl>
  </w:abstractNum>
  <w:abstractNum w:abstractNumId="4">
    <w:nsid w:val="A336F4BC"/>
    <w:multiLevelType w:val="singleLevel"/>
    <w:tmpl w:val="A336F4BC"/>
    <w:lvl w:ilvl="0" w:tentative="0">
      <w:start w:val="1"/>
      <w:numFmt w:val="decimal"/>
      <w:lvlText w:val="(%1)"/>
      <w:lvlJc w:val="left"/>
      <w:pPr>
        <w:ind w:left="425" w:hanging="425"/>
      </w:pPr>
      <w:rPr>
        <w:rFonts w:hint="default"/>
      </w:rPr>
    </w:lvl>
  </w:abstractNum>
  <w:abstractNum w:abstractNumId="5">
    <w:nsid w:val="A5D93477"/>
    <w:multiLevelType w:val="singleLevel"/>
    <w:tmpl w:val="A5D93477"/>
    <w:lvl w:ilvl="0" w:tentative="0">
      <w:start w:val="1"/>
      <w:numFmt w:val="decimal"/>
      <w:lvlText w:val="(%1)"/>
      <w:lvlJc w:val="left"/>
      <w:pPr>
        <w:ind w:left="425" w:hanging="425"/>
      </w:pPr>
      <w:rPr>
        <w:rFonts w:hint="default"/>
      </w:rPr>
    </w:lvl>
  </w:abstractNum>
  <w:abstractNum w:abstractNumId="6">
    <w:nsid w:val="A65BD8D9"/>
    <w:multiLevelType w:val="singleLevel"/>
    <w:tmpl w:val="A65BD8D9"/>
    <w:lvl w:ilvl="0" w:tentative="0">
      <w:start w:val="1"/>
      <w:numFmt w:val="lowerLetter"/>
      <w:suff w:val="nothing"/>
      <w:lvlText w:val="%1　"/>
      <w:lvlJc w:val="left"/>
      <w:pPr>
        <w:ind w:left="0" w:firstLine="403"/>
      </w:pPr>
      <w:rPr>
        <w:rFonts w:hint="default"/>
      </w:rPr>
    </w:lvl>
  </w:abstractNum>
  <w:abstractNum w:abstractNumId="7">
    <w:nsid w:val="B96A55E8"/>
    <w:multiLevelType w:val="singleLevel"/>
    <w:tmpl w:val="B96A55E8"/>
    <w:lvl w:ilvl="0" w:tentative="0">
      <w:start w:val="1"/>
      <w:numFmt w:val="decimal"/>
      <w:suff w:val="nothing"/>
      <w:lvlText w:val="3.1.4.%1　"/>
      <w:lvlJc w:val="left"/>
      <w:pPr>
        <w:ind w:left="0" w:firstLine="403"/>
      </w:pPr>
      <w:rPr>
        <w:rFonts w:hint="default"/>
      </w:rPr>
    </w:lvl>
  </w:abstractNum>
  <w:abstractNum w:abstractNumId="8">
    <w:nsid w:val="C5EC6314"/>
    <w:multiLevelType w:val="singleLevel"/>
    <w:tmpl w:val="C5EC6314"/>
    <w:lvl w:ilvl="0" w:tentative="0">
      <w:start w:val="1"/>
      <w:numFmt w:val="lowerLetter"/>
      <w:suff w:val="nothing"/>
      <w:lvlText w:val="%1　"/>
      <w:lvlJc w:val="left"/>
      <w:pPr>
        <w:ind w:left="0" w:firstLine="403"/>
      </w:pPr>
      <w:rPr>
        <w:rFonts w:hint="default"/>
      </w:rPr>
    </w:lvl>
  </w:abstractNum>
  <w:abstractNum w:abstractNumId="9">
    <w:nsid w:val="C8AAB607"/>
    <w:multiLevelType w:val="singleLevel"/>
    <w:tmpl w:val="C8AAB607"/>
    <w:lvl w:ilvl="0" w:tentative="0">
      <w:start w:val="1"/>
      <w:numFmt w:val="decimal"/>
      <w:lvlText w:val="(%1)"/>
      <w:lvlJc w:val="left"/>
      <w:pPr>
        <w:ind w:left="425" w:hanging="425"/>
      </w:pPr>
      <w:rPr>
        <w:rFonts w:hint="default"/>
      </w:rPr>
    </w:lvl>
  </w:abstractNum>
  <w:abstractNum w:abstractNumId="10">
    <w:nsid w:val="D587F580"/>
    <w:multiLevelType w:val="singleLevel"/>
    <w:tmpl w:val="D587F580"/>
    <w:lvl w:ilvl="0" w:tentative="0">
      <w:start w:val="1"/>
      <w:numFmt w:val="decimal"/>
      <w:suff w:val="nothing"/>
      <w:lvlText w:val="3.1.7.%1　"/>
      <w:lvlJc w:val="left"/>
      <w:pPr>
        <w:ind w:left="0" w:firstLine="403"/>
      </w:pPr>
      <w:rPr>
        <w:rFonts w:hint="default"/>
      </w:rPr>
    </w:lvl>
  </w:abstractNum>
  <w:abstractNum w:abstractNumId="11">
    <w:nsid w:val="D8C7CDD3"/>
    <w:multiLevelType w:val="singleLevel"/>
    <w:tmpl w:val="D8C7CDD3"/>
    <w:lvl w:ilvl="0" w:tentative="0">
      <w:start w:val="1"/>
      <w:numFmt w:val="lowerLetter"/>
      <w:suff w:val="nothing"/>
      <w:lvlText w:val="%1　"/>
      <w:lvlJc w:val="left"/>
      <w:pPr>
        <w:ind w:left="0" w:firstLine="403"/>
      </w:pPr>
      <w:rPr>
        <w:rFonts w:hint="default"/>
      </w:rPr>
    </w:lvl>
  </w:abstractNum>
  <w:abstractNum w:abstractNumId="12">
    <w:nsid w:val="DF4B189F"/>
    <w:multiLevelType w:val="singleLevel"/>
    <w:tmpl w:val="DF4B189F"/>
    <w:lvl w:ilvl="0" w:tentative="0">
      <w:start w:val="1"/>
      <w:numFmt w:val="decimal"/>
      <w:lvlText w:val="(%1)"/>
      <w:lvlJc w:val="left"/>
      <w:pPr>
        <w:ind w:left="425" w:hanging="425"/>
      </w:pPr>
      <w:rPr>
        <w:rFonts w:hint="default"/>
      </w:rPr>
    </w:lvl>
  </w:abstractNum>
  <w:abstractNum w:abstractNumId="13">
    <w:nsid w:val="E4ACD580"/>
    <w:multiLevelType w:val="singleLevel"/>
    <w:tmpl w:val="E4ACD580"/>
    <w:lvl w:ilvl="0" w:tentative="0">
      <w:start w:val="1"/>
      <w:numFmt w:val="decimal"/>
      <w:suff w:val="nothing"/>
      <w:lvlText w:val="3.1.10.%1　"/>
      <w:lvlJc w:val="left"/>
      <w:pPr>
        <w:ind w:left="0" w:firstLine="403"/>
      </w:pPr>
      <w:rPr>
        <w:rFonts w:hint="default"/>
      </w:rPr>
    </w:lvl>
  </w:abstractNum>
  <w:abstractNum w:abstractNumId="14">
    <w:nsid w:val="EE7DE7D3"/>
    <w:multiLevelType w:val="singleLevel"/>
    <w:tmpl w:val="EE7DE7D3"/>
    <w:lvl w:ilvl="0" w:tentative="0">
      <w:start w:val="1"/>
      <w:numFmt w:val="decimal"/>
      <w:lvlText w:val="%1)"/>
      <w:lvlJc w:val="left"/>
      <w:pPr>
        <w:ind w:left="425" w:hanging="425"/>
      </w:pPr>
      <w:rPr>
        <w:rFonts w:hint="default"/>
      </w:rPr>
    </w:lvl>
  </w:abstractNum>
  <w:abstractNum w:abstractNumId="15">
    <w:nsid w:val="F3F56E52"/>
    <w:multiLevelType w:val="singleLevel"/>
    <w:tmpl w:val="F3F56E52"/>
    <w:lvl w:ilvl="0" w:tentative="0">
      <w:start w:val="1"/>
      <w:numFmt w:val="decimal"/>
      <w:lvlText w:val="(%1)"/>
      <w:lvlJc w:val="left"/>
      <w:pPr>
        <w:ind w:left="425" w:hanging="425"/>
      </w:pPr>
      <w:rPr>
        <w:rFonts w:hint="default"/>
      </w:rPr>
    </w:lvl>
  </w:abstractNum>
  <w:abstractNum w:abstractNumId="16">
    <w:nsid w:val="0B563D1E"/>
    <w:multiLevelType w:val="singleLevel"/>
    <w:tmpl w:val="0B563D1E"/>
    <w:lvl w:ilvl="0" w:tentative="0">
      <w:start w:val="1"/>
      <w:numFmt w:val="lowerLetter"/>
      <w:suff w:val="nothing"/>
      <w:lvlText w:val="%1　"/>
      <w:lvlJc w:val="left"/>
      <w:pPr>
        <w:ind w:left="0" w:firstLine="403"/>
      </w:pPr>
      <w:rPr>
        <w:rFonts w:hint="default"/>
      </w:rPr>
    </w:lvl>
  </w:abstractNum>
  <w:abstractNum w:abstractNumId="17">
    <w:nsid w:val="159CB993"/>
    <w:multiLevelType w:val="singleLevel"/>
    <w:tmpl w:val="159CB993"/>
    <w:lvl w:ilvl="0" w:tentative="0">
      <w:start w:val="1"/>
      <w:numFmt w:val="lowerLetter"/>
      <w:suff w:val="nothing"/>
      <w:lvlText w:val="%1　"/>
      <w:lvlJc w:val="left"/>
      <w:pPr>
        <w:ind w:left="0" w:firstLine="403"/>
      </w:pPr>
      <w:rPr>
        <w:rFonts w:hint="default"/>
      </w:rPr>
    </w:lvl>
  </w:abstractNum>
  <w:abstractNum w:abstractNumId="18">
    <w:nsid w:val="20244BF5"/>
    <w:multiLevelType w:val="singleLevel"/>
    <w:tmpl w:val="20244BF5"/>
    <w:lvl w:ilvl="0" w:tentative="0">
      <w:start w:val="2"/>
      <w:numFmt w:val="decimal"/>
      <w:suff w:val="nothing"/>
      <w:lvlText w:val="3.1.3.%1　"/>
      <w:lvlJc w:val="left"/>
      <w:pPr>
        <w:ind w:left="0" w:firstLine="403"/>
      </w:pPr>
      <w:rPr>
        <w:rFonts w:hint="default"/>
      </w:rPr>
    </w:lvl>
  </w:abstractNum>
  <w:abstractNum w:abstractNumId="19">
    <w:nsid w:val="2C94A908"/>
    <w:multiLevelType w:val="singleLevel"/>
    <w:tmpl w:val="2C94A908"/>
    <w:lvl w:ilvl="0" w:tentative="0">
      <w:start w:val="1"/>
      <w:numFmt w:val="decimal"/>
      <w:suff w:val="nothing"/>
      <w:lvlText w:val="3.1.6.%1　"/>
      <w:lvlJc w:val="left"/>
      <w:pPr>
        <w:ind w:left="0" w:firstLine="403"/>
      </w:pPr>
      <w:rPr>
        <w:rFonts w:hint="default"/>
      </w:rPr>
    </w:lvl>
  </w:abstractNum>
  <w:abstractNum w:abstractNumId="20">
    <w:nsid w:val="3D0D94F0"/>
    <w:multiLevelType w:val="singleLevel"/>
    <w:tmpl w:val="3D0D94F0"/>
    <w:lvl w:ilvl="0" w:tentative="0">
      <w:start w:val="1"/>
      <w:numFmt w:val="lowerLetter"/>
      <w:suff w:val="nothing"/>
      <w:lvlText w:val="%1　"/>
      <w:lvlJc w:val="left"/>
      <w:pPr>
        <w:ind w:left="0" w:firstLine="403"/>
      </w:pPr>
      <w:rPr>
        <w:rFonts w:hint="default"/>
      </w:rPr>
    </w:lvl>
  </w:abstractNum>
  <w:abstractNum w:abstractNumId="21">
    <w:nsid w:val="4B789A11"/>
    <w:multiLevelType w:val="singleLevel"/>
    <w:tmpl w:val="4B789A11"/>
    <w:lvl w:ilvl="0" w:tentative="0">
      <w:start w:val="1"/>
      <w:numFmt w:val="decimal"/>
      <w:suff w:val="nothing"/>
      <w:lvlText w:val="3.1.11.%1　"/>
      <w:lvlJc w:val="left"/>
      <w:pPr>
        <w:ind w:left="0" w:firstLine="403"/>
      </w:pPr>
      <w:rPr>
        <w:rFonts w:hint="default"/>
      </w:rPr>
    </w:lvl>
  </w:abstractNum>
  <w:abstractNum w:abstractNumId="22">
    <w:nsid w:val="54161C5E"/>
    <w:multiLevelType w:val="singleLevel"/>
    <w:tmpl w:val="54161C5E"/>
    <w:lvl w:ilvl="0" w:tentative="0">
      <w:start w:val="1"/>
      <w:numFmt w:val="lowerLetter"/>
      <w:suff w:val="nothing"/>
      <w:lvlText w:val="%1　"/>
      <w:lvlJc w:val="left"/>
      <w:pPr>
        <w:ind w:left="0" w:firstLine="403"/>
      </w:pPr>
      <w:rPr>
        <w:rFonts w:hint="default"/>
      </w:rPr>
    </w:lvl>
  </w:abstractNum>
  <w:abstractNum w:abstractNumId="23">
    <w:nsid w:val="73C08583"/>
    <w:multiLevelType w:val="singleLevel"/>
    <w:tmpl w:val="73C08583"/>
    <w:lvl w:ilvl="0" w:tentative="0">
      <w:start w:val="1"/>
      <w:numFmt w:val="lowerLetter"/>
      <w:suff w:val="nothing"/>
      <w:lvlText w:val="%1　"/>
      <w:lvlJc w:val="left"/>
      <w:pPr>
        <w:ind w:left="0" w:firstLine="403"/>
      </w:pPr>
      <w:rPr>
        <w:rFonts w:hint="default"/>
      </w:rPr>
    </w:lvl>
  </w:abstractNum>
  <w:abstractNum w:abstractNumId="24">
    <w:nsid w:val="7B0AD376"/>
    <w:multiLevelType w:val="singleLevel"/>
    <w:tmpl w:val="7B0AD376"/>
    <w:lvl w:ilvl="0" w:tentative="0">
      <w:start w:val="1"/>
      <w:numFmt w:val="decimal"/>
      <w:lvlText w:val="(%1)"/>
      <w:lvlJc w:val="left"/>
      <w:pPr>
        <w:ind w:left="425" w:hanging="425"/>
      </w:pPr>
      <w:rPr>
        <w:rFonts w:hint="default"/>
      </w:rPr>
    </w:lvl>
  </w:abstractNum>
  <w:num w:numId="1">
    <w:abstractNumId w:val="18"/>
  </w:num>
  <w:num w:numId="2">
    <w:abstractNumId w:val="7"/>
  </w:num>
  <w:num w:numId="3">
    <w:abstractNumId w:val="14"/>
  </w:num>
  <w:num w:numId="4">
    <w:abstractNumId w:val="15"/>
  </w:num>
  <w:num w:numId="5">
    <w:abstractNumId w:val="8"/>
  </w:num>
  <w:num w:numId="6">
    <w:abstractNumId w:val="9"/>
  </w:num>
  <w:num w:numId="7">
    <w:abstractNumId w:val="22"/>
  </w:num>
  <w:num w:numId="8">
    <w:abstractNumId w:val="16"/>
  </w:num>
  <w:num w:numId="9">
    <w:abstractNumId w:val="23"/>
  </w:num>
  <w:num w:numId="10">
    <w:abstractNumId w:val="6"/>
  </w:num>
  <w:num w:numId="11">
    <w:abstractNumId w:val="0"/>
  </w:num>
  <w:num w:numId="12">
    <w:abstractNumId w:val="3"/>
  </w:num>
  <w:num w:numId="13">
    <w:abstractNumId w:val="4"/>
  </w:num>
  <w:num w:numId="14">
    <w:abstractNumId w:val="20"/>
  </w:num>
  <w:num w:numId="15">
    <w:abstractNumId w:val="19"/>
  </w:num>
  <w:num w:numId="16">
    <w:abstractNumId w:val="10"/>
  </w:num>
  <w:num w:numId="17">
    <w:abstractNumId w:val="2"/>
  </w:num>
  <w:num w:numId="18">
    <w:abstractNumId w:val="24"/>
  </w:num>
  <w:num w:numId="19">
    <w:abstractNumId w:val="17"/>
  </w:num>
  <w:num w:numId="20">
    <w:abstractNumId w:val="11"/>
  </w:num>
  <w:num w:numId="21">
    <w:abstractNumId w:val="13"/>
  </w:num>
  <w:num w:numId="22">
    <w:abstractNumId w:val="12"/>
  </w:num>
  <w:num w:numId="23">
    <w:abstractNumId w:val="5"/>
  </w:num>
  <w:num w:numId="24">
    <w:abstractNumId w:val="21"/>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B1C3F"/>
    <w:rsid w:val="5FFB1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Body Text Indent 2"/>
    <w:basedOn w:val="1"/>
    <w:next w:val="4"/>
    <w:qFormat/>
    <w:uiPriority w:val="0"/>
    <w:pPr>
      <w:spacing w:line="400" w:lineRule="exact"/>
      <w:ind w:firstLine="200" w:firstLineChars="200"/>
    </w:pPr>
    <w:rPr>
      <w:sz w:val="28"/>
    </w:rPr>
  </w:style>
  <w:style w:type="paragraph" w:styleId="4">
    <w:name w:val="Balloon Text"/>
    <w:basedOn w:val="1"/>
    <w:qFormat/>
    <w:uiPriority w:val="99"/>
    <w:rPr>
      <w:sz w:val="18"/>
      <w:szCs w:val="18"/>
    </w:rPr>
  </w:style>
  <w:style w:type="paragraph" w:styleId="5">
    <w:name w:val="Body Text Indent 3"/>
    <w:basedOn w:val="1"/>
    <w:qFormat/>
    <w:uiPriority w:val="0"/>
    <w:pPr>
      <w:spacing w:line="500" w:lineRule="exact"/>
      <w:ind w:firstLine="570"/>
    </w:pPr>
    <w:rPr>
      <w:rFonts w:eastAsia="黑体"/>
      <w:sz w:val="28"/>
    </w:rPr>
  </w:style>
  <w:style w:type="character" w:customStyle="1" w:styleId="8">
    <w:name w:val="font11"/>
    <w:basedOn w:val="6"/>
    <w:qFormat/>
    <w:uiPriority w:val="0"/>
    <w:rPr>
      <w:rFonts w:hint="eastAsia" w:ascii="宋体" w:hAnsi="宋体" w:eastAsia="宋体" w:cs="宋体"/>
      <w:color w:val="000000"/>
      <w:sz w:val="22"/>
      <w:szCs w:val="22"/>
      <w:u w:val="none"/>
    </w:rPr>
  </w:style>
  <w:style w:type="paragraph" w:customStyle="1" w:styleId="9">
    <w:name w:val="0-1施组正文"/>
    <w:next w:val="1"/>
    <w:qFormat/>
    <w:uiPriority w:val="0"/>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10">
    <w:name w:val="0-2施组表格标题"/>
    <w:next w:val="5"/>
    <w:qFormat/>
    <w:uiPriority w:val="0"/>
    <w:pPr>
      <w:widowControl w:val="0"/>
      <w:spacing w:line="360" w:lineRule="auto"/>
      <w:jc w:val="center"/>
    </w:pPr>
    <w:rPr>
      <w:rFonts w:ascii="Times New Roman" w:hAnsi="Times New Roman" w:eastAsia="宋体" w:cs="Times New Roman"/>
      <w:b/>
      <w:kern w:val="2"/>
      <w:sz w:val="24"/>
      <w:szCs w:val="24"/>
      <w:lang w:val="en-US" w:eastAsia="zh-CN" w:bidi="ar-SA"/>
    </w:rPr>
  </w:style>
  <w:style w:type="paragraph" w:customStyle="1" w:styleId="11">
    <w:name w:val="0-2施组表格文字"/>
    <w:qFormat/>
    <w:uiPriority w:val="0"/>
    <w:pPr>
      <w:widowControl w:val="0"/>
      <w:jc w:val="center"/>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2019-08-02T07:04:00Z</dcterms:created>
  <dc:creator>Administrator</dc:creator>
  <cp:lastModifiedBy>Administrator</cp:lastModifiedBy>
  <dcterms:modified xsi:type="dcterms:W3CDTF">2019-08-02T07:05:04Z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