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配电所动态无功补偿装置技术要求</w:t>
      </w:r>
      <w:bookmarkEnd w:id="0"/>
    </w:p>
    <w:p>
      <w:pPr>
        <w:adjustRightInd w:val="0"/>
        <w:spacing w:line="360" w:lineRule="auto"/>
        <w:rPr>
          <w:rFonts w:hint="eastAsia" w:ascii="宋体" w:cs="新宋体"/>
          <w:b/>
          <w:sz w:val="21"/>
          <w:szCs w:val="21"/>
        </w:rPr>
      </w:pPr>
      <w:r>
        <w:rPr>
          <w:rFonts w:hint="eastAsia" w:ascii="宋体" w:cs="新宋体"/>
          <w:b/>
          <w:sz w:val="21"/>
          <w:szCs w:val="21"/>
        </w:rPr>
        <w:t>1.货物需求</w:t>
      </w:r>
    </w:p>
    <w:p>
      <w:pPr>
        <w:tabs>
          <w:tab w:val="left" w:pos="360"/>
          <w:tab w:val="left" w:pos="1080"/>
        </w:tabs>
        <w:autoSpaceDE w:val="0"/>
        <w:autoSpaceDN w:val="0"/>
        <w:adjustRightInd w:val="0"/>
        <w:spacing w:line="400" w:lineRule="exact"/>
        <w:rPr>
          <w:rFonts w:hint="eastAsia" w:ascii="宋体" w:hAnsi="宋体" w:cs="宋体"/>
          <w:sz w:val="21"/>
          <w:szCs w:val="21"/>
        </w:rPr>
      </w:pPr>
      <w:r>
        <w:rPr>
          <w:rFonts w:hint="eastAsia" w:ascii="宋体" w:hAnsi="宋体" w:cs="宋体"/>
          <w:sz w:val="21"/>
          <w:szCs w:val="21"/>
        </w:rPr>
        <w:t>1.1 货物需求一览表</w:t>
      </w:r>
    </w:p>
    <w:tbl>
      <w:tblPr>
        <w:tblStyle w:val="8"/>
        <w:tblW w:w="9069" w:type="dxa"/>
        <w:tblInd w:w="130" w:type="dxa"/>
        <w:tblLayout w:type="fixed"/>
        <w:tblCellMar>
          <w:top w:w="0" w:type="dxa"/>
          <w:left w:w="108" w:type="dxa"/>
          <w:bottom w:w="0" w:type="dxa"/>
          <w:right w:w="108" w:type="dxa"/>
        </w:tblCellMar>
      </w:tblPr>
      <w:tblGrid>
        <w:gridCol w:w="726"/>
        <w:gridCol w:w="2960"/>
        <w:gridCol w:w="796"/>
        <w:gridCol w:w="796"/>
        <w:gridCol w:w="3791"/>
      </w:tblGrid>
      <w:tr>
        <w:tblPrEx>
          <w:tblLayout w:type="fixed"/>
          <w:tblCellMar>
            <w:top w:w="0" w:type="dxa"/>
            <w:left w:w="108" w:type="dxa"/>
            <w:bottom w:w="0" w:type="dxa"/>
            <w:right w:w="108" w:type="dxa"/>
          </w:tblCellMar>
        </w:tblPrEx>
        <w:trPr>
          <w:trHeight w:val="476" w:hRule="atLeast"/>
        </w:trPr>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序号</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货物名称</w:t>
            </w:r>
          </w:p>
        </w:tc>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单位</w:t>
            </w:r>
          </w:p>
        </w:tc>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数量</w:t>
            </w:r>
          </w:p>
        </w:tc>
        <w:tc>
          <w:tcPr>
            <w:tcW w:w="37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交货时间</w:t>
            </w:r>
          </w:p>
        </w:tc>
      </w:tr>
      <w:tr>
        <w:tblPrEx>
          <w:tblLayout w:type="fixed"/>
        </w:tblPrEx>
        <w:trPr>
          <w:trHeight w:val="462" w:hRule="atLeast"/>
        </w:trPr>
        <w:tc>
          <w:tcPr>
            <w:tcW w:w="726"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1</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配电所动态无功补偿装置</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6</w:t>
            </w:r>
          </w:p>
        </w:tc>
        <w:tc>
          <w:tcPr>
            <w:tcW w:w="379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lang w:eastAsia="zh-CN"/>
              </w:rPr>
            </w:pPr>
            <w:r>
              <w:rPr>
                <w:rFonts w:hint="eastAsia" w:ascii="宋体" w:hAnsi="宋体" w:cs="宋体"/>
                <w:bCs/>
                <w:sz w:val="21"/>
                <w:szCs w:val="21"/>
              </w:rPr>
              <w:t>自签订合同之日起</w:t>
            </w:r>
            <w:r>
              <w:rPr>
                <w:rFonts w:hint="eastAsia" w:ascii="宋体" w:hAnsi="宋体" w:cs="宋体"/>
                <w:bCs/>
                <w:sz w:val="21"/>
                <w:szCs w:val="21"/>
                <w:lang w:eastAsia="zh-CN"/>
              </w:rPr>
              <w:t>2个月内</w:t>
            </w:r>
          </w:p>
        </w:tc>
      </w:tr>
    </w:tbl>
    <w:p>
      <w:pPr>
        <w:spacing w:line="360" w:lineRule="auto"/>
        <w:rPr>
          <w:rFonts w:hint="eastAsia"/>
          <w:sz w:val="21"/>
          <w:szCs w:val="21"/>
        </w:rPr>
      </w:pPr>
      <w:r>
        <w:rPr>
          <w:rFonts w:hint="eastAsia" w:ascii="宋体" w:hAnsi="宋体" w:cs="宋体"/>
          <w:bCs/>
          <w:sz w:val="21"/>
          <w:szCs w:val="21"/>
        </w:rPr>
        <w:t>1.2交货地点：准格尔旗薛家湾镇大准铁路沿线配电所，薛家湾、清水河、外西沟、凉城、丹洲营、燕庄配电所。</w:t>
      </w:r>
    </w:p>
    <w:p>
      <w:pPr>
        <w:spacing w:line="400" w:lineRule="exact"/>
        <w:rPr>
          <w:rFonts w:ascii="宋体" w:cs="宋体"/>
          <w:b/>
          <w:sz w:val="21"/>
          <w:szCs w:val="21"/>
        </w:rPr>
      </w:pPr>
      <w:bookmarkStart w:id="1" w:name="_Toc470074028"/>
      <w:r>
        <w:rPr>
          <w:rFonts w:hint="eastAsia" w:ascii="宋体" w:cs="宋体"/>
          <w:b/>
          <w:sz w:val="21"/>
          <w:szCs w:val="21"/>
        </w:rPr>
        <w:t>2.设备规格及使用条件</w:t>
      </w:r>
      <w:bookmarkEnd w:id="1"/>
    </w:p>
    <w:p>
      <w:pPr>
        <w:spacing w:line="400" w:lineRule="exact"/>
        <w:rPr>
          <w:rFonts w:ascii="宋体" w:cs="宋体"/>
          <w:bCs/>
          <w:sz w:val="21"/>
          <w:szCs w:val="21"/>
        </w:rPr>
      </w:pPr>
      <w:r>
        <w:rPr>
          <w:rFonts w:hint="eastAsia" w:ascii="宋体" w:cs="宋体"/>
          <w:bCs/>
          <w:sz w:val="21"/>
          <w:szCs w:val="21"/>
        </w:rPr>
        <w:t>2.1设备名称</w:t>
      </w:r>
    </w:p>
    <w:p>
      <w:pPr>
        <w:spacing w:line="400" w:lineRule="exact"/>
        <w:rPr>
          <w:rFonts w:hint="eastAsia" w:ascii="宋体" w:cs="宋体"/>
          <w:sz w:val="21"/>
          <w:szCs w:val="21"/>
        </w:rPr>
      </w:pPr>
      <w:r>
        <w:rPr>
          <w:rFonts w:hint="eastAsia" w:ascii="宋体" w:cs="宋体"/>
          <w:sz w:val="21"/>
          <w:szCs w:val="21"/>
        </w:rPr>
        <w:t>2.1.1设备名称：</w:t>
      </w:r>
      <w:r>
        <w:rPr>
          <w:rFonts w:hint="eastAsia" w:ascii="宋体" w:hAnsi="宋体" w:cs="宋体"/>
          <w:bCs/>
          <w:sz w:val="21"/>
          <w:szCs w:val="21"/>
        </w:rPr>
        <w:t>动态无功补偿装置</w:t>
      </w:r>
    </w:p>
    <w:p>
      <w:pPr>
        <w:spacing w:line="400" w:lineRule="exact"/>
        <w:rPr>
          <w:rFonts w:hint="eastAsia" w:ascii="宋体" w:cs="宋体"/>
          <w:sz w:val="21"/>
          <w:szCs w:val="21"/>
        </w:rPr>
      </w:pPr>
      <w:r>
        <w:rPr>
          <w:rFonts w:hint="eastAsia" w:ascii="宋体" w:cs="宋体"/>
          <w:sz w:val="21"/>
          <w:szCs w:val="21"/>
        </w:rPr>
        <w:t>2.1.2生产厂家及型号：</w:t>
      </w:r>
    </w:p>
    <w:p>
      <w:pPr>
        <w:spacing w:line="400" w:lineRule="exact"/>
        <w:rPr>
          <w:rFonts w:ascii="宋体" w:cs="宋体"/>
          <w:bCs/>
          <w:sz w:val="21"/>
          <w:szCs w:val="21"/>
        </w:rPr>
      </w:pPr>
      <w:r>
        <w:rPr>
          <w:rFonts w:hint="eastAsia" w:ascii="宋体" w:cs="宋体"/>
          <w:bCs/>
          <w:sz w:val="21"/>
          <w:szCs w:val="21"/>
        </w:rPr>
        <w:t>2.2设备用途</w:t>
      </w:r>
    </w:p>
    <w:p>
      <w:pPr>
        <w:pStyle w:val="6"/>
        <w:widowControl/>
        <w:shd w:val="clear" w:color="auto" w:fill="FFFFFF"/>
        <w:spacing w:before="0" w:beforeAutospacing="0" w:after="0" w:afterAutospacing="0" w:line="360" w:lineRule="auto"/>
        <w:ind w:firstLine="420" w:firstLineChars="200"/>
        <w:rPr>
          <w:rFonts w:hint="eastAsia" w:ascii="微软雅黑" w:hAnsi="微软雅黑" w:cs="微软雅黑"/>
          <w:sz w:val="21"/>
          <w:szCs w:val="21"/>
        </w:rPr>
      </w:pPr>
      <w:r>
        <w:rPr>
          <w:rFonts w:hint="eastAsia" w:ascii="宋体" w:cs="宋体"/>
          <w:sz w:val="21"/>
          <w:szCs w:val="21"/>
        </w:rPr>
        <w:t>该设备可以跟踪负载的无功变化，实现无功功率动态连续调整，有效提高供电系统的实时功率因数，降低电网有功损耗和稳定系统电压。</w:t>
      </w:r>
    </w:p>
    <w:p>
      <w:pPr>
        <w:spacing w:line="360" w:lineRule="auto"/>
        <w:jc w:val="left"/>
        <w:rPr>
          <w:rFonts w:hint="eastAsia" w:ascii="宋体" w:hAnsi="宋体" w:cs="宋体"/>
          <w:bCs/>
          <w:sz w:val="21"/>
          <w:szCs w:val="21"/>
        </w:rPr>
      </w:pPr>
      <w:r>
        <w:rPr>
          <w:rFonts w:hint="eastAsia" w:ascii="宋体" w:hAnsi="宋体" w:cs="宋体"/>
          <w:b/>
          <w:bCs/>
          <w:sz w:val="21"/>
          <w:szCs w:val="21"/>
        </w:rPr>
        <w:t>3.设备规格及要求</w:t>
      </w:r>
    </w:p>
    <w:p>
      <w:pPr>
        <w:spacing w:line="360" w:lineRule="auto"/>
        <w:rPr>
          <w:rFonts w:hint="eastAsia" w:ascii="宋体" w:hAnsi="宋体" w:cs="宋体"/>
          <w:b/>
          <w:sz w:val="21"/>
          <w:szCs w:val="21"/>
        </w:rPr>
      </w:pPr>
      <w:r>
        <w:rPr>
          <w:rFonts w:hint="eastAsia" w:ascii="宋体" w:hAnsi="宋体" w:cs="宋体"/>
          <w:b/>
          <w:sz w:val="21"/>
          <w:szCs w:val="21"/>
        </w:rPr>
        <w:t>3.1技术要求</w:t>
      </w:r>
    </w:p>
    <w:p>
      <w:pPr>
        <w:numPr>
          <w:ilvl w:val="0"/>
          <w:numId w:val="1"/>
        </w:numPr>
        <w:spacing w:line="360" w:lineRule="auto"/>
        <w:ind w:firstLine="0"/>
        <w:rPr>
          <w:rFonts w:hint="eastAsia" w:ascii="宋体" w:hAnsi="宋体" w:cs="宋体"/>
          <w:b/>
          <w:kern w:val="1"/>
          <w:sz w:val="21"/>
          <w:szCs w:val="21"/>
          <w:lang w:eastAsia="ar-SA"/>
        </w:rPr>
      </w:pPr>
      <w:r>
        <w:rPr>
          <w:rFonts w:hint="eastAsia" w:ascii="宋体" w:hAnsi="宋体" w:cs="宋体"/>
          <w:b/>
          <w:sz w:val="21"/>
          <w:szCs w:val="21"/>
        </w:rPr>
        <w:t>电网的主要技术参数</w:t>
      </w:r>
    </w:p>
    <w:p>
      <w:pPr>
        <w:spacing w:line="360" w:lineRule="auto"/>
        <w:ind w:firstLine="420"/>
        <w:rPr>
          <w:rFonts w:hint="eastAsia" w:ascii="宋体" w:hAnsi="宋体" w:cs="宋体"/>
          <w:kern w:val="1"/>
          <w:sz w:val="21"/>
          <w:szCs w:val="21"/>
        </w:rPr>
      </w:pPr>
      <w:r>
        <w:rPr>
          <w:rFonts w:hint="eastAsia" w:ascii="宋体" w:hAnsi="宋体" w:cs="宋体"/>
          <w:kern w:val="1"/>
          <w:sz w:val="21"/>
          <w:szCs w:val="21"/>
          <w:lang w:eastAsia="ar-SA"/>
        </w:rPr>
        <w:t>装置接入点额定电压： 10  kV</w:t>
      </w:r>
    </w:p>
    <w:p>
      <w:pPr>
        <w:spacing w:line="360" w:lineRule="auto"/>
        <w:ind w:firstLine="420"/>
        <w:rPr>
          <w:rFonts w:hint="eastAsia" w:ascii="宋体" w:hAnsi="宋体" w:cs="宋体"/>
          <w:kern w:val="1"/>
          <w:sz w:val="21"/>
          <w:szCs w:val="21"/>
          <w:lang w:eastAsia="ar-SA"/>
        </w:rPr>
      </w:pPr>
      <w:r>
        <w:rPr>
          <w:rFonts w:hint="eastAsia" w:ascii="宋体" w:hAnsi="宋体" w:cs="宋体"/>
          <w:kern w:val="1"/>
          <w:sz w:val="21"/>
          <w:szCs w:val="21"/>
          <w:lang w:eastAsia="ar-SA"/>
        </w:rPr>
        <w:t>装置接入点最高电压： 12  kV</w:t>
      </w:r>
    </w:p>
    <w:p>
      <w:pPr>
        <w:spacing w:line="360" w:lineRule="auto"/>
        <w:ind w:firstLine="420"/>
        <w:rPr>
          <w:rFonts w:hint="eastAsia" w:ascii="宋体" w:hAnsi="宋体" w:cs="宋体"/>
          <w:kern w:val="1"/>
          <w:sz w:val="21"/>
          <w:szCs w:val="21"/>
          <w:lang w:eastAsia="ar-SA"/>
        </w:rPr>
      </w:pPr>
      <w:r>
        <w:rPr>
          <w:rFonts w:hint="eastAsia" w:ascii="宋体" w:hAnsi="宋体" w:cs="宋体"/>
          <w:kern w:val="1"/>
          <w:sz w:val="21"/>
          <w:szCs w:val="21"/>
          <w:lang w:eastAsia="ar-SA"/>
        </w:rPr>
        <w:t>装置接入点短路电流： 25 kA</w:t>
      </w:r>
    </w:p>
    <w:p>
      <w:pPr>
        <w:spacing w:line="360" w:lineRule="auto"/>
        <w:ind w:firstLine="420"/>
        <w:rPr>
          <w:rFonts w:hint="eastAsia" w:ascii="宋体" w:hAnsi="宋体" w:cs="宋体"/>
          <w:kern w:val="1"/>
          <w:sz w:val="21"/>
          <w:szCs w:val="21"/>
          <w:lang w:eastAsia="ar-SA"/>
        </w:rPr>
      </w:pPr>
      <w:r>
        <w:rPr>
          <w:rFonts w:hint="eastAsia" w:ascii="宋体" w:hAnsi="宋体" w:cs="宋体"/>
          <w:kern w:val="1"/>
          <w:sz w:val="21"/>
          <w:szCs w:val="21"/>
          <w:lang w:eastAsia="ar-SA"/>
        </w:rPr>
        <w:t>装置接入点额定频率： 50 Hz</w:t>
      </w:r>
    </w:p>
    <w:p>
      <w:pPr>
        <w:spacing w:line="360" w:lineRule="auto"/>
        <w:ind w:firstLine="420"/>
        <w:rPr>
          <w:rFonts w:hint="eastAsia" w:ascii="宋体" w:hAnsi="宋体" w:cs="宋体"/>
          <w:kern w:val="1"/>
          <w:sz w:val="21"/>
          <w:szCs w:val="21"/>
          <w:lang w:eastAsia="ar-SA"/>
        </w:rPr>
      </w:pPr>
      <w:r>
        <w:rPr>
          <w:rFonts w:hint="eastAsia" w:ascii="宋体" w:hAnsi="宋体" w:cs="宋体"/>
          <w:kern w:val="1"/>
          <w:sz w:val="21"/>
          <w:szCs w:val="21"/>
          <w:lang w:eastAsia="ar-SA"/>
        </w:rPr>
        <w:t xml:space="preserve">系统中性点接地方式： 不接地 </w:t>
      </w:r>
    </w:p>
    <w:p>
      <w:pPr>
        <w:numPr>
          <w:ilvl w:val="0"/>
          <w:numId w:val="1"/>
        </w:numPr>
        <w:ind w:firstLine="0"/>
        <w:outlineLvl w:val="1"/>
        <w:rPr>
          <w:rFonts w:hint="eastAsia" w:ascii="宋体" w:hAnsi="宋体" w:cs="宋体"/>
          <w:b/>
          <w:sz w:val="21"/>
          <w:szCs w:val="21"/>
        </w:rPr>
      </w:pPr>
      <w:r>
        <w:rPr>
          <w:rFonts w:hint="eastAsia" w:ascii="宋体" w:hAnsi="宋体" w:cs="宋体"/>
          <w:b/>
          <w:sz w:val="21"/>
          <w:szCs w:val="21"/>
        </w:rPr>
        <w:t>设计遵循标准</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设备的制造、试验和验收除了满足本用户需求书的要求外，还应符合下列国家标准或相应的IEC标准：所有图纸符合ISO标准，所有尺寸和参数单位使用国际米制。</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3859.1-1993  《半导体变流器基本要求的规定》；</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3859.2-1993  《半导体变流器 应用导则》；</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3859.4-2004  《半导体变流器 包括直接直流变流器的半导体自换相变流器》；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17950-2000   《半导体变流器》；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IEC60146        《半导体变流器》；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3983.2-89    《高压并联电容器》；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GB311.1-97      《高压输变电设备的绝缘配合》；</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50227-95     《并联电容器装置设计规范》；</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1094.1-1996  《电力变压器  第一部分  总则》；</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1094.2-1996  《电力变压器  第二部分  温升》；</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1094.3-1996  《电力变压器  第三部分  绝缘水平和绝缘试验》；</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1094.11-2007 《电力变压器  第11部分  干式变压器》；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DL/T 620-1997   《交流电气装置的过电压保护和绝缘配合》；</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DL/T 604-1996   《高压并联电容器装置订货技术条件》；</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DL/T672-1999    《变电所电压无功调节控制装置订货技术条件》；</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GB11920-89      《电站电气部分集中控制装置通用技术条件》；</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DL/T620         《交流电气装置的过电压保护和绝缘配合》；</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50062-92     《电力装置的继电保护和自动装置设计规范》；</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GB11022-1999    《高压开关设备和控制设备的共用技术要求》；</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G/T 12325-2003  《电能质量  供电电压允许偏差》；</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GB/T14549-1993  《电能质量 公用电网谐波》；</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12326-2000   《电能质量电压波动和闪变》；</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GB 7267-2003    《电力系统二次回路控制、保护屛及柜基本尺寸系列》；</w:t>
      </w:r>
    </w:p>
    <w:p>
      <w:pPr>
        <w:numPr>
          <w:ilvl w:val="0"/>
          <w:numId w:val="1"/>
        </w:numPr>
        <w:spacing w:line="360" w:lineRule="auto"/>
        <w:ind w:firstLine="0"/>
        <w:outlineLvl w:val="0"/>
        <w:rPr>
          <w:rFonts w:hint="eastAsia" w:ascii="宋体" w:hAnsi="宋体" w:cs="宋体"/>
          <w:b/>
          <w:sz w:val="21"/>
          <w:szCs w:val="21"/>
        </w:rPr>
      </w:pPr>
      <w:r>
        <w:rPr>
          <w:rFonts w:hint="eastAsia" w:ascii="宋体" w:hAnsi="宋体" w:cs="宋体"/>
          <w:b/>
          <w:sz w:val="21"/>
          <w:szCs w:val="21"/>
        </w:rPr>
        <w:t xml:space="preserve">动态无功补偿装置整体技术性能要求 </w:t>
      </w:r>
    </w:p>
    <w:p>
      <w:pPr>
        <w:numPr>
          <w:ilvl w:val="0"/>
          <w:numId w:val="2"/>
        </w:numPr>
        <w:spacing w:line="360" w:lineRule="auto"/>
        <w:ind w:firstLine="0"/>
        <w:rPr>
          <w:rFonts w:hint="eastAsia" w:ascii="宋体" w:hAnsi="宋体" w:cs="宋体"/>
          <w:sz w:val="21"/>
          <w:szCs w:val="21"/>
        </w:rPr>
      </w:pPr>
      <w:r>
        <w:rPr>
          <w:rFonts w:hint="eastAsia" w:ascii="宋体" w:hAnsi="宋体" w:cs="宋体"/>
          <w:sz w:val="21"/>
          <w:szCs w:val="21"/>
        </w:rPr>
        <w:t>以进线无功功率及母线电压作为控制目标，动态跟踪电网电能质量变化，并根据变化情况动态调节无功输出，实现变电站在任意负荷下的高功率因数运行。</w:t>
      </w:r>
    </w:p>
    <w:p>
      <w:pPr>
        <w:numPr>
          <w:ilvl w:val="0"/>
          <w:numId w:val="2"/>
        </w:numPr>
        <w:spacing w:line="360" w:lineRule="auto"/>
        <w:ind w:firstLine="0"/>
        <w:rPr>
          <w:rFonts w:hint="eastAsia" w:ascii="宋体" w:hAnsi="宋体" w:cs="宋体"/>
          <w:sz w:val="21"/>
          <w:szCs w:val="21"/>
        </w:rPr>
      </w:pPr>
      <w:r>
        <w:rPr>
          <w:rFonts w:hint="eastAsia" w:ascii="宋体" w:hAnsi="宋体" w:cs="宋体"/>
          <w:sz w:val="21"/>
          <w:szCs w:val="21"/>
        </w:rPr>
        <w:t>保证供电电压在允许变动范围内的前提下，充分调节控制无功，使母线进线点的功率因数值高于0.98。</w:t>
      </w:r>
    </w:p>
    <w:p>
      <w:pPr>
        <w:numPr>
          <w:ilvl w:val="0"/>
          <w:numId w:val="0"/>
        </w:numPr>
        <w:spacing w:line="360" w:lineRule="auto"/>
        <w:ind w:leftChars="0"/>
        <w:rPr>
          <w:rFonts w:hint="eastAsia" w:ascii="宋体" w:hAnsi="宋体" w:cs="宋体"/>
          <w:sz w:val="21"/>
          <w:szCs w:val="21"/>
        </w:rPr>
      </w:pPr>
      <w:r>
        <w:rPr>
          <w:rFonts w:hint="eastAsia" w:ascii="宋体" w:hAnsi="宋体" w:cs="宋体"/>
          <w:kern w:val="1"/>
          <w:sz w:val="21"/>
          <w:szCs w:val="21"/>
          <w:lang w:val="en-US" w:eastAsia="zh-CN"/>
        </w:rPr>
        <w:t xml:space="preserve">*3.1.3.3 </w:t>
      </w:r>
      <w:r>
        <w:rPr>
          <w:rFonts w:hint="eastAsia" w:ascii="宋体" w:hAnsi="宋体" w:cs="宋体"/>
          <w:kern w:val="1"/>
          <w:sz w:val="21"/>
          <w:szCs w:val="21"/>
        </w:rPr>
        <w:t>本</w:t>
      </w:r>
      <w:r>
        <w:rPr>
          <w:rFonts w:hint="eastAsia" w:ascii="宋体" w:hAnsi="宋体" w:cs="宋体"/>
          <w:kern w:val="1"/>
          <w:sz w:val="21"/>
          <w:szCs w:val="21"/>
          <w:lang w:eastAsia="ar-SA"/>
        </w:rPr>
        <w:t>装置包括</w:t>
      </w:r>
      <w:r>
        <w:rPr>
          <w:rFonts w:hint="eastAsia" w:ascii="宋体" w:hAnsi="宋体" w:cs="宋体"/>
          <w:kern w:val="1"/>
          <w:sz w:val="21"/>
          <w:szCs w:val="21"/>
        </w:rPr>
        <w:t>电抗器、电容器、控制器</w:t>
      </w:r>
      <w:r>
        <w:rPr>
          <w:rFonts w:hint="eastAsia" w:ascii="宋体" w:hAnsi="宋体" w:cs="宋体"/>
          <w:kern w:val="1"/>
          <w:sz w:val="21"/>
          <w:szCs w:val="21"/>
          <w:lang w:eastAsia="ar-SA"/>
        </w:rPr>
        <w:t>等组成，成套装置额定补偿容量为</w:t>
      </w:r>
      <w:r>
        <w:rPr>
          <w:rFonts w:hint="eastAsia" w:ascii="宋体" w:hAnsi="宋体" w:cs="宋体"/>
          <w:kern w:val="1"/>
          <w:sz w:val="21"/>
          <w:szCs w:val="21"/>
        </w:rPr>
        <w:t>安装容量范围内连续可调。</w:t>
      </w:r>
      <w:r>
        <w:rPr>
          <w:rFonts w:hint="eastAsia" w:ascii="宋体" w:hAnsi="宋体" w:cs="宋体"/>
          <w:b/>
          <w:bCs/>
          <w:kern w:val="1"/>
          <w:sz w:val="21"/>
          <w:szCs w:val="21"/>
        </w:rPr>
        <w:t>其中电容器、电抗器的容量大小由投标方现场实测决定。</w:t>
      </w:r>
      <w:r>
        <w:rPr>
          <w:rFonts w:hint="eastAsia" w:ascii="宋体" w:hAnsi="宋体" w:cs="宋体"/>
          <w:kern w:val="1"/>
          <w:sz w:val="21"/>
          <w:szCs w:val="21"/>
        </w:rPr>
        <w:t>每套装置的配置如下表所示（不限于此）</w:t>
      </w:r>
    </w:p>
    <w:tbl>
      <w:tblPr>
        <w:tblStyle w:val="8"/>
        <w:tblW w:w="8942" w:type="dxa"/>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992"/>
        <w:gridCol w:w="3946"/>
        <w:gridCol w:w="808"/>
        <w:gridCol w:w="796"/>
        <w:gridCol w:w="1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7" w:type="dxa"/>
            <w:vAlign w:val="center"/>
          </w:tcPr>
          <w:p>
            <w:pPr>
              <w:jc w:val="center"/>
              <w:rPr>
                <w:sz w:val="21"/>
                <w:szCs w:val="21"/>
              </w:rPr>
            </w:pPr>
            <w:r>
              <w:rPr>
                <w:rFonts w:hAnsi="宋体"/>
                <w:sz w:val="21"/>
                <w:szCs w:val="21"/>
              </w:rPr>
              <w:t>序号</w:t>
            </w:r>
          </w:p>
        </w:tc>
        <w:tc>
          <w:tcPr>
            <w:tcW w:w="992" w:type="dxa"/>
            <w:vAlign w:val="center"/>
          </w:tcPr>
          <w:p>
            <w:pPr>
              <w:jc w:val="center"/>
              <w:rPr>
                <w:sz w:val="21"/>
                <w:szCs w:val="21"/>
              </w:rPr>
            </w:pPr>
            <w:r>
              <w:rPr>
                <w:rFonts w:hAnsi="宋体"/>
                <w:sz w:val="21"/>
                <w:szCs w:val="21"/>
              </w:rPr>
              <w:t>名称</w:t>
            </w:r>
          </w:p>
        </w:tc>
        <w:tc>
          <w:tcPr>
            <w:tcW w:w="3946" w:type="dxa"/>
            <w:vAlign w:val="center"/>
          </w:tcPr>
          <w:p>
            <w:pPr>
              <w:jc w:val="center"/>
              <w:rPr>
                <w:sz w:val="21"/>
                <w:szCs w:val="21"/>
              </w:rPr>
            </w:pPr>
            <w:r>
              <w:rPr>
                <w:rFonts w:hAnsi="宋体"/>
                <w:sz w:val="21"/>
                <w:szCs w:val="21"/>
              </w:rPr>
              <w:t>规格和型号</w:t>
            </w:r>
          </w:p>
        </w:tc>
        <w:tc>
          <w:tcPr>
            <w:tcW w:w="808" w:type="dxa"/>
            <w:vAlign w:val="center"/>
          </w:tcPr>
          <w:p>
            <w:pPr>
              <w:jc w:val="center"/>
              <w:rPr>
                <w:sz w:val="21"/>
                <w:szCs w:val="21"/>
              </w:rPr>
            </w:pPr>
            <w:r>
              <w:rPr>
                <w:rFonts w:hAnsi="宋体"/>
                <w:sz w:val="21"/>
                <w:szCs w:val="21"/>
              </w:rPr>
              <w:t>单位</w:t>
            </w:r>
          </w:p>
        </w:tc>
        <w:tc>
          <w:tcPr>
            <w:tcW w:w="796" w:type="dxa"/>
            <w:vAlign w:val="center"/>
          </w:tcPr>
          <w:p>
            <w:pPr>
              <w:jc w:val="center"/>
              <w:rPr>
                <w:sz w:val="21"/>
                <w:szCs w:val="21"/>
              </w:rPr>
            </w:pPr>
            <w:r>
              <w:rPr>
                <w:rFonts w:hAnsi="宋体"/>
                <w:sz w:val="21"/>
                <w:szCs w:val="21"/>
              </w:rPr>
              <w:t>数量</w:t>
            </w:r>
          </w:p>
        </w:tc>
        <w:tc>
          <w:tcPr>
            <w:tcW w:w="1673" w:type="dxa"/>
            <w:vAlign w:val="center"/>
          </w:tcPr>
          <w:p>
            <w:pPr>
              <w:jc w:val="center"/>
              <w:rPr>
                <w:sz w:val="21"/>
                <w:szCs w:val="21"/>
              </w:rPr>
            </w:pPr>
            <w:r>
              <w:rPr>
                <w:rFonts w:hAnsi="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7" w:type="dxa"/>
            <w:vAlign w:val="center"/>
          </w:tcPr>
          <w:p>
            <w:pPr>
              <w:jc w:val="center"/>
              <w:rPr>
                <w:sz w:val="21"/>
                <w:szCs w:val="21"/>
              </w:rPr>
            </w:pPr>
            <w:r>
              <w:rPr>
                <w:rFonts w:hint="eastAsia" w:hAnsi="宋体"/>
                <w:sz w:val="21"/>
                <w:szCs w:val="21"/>
              </w:rPr>
              <w:t>1</w:t>
            </w:r>
          </w:p>
        </w:tc>
        <w:tc>
          <w:tcPr>
            <w:tcW w:w="992" w:type="dxa"/>
            <w:vAlign w:val="center"/>
          </w:tcPr>
          <w:p>
            <w:pPr>
              <w:snapToGrid w:val="0"/>
              <w:jc w:val="center"/>
              <w:rPr>
                <w:sz w:val="21"/>
                <w:szCs w:val="21"/>
              </w:rPr>
            </w:pPr>
            <w:r>
              <w:rPr>
                <w:rFonts w:hint="eastAsia" w:hAnsi="宋体"/>
                <w:kern w:val="1"/>
                <w:sz w:val="21"/>
                <w:szCs w:val="21"/>
              </w:rPr>
              <w:t>电容柜</w:t>
            </w:r>
          </w:p>
        </w:tc>
        <w:tc>
          <w:tcPr>
            <w:tcW w:w="3946" w:type="dxa"/>
            <w:vAlign w:val="center"/>
          </w:tcPr>
          <w:p>
            <w:pPr>
              <w:widowControl/>
              <w:jc w:val="center"/>
              <w:rPr>
                <w:rFonts w:hint="eastAsia" w:hAnsi="宋体"/>
                <w:kern w:val="1"/>
                <w:sz w:val="21"/>
                <w:szCs w:val="21"/>
                <w:lang w:eastAsia="ar-SA"/>
              </w:rPr>
            </w:pPr>
            <w:r>
              <w:rPr>
                <w:rFonts w:hint="eastAsia" w:hAnsi="宋体"/>
                <w:kern w:val="1"/>
                <w:sz w:val="21"/>
                <w:szCs w:val="21"/>
              </w:rPr>
              <w:t>投标人填写</w:t>
            </w:r>
          </w:p>
        </w:tc>
        <w:tc>
          <w:tcPr>
            <w:tcW w:w="808" w:type="dxa"/>
            <w:vAlign w:val="center"/>
          </w:tcPr>
          <w:p>
            <w:pPr>
              <w:widowControl/>
              <w:jc w:val="center"/>
              <w:rPr>
                <w:sz w:val="21"/>
                <w:szCs w:val="21"/>
              </w:rPr>
            </w:pPr>
            <w:r>
              <w:rPr>
                <w:rFonts w:hint="eastAsia"/>
                <w:kern w:val="0"/>
                <w:sz w:val="21"/>
                <w:szCs w:val="21"/>
              </w:rPr>
              <w:t>套</w:t>
            </w:r>
          </w:p>
        </w:tc>
        <w:tc>
          <w:tcPr>
            <w:tcW w:w="796" w:type="dxa"/>
            <w:vAlign w:val="center"/>
          </w:tcPr>
          <w:p>
            <w:pPr>
              <w:widowControl/>
              <w:jc w:val="center"/>
              <w:rPr>
                <w:rFonts w:hint="eastAsia"/>
                <w:sz w:val="21"/>
                <w:szCs w:val="21"/>
              </w:rPr>
            </w:pPr>
            <w:r>
              <w:rPr>
                <w:rFonts w:hint="eastAsia"/>
                <w:kern w:val="0"/>
                <w:sz w:val="21"/>
                <w:szCs w:val="21"/>
              </w:rPr>
              <w:t>1</w:t>
            </w:r>
          </w:p>
        </w:tc>
        <w:tc>
          <w:tcPr>
            <w:tcW w:w="1673" w:type="dxa"/>
            <w:vAlign w:val="center"/>
          </w:tcPr>
          <w:p>
            <w:pPr>
              <w:jc w:val="center"/>
              <w:rPr>
                <w:rFonts w:hint="eastAsia"/>
                <w:sz w:val="21"/>
                <w:szCs w:val="21"/>
              </w:rPr>
            </w:pPr>
            <w:r>
              <w:rPr>
                <w:rFonts w:hint="eastAsia"/>
                <w:kern w:val="0"/>
                <w:sz w:val="21"/>
                <w:szCs w:val="21"/>
              </w:rPr>
              <w:t>外西沟配电所电容器利旧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7" w:type="dxa"/>
            <w:vAlign w:val="center"/>
          </w:tcPr>
          <w:p>
            <w:pPr>
              <w:snapToGrid w:val="0"/>
              <w:jc w:val="center"/>
              <w:rPr>
                <w:sz w:val="21"/>
                <w:szCs w:val="21"/>
              </w:rPr>
            </w:pPr>
            <w:r>
              <w:rPr>
                <w:rFonts w:hint="eastAsia"/>
                <w:kern w:val="1"/>
                <w:sz w:val="21"/>
                <w:szCs w:val="21"/>
              </w:rPr>
              <w:t>2</w:t>
            </w:r>
          </w:p>
        </w:tc>
        <w:tc>
          <w:tcPr>
            <w:tcW w:w="992" w:type="dxa"/>
            <w:vAlign w:val="center"/>
          </w:tcPr>
          <w:p>
            <w:pPr>
              <w:snapToGrid w:val="0"/>
              <w:jc w:val="center"/>
              <w:rPr>
                <w:sz w:val="21"/>
                <w:szCs w:val="21"/>
              </w:rPr>
            </w:pPr>
            <w:r>
              <w:rPr>
                <w:rFonts w:hint="eastAsia"/>
                <w:kern w:val="1"/>
                <w:sz w:val="21"/>
                <w:szCs w:val="21"/>
              </w:rPr>
              <w:t>电抗柜</w:t>
            </w:r>
          </w:p>
        </w:tc>
        <w:tc>
          <w:tcPr>
            <w:tcW w:w="3946" w:type="dxa"/>
            <w:vAlign w:val="center"/>
          </w:tcPr>
          <w:p>
            <w:pPr>
              <w:widowControl/>
              <w:jc w:val="center"/>
              <w:rPr>
                <w:rFonts w:hint="eastAsia" w:hAnsi="宋体"/>
                <w:kern w:val="1"/>
                <w:sz w:val="21"/>
                <w:szCs w:val="21"/>
                <w:lang w:eastAsia="ar-SA"/>
              </w:rPr>
            </w:pPr>
            <w:r>
              <w:rPr>
                <w:rFonts w:hint="eastAsia" w:hAnsi="宋体"/>
                <w:kern w:val="1"/>
                <w:sz w:val="21"/>
                <w:szCs w:val="21"/>
              </w:rPr>
              <w:t>投标人填写</w:t>
            </w:r>
          </w:p>
        </w:tc>
        <w:tc>
          <w:tcPr>
            <w:tcW w:w="808" w:type="dxa"/>
            <w:vAlign w:val="center"/>
          </w:tcPr>
          <w:p>
            <w:pPr>
              <w:widowControl/>
              <w:jc w:val="center"/>
              <w:rPr>
                <w:sz w:val="21"/>
                <w:szCs w:val="21"/>
              </w:rPr>
            </w:pPr>
            <w:r>
              <w:rPr>
                <w:rFonts w:hint="eastAsia"/>
                <w:kern w:val="0"/>
                <w:sz w:val="21"/>
                <w:szCs w:val="21"/>
              </w:rPr>
              <w:t>套</w:t>
            </w:r>
          </w:p>
        </w:tc>
        <w:tc>
          <w:tcPr>
            <w:tcW w:w="796" w:type="dxa"/>
            <w:vAlign w:val="center"/>
          </w:tcPr>
          <w:p>
            <w:pPr>
              <w:widowControl/>
              <w:jc w:val="center"/>
              <w:rPr>
                <w:rFonts w:hint="eastAsia"/>
                <w:sz w:val="21"/>
                <w:szCs w:val="21"/>
              </w:rPr>
            </w:pPr>
            <w:r>
              <w:rPr>
                <w:rFonts w:hint="eastAsia"/>
                <w:kern w:val="0"/>
                <w:sz w:val="21"/>
                <w:szCs w:val="21"/>
              </w:rPr>
              <w:t>1</w:t>
            </w:r>
          </w:p>
        </w:tc>
        <w:tc>
          <w:tcPr>
            <w:tcW w:w="1673"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7" w:type="dxa"/>
            <w:vAlign w:val="center"/>
          </w:tcPr>
          <w:p>
            <w:pPr>
              <w:snapToGrid w:val="0"/>
              <w:jc w:val="center"/>
              <w:rPr>
                <w:sz w:val="21"/>
                <w:szCs w:val="21"/>
              </w:rPr>
            </w:pPr>
            <w:r>
              <w:rPr>
                <w:rFonts w:hint="eastAsia"/>
                <w:kern w:val="1"/>
                <w:sz w:val="21"/>
                <w:szCs w:val="21"/>
              </w:rPr>
              <w:t>3</w:t>
            </w:r>
          </w:p>
        </w:tc>
        <w:tc>
          <w:tcPr>
            <w:tcW w:w="992" w:type="dxa"/>
            <w:vAlign w:val="center"/>
          </w:tcPr>
          <w:p>
            <w:pPr>
              <w:snapToGrid w:val="0"/>
              <w:jc w:val="center"/>
              <w:rPr>
                <w:rFonts w:hint="eastAsia"/>
                <w:sz w:val="21"/>
                <w:szCs w:val="21"/>
              </w:rPr>
            </w:pPr>
            <w:r>
              <w:rPr>
                <w:rFonts w:hAnsi="宋体"/>
                <w:kern w:val="1"/>
                <w:sz w:val="21"/>
                <w:szCs w:val="21"/>
                <w:lang w:eastAsia="ar-SA"/>
              </w:rPr>
              <w:t>控制</w:t>
            </w:r>
            <w:r>
              <w:rPr>
                <w:rFonts w:hint="eastAsia" w:hAnsi="宋体"/>
                <w:kern w:val="1"/>
                <w:sz w:val="21"/>
                <w:szCs w:val="21"/>
              </w:rPr>
              <w:t>屏</w:t>
            </w:r>
          </w:p>
        </w:tc>
        <w:tc>
          <w:tcPr>
            <w:tcW w:w="3946" w:type="dxa"/>
            <w:vAlign w:val="center"/>
          </w:tcPr>
          <w:p>
            <w:pPr>
              <w:widowControl/>
              <w:jc w:val="center"/>
              <w:rPr>
                <w:rFonts w:hint="eastAsia" w:hAnsi="宋体"/>
                <w:kern w:val="1"/>
                <w:sz w:val="21"/>
                <w:szCs w:val="21"/>
                <w:lang w:eastAsia="ar-SA"/>
              </w:rPr>
            </w:pPr>
            <w:r>
              <w:rPr>
                <w:rFonts w:hint="eastAsia" w:hAnsi="宋体"/>
                <w:kern w:val="1"/>
                <w:sz w:val="21"/>
                <w:szCs w:val="21"/>
              </w:rPr>
              <w:t>投标人填写</w:t>
            </w:r>
          </w:p>
        </w:tc>
        <w:tc>
          <w:tcPr>
            <w:tcW w:w="808" w:type="dxa"/>
            <w:vAlign w:val="center"/>
          </w:tcPr>
          <w:p>
            <w:pPr>
              <w:widowControl/>
              <w:jc w:val="center"/>
              <w:rPr>
                <w:sz w:val="21"/>
                <w:szCs w:val="21"/>
              </w:rPr>
            </w:pPr>
            <w:r>
              <w:rPr>
                <w:rFonts w:hint="eastAsia"/>
                <w:kern w:val="0"/>
                <w:sz w:val="21"/>
                <w:szCs w:val="21"/>
              </w:rPr>
              <w:t>套</w:t>
            </w:r>
          </w:p>
        </w:tc>
        <w:tc>
          <w:tcPr>
            <w:tcW w:w="796" w:type="dxa"/>
            <w:vAlign w:val="center"/>
          </w:tcPr>
          <w:p>
            <w:pPr>
              <w:widowControl/>
              <w:jc w:val="center"/>
              <w:rPr>
                <w:rFonts w:hint="eastAsia"/>
                <w:sz w:val="21"/>
                <w:szCs w:val="21"/>
              </w:rPr>
            </w:pPr>
            <w:r>
              <w:rPr>
                <w:rFonts w:hint="eastAsia"/>
                <w:kern w:val="0"/>
                <w:sz w:val="21"/>
                <w:szCs w:val="21"/>
              </w:rPr>
              <w:t>1</w:t>
            </w:r>
          </w:p>
        </w:tc>
        <w:tc>
          <w:tcPr>
            <w:tcW w:w="1673"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7" w:type="dxa"/>
            <w:vAlign w:val="center"/>
          </w:tcPr>
          <w:p>
            <w:pPr>
              <w:snapToGrid w:val="0"/>
              <w:jc w:val="center"/>
              <w:rPr>
                <w:sz w:val="21"/>
                <w:szCs w:val="21"/>
              </w:rPr>
            </w:pPr>
            <w:r>
              <w:rPr>
                <w:rFonts w:hint="eastAsia"/>
                <w:kern w:val="1"/>
                <w:sz w:val="21"/>
                <w:szCs w:val="21"/>
              </w:rPr>
              <w:t>4</w:t>
            </w:r>
          </w:p>
        </w:tc>
        <w:tc>
          <w:tcPr>
            <w:tcW w:w="992" w:type="dxa"/>
            <w:vAlign w:val="center"/>
          </w:tcPr>
          <w:p>
            <w:pPr>
              <w:widowControl/>
              <w:snapToGrid w:val="0"/>
              <w:jc w:val="center"/>
              <w:rPr>
                <w:sz w:val="21"/>
                <w:szCs w:val="21"/>
              </w:rPr>
            </w:pPr>
            <w:r>
              <w:rPr>
                <w:rFonts w:hint="eastAsia" w:hAnsi="宋体"/>
                <w:kern w:val="1"/>
                <w:sz w:val="21"/>
                <w:szCs w:val="21"/>
              </w:rPr>
              <w:t>辅件</w:t>
            </w:r>
          </w:p>
        </w:tc>
        <w:tc>
          <w:tcPr>
            <w:tcW w:w="3946" w:type="dxa"/>
            <w:vAlign w:val="center"/>
          </w:tcPr>
          <w:p>
            <w:pPr>
              <w:widowControl/>
              <w:jc w:val="center"/>
              <w:rPr>
                <w:sz w:val="21"/>
                <w:szCs w:val="21"/>
              </w:rPr>
            </w:pPr>
            <w:r>
              <w:rPr>
                <w:rFonts w:hint="eastAsia" w:hAnsi="宋体"/>
                <w:kern w:val="1"/>
                <w:sz w:val="21"/>
                <w:szCs w:val="21"/>
                <w:lang w:eastAsia="ar-SA"/>
              </w:rPr>
              <w:t>成套装置内部的电缆，支架、安装辅材等</w:t>
            </w:r>
          </w:p>
        </w:tc>
        <w:tc>
          <w:tcPr>
            <w:tcW w:w="808" w:type="dxa"/>
            <w:vAlign w:val="center"/>
          </w:tcPr>
          <w:p>
            <w:pPr>
              <w:widowControl/>
              <w:jc w:val="center"/>
              <w:rPr>
                <w:sz w:val="21"/>
                <w:szCs w:val="21"/>
              </w:rPr>
            </w:pPr>
            <w:r>
              <w:rPr>
                <w:rFonts w:hint="eastAsia"/>
                <w:kern w:val="0"/>
                <w:sz w:val="21"/>
                <w:szCs w:val="21"/>
              </w:rPr>
              <w:t>套</w:t>
            </w:r>
          </w:p>
        </w:tc>
        <w:tc>
          <w:tcPr>
            <w:tcW w:w="796" w:type="dxa"/>
            <w:vAlign w:val="center"/>
          </w:tcPr>
          <w:p>
            <w:pPr>
              <w:widowControl/>
              <w:jc w:val="center"/>
              <w:rPr>
                <w:rFonts w:hint="eastAsia"/>
                <w:sz w:val="21"/>
                <w:szCs w:val="21"/>
              </w:rPr>
            </w:pPr>
            <w:r>
              <w:rPr>
                <w:rFonts w:hint="eastAsia"/>
                <w:kern w:val="0"/>
                <w:sz w:val="21"/>
                <w:szCs w:val="21"/>
              </w:rPr>
              <w:t>1</w:t>
            </w:r>
          </w:p>
        </w:tc>
        <w:tc>
          <w:tcPr>
            <w:tcW w:w="1673" w:type="dxa"/>
            <w:vAlign w:val="center"/>
          </w:tcPr>
          <w:p>
            <w:pPr>
              <w:jc w:val="center"/>
              <w:rPr>
                <w:sz w:val="21"/>
                <w:szCs w:val="21"/>
              </w:rPr>
            </w:pPr>
          </w:p>
        </w:tc>
      </w:tr>
    </w:tbl>
    <w:p>
      <w:pPr>
        <w:numPr>
          <w:ilvl w:val="0"/>
          <w:numId w:val="2"/>
        </w:numPr>
        <w:spacing w:line="360" w:lineRule="auto"/>
        <w:ind w:firstLine="0"/>
        <w:rPr>
          <w:rFonts w:hint="eastAsia" w:ascii="宋体" w:hAnsi="宋体" w:cs="宋体"/>
          <w:sz w:val="21"/>
          <w:szCs w:val="21"/>
        </w:rPr>
      </w:pPr>
      <w:r>
        <w:rPr>
          <w:rFonts w:hint="eastAsia" w:ascii="宋体" w:hAnsi="宋体" w:cs="宋体"/>
          <w:sz w:val="21"/>
          <w:szCs w:val="21"/>
        </w:rPr>
        <w:t>动态无功补偿装置为室内设备，控制屏安装于控制室内，电容器、电抗器安装于配电所电容室内，目前六座配电所的电容室体积最小的长宽高为4.3米×3.2米×5.0米。</w:t>
      </w:r>
    </w:p>
    <w:p>
      <w:pPr>
        <w:pStyle w:val="3"/>
        <w:numPr>
          <w:ilvl w:val="0"/>
          <w:numId w:val="1"/>
        </w:numPr>
        <w:spacing w:line="360" w:lineRule="auto"/>
        <w:ind w:firstLine="0"/>
        <w:outlineLvl w:val="1"/>
        <w:rPr>
          <w:rFonts w:hint="eastAsia" w:hAnsi="宋体" w:cs="宋体"/>
          <w:b/>
          <w:sz w:val="21"/>
          <w:szCs w:val="21"/>
        </w:rPr>
      </w:pPr>
      <w:r>
        <w:rPr>
          <w:rFonts w:hint="eastAsia" w:hAnsi="宋体" w:cs="宋体"/>
          <w:b/>
          <w:sz w:val="21"/>
          <w:szCs w:val="21"/>
        </w:rPr>
        <w:t>控制器技术要求</w:t>
      </w:r>
    </w:p>
    <w:p>
      <w:pPr>
        <w:numPr>
          <w:ilvl w:val="0"/>
          <w:numId w:val="3"/>
        </w:numPr>
        <w:spacing w:line="360" w:lineRule="auto"/>
        <w:ind w:firstLine="0"/>
        <w:rPr>
          <w:rFonts w:hint="eastAsia" w:ascii="宋体" w:hAnsi="宋体" w:cs="宋体"/>
          <w:sz w:val="21"/>
          <w:szCs w:val="21"/>
        </w:rPr>
      </w:pPr>
      <w:r>
        <w:rPr>
          <w:rFonts w:hint="eastAsia" w:ascii="宋体" w:hAnsi="宋体" w:cs="宋体"/>
          <w:sz w:val="21"/>
          <w:szCs w:val="21"/>
        </w:rPr>
        <w:t>控制一次设备对系统提供动态无功补偿，实现1%至100%间无功功率连续无级平滑调节。</w:t>
      </w:r>
    </w:p>
    <w:p>
      <w:pPr>
        <w:numPr>
          <w:ilvl w:val="0"/>
          <w:numId w:val="3"/>
        </w:numPr>
        <w:spacing w:line="360" w:lineRule="auto"/>
        <w:ind w:firstLine="0"/>
        <w:rPr>
          <w:rFonts w:hint="eastAsia" w:ascii="宋体" w:hAnsi="宋体" w:cs="宋体"/>
          <w:sz w:val="21"/>
          <w:szCs w:val="21"/>
        </w:rPr>
      </w:pPr>
      <w:r>
        <w:rPr>
          <w:rFonts w:hint="eastAsia" w:ascii="宋体" w:hAnsi="宋体" w:cs="宋体"/>
          <w:sz w:val="21"/>
          <w:szCs w:val="21"/>
        </w:rPr>
        <w:t>人机界面设计采用windows系统的操作模式，功能菜单以及各种功能按键均按照电脑的操作习惯设计。界面应友好显示，对外通讯提供了RS485等接口，采用标准Modbus通讯协议。</w:t>
      </w:r>
    </w:p>
    <w:p>
      <w:pPr>
        <w:numPr>
          <w:ilvl w:val="0"/>
          <w:numId w:val="3"/>
        </w:numPr>
        <w:spacing w:line="360" w:lineRule="auto"/>
        <w:ind w:firstLine="0"/>
        <w:rPr>
          <w:rFonts w:hint="eastAsia" w:ascii="宋体" w:hAnsi="宋体" w:cs="宋体"/>
          <w:sz w:val="21"/>
          <w:szCs w:val="21"/>
        </w:rPr>
      </w:pPr>
      <w:r>
        <w:rPr>
          <w:rFonts w:hint="eastAsia" w:ascii="宋体" w:hAnsi="宋体" w:cs="宋体"/>
          <w:sz w:val="21"/>
          <w:szCs w:val="21"/>
        </w:rPr>
        <w:t>实时显示系统位置开关开合情况，母线的电压、电流、有功功率、无功功率、功率因数、故障信息等。</w:t>
      </w:r>
    </w:p>
    <w:p>
      <w:pPr>
        <w:numPr>
          <w:ilvl w:val="0"/>
          <w:numId w:val="3"/>
        </w:numPr>
        <w:spacing w:line="360" w:lineRule="auto"/>
        <w:ind w:firstLine="0"/>
        <w:rPr>
          <w:rFonts w:hint="eastAsia" w:ascii="宋体" w:hAnsi="宋体" w:cs="宋体"/>
          <w:sz w:val="21"/>
          <w:szCs w:val="21"/>
        </w:rPr>
      </w:pPr>
      <w:r>
        <w:rPr>
          <w:rFonts w:hint="eastAsia" w:ascii="宋体" w:hAnsi="宋体" w:cs="宋体"/>
          <w:sz w:val="21"/>
          <w:szCs w:val="21"/>
        </w:rPr>
        <w:t>具有运行历史事件记录、历史曲线记录查询、单元状态监控、系统信息查询、历史故障查询等功能,可查询12个月内历史数据和故障记录（包括故障类别、故障时间、故障值等）。</w:t>
      </w:r>
    </w:p>
    <w:p>
      <w:pPr>
        <w:numPr>
          <w:ilvl w:val="0"/>
          <w:numId w:val="3"/>
        </w:numPr>
        <w:spacing w:line="360" w:lineRule="auto"/>
        <w:ind w:firstLine="0"/>
        <w:rPr>
          <w:rFonts w:hint="eastAsia" w:ascii="宋体" w:hAnsi="宋体" w:cs="宋体"/>
          <w:sz w:val="21"/>
          <w:szCs w:val="21"/>
        </w:rPr>
      </w:pPr>
      <w:r>
        <w:rPr>
          <w:rFonts w:hint="eastAsia" w:ascii="宋体" w:hAnsi="宋体" w:cs="宋体"/>
          <w:sz w:val="21"/>
          <w:szCs w:val="21"/>
        </w:rPr>
        <w:t>保护功能齐全，具有过压、欠压、过流、单元过热、不均压等保护，并能实现故障瞬间的波形录制，便于确定故障点，易维护，运行可靠性高。</w:t>
      </w:r>
    </w:p>
    <w:p>
      <w:pPr>
        <w:numPr>
          <w:ilvl w:val="0"/>
          <w:numId w:val="3"/>
        </w:numPr>
        <w:spacing w:line="360" w:lineRule="auto"/>
        <w:ind w:firstLine="0"/>
        <w:rPr>
          <w:rFonts w:hint="eastAsia" w:ascii="宋体" w:hAnsi="宋体" w:cs="宋体"/>
          <w:sz w:val="21"/>
          <w:szCs w:val="21"/>
        </w:rPr>
      </w:pPr>
      <w:r>
        <w:rPr>
          <w:rFonts w:hint="eastAsia" w:ascii="宋体" w:hAnsi="宋体" w:cs="宋体"/>
          <w:sz w:val="21"/>
          <w:szCs w:val="21"/>
        </w:rPr>
        <w:t>具有RS-485通信接口，可全面可靠地实现遥信、遥控等。控制器能够与主站进行通信，上传当前电压、电流、有功、无功、运行状态等内容，采用标准RS485接口，投标方提供通讯规约、点表等相关信息。</w:t>
      </w:r>
    </w:p>
    <w:p>
      <w:pPr>
        <w:numPr>
          <w:ilvl w:val="0"/>
          <w:numId w:val="3"/>
        </w:numPr>
        <w:spacing w:line="360" w:lineRule="auto"/>
        <w:ind w:firstLine="0"/>
        <w:rPr>
          <w:rFonts w:hint="eastAsia" w:ascii="宋体" w:hAnsi="宋体" w:cs="宋体"/>
          <w:sz w:val="21"/>
          <w:szCs w:val="21"/>
        </w:rPr>
      </w:pPr>
      <w:r>
        <w:rPr>
          <w:rFonts w:hint="eastAsia" w:ascii="宋体" w:hAnsi="宋体" w:cs="宋体"/>
          <w:sz w:val="21"/>
          <w:szCs w:val="21"/>
        </w:rPr>
        <w:t>控制屏柜体型式、外形尺寸：与配电所既有控制屏外形尺寸一致。</w:t>
      </w:r>
    </w:p>
    <w:p>
      <w:pPr>
        <w:pStyle w:val="2"/>
        <w:spacing w:before="0" w:after="0" w:line="416" w:lineRule="auto"/>
        <w:rPr>
          <w:rFonts w:hint="eastAsia" w:ascii="宋体" w:hAnsi="宋体" w:eastAsia="宋体" w:cs="宋体"/>
          <w:sz w:val="21"/>
          <w:szCs w:val="21"/>
        </w:rPr>
      </w:pPr>
      <w:r>
        <w:rPr>
          <w:rFonts w:hint="eastAsia" w:ascii="宋体" w:hAnsi="宋体" w:eastAsia="宋体" w:cs="宋体"/>
          <w:sz w:val="21"/>
          <w:szCs w:val="21"/>
        </w:rPr>
        <w:t>3.1.5 电抗器技术要求</w:t>
      </w:r>
    </w:p>
    <w:p>
      <w:pPr>
        <w:numPr>
          <w:ilvl w:val="0"/>
          <w:numId w:val="4"/>
        </w:numPr>
        <w:spacing w:line="360" w:lineRule="auto"/>
        <w:ind w:firstLine="0"/>
        <w:jc w:val="left"/>
        <w:rPr>
          <w:rFonts w:hint="eastAsia" w:ascii="宋体" w:hAnsi="宋体" w:cs="宋体"/>
          <w:sz w:val="21"/>
          <w:szCs w:val="21"/>
        </w:rPr>
      </w:pPr>
      <w:r>
        <w:rPr>
          <w:rFonts w:hint="eastAsia" w:ascii="宋体" w:hAnsi="宋体" w:cs="宋体"/>
          <w:sz w:val="21"/>
          <w:szCs w:val="21"/>
        </w:rPr>
        <w:t>额定参数</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额定电压：            10kV</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最高运行电压：        12kV</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容量调节范围：        1%～100%连续可调</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额定频率：            50Hz</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冷却方式：            强迫风冷（AF）</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型式：                户内三相干式、环氧浇注</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主绕组联结：          三角形</w:t>
      </w:r>
    </w:p>
    <w:p>
      <w:pPr>
        <w:numPr>
          <w:ilvl w:val="0"/>
          <w:numId w:val="4"/>
        </w:numPr>
        <w:spacing w:line="360" w:lineRule="auto"/>
        <w:ind w:firstLine="0"/>
        <w:jc w:val="left"/>
        <w:rPr>
          <w:rFonts w:hint="eastAsia" w:ascii="宋体" w:hAnsi="宋体" w:cs="宋体"/>
          <w:sz w:val="21"/>
          <w:szCs w:val="21"/>
        </w:rPr>
      </w:pPr>
      <w:r>
        <w:rPr>
          <w:rFonts w:hint="eastAsia" w:ascii="宋体" w:hAnsi="宋体" w:cs="宋体"/>
          <w:sz w:val="21"/>
          <w:szCs w:val="21"/>
        </w:rPr>
        <w:t>性能参数</w:t>
      </w:r>
    </w:p>
    <w:p>
      <w:pPr>
        <w:numPr>
          <w:ilvl w:val="0"/>
          <w:numId w:val="5"/>
        </w:numPr>
        <w:spacing w:line="360" w:lineRule="auto"/>
        <w:ind w:left="0" w:firstLine="420" w:firstLineChars="200"/>
        <w:jc w:val="left"/>
        <w:rPr>
          <w:rFonts w:hint="eastAsia" w:ascii="宋体" w:hAnsi="宋体" w:cs="宋体"/>
          <w:sz w:val="21"/>
          <w:szCs w:val="21"/>
        </w:rPr>
      </w:pPr>
      <w:r>
        <w:rPr>
          <w:rFonts w:hint="eastAsia" w:ascii="宋体" w:hAnsi="宋体" w:cs="宋体"/>
          <w:sz w:val="21"/>
          <w:szCs w:val="21"/>
        </w:rPr>
        <w:t>空载损耗：不大于额定容量的0.3％；</w:t>
      </w:r>
    </w:p>
    <w:p>
      <w:pPr>
        <w:numPr>
          <w:ilvl w:val="0"/>
          <w:numId w:val="5"/>
        </w:numPr>
        <w:spacing w:line="360" w:lineRule="auto"/>
        <w:ind w:left="0" w:firstLine="420" w:firstLineChars="200"/>
        <w:jc w:val="left"/>
        <w:rPr>
          <w:rFonts w:hint="eastAsia" w:ascii="宋体" w:hAnsi="宋体" w:cs="宋体"/>
          <w:sz w:val="21"/>
          <w:szCs w:val="21"/>
        </w:rPr>
      </w:pPr>
      <w:r>
        <w:rPr>
          <w:rFonts w:hint="eastAsia" w:ascii="宋体" w:hAnsi="宋体" w:cs="宋体"/>
          <w:sz w:val="21"/>
          <w:szCs w:val="21"/>
        </w:rPr>
        <w:t>损耗：在额定电压和额定频率，并换算到75℃时，总损耗不大于额定容量的1.6％；</w:t>
      </w:r>
    </w:p>
    <w:p>
      <w:pPr>
        <w:numPr>
          <w:ilvl w:val="0"/>
          <w:numId w:val="5"/>
        </w:numPr>
        <w:spacing w:line="360" w:lineRule="auto"/>
        <w:ind w:left="0" w:firstLine="420" w:firstLineChars="200"/>
        <w:jc w:val="left"/>
        <w:rPr>
          <w:rFonts w:hint="eastAsia" w:ascii="宋体" w:hAnsi="宋体" w:cs="宋体"/>
          <w:sz w:val="21"/>
          <w:szCs w:val="21"/>
        </w:rPr>
      </w:pPr>
      <w:r>
        <w:rPr>
          <w:rFonts w:hint="eastAsia" w:ascii="宋体" w:hAnsi="宋体" w:cs="宋体"/>
          <w:sz w:val="21"/>
          <w:szCs w:val="21"/>
        </w:rPr>
        <w:t>损耗偏差：±20%;</w:t>
      </w:r>
    </w:p>
    <w:p>
      <w:pPr>
        <w:numPr>
          <w:ilvl w:val="0"/>
          <w:numId w:val="5"/>
        </w:numPr>
        <w:spacing w:line="360" w:lineRule="auto"/>
        <w:ind w:left="0" w:firstLine="420" w:firstLineChars="200"/>
        <w:jc w:val="left"/>
        <w:rPr>
          <w:rFonts w:hint="eastAsia" w:ascii="宋体" w:hAnsi="宋体" w:cs="宋体"/>
          <w:sz w:val="21"/>
          <w:szCs w:val="21"/>
        </w:rPr>
      </w:pPr>
      <w:bookmarkStart w:id="2" w:name="_Hlk3560208"/>
      <w:r>
        <w:rPr>
          <w:rFonts w:hint="eastAsia" w:ascii="宋体" w:hAnsi="宋体" w:cs="宋体"/>
          <w:sz w:val="21"/>
          <w:szCs w:val="21"/>
        </w:rPr>
        <w:t>噪声水平</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根据GB/T 1094.10的方法测试，在额定电压、额定容量下运行时噪声应不大于65dB。</w:t>
      </w:r>
    </w:p>
    <w:bookmarkEnd w:id="2"/>
    <w:p>
      <w:pPr>
        <w:pStyle w:val="2"/>
        <w:spacing w:before="0" w:after="0" w:line="416" w:lineRule="auto"/>
        <w:rPr>
          <w:rFonts w:hint="eastAsia" w:ascii="宋体" w:hAnsi="宋体" w:eastAsia="宋体" w:cs="宋体"/>
          <w:sz w:val="21"/>
          <w:szCs w:val="21"/>
        </w:rPr>
      </w:pPr>
      <w:r>
        <w:rPr>
          <w:rFonts w:hint="eastAsia" w:ascii="宋体" w:hAnsi="宋体" w:eastAsia="宋体" w:cs="宋体"/>
          <w:sz w:val="21"/>
          <w:szCs w:val="21"/>
        </w:rPr>
        <w:t>3.1.6 电容器技术要求</w:t>
      </w:r>
    </w:p>
    <w:p>
      <w:pPr>
        <w:spacing w:line="360" w:lineRule="auto"/>
        <w:jc w:val="left"/>
        <w:rPr>
          <w:rFonts w:hint="eastAsia" w:ascii="宋体" w:hAnsi="宋体" w:cs="宋体"/>
          <w:sz w:val="21"/>
          <w:szCs w:val="21"/>
        </w:rPr>
      </w:pPr>
      <w:r>
        <w:rPr>
          <w:rFonts w:hint="eastAsia" w:ascii="宋体" w:hAnsi="宋体" w:cs="宋体"/>
          <w:sz w:val="21"/>
          <w:szCs w:val="21"/>
        </w:rPr>
        <w:t>3.1.6.1 额定参数</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额定电压：            10kV</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最高运行电压：        12kV</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额定频率：            50Hz</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相数：                单相</w:t>
      </w:r>
    </w:p>
    <w:p>
      <w:pPr>
        <w:spacing w:line="360" w:lineRule="auto"/>
        <w:ind w:firstLine="480"/>
        <w:jc w:val="left"/>
        <w:rPr>
          <w:rFonts w:hint="eastAsia" w:ascii="宋体" w:hAnsi="宋体" w:cs="宋体"/>
          <w:sz w:val="21"/>
          <w:szCs w:val="21"/>
        </w:rPr>
      </w:pPr>
      <w:r>
        <w:rPr>
          <w:rFonts w:hint="eastAsia" w:ascii="宋体" w:hAnsi="宋体" w:cs="宋体"/>
          <w:sz w:val="21"/>
          <w:szCs w:val="21"/>
        </w:rPr>
        <w:t>电容偏差              -1%-+3%</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设计场强（K=1）      ≦57KV/mm</w:t>
      </w:r>
    </w:p>
    <w:p>
      <w:pPr>
        <w:spacing w:line="360" w:lineRule="auto"/>
        <w:jc w:val="left"/>
        <w:rPr>
          <w:rFonts w:hint="eastAsia" w:ascii="宋体" w:hAnsi="宋体" w:cs="宋体"/>
          <w:sz w:val="21"/>
          <w:szCs w:val="21"/>
        </w:rPr>
      </w:pPr>
      <w:r>
        <w:rPr>
          <w:rFonts w:hint="eastAsia" w:ascii="宋体" w:hAnsi="宋体" w:cs="宋体"/>
          <w:sz w:val="21"/>
          <w:szCs w:val="21"/>
        </w:rPr>
        <w:t>3.1.6.2 电容器组需配套放电PT、避雷器、串联电抗器（干式铁芯）。</w:t>
      </w:r>
    </w:p>
    <w:p>
      <w:pPr>
        <w:spacing w:line="360" w:lineRule="auto"/>
        <w:jc w:val="left"/>
        <w:rPr>
          <w:rFonts w:hint="eastAsia" w:ascii="宋体" w:hAnsi="宋体" w:cs="宋体"/>
          <w:b/>
          <w:bCs/>
          <w:sz w:val="21"/>
          <w:szCs w:val="21"/>
        </w:rPr>
      </w:pPr>
      <w:r>
        <w:rPr>
          <w:rFonts w:hint="eastAsia" w:ascii="宋体" w:hAnsi="宋体" w:cs="宋体"/>
          <w:b/>
          <w:bCs/>
          <w:sz w:val="21"/>
          <w:szCs w:val="21"/>
        </w:rPr>
        <w:t>3.1.7 柜体要求</w:t>
      </w:r>
    </w:p>
    <w:p>
      <w:pPr>
        <w:numPr>
          <w:ilvl w:val="0"/>
          <w:numId w:val="6"/>
        </w:numPr>
        <w:spacing w:line="360" w:lineRule="auto"/>
        <w:ind w:firstLine="0"/>
        <w:jc w:val="left"/>
        <w:rPr>
          <w:rFonts w:hint="eastAsia" w:ascii="宋体" w:hAnsi="宋体" w:cs="宋体"/>
          <w:sz w:val="21"/>
          <w:szCs w:val="21"/>
        </w:rPr>
      </w:pPr>
      <w:r>
        <w:rPr>
          <w:rFonts w:hint="eastAsia" w:ascii="宋体" w:hAnsi="宋体" w:cs="宋体"/>
          <w:sz w:val="21"/>
          <w:szCs w:val="21"/>
        </w:rPr>
        <w:t>外壳的防护等级不低于IP30。</w:t>
      </w:r>
    </w:p>
    <w:p>
      <w:pPr>
        <w:numPr>
          <w:ilvl w:val="0"/>
          <w:numId w:val="6"/>
        </w:numPr>
        <w:spacing w:line="360" w:lineRule="auto"/>
        <w:ind w:firstLine="0"/>
        <w:jc w:val="left"/>
        <w:rPr>
          <w:rFonts w:hint="eastAsia" w:ascii="宋体" w:hAnsi="宋体" w:cs="宋体"/>
          <w:sz w:val="21"/>
          <w:szCs w:val="21"/>
        </w:rPr>
      </w:pPr>
      <w:r>
        <w:rPr>
          <w:rFonts w:hint="eastAsia" w:ascii="宋体" w:hAnsi="宋体" w:cs="宋体"/>
          <w:sz w:val="21"/>
          <w:szCs w:val="21"/>
        </w:rPr>
        <w:t>柜体应具有足够的机械强度和刚度，在起吊、运输和安装时不会变形或损伤。</w:t>
      </w:r>
    </w:p>
    <w:p>
      <w:pPr>
        <w:numPr>
          <w:ilvl w:val="0"/>
          <w:numId w:val="6"/>
        </w:numPr>
        <w:spacing w:line="360" w:lineRule="auto"/>
        <w:ind w:firstLine="0"/>
        <w:jc w:val="left"/>
        <w:rPr>
          <w:rFonts w:hint="eastAsia" w:ascii="宋体" w:hAnsi="宋体" w:cs="宋体"/>
          <w:sz w:val="21"/>
          <w:szCs w:val="21"/>
        </w:rPr>
      </w:pPr>
      <w:r>
        <w:rPr>
          <w:rFonts w:hint="eastAsia" w:ascii="宋体" w:hAnsi="宋体" w:cs="宋体"/>
          <w:sz w:val="21"/>
          <w:szCs w:val="21"/>
        </w:rPr>
        <w:t>柜门上应有方便巡检视察的观察窗，门内侧应标有主回路的线路图，同时注明操作程序和注意事项；采用永久性的标识和标注。</w:t>
      </w:r>
    </w:p>
    <w:p>
      <w:pPr>
        <w:numPr>
          <w:ilvl w:val="0"/>
          <w:numId w:val="6"/>
        </w:numPr>
        <w:spacing w:line="360" w:lineRule="auto"/>
        <w:ind w:firstLine="0"/>
        <w:jc w:val="left"/>
        <w:rPr>
          <w:rFonts w:hint="eastAsia" w:ascii="宋体" w:hAnsi="宋体" w:cs="宋体"/>
          <w:sz w:val="21"/>
          <w:szCs w:val="21"/>
        </w:rPr>
      </w:pPr>
      <w:r>
        <w:rPr>
          <w:rFonts w:hint="eastAsia" w:ascii="宋体" w:hAnsi="宋体" w:cs="宋体"/>
          <w:sz w:val="21"/>
          <w:szCs w:val="21"/>
        </w:rPr>
        <w:t>柜体的尺寸满足路途和现场运输要求。有方便起吊的附件。</w:t>
      </w:r>
    </w:p>
    <w:p>
      <w:pPr>
        <w:numPr>
          <w:ilvl w:val="0"/>
          <w:numId w:val="6"/>
        </w:numPr>
        <w:spacing w:line="360" w:lineRule="auto"/>
        <w:ind w:firstLine="0"/>
        <w:jc w:val="left"/>
        <w:rPr>
          <w:rFonts w:hint="eastAsia" w:ascii="宋体" w:hAnsi="宋体" w:cs="宋体"/>
          <w:sz w:val="21"/>
          <w:szCs w:val="21"/>
        </w:rPr>
      </w:pPr>
      <w:r>
        <w:rPr>
          <w:rFonts w:hint="eastAsia" w:ascii="宋体" w:hAnsi="宋体" w:cs="宋体"/>
          <w:sz w:val="21"/>
          <w:szCs w:val="21"/>
        </w:rPr>
        <w:t>柜体铭牌应耐久清晰、易识别，铭牌上应包括以下内容：制造厂名称或商标、产品的型号和名称、额定参数、防护等级、出厂编号、制造日期、电气接线图。</w:t>
      </w:r>
    </w:p>
    <w:p>
      <w:pPr>
        <w:spacing w:line="360" w:lineRule="auto"/>
        <w:jc w:val="left"/>
        <w:rPr>
          <w:rFonts w:hint="eastAsia" w:ascii="宋体" w:hAnsi="宋体" w:cs="宋体"/>
          <w:b/>
          <w:bCs/>
          <w:sz w:val="21"/>
          <w:szCs w:val="21"/>
        </w:rPr>
      </w:pPr>
      <w:r>
        <w:rPr>
          <w:rFonts w:hint="eastAsia" w:ascii="宋体" w:hAnsi="宋体" w:cs="宋体"/>
          <w:b/>
          <w:bCs/>
          <w:sz w:val="21"/>
          <w:szCs w:val="21"/>
        </w:rPr>
        <w:t>3.1.8试验</w:t>
      </w:r>
    </w:p>
    <w:p>
      <w:pPr>
        <w:spacing w:line="360" w:lineRule="auto"/>
        <w:ind w:firstLine="420" w:firstLineChars="200"/>
        <w:jc w:val="left"/>
        <w:rPr>
          <w:rFonts w:hint="eastAsia" w:ascii="宋体" w:hAnsi="宋体" w:cs="宋体"/>
          <w:sz w:val="21"/>
          <w:szCs w:val="21"/>
        </w:rPr>
      </w:pPr>
      <w:r>
        <w:rPr>
          <w:rFonts w:hint="eastAsia" w:ascii="宋体" w:hAnsi="宋体" w:cs="宋体"/>
          <w:sz w:val="21"/>
          <w:szCs w:val="21"/>
        </w:rPr>
        <w:t>型式试验及出厂试验内容均应满足有关国家标准的规定。设备运到现场后，应按GB 1985 和GB50150《电气装置安装工程电气设备交接试验标准》进行现场交接试验，验收通过后方能投运。</w:t>
      </w:r>
    </w:p>
    <w:p>
      <w:pPr>
        <w:spacing w:line="400" w:lineRule="exact"/>
        <w:rPr>
          <w:rFonts w:hint="eastAsia" w:ascii="宋体" w:hAnsi="宋体" w:cs="宋体"/>
          <w:b/>
          <w:sz w:val="21"/>
          <w:szCs w:val="21"/>
        </w:rPr>
      </w:pPr>
      <w:r>
        <w:rPr>
          <w:rFonts w:hint="eastAsia" w:ascii="宋体" w:hAnsi="宋体" w:cs="宋体"/>
          <w:b/>
          <w:sz w:val="21"/>
          <w:szCs w:val="21"/>
        </w:rPr>
        <w:t>3.1.9其他要求</w:t>
      </w:r>
    </w:p>
    <w:p>
      <w:pPr>
        <w:spacing w:line="360" w:lineRule="auto"/>
        <w:rPr>
          <w:rFonts w:hint="eastAsia" w:ascii="宋体" w:hAnsi="宋体" w:cs="宋体"/>
          <w:bCs/>
          <w:sz w:val="21"/>
          <w:szCs w:val="21"/>
        </w:rPr>
      </w:pPr>
      <w:r>
        <w:rPr>
          <w:rFonts w:hint="eastAsia" w:ascii="宋体" w:hAnsi="宋体" w:cs="宋体"/>
          <w:bCs/>
          <w:sz w:val="21"/>
          <w:szCs w:val="21"/>
        </w:rPr>
        <w:t>*3.1.9.1投标方应对大准铁路现场进行充分了解，并将详细的实施方案附在本项目投标文件中，负责设备供应、安装、调试、试验，配套配件的供应等，并负责拆除既有设备。以上均含在投标报价中。</w:t>
      </w:r>
    </w:p>
    <w:p>
      <w:pPr>
        <w:spacing w:line="360" w:lineRule="auto"/>
        <w:rPr>
          <w:rFonts w:hint="eastAsia" w:ascii="宋体" w:hAnsi="宋体" w:cs="宋体"/>
          <w:bCs/>
          <w:sz w:val="21"/>
          <w:szCs w:val="21"/>
        </w:rPr>
      </w:pPr>
      <w:r>
        <w:rPr>
          <w:rFonts w:hint="eastAsia" w:ascii="宋体" w:hAnsi="宋体" w:cs="宋体"/>
          <w:bCs/>
          <w:sz w:val="21"/>
          <w:szCs w:val="21"/>
        </w:rPr>
        <w:t>3.1.9.2招标方向投标方提供既有系统图，投标方根据现场实际出具一、二次设计图，设计经招标方确认后方可生产。本项目是对生产运输有影响的安装，须在大准铁路天窗点（每月约3个天窗点，每个天窗约2小时）内进行，并与大准铁路供电段签订配合协议。</w:t>
      </w:r>
    </w:p>
    <w:p>
      <w:pPr>
        <w:spacing w:line="360" w:lineRule="auto"/>
        <w:rPr>
          <w:rFonts w:hint="eastAsia" w:ascii="宋体" w:hAnsi="宋体" w:cs="宋体"/>
          <w:bCs/>
          <w:sz w:val="21"/>
          <w:szCs w:val="21"/>
        </w:rPr>
      </w:pPr>
      <w:r>
        <w:rPr>
          <w:rFonts w:hint="eastAsia" w:ascii="宋体" w:hAnsi="宋体" w:cs="宋体"/>
          <w:bCs/>
          <w:sz w:val="21"/>
          <w:szCs w:val="21"/>
        </w:rPr>
        <w:t>*3.1.9.3投标方负责拆除既有设备和供应并安装高压开关柜及相关设施（配套提供电缆，光缆、安装场地清理及供应其他安装材料），以及协调接入既有远动系统（国电南京自动化有限公司）和承担相关费用。</w:t>
      </w:r>
    </w:p>
    <w:p>
      <w:pPr>
        <w:spacing w:line="360" w:lineRule="auto"/>
        <w:rPr>
          <w:rFonts w:hint="eastAsia" w:ascii="宋体" w:hAnsi="宋体" w:cs="宋体"/>
          <w:bCs/>
          <w:sz w:val="21"/>
          <w:szCs w:val="21"/>
        </w:rPr>
      </w:pPr>
      <w:r>
        <w:rPr>
          <w:rFonts w:hint="eastAsia" w:ascii="宋体" w:hAnsi="宋体" w:cs="宋体"/>
          <w:bCs/>
          <w:sz w:val="21"/>
          <w:szCs w:val="21"/>
        </w:rPr>
        <w:t>*3.1.9.4投标方应对其产品在本项目的兼容性和适用性负责。在技术联络阶段，投标方主动与相关接口设备投标方共同确定接口事宜，并将接口方案送招标方确认。因设备接口或与项目现场不匹配等原因引起的设备零部件变更时，投标方予以免费修正或更换。</w:t>
      </w:r>
    </w:p>
    <w:p>
      <w:pPr>
        <w:spacing w:line="360" w:lineRule="auto"/>
        <w:rPr>
          <w:rFonts w:hint="eastAsia" w:ascii="宋体" w:hAnsi="宋体" w:cs="宋体"/>
          <w:bCs/>
          <w:sz w:val="21"/>
          <w:szCs w:val="21"/>
        </w:rPr>
      </w:pPr>
      <w:r>
        <w:rPr>
          <w:rFonts w:hint="eastAsia" w:ascii="宋体" w:hAnsi="宋体" w:cs="宋体"/>
          <w:bCs/>
          <w:sz w:val="21"/>
          <w:szCs w:val="21"/>
        </w:rPr>
        <w:t>*3.1.9.5投标方应负责协调统一技术规格书中各设备之间的接口，如所供设备与其它设备间有接口，投标方应根据标书要求及根据技招标方提出的相关资料信息满足设备间接口联系要求，投标方应保证在相互配合方面不出现任何问题。</w:t>
      </w:r>
    </w:p>
    <w:p>
      <w:pPr>
        <w:spacing w:line="360" w:lineRule="auto"/>
        <w:rPr>
          <w:rFonts w:hint="eastAsia" w:ascii="宋体" w:hAnsi="宋体" w:cs="宋体"/>
          <w:sz w:val="21"/>
          <w:szCs w:val="21"/>
        </w:rPr>
      </w:pPr>
      <w:r>
        <w:rPr>
          <w:rFonts w:hint="eastAsia" w:ascii="宋体" w:hAnsi="宋体" w:cs="宋体"/>
          <w:bCs/>
          <w:sz w:val="21"/>
          <w:szCs w:val="21"/>
        </w:rPr>
        <w:t>3.1.9.</w:t>
      </w:r>
      <w:r>
        <w:rPr>
          <w:rFonts w:hint="eastAsia" w:ascii="宋体" w:hAnsi="宋体" w:cs="宋体"/>
          <w:bCs/>
          <w:sz w:val="21"/>
          <w:szCs w:val="21"/>
          <w:lang w:val="en-US" w:eastAsia="zh-CN"/>
        </w:rPr>
        <w:t>6</w:t>
      </w:r>
      <w:r>
        <w:rPr>
          <w:rFonts w:hint="eastAsia" w:ascii="宋体" w:hAnsi="宋体" w:cs="宋体"/>
          <w:bCs/>
          <w:sz w:val="21"/>
          <w:szCs w:val="21"/>
        </w:rPr>
        <w:t>按照大准铁路既有盘面标识标准对高压柜、控制盘盘面的眉头、运行编号进行标识。</w:t>
      </w:r>
    </w:p>
    <w:p>
      <w:pPr>
        <w:spacing w:line="360" w:lineRule="auto"/>
        <w:rPr>
          <w:rFonts w:hint="eastAsia" w:ascii="宋体" w:hAnsi="宋体" w:cs="宋体"/>
          <w:bCs/>
          <w:sz w:val="21"/>
          <w:szCs w:val="21"/>
        </w:rPr>
      </w:pPr>
      <w:r>
        <w:rPr>
          <w:rFonts w:hint="eastAsia" w:ascii="宋体" w:hAnsi="宋体" w:cs="宋体"/>
          <w:bCs/>
          <w:sz w:val="21"/>
          <w:szCs w:val="21"/>
        </w:rPr>
        <w:t>3.1.9.</w:t>
      </w:r>
      <w:r>
        <w:rPr>
          <w:rFonts w:hint="eastAsia" w:ascii="宋体" w:hAnsi="宋体" w:cs="宋体"/>
          <w:bCs/>
          <w:sz w:val="21"/>
          <w:szCs w:val="21"/>
          <w:lang w:val="en-US" w:eastAsia="zh-CN"/>
        </w:rPr>
        <w:t>7</w:t>
      </w:r>
      <w:r>
        <w:rPr>
          <w:rFonts w:hint="eastAsia" w:ascii="宋体" w:hAnsi="宋体" w:cs="宋体"/>
          <w:bCs/>
          <w:sz w:val="21"/>
          <w:szCs w:val="21"/>
        </w:rPr>
        <w:t>本设备技术规范书提出的是最低限度的技术要求，并未对一切技术细节作出规定，也未充分引述有关标准和规范的条文，投标方应提供符合工业标准和本规范书的优质产品及其相应服务。同时必须满足国家有关安全、环保等强制性标准和规范的要求。</w:t>
      </w:r>
    </w:p>
    <w:p>
      <w:pPr>
        <w:spacing w:line="360" w:lineRule="auto"/>
        <w:rPr>
          <w:rFonts w:hint="eastAsia" w:ascii="宋体" w:hAnsi="宋体" w:cs="宋体"/>
          <w:bCs/>
          <w:color w:val="FF0000"/>
          <w:sz w:val="21"/>
          <w:szCs w:val="21"/>
        </w:rPr>
      </w:pPr>
      <w:r>
        <w:rPr>
          <w:rFonts w:hint="eastAsia" w:ascii="宋体" w:hAnsi="宋体" w:cs="宋体"/>
          <w:bCs/>
          <w:sz w:val="21"/>
          <w:szCs w:val="21"/>
        </w:rPr>
        <w:t>3.1.9.</w:t>
      </w:r>
      <w:r>
        <w:rPr>
          <w:rFonts w:hint="eastAsia" w:ascii="宋体" w:hAnsi="宋体" w:cs="宋体"/>
          <w:bCs/>
          <w:sz w:val="21"/>
          <w:szCs w:val="21"/>
          <w:lang w:val="en-US" w:eastAsia="zh-CN"/>
        </w:rPr>
        <w:t>8</w:t>
      </w:r>
      <w:r>
        <w:rPr>
          <w:rFonts w:hint="eastAsia" w:ascii="宋体" w:hAnsi="宋体" w:cs="宋体"/>
          <w:bCs/>
          <w:sz w:val="21"/>
          <w:szCs w:val="21"/>
        </w:rPr>
        <w:t>本设备技术规范书所使用的标准均为最新标准。本设备技术规范书所使用的标准如遇与投标方所执行的标准不一致时，按较高标准执行。</w:t>
      </w:r>
    </w:p>
    <w:p>
      <w:pPr>
        <w:pStyle w:val="2"/>
        <w:spacing w:before="0" w:after="0" w:line="416" w:lineRule="auto"/>
        <w:rPr>
          <w:rFonts w:hint="eastAsia" w:ascii="宋体" w:hAnsi="宋体" w:eastAsia="宋体" w:cs="宋体"/>
          <w:b w:val="0"/>
          <w:bCs/>
          <w:sz w:val="21"/>
          <w:szCs w:val="21"/>
        </w:rPr>
      </w:pPr>
      <w:r>
        <w:rPr>
          <w:rFonts w:hint="eastAsia" w:ascii="宋体" w:hAnsi="宋体" w:eastAsia="宋体" w:cs="宋体"/>
          <w:b w:val="0"/>
          <w:sz w:val="21"/>
          <w:szCs w:val="21"/>
        </w:rPr>
        <w:t>*3</w:t>
      </w:r>
      <w:r>
        <w:rPr>
          <w:rFonts w:hint="eastAsia" w:ascii="宋体" w:hAnsi="宋体" w:eastAsia="宋体" w:cs="宋体"/>
          <w:b w:val="0"/>
          <w:bCs/>
          <w:sz w:val="21"/>
          <w:szCs w:val="21"/>
        </w:rPr>
        <w:t>.1.9.</w:t>
      </w:r>
      <w:r>
        <w:rPr>
          <w:rFonts w:hint="eastAsia" w:ascii="宋体" w:hAnsi="宋体" w:eastAsia="宋体" w:cs="宋体"/>
          <w:b w:val="0"/>
          <w:bCs/>
          <w:sz w:val="21"/>
          <w:szCs w:val="21"/>
          <w:lang w:val="en-US" w:eastAsia="zh-CN"/>
        </w:rPr>
        <w:t>9</w:t>
      </w:r>
      <w:r>
        <w:rPr>
          <w:rFonts w:hint="eastAsia" w:ascii="宋体" w:hAnsi="宋体" w:eastAsia="宋体" w:cs="宋体"/>
          <w:b w:val="0"/>
          <w:bCs/>
          <w:sz w:val="21"/>
          <w:szCs w:val="21"/>
        </w:rPr>
        <w:t xml:space="preserve"> 投标方需将薛家湾、清水河、凉城、燕庄配电所电容室进行整治，体积长宽高:4.3米×3.2米×5.0米，每个配电所整治内容为内墙刮腻子喷漆、更换2个防盗门，室地面铺设PPS板（防火、耐酸碱），厚度为6mm。</w:t>
      </w:r>
    </w:p>
    <w:p>
      <w:pPr>
        <w:spacing w:line="360" w:lineRule="auto"/>
        <w:jc w:val="left"/>
        <w:rPr>
          <w:rFonts w:hint="eastAsia" w:eastAsia="宋体"/>
          <w:sz w:val="21"/>
          <w:szCs w:val="21"/>
          <w:lang w:val="en-US" w:eastAsia="zh-CN"/>
        </w:rPr>
      </w:pPr>
      <w:r>
        <w:rPr>
          <w:rFonts w:hint="eastAsia" w:ascii="宋体" w:hAnsi="宋体" w:cs="宋体"/>
          <w:sz w:val="21"/>
          <w:szCs w:val="21"/>
        </w:rPr>
        <w:t>*3</w:t>
      </w:r>
      <w:r>
        <w:rPr>
          <w:rFonts w:hint="eastAsia" w:ascii="宋体" w:hAnsi="宋体" w:cs="宋体"/>
          <w:bCs/>
          <w:sz w:val="21"/>
          <w:szCs w:val="21"/>
        </w:rPr>
        <w:t>.1.9.1</w:t>
      </w:r>
      <w:r>
        <w:rPr>
          <w:rFonts w:hint="eastAsia" w:ascii="宋体" w:hAnsi="宋体" w:cs="宋体"/>
          <w:bCs/>
          <w:sz w:val="21"/>
          <w:szCs w:val="21"/>
          <w:lang w:val="en-US" w:eastAsia="zh-CN"/>
        </w:rPr>
        <w:t>0</w:t>
      </w:r>
      <w:r>
        <w:rPr>
          <w:rFonts w:hint="eastAsia" w:ascii="宋体" w:hAnsi="宋体" w:cs="宋体"/>
          <w:sz w:val="21"/>
          <w:szCs w:val="21"/>
        </w:rPr>
        <w:t>投标物资具有CMA和CNAS标志国家级认证试验室的型式试验报告和产品质量检验报告</w:t>
      </w:r>
      <w:r>
        <w:rPr>
          <w:rFonts w:hint="eastAsia" w:ascii="宋体" w:hAnsi="宋体" w:cs="宋体"/>
          <w:sz w:val="21"/>
          <w:szCs w:val="21"/>
          <w:lang w:val="en-US" w:eastAsia="zh-CN"/>
        </w:rPr>
        <w:t>.</w:t>
      </w:r>
    </w:p>
    <w:p>
      <w:pPr>
        <w:pStyle w:val="2"/>
        <w:keepNext/>
        <w:keepLines/>
        <w:pageBreakBefore w:val="0"/>
        <w:widowControl w:val="0"/>
        <w:kinsoku/>
        <w:wordWrap/>
        <w:overflowPunct/>
        <w:topLinePunct w:val="0"/>
        <w:autoSpaceDE/>
        <w:autoSpaceDN/>
        <w:bidi w:val="0"/>
        <w:adjustRightInd/>
        <w:snapToGrid/>
        <w:spacing w:line="240" w:lineRule="auto"/>
        <w:textAlignment w:val="auto"/>
        <w:outlineLvl w:val="1"/>
        <w:rPr>
          <w:rFonts w:hint="eastAsia" w:ascii="宋体" w:hAnsi="宋体" w:eastAsia="宋体" w:cs="宋体"/>
          <w:b w:val="0"/>
          <w:kern w:val="2"/>
          <w:sz w:val="21"/>
          <w:szCs w:val="21"/>
          <w:lang w:val="en-US" w:eastAsia="zh-CN" w:bidi="ar-SA"/>
        </w:rPr>
      </w:pPr>
      <w:r>
        <w:rPr>
          <w:rFonts w:hint="eastAsia" w:ascii="宋体" w:hAnsi="宋体" w:eastAsia="宋体" w:cs="宋体"/>
          <w:b w:val="0"/>
          <w:kern w:val="2"/>
          <w:sz w:val="21"/>
          <w:szCs w:val="21"/>
          <w:lang w:val="en-US" w:eastAsia="zh-CN" w:bidi="ar-SA"/>
        </w:rPr>
        <w:t>3.1.9.11投标方须提供产品PCCC认证。</w:t>
      </w:r>
    </w:p>
    <w:p>
      <w:pPr>
        <w:pStyle w:val="2"/>
        <w:keepNext/>
        <w:keepLines/>
        <w:pageBreakBefore w:val="0"/>
        <w:widowControl w:val="0"/>
        <w:kinsoku/>
        <w:wordWrap/>
        <w:overflowPunct/>
        <w:topLinePunct w:val="0"/>
        <w:autoSpaceDE/>
        <w:autoSpaceDN/>
        <w:bidi w:val="0"/>
        <w:adjustRightInd/>
        <w:snapToGrid/>
        <w:spacing w:line="240" w:lineRule="auto"/>
        <w:textAlignment w:val="auto"/>
        <w:outlineLvl w:val="1"/>
        <w:rPr>
          <w:rFonts w:hint="eastAsia" w:ascii="宋体" w:hAnsi="宋体" w:eastAsia="宋体" w:cs="宋体"/>
          <w:b w:val="0"/>
          <w:kern w:val="2"/>
          <w:sz w:val="21"/>
          <w:szCs w:val="21"/>
          <w:lang w:val="en-US" w:eastAsia="zh-CN" w:bidi="ar-SA"/>
        </w:rPr>
      </w:pPr>
      <w:r>
        <w:rPr>
          <w:rFonts w:hint="eastAsia" w:ascii="宋体" w:hAnsi="宋体" w:eastAsia="宋体" w:cs="宋体"/>
          <w:b w:val="0"/>
          <w:kern w:val="2"/>
          <w:sz w:val="21"/>
          <w:szCs w:val="21"/>
          <w:lang w:val="en-US" w:eastAsia="zh-CN" w:bidi="ar-SA"/>
        </w:rPr>
        <w:t>3.1.9.12投标方须提供由国内权威检测机构出具的10kV干式电抗器检验报告。</w:t>
      </w:r>
    </w:p>
    <w:p>
      <w:pPr>
        <w:pStyle w:val="2"/>
        <w:keepNext/>
        <w:keepLines/>
        <w:pageBreakBefore w:val="0"/>
        <w:widowControl w:val="0"/>
        <w:kinsoku/>
        <w:wordWrap/>
        <w:overflowPunct/>
        <w:topLinePunct w:val="0"/>
        <w:autoSpaceDE/>
        <w:autoSpaceDN/>
        <w:bidi w:val="0"/>
        <w:adjustRightInd/>
        <w:snapToGrid/>
        <w:spacing w:line="240" w:lineRule="auto"/>
        <w:textAlignment w:val="auto"/>
        <w:outlineLvl w:val="1"/>
        <w:rPr>
          <w:rFonts w:hint="eastAsia" w:ascii="宋体" w:hAnsi="宋体" w:eastAsia="宋体" w:cs="宋体"/>
          <w:b w:val="0"/>
          <w:kern w:val="2"/>
          <w:sz w:val="21"/>
          <w:szCs w:val="21"/>
          <w:lang w:val="en-US" w:eastAsia="zh-CN" w:bidi="ar-SA"/>
        </w:rPr>
      </w:pPr>
      <w:r>
        <w:rPr>
          <w:rFonts w:hint="eastAsia" w:ascii="宋体" w:hAnsi="宋体" w:eastAsia="宋体" w:cs="宋体"/>
          <w:b w:val="0"/>
          <w:kern w:val="2"/>
          <w:sz w:val="21"/>
          <w:szCs w:val="21"/>
          <w:lang w:val="en-US" w:eastAsia="zh-CN" w:bidi="ar-SA"/>
        </w:rPr>
        <w:t>3.1.9.13投标方须提供由国内权威检测机构出具的10kV干式电抗器响应时间检测报告（响应时间≤200ms）。</w:t>
      </w:r>
    </w:p>
    <w:p>
      <w:pPr>
        <w:pStyle w:val="2"/>
        <w:keepNext/>
        <w:keepLines/>
        <w:pageBreakBefore w:val="0"/>
        <w:widowControl w:val="0"/>
        <w:kinsoku/>
        <w:wordWrap/>
        <w:overflowPunct/>
        <w:topLinePunct w:val="0"/>
        <w:autoSpaceDE/>
        <w:autoSpaceDN/>
        <w:bidi w:val="0"/>
        <w:adjustRightInd/>
        <w:snapToGrid/>
        <w:spacing w:line="240" w:lineRule="auto"/>
        <w:textAlignment w:val="auto"/>
        <w:outlineLvl w:val="1"/>
        <w:rPr>
          <w:rFonts w:hint="eastAsia" w:ascii="宋体" w:hAnsi="宋体" w:eastAsia="宋体" w:cs="宋体"/>
          <w:b w:val="0"/>
          <w:kern w:val="2"/>
          <w:sz w:val="21"/>
          <w:szCs w:val="21"/>
          <w:lang w:val="en-US" w:eastAsia="zh-CN" w:bidi="ar-SA"/>
        </w:rPr>
      </w:pPr>
      <w:r>
        <w:rPr>
          <w:rFonts w:hint="eastAsia" w:ascii="宋体" w:hAnsi="宋体" w:eastAsia="宋体" w:cs="宋体"/>
          <w:b w:val="0"/>
          <w:kern w:val="2"/>
          <w:sz w:val="21"/>
          <w:szCs w:val="21"/>
          <w:lang w:val="en-US" w:eastAsia="zh-CN" w:bidi="ar-SA"/>
        </w:rPr>
        <w:t>3.1.9.14本设备技术规范书经买卖双方确认后作为订货合同的技术附件，与合同正文具有同等的法律效力。</w:t>
      </w:r>
    </w:p>
    <w:p>
      <w:pPr>
        <w:pStyle w:val="2"/>
        <w:keepNext/>
        <w:keepLines/>
        <w:pageBreakBefore w:val="0"/>
        <w:widowControl w:val="0"/>
        <w:kinsoku/>
        <w:wordWrap/>
        <w:overflowPunct/>
        <w:topLinePunct w:val="0"/>
        <w:autoSpaceDE/>
        <w:autoSpaceDN/>
        <w:bidi w:val="0"/>
        <w:adjustRightInd/>
        <w:snapToGrid/>
        <w:spacing w:line="240" w:lineRule="auto"/>
        <w:textAlignment w:val="auto"/>
        <w:outlineLvl w:val="1"/>
        <w:rPr>
          <w:rFonts w:hint="eastAsia" w:ascii="宋体" w:hAnsi="宋体" w:eastAsia="宋体" w:cs="宋体"/>
          <w:b w:val="0"/>
          <w:sz w:val="21"/>
          <w:szCs w:val="21"/>
        </w:rPr>
      </w:pPr>
      <w:r>
        <w:rPr>
          <w:rFonts w:hint="eastAsia" w:ascii="宋体" w:hAnsi="宋体" w:eastAsia="宋体" w:cs="宋体"/>
          <w:b w:val="0"/>
          <w:kern w:val="2"/>
          <w:sz w:val="21"/>
          <w:szCs w:val="21"/>
          <w:lang w:val="en-US" w:eastAsia="zh-CN" w:bidi="ar-SA"/>
        </w:rPr>
        <w:t xml:space="preserve">3.1.9.15投标物资具有CMA和CNAS标志国家级认证试验室的型式试验报告和产品质量检验报告； </w:t>
      </w:r>
    </w:p>
    <w:p>
      <w:pPr>
        <w:pStyle w:val="2"/>
        <w:spacing w:before="0" w:after="0" w:line="360" w:lineRule="auto"/>
        <w:rPr>
          <w:rFonts w:hint="eastAsia" w:ascii="宋体" w:hAnsi="宋体" w:eastAsia="宋体" w:cs="宋体"/>
          <w:b w:val="0"/>
          <w:sz w:val="21"/>
          <w:szCs w:val="21"/>
        </w:rPr>
      </w:pPr>
      <w:r>
        <w:rPr>
          <w:rFonts w:hint="eastAsia" w:ascii="宋体" w:hAnsi="宋体" w:eastAsia="宋体" w:cs="宋体"/>
          <w:b w:val="0"/>
          <w:sz w:val="21"/>
          <w:szCs w:val="21"/>
        </w:rPr>
        <w:t>*3.1.1</w:t>
      </w:r>
      <w:r>
        <w:rPr>
          <w:rFonts w:hint="eastAsia" w:ascii="宋体" w:hAnsi="宋体" w:eastAsia="宋体" w:cs="宋体"/>
          <w:b w:val="0"/>
          <w:sz w:val="21"/>
          <w:szCs w:val="21"/>
          <w:lang w:val="en-US" w:eastAsia="zh-CN"/>
        </w:rPr>
        <w:t>6</w:t>
      </w:r>
      <w:r>
        <w:rPr>
          <w:rFonts w:hint="eastAsia" w:ascii="宋体" w:hAnsi="宋体" w:eastAsia="宋体" w:cs="宋体"/>
          <w:b w:val="0"/>
          <w:sz w:val="21"/>
          <w:szCs w:val="21"/>
        </w:rPr>
        <w:t>配套材料要求</w:t>
      </w:r>
    </w:p>
    <w:p>
      <w:pPr>
        <w:spacing w:line="360" w:lineRule="auto"/>
        <w:rPr>
          <w:rFonts w:hint="eastAsia" w:ascii="宋体" w:hAnsi="宋体" w:cs="宋体"/>
          <w:sz w:val="21"/>
          <w:szCs w:val="21"/>
        </w:rPr>
      </w:pPr>
      <w:r>
        <w:rPr>
          <w:rFonts w:hint="eastAsia" w:ascii="宋体" w:hAnsi="宋体" w:cs="宋体"/>
          <w:sz w:val="21"/>
          <w:szCs w:val="21"/>
        </w:rPr>
        <w:t>投标方负责提供（费用包含在本项目内）：补偿控制模块6块，大功率晶体管模块6套。VMCU多点控制单元1套（vMCU Suite一体化套件，内置会管平台、注册和穿越服务器、软MCU等组件，支持10路1080P高清，20路硬终端注册，30路软终端注册，30M穿越流量。）招标方负责提供IP，投标方对25处软终端TE Desktop &amp; Mobile调试及硬件安装调试。要求中标方为招标方配套提供20套华为TE10终端及20套50吋4K液晶显示屏并且负责接入大准铁路会议系统的多点控制单元VMCU系统内，建设一套高清视频会议系统，招标方负责提供IP，投标方对25处软终端TE Desktop &amp; Mobile调试及硬件安装调试。</w:t>
      </w:r>
    </w:p>
    <w:p>
      <w:pPr>
        <w:spacing w:line="360" w:lineRule="auto"/>
        <w:rPr>
          <w:rFonts w:hint="eastAsia" w:ascii="宋体" w:hAnsi="宋体" w:cs="宋体"/>
          <w:b/>
          <w:sz w:val="21"/>
          <w:szCs w:val="21"/>
        </w:rPr>
      </w:pPr>
      <w:r>
        <w:rPr>
          <w:rFonts w:hint="eastAsia" w:ascii="宋体" w:hAnsi="宋体" w:cs="宋体"/>
          <w:b/>
          <w:sz w:val="21"/>
          <w:szCs w:val="21"/>
        </w:rPr>
        <w:t>3.2投标方按如下要求对投标设备的结构、性能进行详细描述。</w:t>
      </w:r>
    </w:p>
    <w:p>
      <w:pPr>
        <w:spacing w:line="360" w:lineRule="auto"/>
        <w:rPr>
          <w:rFonts w:hint="eastAsia" w:ascii="宋体" w:hAnsi="宋体" w:cs="宋体"/>
          <w:bCs/>
          <w:sz w:val="21"/>
          <w:szCs w:val="21"/>
        </w:rPr>
      </w:pPr>
      <w:r>
        <w:rPr>
          <w:rFonts w:hint="eastAsia" w:ascii="宋体" w:hAnsi="宋体" w:cs="宋体"/>
          <w:bCs/>
          <w:sz w:val="21"/>
          <w:szCs w:val="21"/>
        </w:rPr>
        <w:t>3.2.1设备的构造。</w:t>
      </w:r>
    </w:p>
    <w:p>
      <w:pPr>
        <w:spacing w:line="360" w:lineRule="auto"/>
        <w:rPr>
          <w:rFonts w:hint="eastAsia" w:ascii="宋体" w:hAnsi="宋体" w:cs="宋体"/>
          <w:bCs/>
          <w:sz w:val="21"/>
          <w:szCs w:val="21"/>
        </w:rPr>
      </w:pPr>
      <w:r>
        <w:rPr>
          <w:rFonts w:hint="eastAsia" w:ascii="宋体" w:hAnsi="宋体" w:cs="宋体"/>
          <w:bCs/>
          <w:sz w:val="21"/>
          <w:szCs w:val="21"/>
        </w:rPr>
        <w:t>3.2.2设备的组成清单，包括规格型号、生产厂家、技术参数。</w:t>
      </w:r>
    </w:p>
    <w:p>
      <w:pPr>
        <w:spacing w:line="360" w:lineRule="auto"/>
        <w:rPr>
          <w:rFonts w:hint="eastAsia" w:ascii="宋体" w:hAnsi="宋体" w:cs="宋体"/>
          <w:bCs/>
          <w:sz w:val="21"/>
          <w:szCs w:val="21"/>
        </w:rPr>
      </w:pPr>
      <w:r>
        <w:rPr>
          <w:rFonts w:hint="eastAsia" w:ascii="宋体" w:hAnsi="宋体" w:cs="宋体"/>
          <w:bCs/>
          <w:sz w:val="21"/>
          <w:szCs w:val="21"/>
        </w:rPr>
        <w:t>3.2.3设备的主要技术指标。</w:t>
      </w:r>
    </w:p>
    <w:p>
      <w:pPr>
        <w:spacing w:line="360" w:lineRule="auto"/>
        <w:jc w:val="left"/>
        <w:rPr>
          <w:rFonts w:hint="eastAsia" w:ascii="宋体" w:hAnsi="宋体" w:cs="宋体"/>
          <w:bCs/>
          <w:sz w:val="21"/>
          <w:szCs w:val="21"/>
        </w:rPr>
      </w:pPr>
      <w:r>
        <w:rPr>
          <w:rFonts w:hint="eastAsia" w:ascii="宋体" w:hAnsi="宋体" w:cs="宋体"/>
          <w:bCs/>
          <w:sz w:val="21"/>
          <w:szCs w:val="21"/>
        </w:rPr>
        <w:t xml:space="preserve">3.2.4其它技术描述。 </w:t>
      </w:r>
    </w:p>
    <w:p>
      <w:pPr>
        <w:spacing w:line="360" w:lineRule="auto"/>
        <w:rPr>
          <w:rFonts w:hint="eastAsia" w:ascii="宋体" w:hAnsi="宋体" w:cs="宋体"/>
          <w:sz w:val="21"/>
          <w:szCs w:val="21"/>
        </w:rPr>
      </w:pPr>
      <w:r>
        <w:rPr>
          <w:rFonts w:hint="eastAsia" w:ascii="宋体" w:hAnsi="宋体" w:cs="宋体"/>
          <w:b/>
          <w:bCs/>
          <w:sz w:val="21"/>
          <w:szCs w:val="21"/>
        </w:rPr>
        <w:t>4.供货范围</w:t>
      </w:r>
    </w:p>
    <w:p>
      <w:pPr>
        <w:spacing w:line="400" w:lineRule="exact"/>
        <w:ind w:firstLine="420" w:firstLineChars="200"/>
        <w:rPr>
          <w:rFonts w:hint="eastAsia" w:ascii="宋体" w:hAnsi="宋体" w:cs="宋体"/>
          <w:sz w:val="21"/>
          <w:szCs w:val="21"/>
        </w:rPr>
      </w:pPr>
      <w:r>
        <w:rPr>
          <w:rFonts w:hint="eastAsia" w:ascii="宋体" w:hAnsi="宋体" w:cs="宋体"/>
          <w:sz w:val="21"/>
          <w:szCs w:val="21"/>
        </w:rPr>
        <w:t>完整的、全新的、符合制造标准的、满足本技术规范书各项条件及技术要求的标准配置。其中包括安装调试设备所必需的全部零件和材料（如连接件、电气安装材料等）。供货范围详见下表(可不限于此）。</w:t>
      </w:r>
    </w:p>
    <w:tbl>
      <w:tblPr>
        <w:tblStyle w:val="8"/>
        <w:tblW w:w="9069" w:type="dxa"/>
        <w:tblInd w:w="130" w:type="dxa"/>
        <w:tblLayout w:type="fixed"/>
        <w:tblCellMar>
          <w:top w:w="0" w:type="dxa"/>
          <w:left w:w="108" w:type="dxa"/>
          <w:bottom w:w="0" w:type="dxa"/>
          <w:right w:w="108" w:type="dxa"/>
        </w:tblCellMar>
      </w:tblPr>
      <w:tblGrid>
        <w:gridCol w:w="726"/>
        <w:gridCol w:w="2960"/>
        <w:gridCol w:w="796"/>
        <w:gridCol w:w="796"/>
        <w:gridCol w:w="3791"/>
      </w:tblGrid>
      <w:tr>
        <w:tblPrEx>
          <w:tblLayout w:type="fixed"/>
          <w:tblCellMar>
            <w:top w:w="0" w:type="dxa"/>
            <w:left w:w="108" w:type="dxa"/>
            <w:bottom w:w="0" w:type="dxa"/>
            <w:right w:w="108" w:type="dxa"/>
          </w:tblCellMar>
        </w:tblPrEx>
        <w:trPr>
          <w:trHeight w:val="476" w:hRule="atLeast"/>
        </w:trPr>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序号</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货物名称</w:t>
            </w:r>
          </w:p>
        </w:tc>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单位</w:t>
            </w:r>
          </w:p>
        </w:tc>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数量</w:t>
            </w:r>
          </w:p>
        </w:tc>
        <w:tc>
          <w:tcPr>
            <w:tcW w:w="37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sz w:val="21"/>
                <w:szCs w:val="21"/>
              </w:rPr>
            </w:pPr>
            <w:r>
              <w:rPr>
                <w:rFonts w:hint="eastAsia" w:ascii="宋体" w:hAnsi="宋体" w:cs="宋体"/>
                <w:bCs/>
                <w:sz w:val="21"/>
                <w:szCs w:val="21"/>
              </w:rPr>
              <w:t>交货时间</w:t>
            </w:r>
          </w:p>
        </w:tc>
      </w:tr>
      <w:tr>
        <w:tblPrEx>
          <w:tblLayout w:type="fixed"/>
          <w:tblCellMar>
            <w:top w:w="0" w:type="dxa"/>
            <w:left w:w="108" w:type="dxa"/>
            <w:bottom w:w="0" w:type="dxa"/>
            <w:right w:w="108" w:type="dxa"/>
          </w:tblCellMar>
        </w:tblPrEx>
        <w:trPr>
          <w:trHeight w:val="462" w:hRule="atLeast"/>
        </w:trPr>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1</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配电所动态无功补偿装置</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6</w:t>
            </w:r>
          </w:p>
        </w:tc>
        <w:tc>
          <w:tcPr>
            <w:tcW w:w="379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bCs/>
                <w:color w:val="auto"/>
                <w:sz w:val="21"/>
                <w:szCs w:val="21"/>
                <w:lang w:eastAsia="zh-CN"/>
              </w:rPr>
            </w:pPr>
            <w:r>
              <w:rPr>
                <w:rFonts w:hint="eastAsia" w:ascii="宋体" w:hAnsi="宋体" w:cs="宋体"/>
                <w:bCs/>
                <w:color w:val="auto"/>
                <w:sz w:val="21"/>
                <w:szCs w:val="21"/>
              </w:rPr>
              <w:t>自签订合同之日起</w:t>
            </w:r>
            <w:r>
              <w:rPr>
                <w:rFonts w:hint="eastAsia" w:ascii="宋体" w:hAnsi="宋体" w:cs="宋体"/>
                <w:bCs/>
                <w:color w:val="auto"/>
                <w:sz w:val="21"/>
                <w:szCs w:val="21"/>
                <w:lang w:eastAsia="zh-CN"/>
              </w:rPr>
              <w:t>2个月内</w:t>
            </w:r>
          </w:p>
        </w:tc>
      </w:tr>
      <w:tr>
        <w:tblPrEx>
          <w:tblLayout w:type="fixed"/>
          <w:tblCellMar>
            <w:top w:w="0" w:type="dxa"/>
            <w:left w:w="108" w:type="dxa"/>
            <w:bottom w:w="0" w:type="dxa"/>
            <w:right w:w="108" w:type="dxa"/>
          </w:tblCellMar>
        </w:tblPrEx>
        <w:trPr>
          <w:trHeight w:val="462" w:hRule="atLeast"/>
        </w:trPr>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2</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color w:val="auto"/>
                <w:sz w:val="21"/>
                <w:szCs w:val="21"/>
              </w:rPr>
              <w:t>VMCU多点控制单元</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1</w:t>
            </w:r>
          </w:p>
        </w:tc>
        <w:tc>
          <w:tcPr>
            <w:tcW w:w="379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随设备配套供应</w:t>
            </w:r>
          </w:p>
        </w:tc>
      </w:tr>
      <w:tr>
        <w:tblPrEx>
          <w:tblLayout w:type="fixed"/>
          <w:tblCellMar>
            <w:top w:w="0" w:type="dxa"/>
            <w:left w:w="108" w:type="dxa"/>
            <w:bottom w:w="0" w:type="dxa"/>
            <w:right w:w="108" w:type="dxa"/>
          </w:tblCellMar>
        </w:tblPrEx>
        <w:trPr>
          <w:trHeight w:val="462" w:hRule="atLeast"/>
        </w:trPr>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3</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color w:val="auto"/>
                <w:sz w:val="21"/>
                <w:szCs w:val="21"/>
              </w:rPr>
              <w:t>华为TE10终端</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20</w:t>
            </w:r>
          </w:p>
        </w:tc>
        <w:tc>
          <w:tcPr>
            <w:tcW w:w="379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随设备配套供应</w:t>
            </w:r>
          </w:p>
        </w:tc>
      </w:tr>
      <w:tr>
        <w:tblPrEx>
          <w:tblLayout w:type="fixed"/>
          <w:tblCellMar>
            <w:top w:w="0" w:type="dxa"/>
            <w:left w:w="108" w:type="dxa"/>
            <w:bottom w:w="0" w:type="dxa"/>
            <w:right w:w="108" w:type="dxa"/>
          </w:tblCellMar>
        </w:tblPrEx>
        <w:trPr>
          <w:trHeight w:val="462" w:hRule="atLeast"/>
        </w:trPr>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4</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color w:val="auto"/>
                <w:sz w:val="21"/>
                <w:szCs w:val="21"/>
              </w:rPr>
              <w:t>50吋4K液晶显示屏</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20</w:t>
            </w:r>
          </w:p>
        </w:tc>
        <w:tc>
          <w:tcPr>
            <w:tcW w:w="379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随设备配套供应</w:t>
            </w:r>
          </w:p>
        </w:tc>
      </w:tr>
      <w:tr>
        <w:tblPrEx>
          <w:tblLayout w:type="fixed"/>
          <w:tblCellMar>
            <w:top w:w="0" w:type="dxa"/>
            <w:left w:w="108" w:type="dxa"/>
            <w:bottom w:w="0" w:type="dxa"/>
            <w:right w:w="108" w:type="dxa"/>
          </w:tblCellMar>
        </w:tblPrEx>
        <w:trPr>
          <w:trHeight w:val="462" w:hRule="atLeast"/>
        </w:trPr>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5</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补偿控制模块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6</w:t>
            </w:r>
          </w:p>
        </w:tc>
        <w:tc>
          <w:tcPr>
            <w:tcW w:w="379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随设备配套供应</w:t>
            </w:r>
          </w:p>
        </w:tc>
      </w:tr>
      <w:tr>
        <w:tblPrEx>
          <w:tblLayout w:type="fixed"/>
          <w:tblCellMar>
            <w:top w:w="0" w:type="dxa"/>
            <w:left w:w="108" w:type="dxa"/>
            <w:bottom w:w="0" w:type="dxa"/>
            <w:right w:w="108" w:type="dxa"/>
          </w:tblCellMar>
        </w:tblPrEx>
        <w:trPr>
          <w:trHeight w:val="462" w:hRule="atLeast"/>
        </w:trPr>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6</w:t>
            </w:r>
          </w:p>
        </w:tc>
        <w:tc>
          <w:tcPr>
            <w:tcW w:w="296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大功率晶体管模块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套</w:t>
            </w:r>
          </w:p>
        </w:tc>
        <w:tc>
          <w:tcPr>
            <w:tcW w:w="79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6</w:t>
            </w:r>
          </w:p>
        </w:tc>
        <w:tc>
          <w:tcPr>
            <w:tcW w:w="3791"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cs="宋体"/>
                <w:bCs/>
                <w:color w:val="auto"/>
                <w:sz w:val="21"/>
                <w:szCs w:val="21"/>
              </w:rPr>
            </w:pPr>
            <w:r>
              <w:rPr>
                <w:rFonts w:hint="eastAsia" w:ascii="宋体" w:hAnsi="宋体" w:cs="宋体"/>
                <w:bCs/>
                <w:color w:val="auto"/>
                <w:sz w:val="21"/>
                <w:szCs w:val="21"/>
              </w:rPr>
              <w:t>随设备配套供应</w:t>
            </w:r>
          </w:p>
        </w:tc>
      </w:tr>
    </w:tbl>
    <w:p>
      <w:pPr>
        <w:rPr>
          <w:rFonts w:hint="eastAsia"/>
          <w:sz w:val="21"/>
          <w:szCs w:val="21"/>
        </w:rPr>
      </w:pPr>
    </w:p>
    <w:p>
      <w:pPr>
        <w:spacing w:line="400" w:lineRule="exact"/>
        <w:rPr>
          <w:rFonts w:hint="eastAsia" w:ascii="宋体" w:hAnsi="宋体" w:cs="宋体"/>
          <w:b/>
          <w:sz w:val="21"/>
          <w:szCs w:val="21"/>
        </w:rPr>
      </w:pPr>
      <w:r>
        <w:rPr>
          <w:rFonts w:hint="eastAsia" w:ascii="宋体" w:hAnsi="宋体" w:cs="宋体"/>
          <w:b/>
          <w:sz w:val="21"/>
          <w:szCs w:val="21"/>
        </w:rPr>
        <w:t>5.技术资料</w:t>
      </w:r>
    </w:p>
    <w:p>
      <w:pPr>
        <w:spacing w:line="400" w:lineRule="exact"/>
        <w:rPr>
          <w:rFonts w:hint="eastAsia" w:ascii="宋体" w:hAnsi="宋体" w:cs="宋体"/>
          <w:bCs/>
          <w:sz w:val="21"/>
          <w:szCs w:val="21"/>
        </w:rPr>
      </w:pPr>
      <w:r>
        <w:rPr>
          <w:rFonts w:hint="eastAsia" w:ascii="宋体" w:hAnsi="宋体" w:cs="宋体"/>
          <w:bCs/>
          <w:sz w:val="21"/>
          <w:szCs w:val="21"/>
        </w:rPr>
        <w:t>5.1投标方必须随设备交付（但不仅限于此）的技术资料，基础资料（包括出厂测试报告）、《操作手册》、《配件图册》、《保养维修手册》各3套，合格证1套，并提供设备竣工档案2套，提供电子版操作规程及作业指导书（图文结合）。</w:t>
      </w:r>
    </w:p>
    <w:p>
      <w:pPr>
        <w:spacing w:line="400" w:lineRule="exact"/>
        <w:rPr>
          <w:rFonts w:hint="eastAsia" w:ascii="宋体" w:hAnsi="宋体" w:cs="宋体"/>
          <w:sz w:val="21"/>
          <w:szCs w:val="21"/>
        </w:rPr>
      </w:pPr>
      <w:r>
        <w:rPr>
          <w:rFonts w:hint="eastAsia" w:ascii="宋体" w:hAnsi="宋体" w:cs="宋体"/>
          <w:sz w:val="21"/>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spacing w:line="400" w:lineRule="exact"/>
        <w:rPr>
          <w:rFonts w:hint="eastAsia" w:ascii="宋体" w:hAnsi="宋体" w:cs="宋体"/>
          <w:sz w:val="21"/>
          <w:szCs w:val="21"/>
        </w:rPr>
      </w:pPr>
      <w:r>
        <w:rPr>
          <w:rFonts w:hint="eastAsia" w:ascii="宋体" w:hAnsi="宋体" w:cs="宋体"/>
          <w:sz w:val="21"/>
          <w:szCs w:val="21"/>
        </w:rPr>
        <w:t xml:space="preserve">5.1.2《保养维修手册》中要求详列有关检修方法及技术标准；详列设备的日常点检、安全注意事项。 </w:t>
      </w:r>
    </w:p>
    <w:p>
      <w:pPr>
        <w:spacing w:line="400" w:lineRule="exact"/>
        <w:rPr>
          <w:rFonts w:hint="eastAsia" w:ascii="宋体" w:hAnsi="宋体" w:cs="宋体"/>
          <w:sz w:val="21"/>
          <w:szCs w:val="21"/>
        </w:rPr>
      </w:pPr>
      <w:r>
        <w:rPr>
          <w:rFonts w:hint="eastAsia" w:ascii="宋体" w:hAnsi="宋体" w:cs="宋体"/>
          <w:sz w:val="21"/>
          <w:szCs w:val="21"/>
        </w:rPr>
        <w:t>5.1.3《操作手册》、《保养维修手册》、《配件图册》分开或集成均可以。</w:t>
      </w:r>
    </w:p>
    <w:p>
      <w:pPr>
        <w:spacing w:line="400" w:lineRule="exact"/>
        <w:rPr>
          <w:rFonts w:hint="eastAsia" w:ascii="宋体" w:hAnsi="宋体" w:cs="宋体"/>
          <w:bCs/>
          <w:sz w:val="21"/>
          <w:szCs w:val="21"/>
        </w:rPr>
      </w:pPr>
      <w:bookmarkStart w:id="3" w:name="_Toc470074031"/>
      <w:r>
        <w:rPr>
          <w:rFonts w:hint="eastAsia" w:ascii="宋体" w:hAnsi="宋体" w:cs="宋体"/>
          <w:sz w:val="21"/>
          <w:szCs w:val="21"/>
        </w:rPr>
        <w:t>5.2</w:t>
      </w:r>
      <w:r>
        <w:rPr>
          <w:rFonts w:hint="eastAsia" w:ascii="宋体" w:hAnsi="宋体" w:cs="宋体"/>
          <w:bCs/>
          <w:sz w:val="21"/>
          <w:szCs w:val="21"/>
        </w:rPr>
        <w:t>投标方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spacing w:line="360" w:lineRule="auto"/>
        <w:rPr>
          <w:rFonts w:hint="eastAsia" w:ascii="宋体" w:hAnsi="宋体" w:cs="宋体"/>
          <w:b/>
          <w:sz w:val="21"/>
          <w:szCs w:val="21"/>
        </w:rPr>
      </w:pPr>
      <w:r>
        <w:rPr>
          <w:rFonts w:hint="eastAsia" w:ascii="宋体" w:hAnsi="宋体" w:cs="宋体"/>
          <w:b/>
          <w:bCs/>
          <w:sz w:val="21"/>
          <w:szCs w:val="21"/>
        </w:rPr>
        <w:t>6.技术服务、培训</w:t>
      </w:r>
    </w:p>
    <w:p>
      <w:pPr>
        <w:adjustRightInd w:val="0"/>
        <w:spacing w:line="360" w:lineRule="auto"/>
        <w:rPr>
          <w:rFonts w:hint="eastAsia" w:ascii="宋体" w:cs="新宋体"/>
          <w:b/>
          <w:sz w:val="21"/>
          <w:szCs w:val="21"/>
        </w:rPr>
      </w:pPr>
      <w:r>
        <w:rPr>
          <w:rFonts w:hint="eastAsia" w:ascii="宋体" w:cs="新宋体"/>
          <w:b/>
          <w:sz w:val="21"/>
          <w:szCs w:val="21"/>
        </w:rPr>
        <w:t>6.1设计联络</w:t>
      </w:r>
    </w:p>
    <w:p>
      <w:pPr>
        <w:tabs>
          <w:tab w:val="left" w:pos="525"/>
        </w:tabs>
        <w:spacing w:line="360" w:lineRule="auto"/>
        <w:rPr>
          <w:rFonts w:hint="eastAsia" w:ascii="宋体"/>
          <w:sz w:val="21"/>
          <w:szCs w:val="21"/>
        </w:rPr>
      </w:pPr>
      <w:r>
        <w:rPr>
          <w:rFonts w:hint="eastAsia" w:ascii="宋体"/>
          <w:snapToGrid w:val="0"/>
          <w:kern w:val="0"/>
          <w:sz w:val="21"/>
          <w:szCs w:val="21"/>
        </w:rPr>
        <w:t>6.1.1在合同生效后，设备制造之前，投标方将设计方案、需要了解和解读的技术要求提交给招标方使用单位，由使用单位进行审定，必要时进行深入沟通和讨论，确定具体设计方案，经使用单位书面签字确认。</w:t>
      </w:r>
      <w:r>
        <w:rPr>
          <w:rFonts w:hint="eastAsia" w:ascii="宋体"/>
          <w:sz w:val="21"/>
          <w:szCs w:val="21"/>
        </w:rPr>
        <w:t>投标方设计完成后在投标方生产现场进行设计联络一次（5人），会务费用由投标方负责，包括食宿、交通费用。</w:t>
      </w:r>
    </w:p>
    <w:p>
      <w:pPr>
        <w:tabs>
          <w:tab w:val="left" w:pos="525"/>
        </w:tabs>
        <w:spacing w:line="360" w:lineRule="auto"/>
        <w:rPr>
          <w:rFonts w:hint="eastAsia" w:ascii="宋体" w:cs="新宋体"/>
          <w:bCs/>
          <w:sz w:val="21"/>
          <w:szCs w:val="21"/>
        </w:rPr>
      </w:pPr>
      <w:r>
        <w:rPr>
          <w:rFonts w:hint="eastAsia" w:ascii="宋体"/>
          <w:sz w:val="21"/>
          <w:szCs w:val="21"/>
        </w:rPr>
        <w:t>6.1.2在设备调试、试运转以及整机质量保证内。投标方应派遣必要数量的有资格、有经验、有技术、健康、能胜任工作的技术人员到招标方现场从事技术服务工作，在正确安装维修、故障排除、操作使用等方面为招标方提供技术上的帮助和支持，以保证顺利投入使用。</w:t>
      </w:r>
    </w:p>
    <w:p>
      <w:pPr>
        <w:adjustRightInd w:val="0"/>
        <w:spacing w:line="360" w:lineRule="auto"/>
        <w:outlineLvl w:val="0"/>
        <w:rPr>
          <w:rFonts w:hint="eastAsia" w:ascii="宋体" w:cs="新宋体"/>
          <w:b/>
          <w:sz w:val="21"/>
          <w:szCs w:val="21"/>
        </w:rPr>
      </w:pPr>
      <w:r>
        <w:rPr>
          <w:rFonts w:hint="eastAsia" w:ascii="宋体" w:cs="新宋体"/>
          <w:b/>
          <w:sz w:val="21"/>
          <w:szCs w:val="21"/>
        </w:rPr>
        <w:t>6.2技术服务</w:t>
      </w:r>
    </w:p>
    <w:p>
      <w:pPr>
        <w:spacing w:line="360" w:lineRule="auto"/>
        <w:rPr>
          <w:rFonts w:hint="eastAsia" w:ascii="宋体"/>
          <w:snapToGrid w:val="0"/>
          <w:kern w:val="0"/>
          <w:sz w:val="21"/>
          <w:szCs w:val="21"/>
        </w:rPr>
      </w:pPr>
      <w:r>
        <w:rPr>
          <w:rFonts w:hint="eastAsia" w:ascii="宋体"/>
          <w:snapToGrid w:val="0"/>
          <w:kern w:val="0"/>
          <w:sz w:val="21"/>
          <w:szCs w:val="21"/>
        </w:rPr>
        <w:t>6.2.1在设备安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spacing w:line="360" w:lineRule="auto"/>
        <w:rPr>
          <w:rFonts w:hint="eastAsia" w:ascii="宋体"/>
          <w:snapToGrid w:val="0"/>
          <w:kern w:val="0"/>
          <w:sz w:val="21"/>
          <w:szCs w:val="21"/>
        </w:rPr>
      </w:pPr>
      <w:r>
        <w:rPr>
          <w:rFonts w:hint="eastAsia" w:ascii="宋体"/>
          <w:snapToGrid w:val="0"/>
          <w:kern w:val="0"/>
          <w:sz w:val="21"/>
          <w:szCs w:val="21"/>
        </w:rPr>
        <w:t>6.2.2投标方在报价中应根据上述要求详细列出技术服务人员的人数、专业类别、服务时间、工作内容。</w:t>
      </w:r>
    </w:p>
    <w:p>
      <w:pPr>
        <w:adjustRightInd w:val="0"/>
        <w:spacing w:line="360" w:lineRule="auto"/>
        <w:outlineLvl w:val="0"/>
        <w:rPr>
          <w:rFonts w:hint="eastAsia" w:ascii="宋体" w:cs="新宋体"/>
          <w:b/>
          <w:sz w:val="21"/>
          <w:szCs w:val="21"/>
        </w:rPr>
      </w:pPr>
      <w:r>
        <w:rPr>
          <w:rFonts w:hint="eastAsia" w:ascii="宋体" w:cs="新宋体"/>
          <w:b/>
          <w:sz w:val="21"/>
          <w:szCs w:val="21"/>
        </w:rPr>
        <w:t>6.3技术培训</w:t>
      </w:r>
    </w:p>
    <w:p>
      <w:pPr>
        <w:tabs>
          <w:tab w:val="left" w:pos="525"/>
        </w:tabs>
        <w:spacing w:line="360" w:lineRule="auto"/>
        <w:rPr>
          <w:rFonts w:hint="eastAsia" w:ascii="宋体"/>
          <w:sz w:val="21"/>
          <w:szCs w:val="21"/>
        </w:rPr>
      </w:pPr>
      <w:r>
        <w:rPr>
          <w:rFonts w:hint="eastAsia" w:ascii="宋体"/>
          <w:snapToGrid w:val="0"/>
          <w:kern w:val="0"/>
          <w:sz w:val="21"/>
          <w:szCs w:val="21"/>
        </w:rPr>
        <w:t>6.3.1</w:t>
      </w:r>
      <w:r>
        <w:rPr>
          <w:rFonts w:hint="eastAsia" w:ascii="宋体"/>
          <w:sz w:val="21"/>
          <w:szCs w:val="21"/>
        </w:rPr>
        <w:t>购货合同生效后投标方在技术服务期间要为招标方人员进行5人次不少于7日在厂家进行免费技术培训（交通食宿厂家负责）。投标方在技术服务期间要为招标方人员在招标方现场提供必要的技术培训。</w:t>
      </w:r>
    </w:p>
    <w:p>
      <w:pPr>
        <w:adjustRightInd w:val="0"/>
        <w:spacing w:line="360" w:lineRule="auto"/>
        <w:rPr>
          <w:rFonts w:hint="eastAsia" w:ascii="宋体" w:hAnsi="宋体" w:cs="宋体"/>
          <w:sz w:val="21"/>
          <w:szCs w:val="21"/>
        </w:rPr>
      </w:pPr>
      <w:r>
        <w:rPr>
          <w:rFonts w:hint="eastAsia" w:ascii="宋体"/>
          <w:snapToGrid w:val="0"/>
          <w:kern w:val="0"/>
          <w:sz w:val="21"/>
          <w:szCs w:val="21"/>
        </w:rPr>
        <w:t>6.3.2投标方负责培训专家到项目现场并承担培训专家在培训期间所需的费用。</w:t>
      </w:r>
    </w:p>
    <w:p>
      <w:pPr>
        <w:spacing w:line="400" w:lineRule="exact"/>
        <w:rPr>
          <w:rFonts w:hint="eastAsia" w:ascii="宋体" w:hAnsi="宋体" w:cs="宋体"/>
          <w:b/>
          <w:sz w:val="21"/>
          <w:szCs w:val="21"/>
        </w:rPr>
      </w:pPr>
      <w:r>
        <w:rPr>
          <w:rFonts w:hint="eastAsia" w:ascii="宋体" w:hAnsi="宋体" w:cs="宋体"/>
          <w:b/>
          <w:sz w:val="21"/>
          <w:szCs w:val="21"/>
        </w:rPr>
        <w:t>7.安装调试、考核验收</w:t>
      </w:r>
      <w:bookmarkEnd w:id="3"/>
    </w:p>
    <w:p>
      <w:pPr>
        <w:spacing w:line="400" w:lineRule="exact"/>
        <w:rPr>
          <w:rFonts w:hint="eastAsia" w:ascii="宋体" w:hAnsi="宋体" w:cs="宋体"/>
          <w:bCs/>
          <w:sz w:val="21"/>
          <w:szCs w:val="21"/>
        </w:rPr>
      </w:pPr>
      <w:r>
        <w:rPr>
          <w:rFonts w:hint="eastAsia" w:ascii="宋体" w:hAnsi="宋体" w:cs="宋体"/>
          <w:bCs/>
          <w:sz w:val="21"/>
          <w:szCs w:val="21"/>
        </w:rPr>
        <w:t>7.1安装调试</w:t>
      </w:r>
    </w:p>
    <w:p>
      <w:pPr>
        <w:spacing w:line="400" w:lineRule="exact"/>
        <w:rPr>
          <w:rFonts w:hint="eastAsia" w:ascii="宋体" w:hAnsi="宋体" w:cs="宋体"/>
          <w:sz w:val="21"/>
          <w:szCs w:val="21"/>
        </w:rPr>
      </w:pPr>
      <w:r>
        <w:rPr>
          <w:rFonts w:hint="eastAsia" w:ascii="宋体" w:hAnsi="宋体" w:cs="宋体"/>
          <w:sz w:val="21"/>
          <w:szCs w:val="21"/>
        </w:rPr>
        <w:t>7.1.1安装调试全部由投标方负责，包括设备的安装、调试、试运行。设备试运行期间，设备所出现的故障由投标方负责解决，招标方给予协助。</w:t>
      </w:r>
    </w:p>
    <w:p>
      <w:pPr>
        <w:spacing w:line="400" w:lineRule="exact"/>
        <w:rPr>
          <w:rFonts w:hint="eastAsia" w:ascii="宋体" w:hAnsi="宋体" w:cs="宋体"/>
          <w:sz w:val="21"/>
          <w:szCs w:val="21"/>
        </w:rPr>
      </w:pPr>
      <w:r>
        <w:rPr>
          <w:rFonts w:hint="eastAsia" w:ascii="宋体" w:hAnsi="宋体" w:cs="宋体"/>
          <w:sz w:val="21"/>
          <w:szCs w:val="21"/>
        </w:rPr>
        <w:t>7.1.2设备调试完成后，进行试运行，试运行由招标方操作人员在投标方技术人员的密切、具体指导下进行。</w:t>
      </w:r>
    </w:p>
    <w:p>
      <w:pPr>
        <w:spacing w:line="400" w:lineRule="exact"/>
        <w:rPr>
          <w:rFonts w:hint="eastAsia" w:ascii="宋体" w:hAnsi="宋体" w:cs="宋体"/>
          <w:bCs/>
          <w:sz w:val="21"/>
          <w:szCs w:val="21"/>
        </w:rPr>
      </w:pPr>
      <w:r>
        <w:rPr>
          <w:rFonts w:hint="eastAsia" w:ascii="宋体" w:hAnsi="宋体" w:cs="宋体"/>
          <w:bCs/>
          <w:sz w:val="21"/>
          <w:szCs w:val="21"/>
        </w:rPr>
        <w:t>7.2设备考核</w:t>
      </w:r>
    </w:p>
    <w:p>
      <w:pPr>
        <w:spacing w:line="400" w:lineRule="exact"/>
        <w:rPr>
          <w:rFonts w:hint="eastAsia" w:ascii="宋体" w:hAnsi="宋体" w:cs="宋体"/>
          <w:sz w:val="21"/>
          <w:szCs w:val="21"/>
        </w:rPr>
      </w:pPr>
      <w:r>
        <w:rPr>
          <w:rFonts w:hint="eastAsia" w:ascii="宋体" w:hAnsi="宋体" w:cs="宋体"/>
          <w:sz w:val="21"/>
          <w:szCs w:val="21"/>
        </w:rPr>
        <w:t>7.2.1设备考核期1个月，设备的故障次数不高于2次，故障累计时间不高于4小时。</w:t>
      </w:r>
    </w:p>
    <w:p>
      <w:pPr>
        <w:spacing w:line="400" w:lineRule="exact"/>
        <w:rPr>
          <w:rFonts w:hint="eastAsia" w:ascii="宋体" w:hAnsi="宋体" w:cs="宋体"/>
          <w:sz w:val="21"/>
          <w:szCs w:val="21"/>
        </w:rPr>
      </w:pPr>
      <w:r>
        <w:rPr>
          <w:rFonts w:hint="eastAsia" w:ascii="宋体" w:hAnsi="宋体" w:cs="宋体"/>
          <w:sz w:val="21"/>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spacing w:line="400" w:lineRule="exact"/>
        <w:rPr>
          <w:rFonts w:hint="eastAsia" w:ascii="宋体" w:hAnsi="宋体" w:cs="宋体"/>
          <w:sz w:val="21"/>
          <w:szCs w:val="21"/>
        </w:rPr>
      </w:pPr>
      <w:r>
        <w:rPr>
          <w:rFonts w:hint="eastAsia" w:ascii="宋体" w:hAnsi="宋体" w:cs="宋体"/>
          <w:sz w:val="21"/>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spacing w:line="400" w:lineRule="exact"/>
        <w:rPr>
          <w:rFonts w:hint="eastAsia" w:ascii="宋体" w:hAnsi="宋体" w:cs="宋体"/>
          <w:bCs/>
          <w:sz w:val="21"/>
          <w:szCs w:val="21"/>
        </w:rPr>
      </w:pPr>
      <w:r>
        <w:rPr>
          <w:rFonts w:hint="eastAsia" w:ascii="宋体" w:hAnsi="宋体" w:cs="宋体"/>
          <w:bCs/>
          <w:sz w:val="21"/>
          <w:szCs w:val="21"/>
        </w:rPr>
        <w:t>7.3设备验收</w:t>
      </w:r>
    </w:p>
    <w:p>
      <w:pPr>
        <w:spacing w:line="400" w:lineRule="exact"/>
        <w:ind w:firstLine="420" w:firstLineChars="200"/>
        <w:rPr>
          <w:rFonts w:hint="eastAsia" w:ascii="宋体" w:hAnsi="宋体" w:cs="宋体"/>
          <w:sz w:val="21"/>
          <w:szCs w:val="21"/>
        </w:rPr>
      </w:pPr>
      <w:r>
        <w:rPr>
          <w:rFonts w:hint="eastAsia" w:ascii="宋体" w:hAnsi="宋体" w:cs="宋体"/>
          <w:sz w:val="21"/>
          <w:szCs w:val="21"/>
        </w:rPr>
        <w:t>考核完成后，双方对设备进行验收。验收标准为本规范书规定的要求和相关标准、规范。</w:t>
      </w:r>
    </w:p>
    <w:p>
      <w:pPr>
        <w:spacing w:line="400" w:lineRule="exact"/>
        <w:rPr>
          <w:rFonts w:hint="eastAsia" w:ascii="宋体" w:hAnsi="宋体" w:cs="宋体"/>
          <w:b/>
          <w:sz w:val="21"/>
          <w:szCs w:val="21"/>
        </w:rPr>
      </w:pPr>
      <w:r>
        <w:rPr>
          <w:rFonts w:hint="eastAsia" w:ascii="宋体" w:hAnsi="宋体" w:cs="宋体"/>
          <w:b/>
          <w:sz w:val="21"/>
          <w:szCs w:val="21"/>
        </w:rPr>
        <w:t>8.质量保证</w:t>
      </w:r>
    </w:p>
    <w:p>
      <w:pPr>
        <w:spacing w:line="400" w:lineRule="exact"/>
        <w:ind w:firstLine="420" w:firstLineChars="200"/>
        <w:rPr>
          <w:rFonts w:hint="eastAsia" w:ascii="宋体" w:hAnsi="宋体" w:cs="宋体"/>
          <w:sz w:val="21"/>
          <w:szCs w:val="21"/>
        </w:rPr>
      </w:pPr>
      <w:r>
        <w:rPr>
          <w:rFonts w:hint="eastAsia" w:ascii="宋体" w:hAnsi="宋体" w:cs="宋体"/>
          <w:sz w:val="21"/>
          <w:szCs w:val="21"/>
        </w:rPr>
        <w:t>整机质量保证期为12个月。设备验收合格后，从签订完设备验收报告之日起进入质保期。在质量保证期内，因产品设计或制造质量原因造成的问题，由投标方负责免费维修或更换。</w:t>
      </w:r>
    </w:p>
    <w:p>
      <w:pPr>
        <w:spacing w:line="400" w:lineRule="exact"/>
        <w:rPr>
          <w:rFonts w:hint="eastAsia" w:ascii="宋体" w:hAnsi="宋体" w:cs="宋体"/>
          <w:b/>
          <w:sz w:val="21"/>
          <w:szCs w:val="21"/>
        </w:rPr>
      </w:pPr>
      <w:r>
        <w:rPr>
          <w:rFonts w:hint="eastAsia" w:ascii="宋体" w:hAnsi="宋体" w:cs="宋体"/>
          <w:b/>
          <w:sz w:val="21"/>
          <w:szCs w:val="21"/>
        </w:rPr>
        <w:t>9.售后支持</w:t>
      </w:r>
    </w:p>
    <w:p>
      <w:pPr>
        <w:spacing w:line="400" w:lineRule="exact"/>
        <w:rPr>
          <w:rFonts w:hint="eastAsia" w:ascii="宋体" w:hAnsi="宋体" w:cs="宋体"/>
          <w:sz w:val="21"/>
          <w:szCs w:val="21"/>
        </w:rPr>
      </w:pPr>
      <w:r>
        <w:rPr>
          <w:rFonts w:hint="eastAsia" w:ascii="宋体" w:hAnsi="宋体" w:cs="宋体"/>
          <w:sz w:val="21"/>
          <w:szCs w:val="21"/>
        </w:rPr>
        <w:t>9.1在质保期内，如果出现故障，投标方在接到招标方书面通知后48小时内，指派技术服务人员到招标方使用现场，进行维修。</w:t>
      </w:r>
    </w:p>
    <w:p>
      <w:pPr>
        <w:spacing w:line="400" w:lineRule="exact"/>
        <w:rPr>
          <w:rFonts w:hint="eastAsia" w:ascii="宋体" w:hAnsi="宋体" w:cs="宋体"/>
          <w:sz w:val="21"/>
          <w:szCs w:val="21"/>
        </w:rPr>
      </w:pPr>
      <w:r>
        <w:rPr>
          <w:rFonts w:hint="eastAsia" w:ascii="宋体" w:hAnsi="宋体" w:cs="宋体"/>
          <w:sz w:val="21"/>
          <w:szCs w:val="21"/>
        </w:rPr>
        <w:t>9.2在整机质保期内，投标方指派技术服务人员到招标方使用单位进行回访和协助设备维护保养，费用由投标方承担。</w:t>
      </w:r>
    </w:p>
    <w:p>
      <w:pPr>
        <w:spacing w:line="400" w:lineRule="exact"/>
        <w:rPr>
          <w:rFonts w:hint="eastAsia" w:ascii="宋体" w:hAnsi="宋体" w:cs="宋体"/>
          <w:sz w:val="21"/>
          <w:szCs w:val="21"/>
        </w:rPr>
      </w:pPr>
      <w:r>
        <w:rPr>
          <w:rFonts w:hint="eastAsia" w:ascii="宋体" w:hAnsi="宋体" w:cs="宋体"/>
          <w:sz w:val="21"/>
          <w:szCs w:val="21"/>
        </w:rPr>
        <w:t>9.3投标方帮助和指导招标方解决使用中遇到的问题，对突发性故障和重大维修项目，将速派精干的服务工程师赴现场协助指导处理。</w:t>
      </w:r>
    </w:p>
    <w:p>
      <w:pPr>
        <w:spacing w:line="400" w:lineRule="exact"/>
        <w:rPr>
          <w:rFonts w:hint="eastAsia" w:ascii="宋体" w:hAnsi="宋体" w:cs="宋体"/>
          <w:sz w:val="21"/>
          <w:szCs w:val="21"/>
        </w:rPr>
      </w:pPr>
      <w:r>
        <w:rPr>
          <w:rFonts w:hint="eastAsia" w:ascii="宋体" w:hAnsi="宋体" w:cs="宋体"/>
          <w:sz w:val="21"/>
          <w:szCs w:val="21"/>
        </w:rPr>
        <w:t>9.4投标方根据招标方需要，保证长期提供优质、低价配件。</w:t>
      </w:r>
    </w:p>
    <w:p>
      <w:pPr>
        <w:spacing w:line="400" w:lineRule="exact"/>
        <w:rPr>
          <w:rFonts w:hint="eastAsia" w:ascii="宋体" w:hAnsi="宋体" w:cs="宋体"/>
          <w:sz w:val="21"/>
          <w:szCs w:val="21"/>
        </w:rPr>
      </w:pPr>
      <w:r>
        <w:rPr>
          <w:rFonts w:hint="eastAsia" w:ascii="宋体" w:hAnsi="宋体" w:cs="宋体"/>
          <w:sz w:val="21"/>
          <w:szCs w:val="21"/>
        </w:rPr>
        <w:t>9.5投标方根据招标方需要，保证长期提供配件图册、保养维修手册等技术资料。</w:t>
      </w:r>
    </w:p>
    <w:p>
      <w:pPr>
        <w:spacing w:line="400" w:lineRule="exact"/>
        <w:rPr>
          <w:rFonts w:hint="eastAsia" w:ascii="宋体" w:hAnsi="宋体" w:cs="宋体"/>
          <w:sz w:val="21"/>
          <w:szCs w:val="21"/>
        </w:rPr>
      </w:pPr>
      <w:r>
        <w:rPr>
          <w:rFonts w:hint="eastAsia" w:ascii="宋体" w:hAnsi="宋体" w:cs="宋体"/>
          <w:sz w:val="21"/>
          <w:szCs w:val="21"/>
        </w:rPr>
        <w:t>9.6投标方产品在技术改进后，应根据招标方需要，保证招标方设备的使用、维修及配件供应能够适应技术改进情况。</w:t>
      </w:r>
    </w:p>
    <w:p>
      <w:pPr>
        <w:spacing w:line="400" w:lineRule="exact"/>
        <w:rPr>
          <w:rFonts w:hint="eastAsia" w:ascii="宋体" w:hAnsi="宋体" w:cs="宋体"/>
          <w:sz w:val="21"/>
          <w:szCs w:val="21"/>
        </w:rPr>
      </w:pPr>
      <w:r>
        <w:rPr>
          <w:rFonts w:hint="eastAsia" w:ascii="宋体" w:hAnsi="宋体" w:cs="宋体"/>
          <w:sz w:val="21"/>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r>
        <w:rPr>
          <w:rFonts w:hint="eastAsia" w:ascii="宋体" w:hAnsi="宋体" w:cs="宋体"/>
          <w:sz w:val="21"/>
          <w:szCs w:val="21"/>
        </w:rPr>
        <w:t>9.8 投标方应在投标书中说明设备投入运行后，招标方向投标方正常订购配件时，投标方能给招标方多大幅度的优惠。说明如果招标方遇到配件急需时，投标方如何以最快的速度给予支持。</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1733C5"/>
    <w:multiLevelType w:val="singleLevel"/>
    <w:tmpl w:val="A51733C5"/>
    <w:lvl w:ilvl="0" w:tentative="0">
      <w:start w:val="1"/>
      <w:numFmt w:val="decimal"/>
      <w:suff w:val="nothing"/>
      <w:lvlText w:val="3.1.5.%1　"/>
      <w:lvlJc w:val="left"/>
      <w:pPr>
        <w:ind w:left="0" w:firstLine="403"/>
      </w:pPr>
      <w:rPr>
        <w:rFonts w:hint="default"/>
      </w:rPr>
    </w:lvl>
  </w:abstractNum>
  <w:abstractNum w:abstractNumId="1">
    <w:nsid w:val="B74842BB"/>
    <w:multiLevelType w:val="singleLevel"/>
    <w:tmpl w:val="B74842BB"/>
    <w:lvl w:ilvl="0" w:tentative="0">
      <w:start w:val="1"/>
      <w:numFmt w:val="decimal"/>
      <w:suff w:val="nothing"/>
      <w:lvlText w:val="3.1.%1　"/>
      <w:lvlJc w:val="left"/>
      <w:pPr>
        <w:ind w:left="0" w:firstLine="403"/>
      </w:pPr>
      <w:rPr>
        <w:rFonts w:hint="default"/>
      </w:rPr>
    </w:lvl>
  </w:abstractNum>
  <w:abstractNum w:abstractNumId="2">
    <w:nsid w:val="E9175FB2"/>
    <w:multiLevelType w:val="singleLevel"/>
    <w:tmpl w:val="E9175FB2"/>
    <w:lvl w:ilvl="0" w:tentative="0">
      <w:start w:val="1"/>
      <w:numFmt w:val="decimal"/>
      <w:suff w:val="nothing"/>
      <w:lvlText w:val="3.1.3.%1　"/>
      <w:lvlJc w:val="left"/>
      <w:pPr>
        <w:ind w:left="0" w:firstLine="403"/>
      </w:pPr>
      <w:rPr>
        <w:rFonts w:hint="default"/>
      </w:rPr>
    </w:lvl>
  </w:abstractNum>
  <w:abstractNum w:abstractNumId="3">
    <w:nsid w:val="EF580E2A"/>
    <w:multiLevelType w:val="singleLevel"/>
    <w:tmpl w:val="EF580E2A"/>
    <w:lvl w:ilvl="0" w:tentative="0">
      <w:start w:val="1"/>
      <w:numFmt w:val="decimal"/>
      <w:suff w:val="nothing"/>
      <w:lvlText w:val="3.1.4.%1　"/>
      <w:lvlJc w:val="left"/>
      <w:pPr>
        <w:ind w:left="0" w:firstLine="403"/>
      </w:pPr>
      <w:rPr>
        <w:rFonts w:hint="default"/>
      </w:rPr>
    </w:lvl>
  </w:abstractNum>
  <w:abstractNum w:abstractNumId="4">
    <w:nsid w:val="4696CB40"/>
    <w:multiLevelType w:val="singleLevel"/>
    <w:tmpl w:val="4696CB40"/>
    <w:lvl w:ilvl="0" w:tentative="0">
      <w:start w:val="1"/>
      <w:numFmt w:val="decimal"/>
      <w:lvlText w:val="(%1)"/>
      <w:lvlJc w:val="left"/>
      <w:pPr>
        <w:ind w:left="425" w:hanging="425"/>
      </w:pPr>
      <w:rPr>
        <w:rFonts w:hint="default"/>
      </w:rPr>
    </w:lvl>
  </w:abstractNum>
  <w:abstractNum w:abstractNumId="5">
    <w:nsid w:val="7C771B77"/>
    <w:multiLevelType w:val="singleLevel"/>
    <w:tmpl w:val="7C771B77"/>
    <w:lvl w:ilvl="0" w:tentative="0">
      <w:start w:val="1"/>
      <w:numFmt w:val="decimal"/>
      <w:suff w:val="nothing"/>
      <w:lvlText w:val="3.1.7.%1　"/>
      <w:lvlJc w:val="left"/>
      <w:pPr>
        <w:ind w:left="0" w:firstLine="403"/>
      </w:pPr>
      <w:rPr>
        <w:rFonts w:hint="default"/>
      </w:r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AC5650"/>
    <w:rsid w:val="63AC5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szCs w:val="20"/>
    </w:r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next w:val="5"/>
    <w:qFormat/>
    <w:uiPriority w:val="0"/>
    <w:rPr>
      <w:rFonts w:ascii="Arial" w:hAnsi="Arial" w:eastAsia="宋体" w:cs="Times New Roman"/>
      <w:sz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2019-08-02T07:13:00Z</dcterms:created>
  <dc:creator>Administrator</dc:creator>
  <cp:lastModifiedBy>Administrator</cp:lastModifiedBy>
  <dcterms:modified xsi:type="dcterms:W3CDTF">2019-08-02T07:13:13Z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