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val="en-US" w:eastAsia="zh-CN"/>
        </w:rPr>
      </w:pPr>
      <w:r>
        <w:rPr>
          <w:rFonts w:hint="eastAsia"/>
          <w:b/>
          <w:bCs/>
          <w:lang w:val="en-US" w:eastAsia="zh-CN"/>
        </w:rPr>
        <w:t>公告附件：</w:t>
      </w:r>
    </w:p>
    <w:p>
      <w:pPr>
        <w:pStyle w:val="2"/>
        <w:jc w:val="center"/>
        <w:rPr>
          <w:rFonts w:hint="eastAsia" w:ascii="仿宋" w:hAnsi="仿宋" w:eastAsia="仿宋" w:cs="仿宋"/>
          <w:sz w:val="24"/>
          <w:szCs w:val="24"/>
          <w:highlight w:val="none"/>
          <w:lang w:val="en-US" w:eastAsia="zh-CN"/>
        </w:rPr>
      </w:pPr>
      <w:bookmarkStart w:id="0" w:name="_Toc32050"/>
      <w:r>
        <w:rPr>
          <w:rFonts w:hint="eastAsia" w:ascii="仿宋" w:hAnsi="仿宋" w:eastAsia="仿宋" w:cs="仿宋"/>
          <w:sz w:val="24"/>
          <w:szCs w:val="24"/>
          <w:highlight w:val="none"/>
          <w:lang w:val="en-US" w:eastAsia="zh-CN"/>
        </w:rPr>
        <w:t>LKJ2000型机车监控装置技术要求</w:t>
      </w:r>
      <w:bookmarkEnd w:id="0"/>
    </w:p>
    <w:p>
      <w:pPr>
        <w:pageBreakBefore w:val="0"/>
        <w:kinsoku/>
        <w:wordWrap/>
        <w:overflowPunct/>
        <w:topLinePunct w:val="0"/>
        <w:bidi w:val="0"/>
        <w:adjustRightInd w:val="0"/>
        <w:snapToGrid/>
        <w:spacing w:line="360" w:lineRule="auto"/>
        <w:textAlignment w:val="auto"/>
        <w:rPr>
          <w:rFonts w:hint="eastAsia" w:ascii="宋体" w:hAnsi="宋体" w:eastAsia="宋体" w:cs="宋体"/>
          <w:bCs/>
          <w:color w:val="auto"/>
          <w:sz w:val="21"/>
          <w:szCs w:val="21"/>
          <w:lang w:bidi="ar-SA"/>
        </w:rPr>
      </w:pPr>
      <w:bookmarkStart w:id="1" w:name="_Toc49019228"/>
      <w:bookmarkStart w:id="2" w:name="_Toc49019489"/>
      <w:bookmarkStart w:id="3" w:name="_Toc47416189"/>
      <w:r>
        <w:rPr>
          <w:rFonts w:hint="eastAsia" w:ascii="宋体" w:hAnsi="宋体" w:eastAsia="宋体" w:cs="宋体"/>
          <w:bCs/>
          <w:color w:val="auto"/>
          <w:sz w:val="21"/>
          <w:szCs w:val="21"/>
          <w:lang w:bidi="ar-SA"/>
        </w:rPr>
        <w:t>1.货物需求</w:t>
      </w:r>
    </w:p>
    <w:p>
      <w:pPr>
        <w:pageBreakBefore w:val="0"/>
        <w:numPr>
          <w:ilvl w:val="0"/>
          <w:numId w:val="0"/>
        </w:numPr>
        <w:kinsoku/>
        <w:wordWrap/>
        <w:overflowPunct/>
        <w:topLinePunct w:val="0"/>
        <w:autoSpaceDE w:val="0"/>
        <w:autoSpaceDN w:val="0"/>
        <w:bidi w:val="0"/>
        <w:adjustRightInd w:val="0"/>
        <w:snapToGrid/>
        <w:spacing w:line="360" w:lineRule="auto"/>
        <w:ind w:leftChars="0"/>
        <w:jc w:val="both"/>
        <w:textAlignment w:val="auto"/>
        <w:rPr>
          <w:rFonts w:hint="eastAsia" w:ascii="宋体"/>
          <w:b/>
          <w:bCs/>
          <w:color w:val="000000"/>
          <w:sz w:val="21"/>
          <w:szCs w:val="21"/>
        </w:rPr>
      </w:pPr>
      <w:r>
        <w:rPr>
          <w:rFonts w:hint="eastAsia" w:ascii="宋体" w:hAnsi="宋体" w:eastAsia="宋体" w:cs="宋体"/>
          <w:bCs/>
          <w:color w:val="auto"/>
          <w:sz w:val="21"/>
          <w:szCs w:val="21"/>
          <w:lang w:bidi="ar-SA"/>
        </w:rPr>
        <w:t>1.1</w:t>
      </w:r>
      <w:r>
        <w:rPr>
          <w:rFonts w:hint="eastAsia" w:ascii="宋体"/>
          <w:b w:val="0"/>
          <w:bCs w:val="0"/>
          <w:sz w:val="21"/>
          <w:szCs w:val="21"/>
        </w:rPr>
        <w:t>货物需求一览表</w:t>
      </w:r>
    </w:p>
    <w:tbl>
      <w:tblPr>
        <w:tblStyle w:val="5"/>
        <w:tblW w:w="9178" w:type="dxa"/>
        <w:jc w:val="center"/>
        <w:tblInd w:w="0" w:type="dxa"/>
        <w:tblLayout w:type="fixed"/>
        <w:tblCellMar>
          <w:top w:w="0" w:type="dxa"/>
          <w:left w:w="108" w:type="dxa"/>
          <w:bottom w:w="0" w:type="dxa"/>
          <w:right w:w="108" w:type="dxa"/>
        </w:tblCellMar>
      </w:tblPr>
      <w:tblGrid>
        <w:gridCol w:w="1081"/>
        <w:gridCol w:w="2879"/>
        <w:gridCol w:w="1080"/>
        <w:gridCol w:w="900"/>
        <w:gridCol w:w="3238"/>
      </w:tblGrid>
      <w:tr>
        <w:tblPrEx>
          <w:tblLayout w:type="fixed"/>
          <w:tblCellMar>
            <w:top w:w="0" w:type="dxa"/>
            <w:left w:w="108" w:type="dxa"/>
            <w:bottom w:w="0" w:type="dxa"/>
            <w:right w:w="108" w:type="dxa"/>
          </w:tblCellMar>
        </w:tblPrEx>
        <w:trPr>
          <w:trHeight w:val="465" w:hRule="atLeast"/>
          <w:jc w:val="center"/>
        </w:trPr>
        <w:tc>
          <w:tcPr>
            <w:tcW w:w="108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line="360" w:lineRule="auto"/>
              <w:jc w:val="center"/>
              <w:textAlignment w:val="auto"/>
              <w:rPr>
                <w:rFonts w:hint="eastAsia" w:ascii="宋体"/>
                <w:color w:val="000000"/>
                <w:sz w:val="21"/>
                <w:szCs w:val="21"/>
              </w:rPr>
            </w:pPr>
            <w:r>
              <w:rPr>
                <w:rFonts w:hint="eastAsia" w:ascii="宋体"/>
                <w:color w:val="000000"/>
                <w:sz w:val="21"/>
                <w:szCs w:val="21"/>
              </w:rPr>
              <w:t>序号</w:t>
            </w:r>
          </w:p>
        </w:tc>
        <w:tc>
          <w:tcPr>
            <w:tcW w:w="2879"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bidi w:val="0"/>
              <w:snapToGrid/>
              <w:spacing w:line="360" w:lineRule="auto"/>
              <w:jc w:val="center"/>
              <w:textAlignment w:val="auto"/>
              <w:rPr>
                <w:rFonts w:hint="eastAsia" w:ascii="宋体"/>
                <w:color w:val="000000"/>
                <w:sz w:val="21"/>
                <w:szCs w:val="21"/>
              </w:rPr>
            </w:pPr>
            <w:r>
              <w:rPr>
                <w:rFonts w:hint="eastAsia" w:ascii="宋体"/>
                <w:color w:val="000000"/>
                <w:sz w:val="21"/>
                <w:szCs w:val="21"/>
              </w:rPr>
              <w:t>货物名称</w:t>
            </w:r>
          </w:p>
        </w:tc>
        <w:tc>
          <w:tcPr>
            <w:tcW w:w="1080"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bidi w:val="0"/>
              <w:snapToGrid/>
              <w:spacing w:line="360" w:lineRule="auto"/>
              <w:jc w:val="center"/>
              <w:textAlignment w:val="auto"/>
              <w:rPr>
                <w:rFonts w:hint="eastAsia" w:ascii="宋体"/>
                <w:color w:val="000000"/>
                <w:sz w:val="21"/>
                <w:szCs w:val="21"/>
              </w:rPr>
            </w:pPr>
            <w:r>
              <w:rPr>
                <w:rFonts w:hint="eastAsia" w:ascii="宋体"/>
                <w:color w:val="000000"/>
                <w:sz w:val="21"/>
                <w:szCs w:val="21"/>
              </w:rPr>
              <w:t>单位</w:t>
            </w:r>
          </w:p>
        </w:tc>
        <w:tc>
          <w:tcPr>
            <w:tcW w:w="900"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bidi w:val="0"/>
              <w:snapToGrid/>
              <w:spacing w:line="360" w:lineRule="auto"/>
              <w:jc w:val="center"/>
              <w:textAlignment w:val="auto"/>
              <w:rPr>
                <w:rFonts w:hint="eastAsia" w:ascii="宋体"/>
                <w:color w:val="000000"/>
                <w:sz w:val="21"/>
                <w:szCs w:val="21"/>
              </w:rPr>
            </w:pPr>
            <w:r>
              <w:rPr>
                <w:rFonts w:hint="eastAsia" w:ascii="宋体"/>
                <w:color w:val="000000"/>
                <w:sz w:val="21"/>
                <w:szCs w:val="21"/>
              </w:rPr>
              <w:t>数量</w:t>
            </w:r>
          </w:p>
        </w:tc>
        <w:tc>
          <w:tcPr>
            <w:tcW w:w="3238"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bidi w:val="0"/>
              <w:snapToGrid/>
              <w:spacing w:line="360" w:lineRule="auto"/>
              <w:jc w:val="center"/>
              <w:textAlignment w:val="auto"/>
              <w:rPr>
                <w:rFonts w:hint="eastAsia" w:ascii="宋体"/>
                <w:color w:val="000000"/>
                <w:sz w:val="21"/>
                <w:szCs w:val="21"/>
              </w:rPr>
            </w:pPr>
            <w:r>
              <w:rPr>
                <w:rFonts w:hint="eastAsia" w:ascii="宋体"/>
                <w:color w:val="000000"/>
                <w:sz w:val="21"/>
                <w:szCs w:val="21"/>
              </w:rPr>
              <w:t>交货时间</w:t>
            </w:r>
          </w:p>
        </w:tc>
      </w:tr>
      <w:tr>
        <w:tblPrEx>
          <w:tblLayout w:type="fixed"/>
          <w:tblCellMar>
            <w:top w:w="0" w:type="dxa"/>
            <w:left w:w="108" w:type="dxa"/>
            <w:bottom w:w="0" w:type="dxa"/>
            <w:right w:w="108" w:type="dxa"/>
          </w:tblCellMar>
        </w:tblPrEx>
        <w:trPr>
          <w:trHeight w:val="451" w:hRule="atLeast"/>
          <w:jc w:val="center"/>
        </w:trPr>
        <w:tc>
          <w:tcPr>
            <w:tcW w:w="1081"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bidi w:val="0"/>
              <w:snapToGrid/>
              <w:spacing w:line="360" w:lineRule="auto"/>
              <w:jc w:val="center"/>
              <w:textAlignment w:val="auto"/>
              <w:rPr>
                <w:rFonts w:hint="eastAsia" w:ascii="宋体"/>
                <w:color w:val="000000"/>
                <w:sz w:val="21"/>
                <w:szCs w:val="21"/>
              </w:rPr>
            </w:pPr>
            <w:r>
              <w:rPr>
                <w:rFonts w:hint="eastAsia" w:ascii="宋体"/>
                <w:color w:val="000000"/>
                <w:sz w:val="21"/>
                <w:szCs w:val="21"/>
              </w:rPr>
              <w:t>1</w:t>
            </w:r>
          </w:p>
        </w:tc>
        <w:tc>
          <w:tcPr>
            <w:tcW w:w="2879"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360" w:lineRule="auto"/>
              <w:jc w:val="center"/>
              <w:textAlignment w:val="auto"/>
              <w:rPr>
                <w:rFonts w:hint="eastAsia" w:ascii="宋体" w:eastAsia="宋体"/>
                <w:color w:val="000000"/>
                <w:sz w:val="21"/>
                <w:szCs w:val="21"/>
                <w:lang w:eastAsia="zh-CN"/>
              </w:rPr>
            </w:pPr>
            <w:r>
              <w:rPr>
                <w:rFonts w:hint="eastAsia" w:ascii="宋体"/>
                <w:color w:val="000000"/>
                <w:sz w:val="21"/>
                <w:szCs w:val="21"/>
                <w:lang w:eastAsia="zh-CN"/>
              </w:rPr>
              <w:t>LKJ2000型机车监控装置</w:t>
            </w:r>
          </w:p>
        </w:tc>
        <w:tc>
          <w:tcPr>
            <w:tcW w:w="1080"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360" w:lineRule="auto"/>
              <w:jc w:val="center"/>
              <w:textAlignment w:val="auto"/>
              <w:rPr>
                <w:rFonts w:hint="eastAsia" w:ascii="宋体"/>
                <w:color w:val="000000"/>
                <w:sz w:val="21"/>
                <w:szCs w:val="21"/>
              </w:rPr>
            </w:pPr>
            <w:r>
              <w:rPr>
                <w:rFonts w:hint="eastAsia" w:ascii="宋体"/>
                <w:color w:val="000000"/>
                <w:sz w:val="21"/>
                <w:szCs w:val="21"/>
              </w:rPr>
              <w:t>套</w:t>
            </w:r>
          </w:p>
        </w:tc>
        <w:tc>
          <w:tcPr>
            <w:tcW w:w="900"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360" w:lineRule="auto"/>
              <w:jc w:val="center"/>
              <w:textAlignment w:val="auto"/>
              <w:rPr>
                <w:rFonts w:hint="eastAsia" w:ascii="宋体" w:eastAsia="宋体"/>
                <w:color w:val="000000"/>
                <w:sz w:val="21"/>
                <w:szCs w:val="21"/>
                <w:lang w:val="en-US" w:eastAsia="zh-CN"/>
              </w:rPr>
            </w:pPr>
            <w:r>
              <w:rPr>
                <w:rFonts w:hint="eastAsia" w:ascii="宋体"/>
                <w:color w:val="000000"/>
                <w:sz w:val="21"/>
                <w:szCs w:val="21"/>
                <w:lang w:val="en-US" w:eastAsia="zh-CN"/>
              </w:rPr>
              <w:t>18</w:t>
            </w:r>
          </w:p>
        </w:tc>
        <w:tc>
          <w:tcPr>
            <w:tcW w:w="3238"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360" w:lineRule="auto"/>
              <w:jc w:val="center"/>
              <w:textAlignment w:val="auto"/>
              <w:rPr>
                <w:rFonts w:hint="eastAsia" w:ascii="宋体"/>
                <w:color w:val="000000"/>
                <w:sz w:val="21"/>
                <w:szCs w:val="21"/>
              </w:rPr>
            </w:pPr>
            <w:r>
              <w:rPr>
                <w:rFonts w:hint="eastAsia" w:ascii="宋体"/>
                <w:color w:val="000000"/>
                <w:sz w:val="21"/>
                <w:szCs w:val="21"/>
              </w:rPr>
              <w:t>自签订</w:t>
            </w:r>
            <w:r>
              <w:rPr>
                <w:rFonts w:hint="eastAsia" w:ascii="宋体"/>
                <w:color w:val="000000"/>
                <w:sz w:val="21"/>
                <w:szCs w:val="21"/>
                <w:lang w:val="en-US" w:eastAsia="zh-CN"/>
              </w:rPr>
              <w:t>合同</w:t>
            </w:r>
            <w:r>
              <w:rPr>
                <w:rFonts w:hint="eastAsia" w:ascii="宋体"/>
                <w:color w:val="000000"/>
                <w:sz w:val="21"/>
                <w:szCs w:val="21"/>
              </w:rPr>
              <w:t>起2个月</w:t>
            </w:r>
            <w:r>
              <w:rPr>
                <w:rFonts w:hint="eastAsia" w:ascii="宋体"/>
                <w:color w:val="000000"/>
                <w:sz w:val="21"/>
                <w:szCs w:val="21"/>
                <w:lang w:val="en-US" w:eastAsia="zh-CN"/>
              </w:rPr>
              <w:t>内</w:t>
            </w:r>
          </w:p>
        </w:tc>
      </w:tr>
    </w:tbl>
    <w:p>
      <w:pPr>
        <w:pageBreakBefore w:val="0"/>
        <w:kinsoku/>
        <w:wordWrap/>
        <w:overflowPunct/>
        <w:topLinePunct w:val="0"/>
        <w:bidi w:val="0"/>
        <w:snapToGrid/>
        <w:spacing w:line="360" w:lineRule="auto"/>
        <w:textAlignment w:val="auto"/>
        <w:rPr>
          <w:rFonts w:hint="eastAsia" w:ascii="宋体" w:hAnsi="宋体" w:eastAsia="宋体" w:cs="宋体"/>
          <w:bCs/>
          <w:color w:val="auto"/>
          <w:sz w:val="21"/>
          <w:szCs w:val="21"/>
        </w:rPr>
      </w:pPr>
      <w:r>
        <w:rPr>
          <w:rFonts w:hint="eastAsia" w:ascii="宋体" w:hAnsi="宋体" w:cs="宋体"/>
          <w:bCs/>
          <w:color w:val="auto"/>
          <w:sz w:val="21"/>
          <w:szCs w:val="21"/>
          <w:lang w:val="en-US" w:eastAsia="zh-CN" w:bidi="ar-SA"/>
        </w:rPr>
        <w:t>1.2</w:t>
      </w:r>
      <w:r>
        <w:rPr>
          <w:rFonts w:hint="eastAsia" w:ascii="宋体" w:hAnsi="宋体" w:eastAsia="宋体" w:cs="宋体"/>
          <w:bCs/>
          <w:color w:val="auto"/>
          <w:sz w:val="21"/>
          <w:szCs w:val="21"/>
          <w:lang w:bidi="ar-SA"/>
        </w:rPr>
        <w:t>交货地点：</w:t>
      </w:r>
      <w:r>
        <w:rPr>
          <w:rFonts w:hint="eastAsia" w:ascii="宋体" w:hAnsi="宋体" w:eastAsia="宋体" w:cs="宋体"/>
          <w:bCs/>
          <w:color w:val="auto"/>
          <w:sz w:val="21"/>
          <w:szCs w:val="21"/>
          <w:lang w:eastAsia="zh-CN" w:bidi="ar-SA"/>
        </w:rPr>
        <w:t>内蒙古自治区鄂尔多斯市准格尔旗薛家湾镇准能大准铁路公司机务段（点岱沟）</w:t>
      </w:r>
      <w:r>
        <w:rPr>
          <w:rFonts w:hint="eastAsia" w:ascii="宋体" w:hAnsi="宋体" w:eastAsia="宋体" w:cs="宋体"/>
          <w:bCs/>
          <w:color w:val="auto"/>
          <w:sz w:val="21"/>
          <w:szCs w:val="21"/>
          <w:lang w:bidi="ar-SA"/>
        </w:rPr>
        <w:t>。</w:t>
      </w:r>
    </w:p>
    <w:p>
      <w:pPr>
        <w:pageBreakBefore w:val="0"/>
        <w:kinsoku/>
        <w:wordWrap/>
        <w:overflowPunct/>
        <w:topLinePunct w:val="0"/>
        <w:bidi w:val="0"/>
        <w:snapToGrid/>
        <w:spacing w:line="360" w:lineRule="auto"/>
        <w:textAlignment w:val="auto"/>
        <w:rPr>
          <w:rFonts w:hint="eastAsia" w:ascii="宋体" w:hAnsi="宋体" w:eastAsia="宋体" w:cs="宋体"/>
          <w:b/>
          <w:sz w:val="21"/>
          <w:szCs w:val="21"/>
        </w:rPr>
      </w:pPr>
      <w:bookmarkStart w:id="4" w:name="_Toc470074028"/>
      <w:r>
        <w:rPr>
          <w:rFonts w:hint="eastAsia" w:ascii="宋体" w:hAnsi="宋体" w:eastAsia="宋体" w:cs="宋体"/>
          <w:bCs/>
          <w:color w:val="auto"/>
          <w:sz w:val="21"/>
          <w:szCs w:val="21"/>
          <w:lang w:bidi="ar-SA"/>
        </w:rPr>
        <w:t>2.设备规格及使用条件</w:t>
      </w:r>
      <w:bookmarkEnd w:id="4"/>
    </w:p>
    <w:p>
      <w:pPr>
        <w:pageBreakBefore w:val="0"/>
        <w:kinsoku/>
        <w:wordWrap/>
        <w:overflowPunct/>
        <w:topLinePunct w:val="0"/>
        <w:bidi w:val="0"/>
        <w:snapToGrid/>
        <w:spacing w:line="360" w:lineRule="auto"/>
        <w:textAlignment w:val="auto"/>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2.1设备名称</w:t>
      </w:r>
    </w:p>
    <w:p>
      <w:pPr>
        <w:pageBreakBefore w:val="0"/>
        <w:kinsoku/>
        <w:wordWrap/>
        <w:overflowPunct/>
        <w:topLinePunct w:val="0"/>
        <w:bidi w:val="0"/>
        <w:snapToGrid/>
        <w:spacing w:line="360" w:lineRule="auto"/>
        <w:textAlignment w:val="auto"/>
        <w:rPr>
          <w:rFonts w:hint="eastAsia" w:ascii="宋体" w:eastAsia="宋体"/>
          <w:color w:val="000000"/>
          <w:sz w:val="21"/>
          <w:szCs w:val="21"/>
          <w:lang w:eastAsia="zh-CN"/>
        </w:rPr>
      </w:pPr>
      <w:r>
        <w:rPr>
          <w:rFonts w:hint="eastAsia" w:ascii="宋体" w:hAnsi="宋体" w:eastAsia="宋体" w:cs="宋体"/>
          <w:bCs/>
          <w:color w:val="auto"/>
          <w:sz w:val="21"/>
          <w:szCs w:val="21"/>
          <w:lang w:bidi="ar-SA"/>
        </w:rPr>
        <w:t>2.1</w:t>
      </w:r>
      <w:r>
        <w:rPr>
          <w:rFonts w:hint="eastAsia" w:ascii="宋体" w:hAnsi="宋体" w:cs="宋体"/>
          <w:bCs/>
          <w:color w:val="auto"/>
          <w:sz w:val="21"/>
          <w:szCs w:val="21"/>
          <w:lang w:val="en-US" w:eastAsia="zh-CN" w:bidi="ar-SA"/>
        </w:rPr>
        <w:t>.1</w:t>
      </w:r>
      <w:r>
        <w:rPr>
          <w:rFonts w:hint="eastAsia" w:ascii="宋体" w:hAnsi="宋体" w:eastAsia="宋体" w:cs="宋体"/>
          <w:color w:val="auto"/>
          <w:sz w:val="21"/>
          <w:szCs w:val="21"/>
        </w:rPr>
        <w:t>设备名称：</w:t>
      </w:r>
      <w:r>
        <w:rPr>
          <w:rFonts w:hint="eastAsia" w:ascii="宋体"/>
          <w:color w:val="000000"/>
          <w:sz w:val="21"/>
          <w:szCs w:val="21"/>
          <w:lang w:eastAsia="zh-CN"/>
        </w:rPr>
        <w:t>LKJ2000型机车监控装置</w:t>
      </w:r>
    </w:p>
    <w:p>
      <w:pPr>
        <w:pageBreakBefore w:val="0"/>
        <w:kinsoku/>
        <w:wordWrap/>
        <w:overflowPunct/>
        <w:topLinePunct w:val="0"/>
        <w:bidi w:val="0"/>
        <w:snapToGrid/>
        <w:spacing w:line="360" w:lineRule="auto"/>
        <w:textAlignment w:val="auto"/>
        <w:rPr>
          <w:rFonts w:hint="eastAsia" w:ascii="宋体"/>
          <w:color w:val="000000"/>
          <w:sz w:val="21"/>
          <w:szCs w:val="21"/>
        </w:rPr>
      </w:pPr>
      <w:r>
        <w:rPr>
          <w:rFonts w:hint="eastAsia" w:ascii="宋体" w:hAnsi="宋体" w:eastAsia="宋体" w:cs="宋体"/>
          <w:color w:val="auto"/>
          <w:sz w:val="21"/>
          <w:szCs w:val="21"/>
        </w:rPr>
        <w:t>2.1.2生产厂家及型</w:t>
      </w:r>
      <w:r>
        <w:rPr>
          <w:rFonts w:hint="eastAsia" w:ascii="宋体" w:hAnsi="宋体" w:eastAsia="宋体" w:cs="宋体"/>
          <w:color w:val="auto"/>
          <w:sz w:val="21"/>
          <w:szCs w:val="21"/>
          <w:lang w:eastAsia="zh-CN"/>
        </w:rPr>
        <w:t>号：</w:t>
      </w:r>
      <w:r>
        <w:rPr>
          <w:rFonts w:hint="eastAsia" w:ascii="宋体" w:hAnsi="宋体" w:cs="宋体"/>
          <w:color w:val="auto"/>
          <w:sz w:val="21"/>
          <w:szCs w:val="21"/>
          <w:lang w:val="en-US" w:eastAsia="zh-CN"/>
        </w:rPr>
        <w:t>LKJ2000</w:t>
      </w:r>
    </w:p>
    <w:p>
      <w:pPr>
        <w:pageBreakBefore w:val="0"/>
        <w:kinsoku/>
        <w:wordWrap/>
        <w:overflowPunct/>
        <w:topLinePunct w:val="0"/>
        <w:bidi w:val="0"/>
        <w:snapToGrid/>
        <w:spacing w:line="360" w:lineRule="auto"/>
        <w:textAlignment w:val="auto"/>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2.2设备用途</w:t>
      </w:r>
    </w:p>
    <w:p>
      <w:pPr>
        <w:pageBreakBefore w:val="0"/>
        <w:numPr>
          <w:ilvl w:val="0"/>
          <w:numId w:val="0"/>
        </w:numPr>
        <w:kinsoku/>
        <w:wordWrap/>
        <w:overflowPunct/>
        <w:topLinePunct w:val="0"/>
        <w:bidi w:val="0"/>
        <w:snapToGrid/>
        <w:spacing w:line="360" w:lineRule="auto"/>
        <w:ind w:firstLine="420" w:firstLineChars="200"/>
        <w:textAlignment w:val="auto"/>
        <w:rPr>
          <w:rFonts w:hint="eastAsia" w:ascii="宋体" w:hAnsi="宋体" w:eastAsia="宋体" w:cs="宋体"/>
          <w:sz w:val="21"/>
          <w:szCs w:val="21"/>
        </w:rPr>
      </w:pPr>
      <w:bookmarkStart w:id="5" w:name="_Toc470074029"/>
      <w:r>
        <w:rPr>
          <w:rFonts w:hint="eastAsia" w:ascii="宋体" w:hAnsi="宋体" w:cs="宋体"/>
          <w:color w:val="000000"/>
          <w:kern w:val="0"/>
          <w:sz w:val="21"/>
          <w:szCs w:val="21"/>
          <w:lang w:eastAsia="zh-CN"/>
        </w:rPr>
        <w:t>用于各型机车，防止列车两冒一超。</w:t>
      </w:r>
    </w:p>
    <w:p>
      <w:pPr>
        <w:pageBreakBefore w:val="0"/>
        <w:numPr>
          <w:ilvl w:val="0"/>
          <w:numId w:val="0"/>
        </w:numPr>
        <w:kinsoku/>
        <w:wordWrap/>
        <w:overflowPunct/>
        <w:topLinePunct w:val="0"/>
        <w:bidi w:val="0"/>
        <w:snapToGrid/>
        <w:spacing w:line="360" w:lineRule="auto"/>
        <w:textAlignment w:val="auto"/>
        <w:rPr>
          <w:rFonts w:hint="eastAsia" w:ascii="宋体" w:hAnsi="宋体" w:eastAsia="宋体" w:cs="宋体"/>
          <w:bCs/>
          <w:color w:val="auto"/>
          <w:sz w:val="21"/>
          <w:szCs w:val="21"/>
          <w:lang w:bidi="ar-SA"/>
        </w:rPr>
      </w:pPr>
      <w:r>
        <w:rPr>
          <w:rFonts w:hint="eastAsia" w:ascii="宋体" w:hAnsi="宋体" w:eastAsia="宋体" w:cs="宋体"/>
          <w:bCs/>
          <w:sz w:val="21"/>
          <w:szCs w:val="21"/>
          <w:lang w:val="en-US" w:eastAsia="zh-CN"/>
        </w:rPr>
        <w:t>3.</w:t>
      </w:r>
      <w:r>
        <w:rPr>
          <w:rFonts w:hint="eastAsia" w:ascii="宋体" w:hAnsi="宋体" w:eastAsia="宋体" w:cs="宋体"/>
          <w:bCs/>
          <w:color w:val="auto"/>
          <w:sz w:val="21"/>
          <w:szCs w:val="21"/>
          <w:lang w:bidi="ar-SA"/>
        </w:rPr>
        <w:t>设备规格及要求</w:t>
      </w:r>
      <w:bookmarkEnd w:id="5"/>
    </w:p>
    <w:p>
      <w:pPr>
        <w:pageBreakBefore w:val="0"/>
        <w:numPr>
          <w:ilvl w:val="0"/>
          <w:numId w:val="0"/>
        </w:numPr>
        <w:kinsoku/>
        <w:wordWrap/>
        <w:overflowPunct/>
        <w:topLinePunct w:val="0"/>
        <w:bidi w:val="0"/>
        <w:snapToGrid/>
        <w:spacing w:line="360" w:lineRule="auto"/>
        <w:textAlignment w:val="auto"/>
        <w:rPr>
          <w:rFonts w:hint="eastAsia" w:ascii="宋体" w:hAnsi="宋体" w:eastAsia="宋体" w:cs="宋体"/>
          <w:bCs/>
          <w:color w:val="auto"/>
          <w:sz w:val="21"/>
          <w:szCs w:val="21"/>
          <w:lang w:val="en-US" w:eastAsia="zh-CN" w:bidi="ar-SA"/>
        </w:rPr>
      </w:pPr>
      <w:r>
        <w:rPr>
          <w:rFonts w:hint="eastAsia" w:ascii="宋体" w:hAnsi="宋体" w:eastAsia="宋体" w:cs="宋体"/>
          <w:bCs/>
          <w:color w:val="auto"/>
          <w:sz w:val="21"/>
          <w:szCs w:val="21"/>
          <w:lang w:val="en-US" w:eastAsia="zh-CN" w:bidi="ar-SA"/>
        </w:rPr>
        <w:t>3.1技术要求</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.1</w:t>
      </w:r>
      <w:r>
        <w:rPr>
          <w:rFonts w:hint="eastAsia" w:ascii="宋体"/>
          <w:color w:val="000000"/>
          <w:sz w:val="21"/>
          <w:szCs w:val="21"/>
        </w:rPr>
        <w:t>每套包括一个主机和两个显示屏，均衡风缸记录2个（均衡风缸1，均衡风缸2）。</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永中宋体" w:eastAsia="永中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.2</w:t>
      </w:r>
      <w:r>
        <w:rPr>
          <w:rFonts w:hint="eastAsia" w:ascii="宋体"/>
          <w:color w:val="000000"/>
          <w:sz w:val="21"/>
          <w:szCs w:val="21"/>
        </w:rPr>
        <w:t>彩色显示屏：10英寸TFT高亮度彩色，型号</w:t>
      </w:r>
      <w:r>
        <w:rPr>
          <w:rFonts w:hint="eastAsia" w:ascii="宋体"/>
          <w:color w:val="000000"/>
          <w:sz w:val="21"/>
          <w:szCs w:val="21"/>
          <w:lang w:val="en-US" w:eastAsia="zh-CN"/>
        </w:rPr>
        <w:t>H型</w:t>
      </w:r>
      <w:r>
        <w:rPr>
          <w:rFonts w:hint="eastAsia" w:ascii="永中宋体" w:eastAsia="永中宋体"/>
          <w:color w:val="000000"/>
          <w:sz w:val="21"/>
          <w:szCs w:val="21"/>
        </w:rPr>
        <w:t>（arm)</w:t>
      </w:r>
      <w:r>
        <w:rPr>
          <w:rFonts w:hint="eastAsia" w:ascii="永中宋体" w:eastAsia="永中宋体"/>
          <w:color w:val="000000"/>
          <w:sz w:val="21"/>
          <w:szCs w:val="21"/>
          <w:lang w:eastAsia="zh-CN"/>
        </w:rPr>
        <w:t>冗余</w:t>
      </w:r>
      <w:r>
        <w:rPr>
          <w:rFonts w:hint="eastAsia" w:ascii="永中宋体" w:eastAsia="永中宋体"/>
          <w:color w:val="000000"/>
          <w:sz w:val="21"/>
          <w:szCs w:val="21"/>
        </w:rPr>
        <w:t>。</w:t>
      </w:r>
    </w:p>
    <w:p>
      <w:pPr>
        <w:pStyle w:val="6"/>
        <w:pageBreakBefore w:val="0"/>
        <w:numPr>
          <w:ilvl w:val="0"/>
          <w:numId w:val="0"/>
        </w:numPr>
        <w:kinsoku/>
        <w:wordWrap/>
        <w:overflowPunct/>
        <w:topLinePunct w:val="0"/>
        <w:bidi w:val="0"/>
        <w:snapToGrid/>
        <w:spacing w:line="360" w:lineRule="auto"/>
        <w:ind w:firstLine="420" w:firstLineChars="200"/>
        <w:jc w:val="left"/>
        <w:textAlignment w:val="auto"/>
        <w:rPr>
          <w:rFonts w:hint="eastAsia" w:ascii="宋体" w:hAnsi="宋体" w:eastAsia="宋体"/>
          <w:kern w:val="2"/>
          <w:sz w:val="21"/>
          <w:szCs w:val="21"/>
        </w:rPr>
      </w:pPr>
      <w:r>
        <w:rPr>
          <w:rFonts w:hint="eastAsia" w:ascii="宋体" w:hAnsi="宋体" w:eastAsia="宋体"/>
          <w:kern w:val="2"/>
          <w:sz w:val="21"/>
          <w:szCs w:val="21"/>
        </w:rPr>
        <w:t>主用显示器与备用显示器独立设置，当主用显示器故障时，可人工切换至备屏继续行车。</w:t>
      </w:r>
    </w:p>
    <w:p>
      <w:pPr>
        <w:pStyle w:val="6"/>
        <w:pageBreakBefore w:val="0"/>
        <w:numPr>
          <w:ilvl w:val="0"/>
          <w:numId w:val="0"/>
        </w:numPr>
        <w:kinsoku/>
        <w:wordWrap/>
        <w:overflowPunct/>
        <w:topLinePunct w:val="0"/>
        <w:bidi w:val="0"/>
        <w:snapToGrid/>
        <w:spacing w:line="360" w:lineRule="auto"/>
        <w:ind w:firstLine="420" w:firstLineChars="200"/>
        <w:jc w:val="both"/>
        <w:textAlignment w:val="auto"/>
        <w:rPr>
          <w:rFonts w:hint="eastAsia" w:ascii="宋体" w:hAnsi="宋体" w:eastAsia="宋体"/>
          <w:kern w:val="2"/>
          <w:sz w:val="21"/>
          <w:szCs w:val="21"/>
        </w:rPr>
      </w:pPr>
      <w:r>
        <w:rPr>
          <w:rFonts w:hint="eastAsia" w:ascii="宋体" w:hAnsi="宋体" w:eastAsia="宋体"/>
          <w:kern w:val="2"/>
          <w:sz w:val="21"/>
          <w:szCs w:val="21"/>
        </w:rPr>
        <w:t>主用显示器功能完全兼容目前屏幕显示器的既有功能，使用完全一致的软件，便于管理和维护。</w:t>
      </w:r>
    </w:p>
    <w:p>
      <w:pPr>
        <w:pStyle w:val="6"/>
        <w:pageBreakBefore w:val="0"/>
        <w:numPr>
          <w:ilvl w:val="0"/>
          <w:numId w:val="0"/>
        </w:numPr>
        <w:kinsoku/>
        <w:wordWrap/>
        <w:overflowPunct/>
        <w:topLinePunct w:val="0"/>
        <w:bidi w:val="0"/>
        <w:snapToGrid/>
        <w:spacing w:line="360" w:lineRule="auto"/>
        <w:ind w:firstLine="420" w:firstLineChars="200"/>
        <w:jc w:val="both"/>
        <w:textAlignment w:val="auto"/>
        <w:rPr>
          <w:rFonts w:hint="eastAsia" w:ascii="宋体" w:hAnsi="宋体" w:eastAsia="宋体"/>
          <w:kern w:val="2"/>
          <w:sz w:val="21"/>
          <w:szCs w:val="21"/>
        </w:rPr>
      </w:pPr>
      <w:r>
        <w:rPr>
          <w:rFonts w:hint="eastAsia" w:ascii="宋体" w:hAnsi="宋体" w:eastAsia="宋体"/>
          <w:kern w:val="2"/>
          <w:sz w:val="21"/>
          <w:szCs w:val="21"/>
        </w:rPr>
        <w:t>设备安装尺寸维持与既有屏幕显示器一致，且完全兼容既有显示器的对外接口。</w:t>
      </w:r>
    </w:p>
    <w:p>
      <w:pPr>
        <w:pageBreakBefore w:val="0"/>
        <w:numPr>
          <w:ilvl w:val="0"/>
          <w:numId w:val="0"/>
        </w:numPr>
        <w:kinsoku/>
        <w:wordWrap/>
        <w:overflowPunct/>
        <w:topLinePunct w:val="0"/>
        <w:bidi w:val="0"/>
        <w:snapToGrid/>
        <w:spacing w:after="0" w:line="360" w:lineRule="auto"/>
        <w:ind w:firstLine="420" w:firstLineChars="200"/>
        <w:jc w:val="both"/>
        <w:textAlignment w:val="auto"/>
        <w:rPr>
          <w:rFonts w:hint="eastAsia" w:ascii="宋体" w:hAnsi="宋体"/>
          <w:sz w:val="21"/>
          <w:szCs w:val="21"/>
        </w:rPr>
      </w:pPr>
      <w:r>
        <w:rPr>
          <w:rFonts w:hint="eastAsia" w:ascii="宋体" w:hAnsi="宋体"/>
          <w:sz w:val="21"/>
          <w:szCs w:val="21"/>
        </w:rPr>
        <w:t>优化键盘的设计，操作方便。</w:t>
      </w:r>
    </w:p>
    <w:p>
      <w:pPr>
        <w:pageBreakBefore w:val="0"/>
        <w:numPr>
          <w:ilvl w:val="0"/>
          <w:numId w:val="0"/>
        </w:numPr>
        <w:kinsoku/>
        <w:wordWrap/>
        <w:overflowPunct/>
        <w:topLinePunct w:val="0"/>
        <w:bidi w:val="0"/>
        <w:snapToGrid/>
        <w:spacing w:after="0" w:line="360" w:lineRule="auto"/>
        <w:ind w:firstLine="420" w:firstLineChars="200"/>
        <w:jc w:val="both"/>
        <w:textAlignment w:val="auto"/>
        <w:rPr>
          <w:rFonts w:hint="eastAsia" w:ascii="宋体" w:hAnsi="宋体"/>
          <w:sz w:val="21"/>
          <w:szCs w:val="21"/>
        </w:rPr>
      </w:pPr>
      <w:r>
        <w:rPr>
          <w:rFonts w:hint="eastAsia" w:ascii="宋体" w:hAnsi="宋体"/>
          <w:sz w:val="21"/>
          <w:szCs w:val="21"/>
        </w:rPr>
        <w:t>采用双喇叭设计</w:t>
      </w:r>
      <w:r>
        <w:rPr>
          <w:rFonts w:hint="eastAsia" w:ascii="宋体" w:hAnsi="宋体"/>
          <w:sz w:val="21"/>
          <w:szCs w:val="21"/>
          <w:lang w:eastAsia="zh-CN"/>
        </w:rPr>
        <w:t>，</w:t>
      </w:r>
      <w:r>
        <w:rPr>
          <w:rFonts w:hint="eastAsia" w:ascii="宋体" w:hAnsi="宋体"/>
          <w:sz w:val="21"/>
          <w:szCs w:val="21"/>
        </w:rPr>
        <w:t>提高发音的质量及其可靠性。</w:t>
      </w:r>
    </w:p>
    <w:p>
      <w:pPr>
        <w:pStyle w:val="3"/>
        <w:pageBreakBefore w:val="0"/>
        <w:numPr>
          <w:ilvl w:val="0"/>
          <w:numId w:val="0"/>
        </w:numPr>
        <w:kinsoku/>
        <w:wordWrap/>
        <w:overflowPunct/>
        <w:topLinePunct w:val="0"/>
        <w:bidi w:val="0"/>
        <w:snapToGrid/>
        <w:spacing w:line="360" w:lineRule="auto"/>
        <w:ind w:firstLine="420" w:firstLineChars="200"/>
        <w:textAlignment w:val="auto"/>
        <w:rPr>
          <w:rFonts w:hint="eastAsia" w:ascii="宋体" w:hAnsi="宋体"/>
          <w:sz w:val="21"/>
          <w:szCs w:val="21"/>
        </w:rPr>
      </w:pPr>
      <w:r>
        <w:rPr>
          <w:rFonts w:hint="eastAsia" w:ascii="宋体" w:hAnsi="宋体"/>
          <w:sz w:val="21"/>
          <w:szCs w:val="21"/>
        </w:rPr>
        <w:t>备屏的使用操作与主屏基本一致，司机可免培训应用。</w:t>
      </w:r>
    </w:p>
    <w:p>
      <w:pPr>
        <w:pStyle w:val="3"/>
        <w:pageBreakBefore w:val="0"/>
        <w:numPr>
          <w:ilvl w:val="0"/>
          <w:numId w:val="0"/>
        </w:numPr>
        <w:kinsoku/>
        <w:wordWrap/>
        <w:overflowPunct/>
        <w:topLinePunct w:val="0"/>
        <w:bidi w:val="0"/>
        <w:snapToGrid/>
        <w:spacing w:line="360" w:lineRule="auto"/>
        <w:ind w:firstLine="420" w:firstLineChars="200"/>
        <w:textAlignment w:val="auto"/>
        <w:rPr>
          <w:rFonts w:hint="eastAsia" w:ascii="宋体" w:hAnsi="宋体"/>
          <w:sz w:val="21"/>
          <w:szCs w:val="21"/>
        </w:rPr>
      </w:pPr>
      <w:r>
        <w:rPr>
          <w:rFonts w:hint="eastAsia" w:ascii="宋体" w:hAnsi="宋体"/>
          <w:sz w:val="21"/>
          <w:szCs w:val="21"/>
        </w:rPr>
        <w:t>备屏具备基本信息显示、设定、揭示查询、设备状态查询、键盘检测、检修查询，IC卡输入、特殊行车、制动曲线显示等功能。</w:t>
      </w:r>
    </w:p>
    <w:p>
      <w:pPr>
        <w:pStyle w:val="3"/>
        <w:pageBreakBefore w:val="0"/>
        <w:numPr>
          <w:ilvl w:val="0"/>
          <w:numId w:val="0"/>
        </w:numPr>
        <w:kinsoku/>
        <w:wordWrap/>
        <w:overflowPunct/>
        <w:topLinePunct w:val="0"/>
        <w:bidi w:val="0"/>
        <w:snapToGrid/>
        <w:spacing w:line="360" w:lineRule="auto"/>
        <w:ind w:firstLine="420" w:firstLineChars="200"/>
        <w:textAlignment w:val="auto"/>
        <w:rPr>
          <w:rFonts w:hint="eastAsia" w:ascii="永中宋体" w:eastAsia="永中宋体"/>
          <w:color w:val="000000"/>
          <w:sz w:val="21"/>
          <w:szCs w:val="21"/>
        </w:rPr>
      </w:pPr>
      <w:r>
        <w:rPr>
          <w:rFonts w:hint="eastAsia" w:ascii="宋体" w:hAnsi="宋体"/>
          <w:sz w:val="21"/>
          <w:szCs w:val="21"/>
        </w:rPr>
        <w:t>主备显示器支持在线的程序数据换装，维护方便。</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.3</w:t>
      </w:r>
      <w:r>
        <w:rPr>
          <w:rFonts w:hint="eastAsia" w:ascii="宋体"/>
          <w:color w:val="000000"/>
          <w:sz w:val="21"/>
          <w:szCs w:val="21"/>
        </w:rPr>
        <w:t>硬件软件配置能够满足</w:t>
      </w:r>
      <w:r>
        <w:rPr>
          <w:rFonts w:hint="eastAsia" w:ascii="宋体"/>
          <w:color w:val="000000"/>
          <w:sz w:val="21"/>
          <w:szCs w:val="21"/>
          <w:lang w:val="en-US" w:eastAsia="zh-CN"/>
        </w:rPr>
        <w:t>0318</w:t>
      </w:r>
      <w:r>
        <w:rPr>
          <w:rFonts w:hint="eastAsia" w:ascii="宋体"/>
          <w:color w:val="000000"/>
          <w:sz w:val="21"/>
          <w:szCs w:val="21"/>
        </w:rPr>
        <w:t>模式所有功能，包括通讯板、地面信息处理板软件。</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.4</w:t>
      </w:r>
      <w:r>
        <w:rPr>
          <w:rFonts w:hint="eastAsia" w:ascii="宋体"/>
          <w:color w:val="000000"/>
          <w:sz w:val="21"/>
          <w:szCs w:val="21"/>
        </w:rPr>
        <w:t>主微处理器：32位微处理器MC68332</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.5</w:t>
      </w:r>
      <w:r>
        <w:rPr>
          <w:rFonts w:hint="eastAsia" w:ascii="宋体"/>
          <w:color w:val="000000"/>
          <w:sz w:val="21"/>
          <w:szCs w:val="21"/>
        </w:rPr>
        <w:t>监控程序存储器容量：1M字节</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.6</w:t>
      </w:r>
      <w:r>
        <w:rPr>
          <w:rFonts w:hint="eastAsia" w:ascii="宋体"/>
          <w:color w:val="000000"/>
          <w:sz w:val="21"/>
          <w:szCs w:val="21"/>
        </w:rPr>
        <w:t>地面数据存储器容量：1M字节（可以扩充至2M字节）</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.7</w:t>
      </w:r>
      <w:r>
        <w:rPr>
          <w:rFonts w:hint="eastAsia" w:ascii="宋体"/>
          <w:color w:val="000000"/>
          <w:sz w:val="21"/>
          <w:szCs w:val="21"/>
        </w:rPr>
        <w:t>记录数据存储器容量：2M字节</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.8</w:t>
      </w:r>
      <w:r>
        <w:rPr>
          <w:rFonts w:hint="eastAsia" w:ascii="宋体"/>
          <w:color w:val="000000"/>
          <w:sz w:val="21"/>
          <w:szCs w:val="21"/>
        </w:rPr>
        <w:t>机车信号输入通道：16路</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.9</w:t>
      </w:r>
      <w:r>
        <w:rPr>
          <w:rFonts w:hint="eastAsia" w:ascii="宋体"/>
          <w:color w:val="000000"/>
          <w:sz w:val="21"/>
          <w:szCs w:val="21"/>
        </w:rPr>
        <w:t>机车工况信号输入通道：8路</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.10</w:t>
      </w:r>
      <w:r>
        <w:rPr>
          <w:rFonts w:hint="eastAsia" w:ascii="宋体"/>
          <w:color w:val="000000"/>
          <w:sz w:val="21"/>
          <w:szCs w:val="21"/>
        </w:rPr>
        <w:t>制动控制输出通道：7路</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.11</w:t>
      </w:r>
      <w:r>
        <w:rPr>
          <w:rFonts w:hint="eastAsia" w:ascii="宋体"/>
          <w:color w:val="000000"/>
          <w:sz w:val="21"/>
          <w:szCs w:val="21"/>
        </w:rPr>
        <w:t>模拟信号输入通道：7路</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.12</w:t>
      </w:r>
      <w:r>
        <w:rPr>
          <w:rFonts w:hint="eastAsia" w:ascii="宋体"/>
          <w:color w:val="000000"/>
          <w:sz w:val="21"/>
          <w:szCs w:val="21"/>
        </w:rPr>
        <w:t>频率信号输入通道：4路</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.13</w:t>
      </w:r>
      <w:r>
        <w:rPr>
          <w:rFonts w:hint="eastAsia" w:ascii="宋体"/>
          <w:color w:val="000000"/>
          <w:sz w:val="21"/>
          <w:szCs w:val="21"/>
        </w:rPr>
        <w:t>系统CAN通信速率：300K bit/s</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.14</w:t>
      </w:r>
      <w:r>
        <w:rPr>
          <w:rFonts w:hint="eastAsia" w:ascii="宋体"/>
          <w:color w:val="000000"/>
          <w:sz w:val="21"/>
          <w:szCs w:val="21"/>
        </w:rPr>
        <w:t>主/备机同步通信速率：1M bit/s</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.15</w:t>
      </w:r>
      <w:r>
        <w:rPr>
          <w:rFonts w:hint="eastAsia" w:ascii="宋体"/>
          <w:color w:val="000000"/>
          <w:sz w:val="21"/>
          <w:szCs w:val="21"/>
        </w:rPr>
        <w:t>对外通信接口：RS-485接口2路；RS-485/RS-422接口1路；</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color w:val="000000"/>
          <w:sz w:val="21"/>
          <w:szCs w:val="21"/>
        </w:rPr>
        <w:t>RS232接口1路</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.16</w:t>
      </w:r>
      <w:r>
        <w:rPr>
          <w:rFonts w:hint="eastAsia" w:ascii="宋体"/>
          <w:color w:val="000000"/>
          <w:sz w:val="21"/>
          <w:szCs w:val="21"/>
        </w:rPr>
        <w:t>主机电源功耗：小于200W</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.17</w:t>
      </w:r>
      <w:r>
        <w:rPr>
          <w:rFonts w:hint="eastAsia" w:ascii="宋体"/>
          <w:color w:val="000000"/>
          <w:sz w:val="21"/>
          <w:szCs w:val="21"/>
        </w:rPr>
        <w:t>分辨率：640*480</w:t>
      </w:r>
    </w:p>
    <w:p>
      <w:pPr>
        <w:pageBreakBefore w:val="0"/>
        <w:numPr>
          <w:ilvl w:val="0"/>
          <w:numId w:val="0"/>
        </w:numPr>
        <w:tabs>
          <w:tab w:val="left" w:pos="0"/>
        </w:tabs>
        <w:kinsoku/>
        <w:wordWrap/>
        <w:overflowPunct/>
        <w:topLinePunct w:val="0"/>
        <w:bidi w:val="0"/>
        <w:snapToGrid/>
        <w:spacing w:line="360" w:lineRule="auto"/>
        <w:ind w:leftChars="0"/>
        <w:textAlignment w:val="auto"/>
        <w:rPr>
          <w:rFonts w:hint="eastAsia" w:ascii="宋体"/>
          <w:color w:val="000000"/>
          <w:sz w:val="21"/>
          <w:szCs w:val="21"/>
        </w:rPr>
      </w:pPr>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.18</w:t>
      </w:r>
      <w:r>
        <w:rPr>
          <w:rFonts w:hint="eastAsia" w:ascii="宋体"/>
          <w:color w:val="000000"/>
          <w:sz w:val="21"/>
          <w:szCs w:val="21"/>
        </w:rPr>
        <w:t>工作环境温度：-10℃～+35℃</w:t>
      </w:r>
    </w:p>
    <w:p>
      <w:pPr>
        <w:pageBreakBefore w:val="0"/>
        <w:tabs>
          <w:tab w:val="left" w:pos="1335"/>
        </w:tabs>
        <w:kinsoku/>
        <w:wordWrap/>
        <w:overflowPunct/>
        <w:topLinePunct w:val="0"/>
        <w:bidi w:val="0"/>
        <w:snapToGrid/>
        <w:spacing w:line="360" w:lineRule="auto"/>
        <w:textAlignment w:val="auto"/>
        <w:outlineLvl w:val="0"/>
        <w:rPr>
          <w:rFonts w:hint="eastAsia" w:ascii="宋体"/>
          <w:sz w:val="21"/>
          <w:szCs w:val="21"/>
        </w:rPr>
      </w:pPr>
      <w:bookmarkStart w:id="6" w:name="_Toc16287"/>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.19</w:t>
      </w:r>
      <w:r>
        <w:rPr>
          <w:rFonts w:hint="eastAsia" w:ascii="宋体"/>
          <w:sz w:val="21"/>
          <w:szCs w:val="21"/>
        </w:rPr>
        <w:t>标准：设备必须满足国家及行业安全标准；</w:t>
      </w:r>
      <w:bookmarkEnd w:id="6"/>
    </w:p>
    <w:p>
      <w:pPr>
        <w:pageBreakBefore w:val="0"/>
        <w:tabs>
          <w:tab w:val="left" w:pos="1335"/>
        </w:tabs>
        <w:kinsoku/>
        <w:wordWrap/>
        <w:overflowPunct/>
        <w:topLinePunct w:val="0"/>
        <w:bidi w:val="0"/>
        <w:snapToGrid/>
        <w:spacing w:line="360" w:lineRule="auto"/>
        <w:textAlignment w:val="auto"/>
        <w:outlineLvl w:val="0"/>
        <w:rPr>
          <w:rFonts w:hint="eastAsia" w:ascii="宋体"/>
          <w:sz w:val="21"/>
          <w:szCs w:val="21"/>
          <w:u w:val="single"/>
        </w:rPr>
      </w:pPr>
      <w:bookmarkStart w:id="7" w:name="_Toc9979"/>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.20</w:t>
      </w:r>
      <w:r>
        <w:rPr>
          <w:rFonts w:hint="eastAsia" w:ascii="宋体"/>
          <w:sz w:val="21"/>
          <w:szCs w:val="21"/>
        </w:rPr>
        <w:t>设计和制造要求</w:t>
      </w:r>
      <w:r>
        <w:rPr>
          <w:rFonts w:hint="eastAsia" w:ascii="宋体"/>
          <w:sz w:val="21"/>
          <w:szCs w:val="21"/>
          <w:lang w:eastAsia="zh-CN"/>
        </w:rPr>
        <w:t>：</w:t>
      </w:r>
      <w:r>
        <w:rPr>
          <w:rFonts w:hint="eastAsia" w:ascii="宋体"/>
          <w:sz w:val="21"/>
          <w:szCs w:val="21"/>
        </w:rPr>
        <w:t>在设计制造中，零部件尽量采用同一标准，尽可能提高零部件之间的互换性。零部件必须易于拆装，便于维修，脏物易聚集的地方必须易于清理。</w:t>
      </w:r>
      <w:bookmarkEnd w:id="7"/>
    </w:p>
    <w:p>
      <w:pPr>
        <w:pageBreakBefore w:val="0"/>
        <w:tabs>
          <w:tab w:val="left" w:pos="1335"/>
        </w:tabs>
        <w:kinsoku/>
        <w:wordWrap/>
        <w:overflowPunct/>
        <w:topLinePunct w:val="0"/>
        <w:bidi w:val="0"/>
        <w:snapToGrid/>
        <w:spacing w:line="360" w:lineRule="auto"/>
        <w:textAlignment w:val="auto"/>
        <w:outlineLvl w:val="0"/>
        <w:rPr>
          <w:rFonts w:hint="eastAsia" w:ascii="宋体"/>
          <w:sz w:val="21"/>
          <w:szCs w:val="21"/>
        </w:rPr>
      </w:pPr>
      <w:bookmarkStart w:id="8" w:name="_Toc23918"/>
      <w:r>
        <w:rPr>
          <w:rFonts w:hint="eastAsia" w:ascii="宋体" w:hAnsi="宋体" w:eastAsia="宋体" w:cs="宋体"/>
          <w:bCs/>
          <w:color w:val="auto"/>
          <w:sz w:val="21"/>
          <w:szCs w:val="21"/>
          <w:lang w:val="en-US" w:eastAsia="zh-CN" w:bidi="ar-SA"/>
        </w:rPr>
        <w:t>3.1</w:t>
      </w:r>
      <w:r>
        <w:rPr>
          <w:rFonts w:hint="eastAsia" w:ascii="宋体" w:hAnsi="宋体" w:cs="宋体"/>
          <w:bCs/>
          <w:color w:val="auto"/>
          <w:sz w:val="21"/>
          <w:szCs w:val="21"/>
          <w:lang w:val="en-US" w:eastAsia="zh-CN" w:bidi="ar-SA"/>
        </w:rPr>
        <w:t>.21</w:t>
      </w:r>
      <w:r>
        <w:rPr>
          <w:rFonts w:hint="eastAsia" w:ascii="宋体"/>
          <w:sz w:val="21"/>
          <w:szCs w:val="21"/>
        </w:rPr>
        <w:t>所有总成部件必须装有铭牌，铭牌应标有该总成件主要技术规格参数。配套的总成件铭牌要完好保留，便于察看。</w:t>
      </w:r>
      <w:bookmarkEnd w:id="8"/>
      <w:r>
        <w:rPr>
          <w:rFonts w:hint="eastAsia" w:ascii="宋体"/>
          <w:sz w:val="21"/>
          <w:szCs w:val="21"/>
        </w:rPr>
        <w:t xml:space="preserve">  </w:t>
      </w:r>
    </w:p>
    <w:p>
      <w:pPr>
        <w:tabs>
          <w:tab w:val="left" w:pos="1335"/>
        </w:tabs>
        <w:spacing w:line="360" w:lineRule="auto"/>
        <w:outlineLvl w:val="0"/>
        <w:rPr>
          <w:rFonts w:hint="eastAsia" w:ascii="宋体" w:hAnsi="宋体" w:eastAsia="宋体" w:cs="宋体"/>
          <w:sz w:val="21"/>
          <w:szCs w:val="21"/>
        </w:rPr>
      </w:pPr>
      <w:bookmarkStart w:id="9" w:name="_Toc19251"/>
      <w:r>
        <w:rPr>
          <w:rFonts w:hint="eastAsia" w:ascii="宋体" w:hAnsi="宋体" w:eastAsia="宋体" w:cs="宋体"/>
          <w:sz w:val="21"/>
          <w:szCs w:val="21"/>
          <w:lang w:val="en-US" w:eastAsia="zh-CN"/>
        </w:rPr>
        <w:t>3.1.</w:t>
      </w:r>
      <w:r>
        <w:rPr>
          <w:rFonts w:hint="eastAsia" w:ascii="宋体" w:hAnsi="宋体" w:cs="宋体"/>
          <w:sz w:val="21"/>
          <w:szCs w:val="21"/>
          <w:lang w:val="en-US" w:eastAsia="zh-CN"/>
        </w:rPr>
        <w:t>22</w:t>
      </w:r>
      <w:r>
        <w:rPr>
          <w:rFonts w:hint="eastAsia" w:ascii="宋体" w:hAnsi="宋体" w:eastAsia="宋体" w:cs="宋体"/>
          <w:sz w:val="21"/>
          <w:szCs w:val="21"/>
          <w:lang w:val="en-US" w:eastAsia="zh-CN"/>
        </w:rPr>
        <w:t>安装要求：投标方负责设备安装调试，包括旧设备及线缆的拆除。并按规定布设所需的全部线缆，线缆均符合相关标准要求。</w:t>
      </w:r>
      <w:bookmarkEnd w:id="9"/>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jc w:val="both"/>
        <w:textAlignment w:val="auto"/>
        <w:outlineLvl w:val="9"/>
        <w:rPr>
          <w:rFonts w:hint="eastAsia" w:ascii="宋体" w:hAnsi="宋体" w:eastAsia="宋体" w:cs="宋体"/>
          <w:bCs/>
          <w:sz w:val="21"/>
          <w:szCs w:val="21"/>
          <w:highlight w:val="none"/>
        </w:rPr>
      </w:pPr>
      <w:r>
        <w:rPr>
          <w:rFonts w:hint="eastAsia" w:ascii="宋体" w:hAnsi="宋体" w:eastAsia="宋体" w:cs="宋体"/>
          <w:sz w:val="21"/>
          <w:szCs w:val="21"/>
          <w:highlight w:val="none"/>
        </w:rPr>
        <w:t>3.2投</w:t>
      </w:r>
      <w:r>
        <w:rPr>
          <w:rFonts w:hint="eastAsia" w:ascii="宋体" w:hAnsi="宋体" w:eastAsia="宋体" w:cs="宋体"/>
          <w:bCs/>
          <w:sz w:val="21"/>
          <w:szCs w:val="21"/>
          <w:highlight w:val="none"/>
        </w:rPr>
        <w:t>标</w:t>
      </w:r>
      <w:r>
        <w:rPr>
          <w:rFonts w:hint="eastAsia" w:ascii="宋体" w:hAnsi="宋体" w:cs="宋体"/>
          <w:bCs/>
          <w:sz w:val="21"/>
          <w:szCs w:val="21"/>
          <w:highlight w:val="none"/>
          <w:lang w:val="en-US" w:eastAsia="zh-CN"/>
        </w:rPr>
        <w:t>方</w:t>
      </w:r>
      <w:r>
        <w:rPr>
          <w:rFonts w:hint="eastAsia" w:ascii="宋体" w:hAnsi="宋体" w:eastAsia="宋体" w:cs="宋体"/>
          <w:bCs/>
          <w:sz w:val="21"/>
          <w:szCs w:val="21"/>
          <w:highlight w:val="none"/>
        </w:rPr>
        <w:t>按如下要求对投标设备的结构、性能进行详细描述。</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jc w:val="both"/>
        <w:textAlignment w:val="auto"/>
        <w:outlineLvl w:val="9"/>
        <w:rPr>
          <w:rFonts w:hint="eastAsia" w:ascii="宋体" w:hAnsi="宋体" w:eastAsia="宋体" w:cs="宋体"/>
          <w:sz w:val="21"/>
          <w:szCs w:val="21"/>
          <w:highlight w:val="none"/>
        </w:rPr>
      </w:pPr>
      <w:r>
        <w:rPr>
          <w:rFonts w:hint="eastAsia" w:ascii="宋体" w:hAnsi="宋体" w:eastAsia="宋体" w:cs="宋体"/>
          <w:bCs/>
          <w:sz w:val="21"/>
          <w:szCs w:val="21"/>
          <w:highlight w:val="none"/>
        </w:rPr>
        <w:t>3.2.1</w:t>
      </w:r>
      <w:r>
        <w:rPr>
          <w:rFonts w:hint="eastAsia" w:ascii="宋体" w:hAnsi="宋体" w:eastAsia="宋体" w:cs="宋体"/>
          <w:bCs/>
          <w:sz w:val="21"/>
          <w:szCs w:val="21"/>
          <w:highlight w:val="none"/>
          <w:lang w:val="en-US" w:eastAsia="zh-CN"/>
        </w:rPr>
        <w:t>设备的组成及</w:t>
      </w:r>
      <w:r>
        <w:rPr>
          <w:rFonts w:hint="eastAsia" w:ascii="宋体" w:hAnsi="宋体" w:eastAsia="宋体" w:cs="宋体"/>
          <w:bCs/>
          <w:sz w:val="21"/>
          <w:szCs w:val="21"/>
          <w:highlight w:val="none"/>
          <w:lang w:eastAsia="zh-CN"/>
        </w:rPr>
        <w:t>每项</w:t>
      </w:r>
      <w:r>
        <w:rPr>
          <w:rFonts w:hint="eastAsia" w:ascii="宋体" w:hAnsi="宋体" w:eastAsia="宋体" w:cs="宋体"/>
          <w:bCs/>
          <w:sz w:val="21"/>
          <w:szCs w:val="21"/>
          <w:highlight w:val="none"/>
          <w:lang w:val="en-US" w:eastAsia="zh-CN"/>
        </w:rPr>
        <w:t>部分</w:t>
      </w:r>
      <w:r>
        <w:rPr>
          <w:rFonts w:hint="eastAsia" w:ascii="宋体" w:hAnsi="宋体" w:eastAsia="宋体" w:cs="宋体"/>
          <w:bCs/>
          <w:sz w:val="21"/>
          <w:szCs w:val="21"/>
          <w:highlight w:val="none"/>
        </w:rPr>
        <w:t>的</w:t>
      </w:r>
      <w:r>
        <w:rPr>
          <w:rFonts w:hint="eastAsia" w:ascii="宋体" w:hAnsi="宋体" w:eastAsia="宋体" w:cs="宋体"/>
          <w:bCs/>
          <w:sz w:val="21"/>
          <w:szCs w:val="21"/>
          <w:highlight w:val="none"/>
          <w:lang w:val="en-US" w:eastAsia="zh-CN"/>
        </w:rPr>
        <w:t>结构、</w:t>
      </w:r>
      <w:r>
        <w:rPr>
          <w:rFonts w:hint="eastAsia" w:ascii="宋体" w:hAnsi="宋体" w:eastAsia="宋体" w:cs="宋体"/>
          <w:bCs/>
          <w:sz w:val="21"/>
          <w:szCs w:val="21"/>
          <w:highlight w:val="none"/>
        </w:rPr>
        <w:t>构</w:t>
      </w:r>
      <w:r>
        <w:rPr>
          <w:rFonts w:hint="eastAsia" w:ascii="宋体" w:hAnsi="宋体" w:eastAsia="宋体" w:cs="宋体"/>
          <w:sz w:val="21"/>
          <w:szCs w:val="21"/>
          <w:highlight w:val="none"/>
        </w:rPr>
        <w:t>造</w:t>
      </w:r>
      <w:r>
        <w:rPr>
          <w:rFonts w:hint="eastAsia" w:ascii="宋体" w:hAnsi="宋体" w:eastAsia="宋体" w:cs="宋体"/>
          <w:sz w:val="21"/>
          <w:szCs w:val="21"/>
          <w:highlight w:val="none"/>
          <w:lang w:eastAsia="zh-CN"/>
        </w:rPr>
        <w:t>。</w:t>
      </w:r>
    </w:p>
    <w:p>
      <w:pPr>
        <w:keepNext w:val="0"/>
        <w:keepLines w:val="0"/>
        <w:pageBreakBefore w:val="0"/>
        <w:widowControl w:val="0"/>
        <w:kinsoku/>
        <w:wordWrap/>
        <w:overflowPunct/>
        <w:topLinePunct w:val="0"/>
        <w:autoSpaceDE/>
        <w:autoSpaceDN/>
        <w:bidi w:val="0"/>
        <w:snapToGrid/>
        <w:spacing w:line="360" w:lineRule="auto"/>
        <w:ind w:left="0" w:leftChars="0" w:right="0" w:rightChars="0"/>
        <w:jc w:val="both"/>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3.2.2</w:t>
      </w:r>
      <w:r>
        <w:rPr>
          <w:rFonts w:hint="eastAsia" w:ascii="宋体" w:hAnsi="宋体" w:eastAsia="宋体" w:cs="宋体"/>
          <w:sz w:val="21"/>
          <w:szCs w:val="21"/>
          <w:highlight w:val="none"/>
          <w:lang w:val="en-US" w:eastAsia="zh-CN"/>
        </w:rPr>
        <w:t>设备组成</w:t>
      </w:r>
      <w:r>
        <w:rPr>
          <w:rFonts w:hint="eastAsia" w:ascii="宋体" w:hAnsi="宋体" w:eastAsia="宋体" w:cs="宋体"/>
          <w:sz w:val="21"/>
          <w:szCs w:val="21"/>
          <w:highlight w:val="none"/>
        </w:rPr>
        <w:t>部件的规格型号、生产厂家、技术参数</w:t>
      </w:r>
      <w:r>
        <w:rPr>
          <w:rFonts w:hint="eastAsia" w:ascii="宋体" w:hAnsi="宋体" w:eastAsia="宋体" w:cs="宋体"/>
          <w:sz w:val="21"/>
          <w:szCs w:val="21"/>
          <w:highlight w:val="none"/>
          <w:lang w:eastAsia="zh-CN"/>
        </w:rPr>
        <w:t>。</w:t>
      </w:r>
    </w:p>
    <w:p>
      <w:pPr>
        <w:keepNext w:val="0"/>
        <w:keepLines w:val="0"/>
        <w:pageBreakBefore w:val="0"/>
        <w:widowControl w:val="0"/>
        <w:kinsoku/>
        <w:wordWrap/>
        <w:overflowPunct/>
        <w:topLinePunct w:val="0"/>
        <w:autoSpaceDE/>
        <w:autoSpaceDN/>
        <w:bidi w:val="0"/>
        <w:snapToGrid/>
        <w:spacing w:line="360" w:lineRule="auto"/>
        <w:ind w:left="0" w:leftChars="0" w:right="0" w:rightChars="0"/>
        <w:jc w:val="both"/>
        <w:textAlignment w:val="auto"/>
        <w:outlineLvl w:val="9"/>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3.2.3</w:t>
      </w:r>
      <w:r>
        <w:rPr>
          <w:rFonts w:hint="eastAsia" w:ascii="宋体" w:hAnsi="宋体" w:eastAsia="宋体" w:cs="宋体"/>
          <w:sz w:val="21"/>
          <w:szCs w:val="21"/>
          <w:highlight w:val="none"/>
          <w:lang w:val="en-US" w:eastAsia="zh-CN"/>
        </w:rPr>
        <w:t>设备组成</w:t>
      </w:r>
      <w:r>
        <w:rPr>
          <w:rFonts w:hint="eastAsia" w:ascii="宋体" w:hAnsi="宋体" w:eastAsia="宋体" w:cs="宋体"/>
          <w:bCs/>
          <w:sz w:val="21"/>
          <w:szCs w:val="21"/>
          <w:highlight w:val="none"/>
          <w:lang w:val="en-US" w:eastAsia="zh-CN"/>
        </w:rPr>
        <w:t>部件</w:t>
      </w:r>
      <w:r>
        <w:rPr>
          <w:rFonts w:hint="eastAsia" w:ascii="宋体" w:hAnsi="宋体" w:eastAsia="宋体" w:cs="宋体"/>
          <w:sz w:val="21"/>
          <w:szCs w:val="21"/>
          <w:highlight w:val="none"/>
        </w:rPr>
        <w:t>的主要技术指标</w:t>
      </w:r>
      <w:r>
        <w:rPr>
          <w:rFonts w:hint="eastAsia" w:ascii="宋体" w:hAnsi="宋体" w:eastAsia="宋体" w:cs="宋体"/>
          <w:sz w:val="21"/>
          <w:szCs w:val="21"/>
          <w:highlight w:val="none"/>
          <w:lang w:eastAsia="zh-CN"/>
        </w:rPr>
        <w:t>。</w:t>
      </w:r>
    </w:p>
    <w:p>
      <w:pPr>
        <w:keepNext w:val="0"/>
        <w:keepLines w:val="0"/>
        <w:pageBreakBefore w:val="0"/>
        <w:kinsoku/>
        <w:wordWrap/>
        <w:overflowPunct/>
        <w:topLinePunct w:val="0"/>
        <w:autoSpaceDE/>
        <w:autoSpaceDN/>
        <w:bidi w:val="0"/>
        <w:snapToGrid/>
        <w:spacing w:line="360" w:lineRule="auto"/>
        <w:textAlignment w:val="auto"/>
        <w:outlineLvl w:val="9"/>
        <w:rPr>
          <w:rFonts w:hint="eastAsia" w:ascii="宋体" w:cs="宋体"/>
          <w:bCs/>
          <w:sz w:val="21"/>
          <w:szCs w:val="21"/>
        </w:rPr>
      </w:pPr>
      <w:r>
        <w:rPr>
          <w:rFonts w:hint="eastAsia" w:ascii="宋体" w:cs="宋体"/>
          <w:bCs/>
          <w:sz w:val="21"/>
          <w:szCs w:val="21"/>
        </w:rPr>
        <w:t>3.2.4其它技术描述。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4.供货范围及交货时间</w:t>
      </w:r>
    </w:p>
    <w:p>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color w:val="auto"/>
          <w:sz w:val="21"/>
          <w:szCs w:val="21"/>
        </w:rPr>
        <w:t>完整的、全新的、符合制造标准的、满足本</w:t>
      </w:r>
      <w:r>
        <w:rPr>
          <w:rFonts w:hint="eastAsia" w:ascii="宋体" w:hAnsi="宋体" w:eastAsia="宋体" w:cs="宋体"/>
          <w:color w:val="auto"/>
          <w:sz w:val="21"/>
          <w:szCs w:val="21"/>
          <w:lang w:val="en-US" w:eastAsia="zh-CN"/>
        </w:rPr>
        <w:t>技术规范书</w:t>
      </w:r>
      <w:r>
        <w:rPr>
          <w:rFonts w:hint="eastAsia" w:ascii="宋体" w:hAnsi="宋体" w:eastAsia="宋体" w:cs="宋体"/>
          <w:color w:val="auto"/>
          <w:sz w:val="21"/>
          <w:szCs w:val="21"/>
        </w:rPr>
        <w:t>各项条件及技术要求的</w:t>
      </w:r>
      <w:r>
        <w:rPr>
          <w:rFonts w:hint="eastAsia" w:ascii="宋体"/>
          <w:bCs/>
          <w:sz w:val="21"/>
          <w:szCs w:val="21"/>
          <w:lang w:eastAsia="zh-CN"/>
        </w:rPr>
        <w:t>LKJ</w:t>
      </w:r>
      <w:r>
        <w:rPr>
          <w:rFonts w:hint="eastAsia" w:ascii="宋体"/>
          <w:bCs/>
          <w:sz w:val="21"/>
          <w:szCs w:val="21"/>
          <w:lang w:val="en-US" w:eastAsia="zh-CN"/>
        </w:rPr>
        <w:t>2000</w:t>
      </w:r>
      <w:r>
        <w:rPr>
          <w:rFonts w:hint="eastAsia" w:ascii="宋体"/>
          <w:bCs/>
          <w:sz w:val="21"/>
          <w:szCs w:val="21"/>
          <w:lang w:eastAsia="zh-CN"/>
        </w:rPr>
        <w:t>型机车监控装置</w:t>
      </w:r>
      <w:r>
        <w:rPr>
          <w:rFonts w:hint="eastAsia" w:ascii="宋体"/>
          <w:bCs/>
          <w:sz w:val="21"/>
          <w:szCs w:val="21"/>
          <w:lang w:val="en-US" w:eastAsia="zh-CN"/>
        </w:rPr>
        <w:t>18套</w:t>
      </w:r>
      <w:r>
        <w:rPr>
          <w:rFonts w:hint="eastAsia" w:ascii="宋体" w:hAnsi="宋体" w:eastAsia="宋体" w:cs="宋体"/>
          <w:color w:val="auto"/>
          <w:sz w:val="21"/>
          <w:szCs w:val="21"/>
        </w:rPr>
        <w:t>。其中包括安装调试设备所必需的全部零件和材料（如连接件、首次加注的油、脂、液等）。供货范围详见下表</w:t>
      </w:r>
      <w:r>
        <w:rPr>
          <w:rFonts w:hint="eastAsia" w:ascii="宋体" w:hAnsi="宋体" w:eastAsia="宋体" w:cs="宋体"/>
          <w:color w:val="auto"/>
          <w:sz w:val="21"/>
          <w:szCs w:val="21"/>
          <w:lang w:val="en-US" w:eastAsia="zh-CN"/>
        </w:rPr>
        <w:t>(可不限于此）</w:t>
      </w:r>
      <w:r>
        <w:rPr>
          <w:rFonts w:hint="eastAsia" w:ascii="宋体" w:hAnsi="宋体" w:eastAsia="宋体" w:cs="宋体"/>
          <w:sz w:val="21"/>
          <w:szCs w:val="21"/>
          <w:lang w:eastAsia="zh-CN"/>
        </w:rPr>
        <w:t>：</w:t>
      </w:r>
    </w:p>
    <w:tbl>
      <w:tblPr>
        <w:tblStyle w:val="5"/>
        <w:tblpPr w:leftFromText="180" w:rightFromText="180" w:vertAnchor="text" w:horzAnchor="margin" w:tblpXSpec="right" w:tblpY="2"/>
        <w:tblW w:w="85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9"/>
        <w:gridCol w:w="4515"/>
        <w:gridCol w:w="1350"/>
        <w:gridCol w:w="17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8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outlineLvl w:val="9"/>
              <w:rPr>
                <w:rFonts w:hint="eastAsia" w:ascii="宋体"/>
                <w:bCs/>
                <w:sz w:val="21"/>
                <w:szCs w:val="21"/>
              </w:rPr>
            </w:pPr>
            <w:r>
              <w:rPr>
                <w:rFonts w:hint="eastAsia" w:ascii="宋体"/>
                <w:bCs/>
                <w:sz w:val="21"/>
                <w:szCs w:val="21"/>
              </w:rPr>
              <w:t>序号</w:t>
            </w:r>
          </w:p>
        </w:tc>
        <w:tc>
          <w:tcPr>
            <w:tcW w:w="451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outlineLvl w:val="9"/>
              <w:rPr>
                <w:rFonts w:hint="eastAsia" w:ascii="宋体"/>
                <w:bCs/>
                <w:sz w:val="21"/>
                <w:szCs w:val="21"/>
              </w:rPr>
            </w:pPr>
            <w:r>
              <w:rPr>
                <w:rFonts w:hint="eastAsia" w:ascii="宋体"/>
                <w:bCs/>
                <w:sz w:val="21"/>
                <w:szCs w:val="21"/>
              </w:rPr>
              <w:t>名称</w:t>
            </w:r>
          </w:p>
        </w:tc>
        <w:tc>
          <w:tcPr>
            <w:tcW w:w="135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outlineLvl w:val="9"/>
              <w:rPr>
                <w:rFonts w:hint="eastAsia" w:ascii="宋体"/>
                <w:bCs/>
                <w:sz w:val="21"/>
                <w:szCs w:val="21"/>
              </w:rPr>
            </w:pPr>
            <w:r>
              <w:rPr>
                <w:rFonts w:hint="eastAsia" w:ascii="宋体"/>
                <w:bCs/>
                <w:sz w:val="21"/>
                <w:szCs w:val="21"/>
              </w:rPr>
              <w:t>数量</w:t>
            </w:r>
          </w:p>
        </w:tc>
        <w:tc>
          <w:tcPr>
            <w:tcW w:w="17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outlineLvl w:val="9"/>
              <w:rPr>
                <w:rFonts w:hint="eastAsia" w:ascii="宋体"/>
                <w:bCs/>
                <w:sz w:val="21"/>
                <w:szCs w:val="21"/>
              </w:rPr>
            </w:pPr>
            <w:r>
              <w:rPr>
                <w:rFonts w:hint="eastAsia" w:ascii="宋体"/>
                <w:sz w:val="21"/>
                <w:szCs w:val="21"/>
              </w:rPr>
              <w:t>供货时间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trPr>
        <w:tc>
          <w:tcPr>
            <w:tcW w:w="8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rPr>
                <w:rFonts w:hint="eastAsia" w:ascii="宋体" w:eastAsia="宋体"/>
                <w:bCs/>
                <w:sz w:val="21"/>
                <w:szCs w:val="21"/>
                <w:lang w:val="en-US" w:eastAsia="zh-CN"/>
              </w:rPr>
            </w:pPr>
            <w:r>
              <w:rPr>
                <w:rFonts w:hint="eastAsia" w:ascii="宋体"/>
                <w:bCs/>
                <w:sz w:val="21"/>
                <w:szCs w:val="21"/>
                <w:lang w:val="en-US" w:eastAsia="zh-CN"/>
              </w:rPr>
              <w:t>1</w:t>
            </w:r>
          </w:p>
        </w:tc>
        <w:tc>
          <w:tcPr>
            <w:tcW w:w="45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textAlignment w:val="auto"/>
              <w:rPr>
                <w:rFonts w:hint="eastAsia" w:ascii="宋体" w:eastAsia="宋体"/>
                <w:bCs/>
                <w:sz w:val="21"/>
                <w:szCs w:val="21"/>
                <w:lang w:eastAsia="zh-CN"/>
              </w:rPr>
            </w:pPr>
            <w:r>
              <w:rPr>
                <w:rFonts w:hint="eastAsia" w:ascii="宋体"/>
                <w:bCs/>
                <w:sz w:val="21"/>
                <w:szCs w:val="21"/>
                <w:lang w:eastAsia="zh-CN"/>
              </w:rPr>
              <w:t>LKJ</w:t>
            </w:r>
            <w:r>
              <w:rPr>
                <w:rFonts w:hint="eastAsia" w:ascii="宋体"/>
                <w:bCs/>
                <w:sz w:val="21"/>
                <w:szCs w:val="21"/>
                <w:lang w:val="en-US" w:eastAsia="zh-CN"/>
              </w:rPr>
              <w:t>2000</w:t>
            </w:r>
            <w:r>
              <w:rPr>
                <w:rFonts w:hint="eastAsia" w:ascii="宋体"/>
                <w:bCs/>
                <w:sz w:val="21"/>
                <w:szCs w:val="21"/>
                <w:lang w:eastAsia="zh-CN"/>
              </w:rPr>
              <w:t>型机车监控装置</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rPr>
                <w:rFonts w:hint="eastAsia" w:ascii="宋体"/>
                <w:bCs/>
                <w:sz w:val="21"/>
                <w:szCs w:val="21"/>
              </w:rPr>
            </w:pPr>
            <w:r>
              <w:rPr>
                <w:rFonts w:hint="eastAsia" w:ascii="宋体"/>
                <w:bCs/>
                <w:sz w:val="21"/>
                <w:szCs w:val="21"/>
                <w:lang w:val="en-US" w:eastAsia="zh-CN"/>
              </w:rPr>
              <w:t>18套</w:t>
            </w:r>
          </w:p>
        </w:tc>
        <w:tc>
          <w:tcPr>
            <w:tcW w:w="1789" w:type="dxa"/>
            <w:vMerge w:val="restart"/>
            <w:tcBorders>
              <w:top w:val="nil"/>
              <w:left w:val="nil"/>
              <w:right w:val="single" w:color="auto" w:sz="4" w:space="0"/>
            </w:tcBorders>
            <w:vAlign w:val="center"/>
          </w:tcPr>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eastAsia="宋体"/>
                <w:sz w:val="21"/>
                <w:szCs w:val="21"/>
                <w:lang w:val="en-US" w:eastAsia="zh-CN"/>
              </w:rPr>
            </w:pPr>
            <w:r>
              <w:rPr>
                <w:rFonts w:hint="eastAsia"/>
                <w:sz w:val="21"/>
                <w:szCs w:val="21"/>
                <w:lang w:eastAsia="zh-CN"/>
              </w:rPr>
              <w:t>合同签订后</w:t>
            </w:r>
            <w:r>
              <w:rPr>
                <w:rFonts w:hint="eastAsia"/>
                <w:sz w:val="21"/>
                <w:szCs w:val="21"/>
                <w:lang w:val="en-US" w:eastAsia="zh-CN"/>
              </w:rPr>
              <w:t>2个月内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trPr>
        <w:tc>
          <w:tcPr>
            <w:tcW w:w="8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rPr>
                <w:rFonts w:hint="eastAsia" w:ascii="宋体"/>
                <w:bCs/>
                <w:sz w:val="21"/>
                <w:szCs w:val="21"/>
                <w:lang w:val="en-US" w:eastAsia="zh-CN"/>
              </w:rPr>
            </w:pPr>
            <w:r>
              <w:rPr>
                <w:rFonts w:hint="eastAsia" w:ascii="宋体"/>
                <w:bCs/>
                <w:sz w:val="21"/>
                <w:szCs w:val="21"/>
                <w:lang w:val="en-US" w:eastAsia="zh-CN"/>
              </w:rPr>
              <w:t>2</w:t>
            </w:r>
          </w:p>
        </w:tc>
        <w:tc>
          <w:tcPr>
            <w:tcW w:w="45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textAlignment w:val="auto"/>
              <w:rPr>
                <w:rFonts w:hint="eastAsia" w:ascii="宋体"/>
                <w:bCs/>
                <w:sz w:val="21"/>
                <w:szCs w:val="21"/>
                <w:lang w:val="en-US" w:eastAsia="zh-CN"/>
              </w:rPr>
            </w:pPr>
            <w:r>
              <w:rPr>
                <w:rFonts w:hint="eastAsia" w:ascii="宋体"/>
                <w:bCs/>
                <w:sz w:val="21"/>
                <w:szCs w:val="21"/>
                <w:lang w:val="en-US" w:eastAsia="zh-CN"/>
              </w:rPr>
              <w:t>......</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spacing w:line="360" w:lineRule="auto"/>
              <w:ind w:left="0" w:leftChars="0" w:right="0" w:rightChars="0"/>
              <w:jc w:val="center"/>
              <w:textAlignment w:val="auto"/>
              <w:rPr>
                <w:rFonts w:hint="eastAsia" w:ascii="宋体"/>
                <w:bCs/>
                <w:sz w:val="21"/>
                <w:szCs w:val="21"/>
                <w:lang w:val="en-US" w:eastAsia="zh-CN"/>
              </w:rPr>
            </w:pPr>
          </w:p>
        </w:tc>
        <w:tc>
          <w:tcPr>
            <w:tcW w:w="1789" w:type="dxa"/>
            <w:vMerge w:val="continue"/>
            <w:tcBorders>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sz w:val="21"/>
                <w:szCs w:val="21"/>
                <w:lang w:eastAsia="zh-CN"/>
              </w:rPr>
            </w:pP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5.技术资料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5.1投标方必须随设备交付（但不仅限于此）的技术资料，基础资料（包括出厂测试报告）、《操作手册》、《配件图册》、《保养维修手册》各</w:t>
      </w:r>
      <w:r>
        <w:rPr>
          <w:rFonts w:hint="eastAsia" w:ascii="宋体" w:hAnsi="宋体" w:cs="宋体"/>
          <w:bCs/>
          <w:color w:val="auto"/>
          <w:sz w:val="21"/>
          <w:szCs w:val="21"/>
          <w:highlight w:val="none"/>
          <w:lang w:val="en-US" w:eastAsia="zh-CN" w:bidi="ar-SA"/>
        </w:rPr>
        <w:t>3</w:t>
      </w:r>
      <w:r>
        <w:rPr>
          <w:rFonts w:hint="eastAsia" w:ascii="宋体" w:hAnsi="宋体" w:eastAsia="宋体" w:cs="宋体"/>
          <w:bCs/>
          <w:color w:val="auto"/>
          <w:sz w:val="21"/>
          <w:szCs w:val="21"/>
          <w:highlight w:val="none"/>
          <w:lang w:bidi="ar-SA"/>
        </w:rPr>
        <w:t>套，合格证1套</w:t>
      </w:r>
      <w:r>
        <w:rPr>
          <w:rFonts w:hint="eastAsia" w:ascii="宋体" w:hAnsi="宋体" w:eastAsia="宋体" w:cs="宋体"/>
          <w:bCs/>
          <w:color w:val="auto"/>
          <w:sz w:val="21"/>
          <w:szCs w:val="21"/>
          <w:highlight w:val="none"/>
          <w:lang w:eastAsia="zh-CN" w:bidi="ar-SA"/>
        </w:rPr>
        <w:t>，</w:t>
      </w:r>
      <w:r>
        <w:rPr>
          <w:rFonts w:hint="eastAsia" w:ascii="宋体" w:hAnsi="宋体" w:eastAsia="宋体" w:cs="宋体"/>
          <w:bCs/>
          <w:color w:val="auto"/>
          <w:sz w:val="21"/>
          <w:szCs w:val="21"/>
          <w:highlight w:val="none"/>
          <w:lang w:val="en-US" w:eastAsia="zh-CN" w:bidi="ar-SA"/>
        </w:rPr>
        <w:t>并提供设备竣工档案</w:t>
      </w:r>
      <w:r>
        <w:rPr>
          <w:rFonts w:hint="eastAsia" w:ascii="宋体" w:hAnsi="宋体" w:cs="宋体"/>
          <w:bCs/>
          <w:color w:val="auto"/>
          <w:sz w:val="21"/>
          <w:szCs w:val="21"/>
          <w:highlight w:val="none"/>
          <w:lang w:val="en-US" w:eastAsia="zh-CN" w:bidi="ar-SA"/>
        </w:rPr>
        <w:t>2</w:t>
      </w:r>
      <w:r>
        <w:rPr>
          <w:rFonts w:hint="eastAsia" w:ascii="宋体" w:hAnsi="宋体" w:eastAsia="宋体" w:cs="宋体"/>
          <w:bCs/>
          <w:color w:val="auto"/>
          <w:sz w:val="21"/>
          <w:szCs w:val="21"/>
          <w:highlight w:val="none"/>
          <w:lang w:val="en-US" w:eastAsia="zh-CN" w:bidi="ar-SA"/>
        </w:rPr>
        <w:t>套，提供电子版操作规程及作业指导书（图文结合）</w:t>
      </w:r>
      <w:r>
        <w:rPr>
          <w:rFonts w:hint="eastAsia" w:ascii="宋体" w:hAnsi="宋体" w:eastAsia="宋体" w:cs="宋体"/>
          <w:bCs/>
          <w:color w:val="auto"/>
          <w:sz w:val="21"/>
          <w:szCs w:val="21"/>
          <w:highlight w:val="none"/>
          <w:lang w:bidi="ar-SA"/>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5.1.2《保养维修手册》中要求详列有关检修方法及技术标准；详列设备的日常点检、安全注意事项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5.1.3《操作手册》、《保养维修手册》、《配件图册》分开或集成均可以</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rPr>
          <w:rFonts w:hint="eastAsia" w:ascii="宋体" w:hAnsi="宋体" w:eastAsia="宋体" w:cs="宋体"/>
          <w:bCs/>
          <w:color w:val="auto"/>
          <w:sz w:val="21"/>
          <w:szCs w:val="21"/>
          <w:highlight w:val="none"/>
          <w:lang w:bidi="ar-SA"/>
        </w:rPr>
      </w:pPr>
      <w:bookmarkStart w:id="10" w:name="_Toc470074031"/>
      <w:r>
        <w:rPr>
          <w:rFonts w:hint="eastAsia" w:ascii="宋体" w:hAnsi="宋体" w:eastAsia="宋体" w:cs="宋体"/>
          <w:color w:val="auto"/>
          <w:sz w:val="21"/>
          <w:szCs w:val="21"/>
          <w:highlight w:val="none"/>
        </w:rPr>
        <w:t>5.2</w:t>
      </w:r>
      <w:r>
        <w:rPr>
          <w:rFonts w:hint="eastAsia" w:ascii="宋体" w:hAnsi="宋体" w:cs="宋体"/>
          <w:bCs/>
          <w:color w:val="auto"/>
          <w:sz w:val="21"/>
          <w:szCs w:val="21"/>
          <w:highlight w:val="none"/>
          <w:lang w:eastAsia="zh-CN" w:bidi="ar-SA"/>
        </w:rPr>
        <w:t>投标方</w:t>
      </w:r>
      <w:r>
        <w:rPr>
          <w:rFonts w:hint="eastAsia" w:ascii="宋体" w:hAnsi="宋体" w:eastAsia="宋体" w:cs="宋体"/>
          <w:bCs/>
          <w:color w:val="auto"/>
          <w:sz w:val="21"/>
          <w:szCs w:val="21"/>
          <w:highlight w:val="none"/>
          <w:lang w:bidi="ar-SA"/>
        </w:rPr>
        <w:t>必须交付全新的、完整的、与提供设备相符的、招标方认可的技术资料和图纸（包括纸质版本与电子版本）。对于缺失损坏、不符合要求的技术资料和图纸，投标方在</w:t>
      </w:r>
      <w:r>
        <w:rPr>
          <w:rFonts w:hint="eastAsia" w:ascii="宋体" w:hAnsi="宋体" w:eastAsia="宋体" w:cs="宋体"/>
          <w:bCs/>
          <w:color w:val="auto"/>
          <w:sz w:val="21"/>
          <w:szCs w:val="21"/>
          <w:highlight w:val="none"/>
          <w:u w:val="none"/>
          <w:lang w:val="en-US" w:eastAsia="zh-CN" w:bidi="ar-SA"/>
        </w:rPr>
        <w:t>30</w:t>
      </w:r>
      <w:r>
        <w:rPr>
          <w:rFonts w:hint="eastAsia" w:ascii="宋体" w:hAnsi="宋体" w:eastAsia="宋体" w:cs="宋体"/>
          <w:bCs/>
          <w:color w:val="auto"/>
          <w:sz w:val="21"/>
          <w:szCs w:val="21"/>
          <w:highlight w:val="none"/>
          <w:lang w:bidi="ar-SA"/>
        </w:rPr>
        <w:t>日内，补齐、更换。招标方将</w:t>
      </w:r>
      <w:r>
        <w:rPr>
          <w:rFonts w:hint="eastAsia" w:ascii="宋体" w:hAnsi="宋体" w:eastAsia="宋体" w:cs="宋体"/>
          <w:bCs/>
          <w:color w:val="auto"/>
          <w:sz w:val="21"/>
          <w:szCs w:val="21"/>
          <w:highlight w:val="none"/>
          <w:u w:val="none"/>
          <w:lang w:val="en-US" w:eastAsia="zh-CN" w:bidi="ar-SA"/>
        </w:rPr>
        <w:t>2</w:t>
      </w:r>
      <w:r>
        <w:rPr>
          <w:rFonts w:hint="eastAsia" w:ascii="宋体" w:hAnsi="宋体" w:eastAsia="宋体" w:cs="宋体"/>
          <w:bCs/>
          <w:color w:val="auto"/>
          <w:sz w:val="21"/>
          <w:szCs w:val="21"/>
          <w:highlight w:val="none"/>
          <w:lang w:bidi="ar-SA"/>
        </w:rPr>
        <w:t>套电子版文件，分别存储于U盘中与纸质版本一并交付。招标方出于培训目的，有权复制交付的技术资料和图纸。</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6.技术服务及培训</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6.1技术服务</w:t>
      </w:r>
    </w:p>
    <w:p>
      <w:pPr>
        <w:keepNext w:val="0"/>
        <w:keepLines w:val="0"/>
        <w:pageBreakBefore w:val="0"/>
        <w:kinsoku/>
        <w:wordWrap/>
        <w:overflowPunct/>
        <w:topLinePunct w:val="0"/>
        <w:autoSpaceDE/>
        <w:autoSpaceDN/>
        <w:bidi w:val="0"/>
        <w:snapToGrid/>
        <w:spacing w:line="360" w:lineRule="auto"/>
        <w:ind w:left="0" w:leftChars="0"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6.2技术培训</w:t>
      </w:r>
    </w:p>
    <w:p>
      <w:pPr>
        <w:keepNext w:val="0"/>
        <w:keepLines w:val="0"/>
        <w:pageBreakBefore w:val="0"/>
        <w:kinsoku/>
        <w:wordWrap/>
        <w:overflowPunct/>
        <w:topLinePunct w:val="0"/>
        <w:autoSpaceDE/>
        <w:autoSpaceDN/>
        <w:bidi w:val="0"/>
        <w:snapToGrid/>
        <w:spacing w:line="360" w:lineRule="auto"/>
        <w:ind w:left="0" w:leftChars="0"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投标方需派技术人员到招标方现场免费对操作、维修人员进行技术培训。通过培训能够使操作人员熟练掌握机器的各种功能，制作产品，使检修人员能清楚其构造原理，并能处理各种故障。</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7.安装调试、考核验收</w:t>
      </w:r>
      <w:bookmarkEnd w:id="10"/>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7.1安装调试</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.1安装调试全部由</w:t>
      </w:r>
      <w:r>
        <w:rPr>
          <w:rFonts w:hint="eastAsia" w:ascii="宋体" w:hAnsi="宋体" w:eastAsia="宋体" w:cs="宋体"/>
          <w:color w:val="auto"/>
          <w:sz w:val="21"/>
          <w:szCs w:val="21"/>
          <w:highlight w:val="none"/>
          <w:lang w:val="en-US" w:eastAsia="zh-CN"/>
        </w:rPr>
        <w:t>投</w:t>
      </w:r>
      <w:r>
        <w:rPr>
          <w:rFonts w:hint="eastAsia" w:ascii="宋体" w:hAnsi="宋体" w:eastAsia="宋体" w:cs="宋体"/>
          <w:color w:val="auto"/>
          <w:sz w:val="21"/>
          <w:szCs w:val="21"/>
          <w:highlight w:val="none"/>
        </w:rPr>
        <w:t>标方负责，包括设备的安装、调试、试运行。设备试运行期间，设备所出现的故障由</w:t>
      </w:r>
      <w:r>
        <w:rPr>
          <w:rFonts w:hint="eastAsia" w:ascii="宋体" w:hAnsi="宋体" w:eastAsia="宋体" w:cs="宋体"/>
          <w:color w:val="auto"/>
          <w:sz w:val="21"/>
          <w:szCs w:val="21"/>
          <w:highlight w:val="none"/>
          <w:lang w:val="en-US" w:eastAsia="zh-CN"/>
        </w:rPr>
        <w:t>投</w:t>
      </w:r>
      <w:r>
        <w:rPr>
          <w:rFonts w:hint="eastAsia" w:ascii="宋体" w:hAnsi="宋体" w:eastAsia="宋体" w:cs="宋体"/>
          <w:color w:val="auto"/>
          <w:sz w:val="21"/>
          <w:szCs w:val="21"/>
          <w:highlight w:val="none"/>
        </w:rPr>
        <w:t>标方负责解决，招标方给予协助。</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.2设备调试完成后，进行试运行，试运行由招标方操作人员在</w:t>
      </w:r>
      <w:r>
        <w:rPr>
          <w:rFonts w:hint="eastAsia" w:ascii="宋体" w:hAnsi="宋体" w:eastAsia="宋体" w:cs="宋体"/>
          <w:color w:val="auto"/>
          <w:sz w:val="21"/>
          <w:szCs w:val="21"/>
          <w:highlight w:val="none"/>
          <w:lang w:val="en-US" w:eastAsia="zh-CN"/>
        </w:rPr>
        <w:t>投</w:t>
      </w:r>
      <w:r>
        <w:rPr>
          <w:rFonts w:hint="eastAsia" w:ascii="宋体" w:hAnsi="宋体" w:eastAsia="宋体" w:cs="宋体"/>
          <w:color w:val="auto"/>
          <w:sz w:val="21"/>
          <w:szCs w:val="21"/>
          <w:highlight w:val="none"/>
        </w:rPr>
        <w:t>标方技术人员的密切、具体指导下进行。</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highlight w:val="none"/>
          <w:lang w:bidi="ar-SA"/>
        </w:rPr>
      </w:pPr>
      <w:r>
        <w:rPr>
          <w:rFonts w:hint="eastAsia" w:ascii="宋体" w:hAnsi="宋体" w:eastAsia="宋体" w:cs="宋体"/>
          <w:bCs/>
          <w:color w:val="auto"/>
          <w:sz w:val="21"/>
          <w:szCs w:val="21"/>
          <w:highlight w:val="none"/>
          <w:lang w:bidi="ar-SA"/>
        </w:rPr>
        <w:t>7.</w:t>
      </w:r>
      <w:r>
        <w:rPr>
          <w:rFonts w:hint="eastAsia" w:ascii="宋体" w:hAnsi="宋体" w:eastAsia="宋体" w:cs="宋体"/>
          <w:bCs/>
          <w:color w:val="auto"/>
          <w:sz w:val="21"/>
          <w:szCs w:val="21"/>
          <w:highlight w:val="none"/>
          <w:lang w:val="en-US" w:eastAsia="zh-CN" w:bidi="ar-SA"/>
        </w:rPr>
        <w:t>2</w:t>
      </w:r>
      <w:r>
        <w:rPr>
          <w:rFonts w:hint="eastAsia" w:ascii="宋体" w:hAnsi="宋体" w:eastAsia="宋体" w:cs="宋体"/>
          <w:bCs/>
          <w:color w:val="auto"/>
          <w:sz w:val="21"/>
          <w:szCs w:val="21"/>
          <w:highlight w:val="none"/>
          <w:lang w:bidi="ar-SA"/>
        </w:rPr>
        <w:t>设备考核</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.1设备考核期1个月，设备的故障次数不高于2次，故障累计时间不高于4小时。</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.2设备在首次考核未能通过，再经过更换部件或其他方法处理后，在1个月内仍未达到考核要求，不能通过考核，则视该设备为不合格产品。1个月的期限是从首次考核试运行开始的第一天计</w:t>
      </w:r>
      <w:r>
        <w:rPr>
          <w:rFonts w:hint="eastAsia" w:ascii="宋体" w:hAnsi="宋体" w:eastAsia="宋体" w:cs="宋体"/>
          <w:color w:val="auto"/>
          <w:sz w:val="21"/>
          <w:szCs w:val="21"/>
        </w:rPr>
        <w:t>算。设备不符合招标文件规定的要求及相关标准和规范的设备同样被视为不合格设备。</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.3如考核属于不合格设备，不能进行设备验收，投标方无偿更换设备。在双方同意的期限内将新设备运抵招标方现场，由此产生的一切费用由投标方承担。在新设备安装之前，原设备继续由招标方使用。</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7.</w:t>
      </w:r>
      <w:r>
        <w:rPr>
          <w:rFonts w:hint="eastAsia" w:ascii="宋体" w:hAnsi="宋体" w:eastAsia="宋体" w:cs="宋体"/>
          <w:bCs/>
          <w:color w:val="auto"/>
          <w:sz w:val="21"/>
          <w:szCs w:val="21"/>
          <w:lang w:val="en-US" w:eastAsia="zh-CN" w:bidi="ar-SA"/>
        </w:rPr>
        <w:t>3</w:t>
      </w:r>
      <w:r>
        <w:rPr>
          <w:rFonts w:hint="eastAsia" w:ascii="宋体" w:hAnsi="宋体" w:eastAsia="宋体" w:cs="宋体"/>
          <w:bCs/>
          <w:color w:val="auto"/>
          <w:sz w:val="21"/>
          <w:szCs w:val="21"/>
          <w:lang w:bidi="ar-SA"/>
        </w:rPr>
        <w:t>设备验收</w:t>
      </w:r>
    </w:p>
    <w:p>
      <w:pPr>
        <w:keepNext w:val="0"/>
        <w:keepLines w:val="0"/>
        <w:pageBreakBefore w:val="0"/>
        <w:kinsoku/>
        <w:wordWrap/>
        <w:overflowPunct/>
        <w:topLinePunct w:val="0"/>
        <w:autoSpaceDE/>
        <w:autoSpaceDN/>
        <w:bidi w:val="0"/>
        <w:snapToGrid/>
        <w:spacing w:line="360" w:lineRule="auto"/>
        <w:ind w:left="0" w:leftChars="0" w:right="0" w:righ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考核完成后，双方对设备进行验收。验收标准为本规范书规定的要求和相关标准、规范。</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8.质量保证</w:t>
      </w:r>
    </w:p>
    <w:p>
      <w:pPr>
        <w:keepNext w:val="0"/>
        <w:keepLines w:val="0"/>
        <w:pageBreakBefore w:val="0"/>
        <w:kinsoku/>
        <w:wordWrap/>
        <w:overflowPunct/>
        <w:topLinePunct w:val="0"/>
        <w:autoSpaceDE/>
        <w:autoSpaceDN/>
        <w:bidi w:val="0"/>
        <w:snapToGrid/>
        <w:spacing w:line="360" w:lineRule="auto"/>
        <w:ind w:left="0" w:leftChars="0" w:right="0" w:righ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整机质量保证期为</w:t>
      </w:r>
      <w:r>
        <w:rPr>
          <w:rFonts w:hint="eastAsia" w:ascii="宋体" w:hAnsi="宋体" w:eastAsia="宋体" w:cs="宋体"/>
          <w:color w:val="auto"/>
          <w:sz w:val="21"/>
          <w:szCs w:val="21"/>
          <w:lang w:val="en-US" w:eastAsia="zh-CN"/>
        </w:rPr>
        <w:t>24</w:t>
      </w:r>
      <w:r>
        <w:rPr>
          <w:rFonts w:hint="eastAsia" w:ascii="宋体" w:hAnsi="宋体" w:eastAsia="宋体" w:cs="宋体"/>
          <w:color w:val="auto"/>
          <w:sz w:val="21"/>
          <w:szCs w:val="21"/>
        </w:rPr>
        <w:t>个月。</w:t>
      </w:r>
      <w:r>
        <w:rPr>
          <w:rFonts w:hint="eastAsia" w:ascii="宋体" w:hAnsi="宋体" w:cs="宋体"/>
          <w:color w:val="auto"/>
          <w:sz w:val="21"/>
          <w:szCs w:val="21"/>
          <w:lang w:eastAsia="zh-CN"/>
        </w:rPr>
        <w:t>设备验收合格后，从</w:t>
      </w:r>
      <w:r>
        <w:rPr>
          <w:rFonts w:hint="eastAsia" w:ascii="宋体" w:hAnsi="宋体" w:eastAsia="宋体" w:cs="宋体"/>
          <w:color w:val="auto"/>
          <w:sz w:val="21"/>
          <w:szCs w:val="21"/>
          <w:lang w:val="en-US" w:eastAsia="zh-CN"/>
        </w:rPr>
        <w:t>签订完设备验收报告</w:t>
      </w:r>
      <w:r>
        <w:rPr>
          <w:rFonts w:hint="eastAsia" w:ascii="宋体" w:hAnsi="宋体" w:eastAsia="宋体" w:cs="宋体"/>
          <w:color w:val="auto"/>
          <w:sz w:val="21"/>
          <w:szCs w:val="21"/>
        </w:rPr>
        <w:t>之日起</w:t>
      </w:r>
      <w:r>
        <w:rPr>
          <w:rFonts w:hint="eastAsia" w:ascii="宋体" w:hAnsi="宋体" w:eastAsia="宋体" w:cs="宋体"/>
          <w:color w:val="auto"/>
          <w:sz w:val="21"/>
          <w:szCs w:val="21"/>
          <w:lang w:val="en-US" w:eastAsia="zh-CN"/>
        </w:rPr>
        <w:t>进入质保期</w:t>
      </w:r>
      <w:r>
        <w:rPr>
          <w:rFonts w:hint="eastAsia" w:ascii="宋体" w:hAnsi="宋体" w:eastAsia="宋体" w:cs="宋体"/>
          <w:color w:val="auto"/>
          <w:sz w:val="21"/>
          <w:szCs w:val="21"/>
        </w:rPr>
        <w:t>。在质量保证期内，因产品设计或制造质量原因造成的问题，由投标方负责免费维修或更换。</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bCs/>
          <w:color w:val="auto"/>
          <w:sz w:val="21"/>
          <w:szCs w:val="21"/>
          <w:lang w:bidi="ar-SA"/>
        </w:rPr>
      </w:pPr>
      <w:r>
        <w:rPr>
          <w:rFonts w:hint="eastAsia" w:ascii="宋体" w:hAnsi="宋体" w:eastAsia="宋体" w:cs="宋体"/>
          <w:bCs/>
          <w:color w:val="auto"/>
          <w:sz w:val="21"/>
          <w:szCs w:val="21"/>
          <w:lang w:bidi="ar-SA"/>
        </w:rPr>
        <w:t>9.售后支持</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9.1在质保期内，如果出现故障，投标方在接到招标方书面通知后48小时内，指派技术服务人员到招标方使用现场，进行维修。</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9.2在整机质保期内，投标方指派技术服务人员到招标方使用单位进行回访和协助设备维护保养，费用由投标方承担。</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9.3投标方帮助和指导招标方解决使用中遇到的问题，对突发性故障和重大维修项目，将速派精干的服务工程师赴现场协助指导处理。</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9.4投标方根据招标方需要，保证长期提供优质、低价配件。</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9.5投标方根据招标方需要，保证长期提供配件图册、保养维修手册等技术资料。</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9.6投标方产品在技术改进后，应根据招标方需要，保证招标方设备的使用、维修及配件供应能够适应技术改进情况。</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keepNext w:val="0"/>
        <w:keepLines w:val="0"/>
        <w:pageBreakBefore w:val="0"/>
        <w:kinsoku/>
        <w:wordWrap/>
        <w:overflowPunct/>
        <w:topLinePunct w:val="0"/>
        <w:autoSpaceDE/>
        <w:autoSpaceDN/>
        <w:bidi w:val="0"/>
        <w:snapToGrid/>
        <w:spacing w:line="360" w:lineRule="auto"/>
        <w:ind w:left="0" w:leftChars="0" w:right="0" w:rightChars="0"/>
        <w:textAlignment w:val="auto"/>
        <w:rPr>
          <w:rFonts w:hint="eastAsia"/>
          <w:b/>
          <w:bCs/>
          <w:lang w:val="en-US" w:eastAsia="zh-CN"/>
        </w:rPr>
      </w:pPr>
      <w:r>
        <w:rPr>
          <w:rFonts w:hint="eastAsia" w:ascii="宋体" w:hAnsi="宋体" w:eastAsia="宋体" w:cs="宋体"/>
          <w:color w:val="auto"/>
          <w:sz w:val="21"/>
          <w:szCs w:val="21"/>
        </w:rPr>
        <w:t>9.8 投标方应在投标书中说明设备投入运行后，招标方向投标方正常订购配件时，投标方能给招标方多大幅度的优惠。说明如果招标方遇到配件急需时，投标方如何以最快的速度给予支持</w:t>
      </w:r>
      <w:r>
        <w:rPr>
          <w:rFonts w:hint="eastAsia"/>
          <w:sz w:val="21"/>
          <w:szCs w:val="21"/>
        </w:rPr>
        <w:t>。</w:t>
      </w:r>
      <w:bookmarkEnd w:id="1"/>
      <w:bookmarkEnd w:id="2"/>
      <w:bookmarkEnd w:id="3"/>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金山简仿宋">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永中宋体">
    <w:altName w:val="宋体"/>
    <w:panose1 w:val="02010600030101010101"/>
    <w:charset w:val="86"/>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E"/>
    <w:multiLevelType w:val="multilevel"/>
    <w:tmpl w:val="0000001E"/>
    <w:lvl w:ilvl="0" w:tentative="0">
      <w:start w:val="1"/>
      <w:numFmt w:val="decimal"/>
      <w:lvlText w:val="%1）"/>
      <w:lvlJc w:val="left"/>
      <w:pPr>
        <w:tabs>
          <w:tab w:val="left" w:pos="1041"/>
        </w:tabs>
        <w:ind w:left="1041" w:hanging="360"/>
      </w:pPr>
      <w:rPr>
        <w:rFonts w:hint="default"/>
      </w:rPr>
    </w:lvl>
    <w:lvl w:ilvl="1" w:tentative="0">
      <w:start w:val="1"/>
      <w:numFmt w:val="lowerLetter"/>
      <w:pStyle w:val="6"/>
      <w:lvlText w:val="%2)"/>
      <w:lvlJc w:val="left"/>
      <w:pPr>
        <w:tabs>
          <w:tab w:val="left" w:pos="-384"/>
        </w:tabs>
        <w:ind w:left="-384" w:hanging="420"/>
      </w:pPr>
    </w:lvl>
    <w:lvl w:ilvl="2" w:tentative="0">
      <w:start w:val="1"/>
      <w:numFmt w:val="lowerRoman"/>
      <w:lvlText w:val="%3."/>
      <w:lvlJc w:val="right"/>
      <w:pPr>
        <w:tabs>
          <w:tab w:val="left" w:pos="36"/>
        </w:tabs>
        <w:ind w:left="36" w:hanging="420"/>
      </w:pPr>
    </w:lvl>
    <w:lvl w:ilvl="3" w:tentative="0">
      <w:start w:val="1"/>
      <w:numFmt w:val="decimal"/>
      <w:lvlText w:val="%4."/>
      <w:lvlJc w:val="left"/>
      <w:pPr>
        <w:tabs>
          <w:tab w:val="left" w:pos="456"/>
        </w:tabs>
        <w:ind w:left="456" w:hanging="420"/>
      </w:pPr>
    </w:lvl>
    <w:lvl w:ilvl="4" w:tentative="0">
      <w:start w:val="1"/>
      <w:numFmt w:val="lowerLetter"/>
      <w:lvlText w:val="%5)"/>
      <w:lvlJc w:val="left"/>
      <w:pPr>
        <w:tabs>
          <w:tab w:val="left" w:pos="876"/>
        </w:tabs>
        <w:ind w:left="876" w:hanging="420"/>
      </w:pPr>
    </w:lvl>
    <w:lvl w:ilvl="5" w:tentative="0">
      <w:start w:val="1"/>
      <w:numFmt w:val="lowerRoman"/>
      <w:lvlText w:val="%6."/>
      <w:lvlJc w:val="right"/>
      <w:pPr>
        <w:tabs>
          <w:tab w:val="left" w:pos="1296"/>
        </w:tabs>
        <w:ind w:left="1296" w:hanging="420"/>
      </w:pPr>
    </w:lvl>
    <w:lvl w:ilvl="6" w:tentative="0">
      <w:start w:val="1"/>
      <w:numFmt w:val="decimal"/>
      <w:lvlText w:val="%7."/>
      <w:lvlJc w:val="left"/>
      <w:pPr>
        <w:tabs>
          <w:tab w:val="left" w:pos="1716"/>
        </w:tabs>
        <w:ind w:left="1716" w:hanging="420"/>
      </w:pPr>
    </w:lvl>
    <w:lvl w:ilvl="7" w:tentative="0">
      <w:start w:val="1"/>
      <w:numFmt w:val="lowerLetter"/>
      <w:lvlText w:val="%8)"/>
      <w:lvlJc w:val="left"/>
      <w:pPr>
        <w:tabs>
          <w:tab w:val="left" w:pos="2136"/>
        </w:tabs>
        <w:ind w:left="2136" w:hanging="420"/>
      </w:pPr>
    </w:lvl>
    <w:lvl w:ilvl="8" w:tentative="0">
      <w:start w:val="1"/>
      <w:numFmt w:val="lowerRoman"/>
      <w:lvlText w:val="%9."/>
      <w:lvlJc w:val="right"/>
      <w:pPr>
        <w:tabs>
          <w:tab w:val="left" w:pos="2556"/>
        </w:tabs>
        <w:ind w:left="255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A064CB"/>
    <w:rsid w:val="5DA06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Indent"/>
    <w:basedOn w:val="1"/>
    <w:qFormat/>
    <w:uiPriority w:val="0"/>
    <w:pPr>
      <w:ind w:firstLine="420"/>
    </w:pPr>
    <w:rPr>
      <w:rFonts w:ascii="金山简仿宋" w:hAnsi="Courier New"/>
      <w:sz w:val="28"/>
      <w:szCs w:val="20"/>
    </w:rPr>
  </w:style>
  <w:style w:type="paragraph" w:customStyle="1" w:styleId="6">
    <w:name w:val="正文 + 仿宋_GB2312"/>
    <w:basedOn w:val="1"/>
    <w:qFormat/>
    <w:uiPriority w:val="0"/>
    <w:pPr>
      <w:widowControl w:val="0"/>
      <w:numPr>
        <w:ilvl w:val="1"/>
        <w:numId w:val="1"/>
      </w:numPr>
      <w:tabs>
        <w:tab w:val="left" w:pos="360"/>
      </w:tabs>
      <w:adjustRightInd/>
      <w:snapToGrid/>
      <w:spacing w:after="0" w:line="360" w:lineRule="auto"/>
      <w:jc w:val="center"/>
    </w:pPr>
    <w:rPr>
      <w:rFonts w:ascii="仿宋_GB2312" w:hAnsi="仿宋_GB2312" w:eastAsia="仿宋_GB2312" w:cs="Times New Roman"/>
      <w:kern w:val="44"/>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2019-08-02T07:25:00Z</dcterms:created>
  <dc:creator>Administrator</dc:creator>
  <cp:lastModifiedBy>Administrator</cp:lastModifiedBy>
  <dcterms:modified xsi:type="dcterms:W3CDTF">2019-08-02T07:26:20Z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