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仿宋" w:hAnsi="仿宋" w:eastAsia="仿宋" w:cs="仿宋"/>
          <w:sz w:val="24"/>
          <w:szCs w:val="24"/>
          <w:highlight w:val="none"/>
          <w:lang w:val="en-US" w:eastAsia="zh-CN"/>
        </w:rPr>
      </w:pPr>
      <w:bookmarkStart w:id="0" w:name="_Toc7333"/>
      <w:r>
        <w:rPr>
          <w:rFonts w:hint="eastAsia" w:ascii="仿宋" w:hAnsi="仿宋" w:eastAsia="仿宋" w:cs="仿宋"/>
          <w:sz w:val="24"/>
          <w:szCs w:val="24"/>
          <w:highlight w:val="none"/>
          <w:lang w:val="en-US" w:eastAsia="zh-CN"/>
        </w:rPr>
        <w:t>公告附件：</w:t>
      </w:r>
      <w:bookmarkStart w:id="23" w:name="_GoBack"/>
      <w:bookmarkEnd w:id="23"/>
    </w:p>
    <w:p>
      <w:pPr>
        <w:pStyle w:val="2"/>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悬臂式转向架流水线技术要求</w:t>
      </w:r>
      <w:bookmarkEnd w:id="0"/>
    </w:p>
    <w:p>
      <w:pPr>
        <w:keepNext w:val="0"/>
        <w:keepLines w:val="0"/>
        <w:pageBreakBefore w:val="0"/>
        <w:kinsoku/>
        <w:wordWrap/>
        <w:overflowPunct/>
        <w:topLinePunct w:val="0"/>
        <w:autoSpaceDE/>
        <w:autoSpaceDN/>
        <w:bidi w:val="0"/>
        <w:adjustRightInd w:val="0"/>
        <w:snapToGrid/>
        <w:spacing w:line="500" w:lineRule="exact"/>
        <w:ind w:left="0" w:leftChars="0" w:right="0" w:rightChars="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1.货物需求</w:t>
      </w:r>
    </w:p>
    <w:p>
      <w:pPr>
        <w:keepNext w:val="0"/>
        <w:keepLines w:val="0"/>
        <w:pageBreakBefore w:val="0"/>
        <w:kinsoku/>
        <w:wordWrap/>
        <w:overflowPunct/>
        <w:topLinePunct w:val="0"/>
        <w:autoSpaceDE/>
        <w:autoSpaceDN/>
        <w:bidi w:val="0"/>
        <w:snapToGrid/>
        <w:spacing w:line="500" w:lineRule="exact"/>
        <w:ind w:left="0" w:leftChars="0" w:right="0" w:rightChars="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 xml:space="preserve"> *1.1货物需求一览表</w:t>
      </w:r>
    </w:p>
    <w:tbl>
      <w:tblPr>
        <w:tblStyle w:val="6"/>
        <w:tblW w:w="9000" w:type="dxa"/>
        <w:jc w:val="center"/>
        <w:tblInd w:w="0" w:type="dxa"/>
        <w:tblLayout w:type="fixed"/>
        <w:tblCellMar>
          <w:top w:w="0" w:type="dxa"/>
          <w:left w:w="108" w:type="dxa"/>
          <w:bottom w:w="0" w:type="dxa"/>
          <w:right w:w="108" w:type="dxa"/>
        </w:tblCellMar>
      </w:tblPr>
      <w:tblGrid>
        <w:gridCol w:w="894"/>
        <w:gridCol w:w="3704"/>
        <w:gridCol w:w="1050"/>
        <w:gridCol w:w="3352"/>
      </w:tblGrid>
      <w:tr>
        <w:tblPrEx>
          <w:tblLayout w:type="fixed"/>
          <w:tblCellMar>
            <w:top w:w="0" w:type="dxa"/>
            <w:left w:w="108" w:type="dxa"/>
            <w:bottom w:w="0" w:type="dxa"/>
            <w:right w:w="108" w:type="dxa"/>
          </w:tblCellMar>
        </w:tblPrEx>
        <w:trPr>
          <w:trHeight w:val="409" w:hRule="atLeast"/>
          <w:jc w:val="center"/>
        </w:trPr>
        <w:tc>
          <w:tcPr>
            <w:tcW w:w="8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序号</w:t>
            </w:r>
          </w:p>
        </w:tc>
        <w:tc>
          <w:tcPr>
            <w:tcW w:w="370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名称</w:t>
            </w:r>
          </w:p>
        </w:tc>
        <w:tc>
          <w:tcPr>
            <w:tcW w:w="10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数量</w:t>
            </w:r>
          </w:p>
        </w:tc>
        <w:tc>
          <w:tcPr>
            <w:tcW w:w="335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供货时间</w:t>
            </w:r>
          </w:p>
        </w:tc>
      </w:tr>
      <w:tr>
        <w:tblPrEx>
          <w:tblLayout w:type="fixed"/>
          <w:tblCellMar>
            <w:top w:w="0" w:type="dxa"/>
            <w:left w:w="108" w:type="dxa"/>
            <w:bottom w:w="0" w:type="dxa"/>
            <w:right w:w="108" w:type="dxa"/>
          </w:tblCellMar>
        </w:tblPrEx>
        <w:trPr>
          <w:cantSplit/>
          <w:trHeight w:val="415" w:hRule="atLeast"/>
          <w:jc w:val="center"/>
        </w:trPr>
        <w:tc>
          <w:tcPr>
            <w:tcW w:w="8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p>
        </w:tc>
        <w:tc>
          <w:tcPr>
            <w:tcW w:w="37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lang w:eastAsia="zh-CN"/>
              </w:rPr>
            </w:pPr>
            <w:r>
              <w:rPr>
                <w:rFonts w:hint="eastAsia" w:ascii="宋体"/>
                <w:b w:val="0"/>
                <w:bCs/>
                <w:sz w:val="21"/>
                <w:szCs w:val="21"/>
                <w:lang w:val="en-US" w:eastAsia="zh-CN"/>
              </w:rPr>
              <w:t xml:space="preserve">悬臂式转向架流水线  </w:t>
            </w:r>
          </w:p>
        </w:tc>
        <w:tc>
          <w:tcPr>
            <w:tcW w:w="10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firstLine="210" w:firstLineChars="100"/>
              <w:jc w:val="both"/>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1套</w:t>
            </w:r>
          </w:p>
        </w:tc>
        <w:tc>
          <w:tcPr>
            <w:tcW w:w="33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sz w:val="21"/>
                <w:szCs w:val="21"/>
                <w:lang w:eastAsia="zh-CN"/>
              </w:rPr>
              <w:t>合同</w:t>
            </w:r>
            <w:r>
              <w:rPr>
                <w:rFonts w:hint="eastAsia" w:ascii="宋体"/>
                <w:sz w:val="21"/>
                <w:szCs w:val="21"/>
                <w:lang w:val="en-US" w:eastAsia="zh-CN"/>
              </w:rPr>
              <w:t>生效后3个月</w:t>
            </w:r>
            <w:r>
              <w:rPr>
                <w:rFonts w:hint="eastAsia" w:ascii="宋体"/>
                <w:sz w:val="21"/>
                <w:szCs w:val="21"/>
              </w:rPr>
              <w:t>内</w:t>
            </w:r>
          </w:p>
        </w:tc>
      </w:tr>
    </w:tbl>
    <w:p>
      <w:pPr>
        <w:keepNext w:val="0"/>
        <w:keepLines w:val="0"/>
        <w:pageBreakBefore w:val="0"/>
        <w:kinsoku/>
        <w:wordWrap/>
        <w:overflowPunct/>
        <w:topLinePunct w:val="0"/>
        <w:autoSpaceDE/>
        <w:autoSpaceDN/>
        <w:bidi w:val="0"/>
        <w:snapToGrid/>
        <w:spacing w:line="500" w:lineRule="exact"/>
        <w:ind w:left="0" w:leftChars="0" w:right="0" w:rightChars="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1.2交货时间:</w:t>
      </w:r>
      <w:r>
        <w:rPr>
          <w:rFonts w:hint="eastAsia" w:ascii="宋体"/>
          <w:sz w:val="21"/>
          <w:szCs w:val="21"/>
          <w:lang w:eastAsia="zh-CN"/>
        </w:rPr>
        <w:t>合同</w:t>
      </w:r>
      <w:r>
        <w:rPr>
          <w:rFonts w:hint="eastAsia" w:ascii="宋体"/>
          <w:sz w:val="21"/>
          <w:szCs w:val="21"/>
          <w:lang w:val="en-US" w:eastAsia="zh-CN"/>
        </w:rPr>
        <w:t>生效后3个月</w:t>
      </w:r>
      <w:r>
        <w:rPr>
          <w:rFonts w:hint="eastAsia" w:ascii="宋体" w:hAnsi="宋体" w:eastAsia="宋体" w:cs="宋体"/>
          <w:color w:val="000000"/>
          <w:sz w:val="21"/>
          <w:szCs w:val="21"/>
          <w:highlight w:val="none"/>
          <w:lang w:val="en-US" w:eastAsia="zh-CN"/>
        </w:rPr>
        <w:t>内</w:t>
      </w:r>
      <w:r>
        <w:rPr>
          <w:rFonts w:hint="eastAsia" w:ascii="宋体" w:hAnsi="宋体" w:eastAsia="宋体" w:cs="宋体"/>
          <w:bCs/>
          <w:sz w:val="21"/>
          <w:szCs w:val="21"/>
          <w:highlight w:val="none"/>
        </w:rPr>
        <w:t>到达</w:t>
      </w:r>
      <w:r>
        <w:rPr>
          <w:rFonts w:hint="eastAsia" w:ascii="宋体" w:hAnsi="宋体" w:eastAsia="宋体" w:cs="宋体"/>
          <w:bCs/>
          <w:color w:val="000000"/>
          <w:sz w:val="21"/>
          <w:szCs w:val="21"/>
          <w:highlight w:val="none"/>
        </w:rPr>
        <w:t>交货地点。交货地点：</w:t>
      </w:r>
      <w:r>
        <w:rPr>
          <w:rFonts w:hint="eastAsia" w:ascii="宋体" w:hAnsi="宋体" w:cs="宋体"/>
          <w:bCs/>
          <w:color w:val="000000"/>
          <w:sz w:val="21"/>
          <w:szCs w:val="21"/>
          <w:highlight w:val="none"/>
          <w:lang w:eastAsia="zh-CN"/>
        </w:rPr>
        <w:t>内蒙古鄂尔多斯市准格尔旗</w:t>
      </w:r>
      <w:r>
        <w:rPr>
          <w:rFonts w:hint="eastAsia" w:ascii="宋体" w:hAnsi="宋体" w:eastAsia="宋体" w:cs="宋体"/>
          <w:bCs/>
          <w:color w:val="000000"/>
          <w:sz w:val="21"/>
          <w:szCs w:val="21"/>
          <w:highlight w:val="none"/>
        </w:rPr>
        <w:t>薛家湾</w:t>
      </w:r>
      <w:r>
        <w:rPr>
          <w:rFonts w:hint="eastAsia" w:ascii="宋体" w:hAnsi="宋体" w:cs="宋体"/>
          <w:bCs/>
          <w:color w:val="000000"/>
          <w:sz w:val="21"/>
          <w:szCs w:val="21"/>
          <w:highlight w:val="none"/>
          <w:lang w:eastAsia="zh-CN"/>
        </w:rPr>
        <w:t>镇大</w:t>
      </w:r>
      <w:r>
        <w:rPr>
          <w:rFonts w:hint="eastAsia" w:ascii="宋体" w:hAnsi="宋体" w:cs="宋体"/>
          <w:bCs/>
          <w:color w:val="auto"/>
          <w:sz w:val="21"/>
          <w:szCs w:val="21"/>
          <w:highlight w:val="none"/>
          <w:lang w:eastAsia="zh-CN"/>
        </w:rPr>
        <w:t>准铁路公司车辆段</w:t>
      </w:r>
      <w:r>
        <w:rPr>
          <w:rFonts w:hint="eastAsia" w:ascii="宋体" w:hAnsi="宋体" w:eastAsia="宋体" w:cs="宋体"/>
          <w:bCs/>
          <w:color w:val="000000"/>
          <w:sz w:val="21"/>
          <w:szCs w:val="21"/>
          <w:highlight w:val="none"/>
        </w:rPr>
        <w:t>。</w:t>
      </w:r>
    </w:p>
    <w:p>
      <w:pPr>
        <w:keepNext w:val="0"/>
        <w:keepLines w:val="0"/>
        <w:pageBreakBefore w:val="0"/>
        <w:kinsoku/>
        <w:wordWrap/>
        <w:overflowPunct/>
        <w:topLinePunct w:val="0"/>
        <w:autoSpaceDE/>
        <w:autoSpaceDN/>
        <w:bidi w:val="0"/>
        <w:snapToGrid/>
        <w:spacing w:line="500" w:lineRule="exact"/>
        <w:ind w:left="0" w:leftChars="0" w:right="0" w:rightChars="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2.设备规格及使用条件</w:t>
      </w:r>
    </w:p>
    <w:p>
      <w:pPr>
        <w:keepNext w:val="0"/>
        <w:keepLines w:val="0"/>
        <w:pageBreakBefore w:val="0"/>
        <w:kinsoku/>
        <w:wordWrap/>
        <w:overflowPunct/>
        <w:topLinePunct w:val="0"/>
        <w:autoSpaceDE/>
        <w:autoSpaceDN/>
        <w:bidi w:val="0"/>
        <w:adjustRightInd w:val="0"/>
        <w:snapToGrid/>
        <w:spacing w:line="500" w:lineRule="exact"/>
        <w:ind w:left="0" w:leftChars="0" w:right="0" w:rightChars="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2.1设备名称</w:t>
      </w:r>
      <w:r>
        <w:rPr>
          <w:rFonts w:hint="eastAsia" w:ascii="宋体" w:hAnsi="宋体" w:eastAsia="宋体" w:cs="宋体"/>
          <w:sz w:val="21"/>
          <w:szCs w:val="21"/>
          <w:highlight w:val="none"/>
        </w:rPr>
        <w:t>及型号</w:t>
      </w:r>
    </w:p>
    <w:p>
      <w:pPr>
        <w:keepNext w:val="0"/>
        <w:keepLines w:val="0"/>
        <w:pageBreakBefore w:val="0"/>
        <w:kinsoku/>
        <w:wordWrap/>
        <w:overflowPunct/>
        <w:topLinePunct w:val="0"/>
        <w:autoSpaceDE/>
        <w:autoSpaceDN/>
        <w:bidi w:val="0"/>
        <w:adjustRightInd w:val="0"/>
        <w:snapToGrid/>
        <w:spacing w:line="500" w:lineRule="exact"/>
        <w:ind w:left="0" w:leftChars="0" w:right="0" w:rightChars="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2.1.1设备名称：</w:t>
      </w:r>
      <w:r>
        <w:rPr>
          <w:rFonts w:hint="eastAsia" w:ascii="宋体"/>
          <w:b w:val="0"/>
          <w:bCs/>
          <w:sz w:val="21"/>
          <w:szCs w:val="21"/>
          <w:lang w:val="en-US" w:eastAsia="zh-CN"/>
        </w:rPr>
        <w:t xml:space="preserve">悬臂式转向架流水线  </w:t>
      </w:r>
    </w:p>
    <w:p>
      <w:pPr>
        <w:keepNext w:val="0"/>
        <w:keepLines w:val="0"/>
        <w:pageBreakBefore w:val="0"/>
        <w:kinsoku/>
        <w:wordWrap/>
        <w:overflowPunct/>
        <w:topLinePunct w:val="0"/>
        <w:autoSpaceDE/>
        <w:autoSpaceDN/>
        <w:bidi w:val="0"/>
        <w:adjustRightInd w:val="0"/>
        <w:snapToGrid/>
        <w:spacing w:line="500" w:lineRule="exact"/>
        <w:ind w:left="0" w:leftChars="0" w:right="0" w:rightChars="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2.1.2生产厂家及型号：</w:t>
      </w:r>
    </w:p>
    <w:p>
      <w:pPr>
        <w:spacing w:line="360" w:lineRule="auto"/>
        <w:rPr>
          <w:rFonts w:hint="eastAsia" w:ascii="宋体" w:eastAsia="宋体"/>
          <w:b/>
          <w:bCs/>
          <w:sz w:val="21"/>
          <w:szCs w:val="21"/>
          <w:lang w:val="en-US" w:eastAsia="zh-CN"/>
        </w:rPr>
      </w:pPr>
      <w:r>
        <w:rPr>
          <w:rFonts w:hint="eastAsia" w:ascii="宋体" w:hAnsi="宋体" w:eastAsia="宋体" w:cs="宋体"/>
          <w:bCs/>
          <w:sz w:val="21"/>
          <w:szCs w:val="21"/>
          <w:highlight w:val="none"/>
        </w:rPr>
        <w:t>2.2设备用途</w:t>
      </w:r>
      <w:r>
        <w:rPr>
          <w:rFonts w:hint="eastAsia" w:ascii="宋体" w:hAnsi="宋体" w:cs="宋体"/>
          <w:bCs/>
          <w:sz w:val="21"/>
          <w:szCs w:val="21"/>
          <w:highlight w:val="none"/>
          <w:lang w:val="en-US" w:eastAsia="zh-CN"/>
        </w:rPr>
        <w:t>：</w:t>
      </w:r>
      <w:r>
        <w:rPr>
          <w:rFonts w:hint="eastAsia" w:ascii="宋体" w:hAnsi="宋体"/>
          <w:sz w:val="21"/>
          <w:szCs w:val="21"/>
        </w:rPr>
        <w:t>适用于</w:t>
      </w:r>
      <w:r>
        <w:rPr>
          <w:rFonts w:ascii="宋体" w:hAnsi="宋体"/>
          <w:sz w:val="21"/>
          <w:szCs w:val="21"/>
        </w:rPr>
        <w:t>铁路货车</w:t>
      </w:r>
      <w:r>
        <w:rPr>
          <w:rFonts w:hint="eastAsia" w:ascii="宋体" w:hAnsi="宋体"/>
          <w:sz w:val="21"/>
          <w:szCs w:val="21"/>
        </w:rPr>
        <w:t>各型</w:t>
      </w:r>
      <w:r>
        <w:rPr>
          <w:rFonts w:ascii="宋体" w:hAnsi="宋体"/>
          <w:sz w:val="21"/>
          <w:szCs w:val="21"/>
        </w:rPr>
        <w:t>转向架及其配件段修时清洗、分解、检修、加修、组装、试验、落成的成套检修设备。</w:t>
      </w:r>
    </w:p>
    <w:p>
      <w:pPr>
        <w:keepNext w:val="0"/>
        <w:keepLines w:val="0"/>
        <w:pageBreakBefore w:val="0"/>
        <w:kinsoku/>
        <w:wordWrap/>
        <w:overflowPunct/>
        <w:topLinePunct w:val="0"/>
        <w:autoSpaceDE/>
        <w:autoSpaceDN/>
        <w:bidi w:val="0"/>
        <w:adjustRightInd w:val="0"/>
        <w:snapToGrid/>
        <w:spacing w:line="500" w:lineRule="exact"/>
        <w:ind w:left="0" w:leftChars="0" w:right="0" w:rightChars="0"/>
        <w:textAlignment w:val="auto"/>
        <w:rPr>
          <w:rFonts w:hint="eastAsia" w:ascii="宋体"/>
          <w:sz w:val="21"/>
          <w:szCs w:val="21"/>
        </w:rPr>
      </w:pPr>
      <w:r>
        <w:rPr>
          <w:rFonts w:hint="eastAsia" w:ascii="宋体" w:hAnsi="宋体" w:eastAsia="宋体" w:cs="宋体"/>
          <w:bCs/>
          <w:sz w:val="21"/>
          <w:szCs w:val="21"/>
          <w:highlight w:val="none"/>
        </w:rPr>
        <w:t>3.设备规格及要求</w:t>
      </w:r>
    </w:p>
    <w:p>
      <w:pPr>
        <w:tabs>
          <w:tab w:val="left" w:pos="1335"/>
        </w:tabs>
        <w:spacing w:line="360" w:lineRule="auto"/>
        <w:rPr>
          <w:rFonts w:hint="eastAsia" w:ascii="宋体"/>
          <w:sz w:val="21"/>
          <w:szCs w:val="21"/>
        </w:rPr>
      </w:pPr>
      <w:r>
        <w:rPr>
          <w:rFonts w:hint="eastAsia" w:ascii="宋体"/>
          <w:sz w:val="21"/>
          <w:szCs w:val="21"/>
        </w:rPr>
        <w:t xml:space="preserve">3.1技术要求               </w:t>
      </w:r>
    </w:p>
    <w:p>
      <w:pPr>
        <w:spacing w:line="360" w:lineRule="auto"/>
        <w:rPr>
          <w:rFonts w:hint="eastAsia" w:ascii="宋体" w:hAnsi="宋体"/>
          <w:b/>
          <w:sz w:val="21"/>
          <w:szCs w:val="21"/>
        </w:rPr>
      </w:pPr>
      <w:r>
        <w:rPr>
          <w:rFonts w:hint="eastAsia" w:ascii="宋体" w:hAnsi="宋体" w:eastAsia="宋体" w:cs="宋体"/>
          <w:b w:val="0"/>
          <w:bCs/>
          <w:color w:val="auto"/>
          <w:sz w:val="21"/>
          <w:szCs w:val="21"/>
          <w:highlight w:val="none"/>
          <w:lang w:val="en-US" w:eastAsia="zh-CN"/>
        </w:rPr>
        <w:t>3.1.</w:t>
      </w:r>
      <w:r>
        <w:rPr>
          <w:rFonts w:hint="eastAsia" w:ascii="宋体" w:hAnsi="宋体" w:eastAsia="宋体" w:cs="宋体"/>
          <w:b w:val="0"/>
          <w:bCs/>
          <w:color w:val="auto"/>
          <w:sz w:val="21"/>
          <w:szCs w:val="21"/>
          <w:highlight w:val="none"/>
          <w:shd w:val="clear" w:color="auto" w:fill="FFFFFF"/>
        </w:rPr>
        <w:t>1</w:t>
      </w:r>
      <w:r>
        <w:rPr>
          <w:rFonts w:hint="eastAsia" w:ascii="宋体" w:hAnsi="宋体"/>
          <w:b/>
          <w:sz w:val="21"/>
          <w:szCs w:val="21"/>
        </w:rPr>
        <w:t>执行标准及文件</w:t>
      </w:r>
    </w:p>
    <w:p>
      <w:pPr>
        <w:spacing w:line="360" w:lineRule="auto"/>
        <w:ind w:firstLine="420" w:firstLineChars="200"/>
        <w:rPr>
          <w:rFonts w:hint="eastAsia" w:ascii="宋体" w:hAnsi="宋体"/>
          <w:sz w:val="21"/>
          <w:szCs w:val="21"/>
        </w:rPr>
      </w:pPr>
      <w:r>
        <w:rPr>
          <w:rFonts w:hint="eastAsia" w:ascii="宋体" w:hAnsi="宋体"/>
          <w:sz w:val="21"/>
          <w:szCs w:val="21"/>
        </w:rPr>
        <w:t>TG/CL 111-2012  《铁路货车段修规程》</w:t>
      </w:r>
    </w:p>
    <w:p>
      <w:pPr>
        <w:spacing w:line="360" w:lineRule="auto"/>
        <w:ind w:firstLine="420" w:firstLineChars="200"/>
        <w:rPr>
          <w:rFonts w:hint="eastAsia" w:ascii="宋体" w:hAnsi="宋体"/>
          <w:sz w:val="21"/>
          <w:szCs w:val="21"/>
        </w:rPr>
      </w:pPr>
      <w:r>
        <w:rPr>
          <w:rFonts w:hint="eastAsia" w:ascii="宋体" w:hAnsi="宋体"/>
          <w:sz w:val="21"/>
          <w:szCs w:val="21"/>
        </w:rPr>
        <w:t>运辆货车函〔2014〕53号《铁路货车达速安全保障细化措施》</w:t>
      </w:r>
    </w:p>
    <w:p>
      <w:pPr>
        <w:spacing w:line="360" w:lineRule="auto"/>
        <w:ind w:firstLine="420" w:firstLineChars="200"/>
        <w:rPr>
          <w:rFonts w:hint="eastAsia" w:ascii="宋体" w:hAnsi="宋体"/>
          <w:sz w:val="21"/>
          <w:szCs w:val="21"/>
        </w:rPr>
      </w:pPr>
      <w:r>
        <w:rPr>
          <w:rFonts w:hint="eastAsia" w:ascii="宋体" w:hAnsi="宋体"/>
          <w:sz w:val="21"/>
          <w:szCs w:val="21"/>
        </w:rPr>
        <w:t>GB4053《固定式钢梯及平台安全要求》</w:t>
      </w:r>
    </w:p>
    <w:p>
      <w:pPr>
        <w:pStyle w:val="3"/>
        <w:numPr>
          <w:ilvl w:val="0"/>
          <w:numId w:val="0"/>
        </w:numPr>
        <w:snapToGrid w:val="0"/>
        <w:ind w:leftChars="0"/>
        <w:rPr>
          <w:sz w:val="21"/>
          <w:szCs w:val="21"/>
        </w:rPr>
      </w:pPr>
      <w:bookmarkStart w:id="1" w:name="_Toc332108684"/>
      <w:bookmarkStart w:id="2" w:name="_Toc332912092"/>
      <w:r>
        <w:rPr>
          <w:rFonts w:hint="eastAsia" w:ascii="宋体" w:hAnsi="宋体" w:eastAsia="宋体" w:cs="宋体"/>
          <w:b w:val="0"/>
          <w:bCs/>
          <w:color w:val="auto"/>
          <w:sz w:val="21"/>
          <w:szCs w:val="21"/>
          <w:highlight w:val="none"/>
          <w:lang w:val="en-US" w:eastAsia="zh-CN"/>
        </w:rPr>
        <w:t>3.1.</w:t>
      </w:r>
      <w:r>
        <w:rPr>
          <w:rFonts w:hint="eastAsia" w:ascii="宋体" w:hAnsi="宋体" w:cs="宋体"/>
          <w:b w:val="0"/>
          <w:bCs/>
          <w:color w:val="auto"/>
          <w:sz w:val="21"/>
          <w:szCs w:val="21"/>
          <w:highlight w:val="none"/>
          <w:shd w:val="clear" w:color="auto" w:fill="FFFFFF"/>
          <w:lang w:val="en-US" w:eastAsia="zh-CN"/>
        </w:rPr>
        <w:t>2</w:t>
      </w:r>
      <w:bookmarkEnd w:id="1"/>
      <w:bookmarkEnd w:id="2"/>
      <w:bookmarkStart w:id="3" w:name="_Toc5031915"/>
      <w:r>
        <w:rPr>
          <w:sz w:val="21"/>
          <w:szCs w:val="21"/>
        </w:rPr>
        <w:t>总体要求</w:t>
      </w:r>
      <w:bookmarkEnd w:id="3"/>
    </w:p>
    <w:p>
      <w:pPr>
        <w:numPr>
          <w:ilvl w:val="0"/>
          <w:numId w:val="0"/>
        </w:numPr>
        <w:snapToGrid w:val="0"/>
        <w:spacing w:line="360" w:lineRule="auto"/>
        <w:ind w:leftChars="0"/>
        <w:rPr>
          <w:rFonts w:hint="eastAsia" w:ascii="宋体" w:hAnsi="宋体" w:eastAsia="宋体" w:cs="宋体"/>
          <w:sz w:val="21"/>
          <w:szCs w:val="21"/>
        </w:rPr>
      </w:pPr>
      <w:r>
        <w:rPr>
          <w:rFonts w:hint="eastAsia" w:ascii="宋体" w:hAnsi="宋体" w:eastAsia="宋体" w:cs="宋体"/>
          <w:sz w:val="21"/>
          <w:szCs w:val="21"/>
          <w:lang w:val="en-US" w:eastAsia="zh-CN"/>
        </w:rPr>
        <w:t>3.1.2.1</w:t>
      </w:r>
      <w:r>
        <w:rPr>
          <w:rFonts w:hint="eastAsia" w:ascii="宋体" w:hAnsi="宋体" w:eastAsia="宋体" w:cs="宋体"/>
          <w:sz w:val="21"/>
          <w:szCs w:val="21"/>
        </w:rPr>
        <w:t>具备在货车车辆段双层龙门悬挂结构且机械手自带动力的转向架检修流水线及配套设备成熟应用业绩，提供至少2套双层龙门悬挂结构且机械手自带动力的转向架检修流水线及配套设备供货业绩的相关证明文件（须提供清晰合同复印件、现场使用照片及对方联系人联系方式，合同原件备查）。</w:t>
      </w:r>
    </w:p>
    <w:p>
      <w:pPr>
        <w:numPr>
          <w:ilvl w:val="0"/>
          <w:numId w:val="0"/>
        </w:numPr>
        <w:snapToGrid w:val="0"/>
        <w:spacing w:line="360" w:lineRule="auto"/>
        <w:ind w:leftChars="0"/>
        <w:rPr>
          <w:rFonts w:hint="eastAsia" w:ascii="宋体" w:hAnsi="宋体" w:eastAsia="宋体" w:cs="宋体"/>
          <w:sz w:val="21"/>
          <w:szCs w:val="21"/>
        </w:rPr>
      </w:pPr>
      <w:r>
        <w:rPr>
          <w:rFonts w:hint="eastAsia" w:ascii="宋体" w:hAnsi="宋体" w:eastAsia="宋体" w:cs="宋体"/>
          <w:sz w:val="21"/>
          <w:szCs w:val="21"/>
          <w:lang w:val="en-US" w:eastAsia="zh-CN"/>
        </w:rPr>
        <w:t>3.1.2.2</w:t>
      </w:r>
      <w:r>
        <w:rPr>
          <w:rFonts w:hint="eastAsia" w:ascii="宋体" w:hAnsi="宋体" w:eastAsia="宋体" w:cs="宋体"/>
          <w:sz w:val="21"/>
          <w:szCs w:val="21"/>
        </w:rPr>
        <w:t>投标方在标书中应详细阐述所有设备的功能、作业流程和方式、技术参数等。设备技术指标应符合国家及铁路总公司等行业现行最新标准、规范、技术条件等。所供设备为当前最新技术产品，满足设计施工图要求。</w:t>
      </w:r>
    </w:p>
    <w:p>
      <w:pPr>
        <w:numPr>
          <w:ilvl w:val="0"/>
          <w:numId w:val="0"/>
        </w:numPr>
        <w:snapToGrid w:val="0"/>
        <w:spacing w:line="360" w:lineRule="auto"/>
        <w:ind w:leftChars="0"/>
        <w:rPr>
          <w:rFonts w:hint="eastAsia" w:ascii="宋体" w:hAnsi="宋体" w:eastAsia="宋体" w:cs="宋体"/>
          <w:sz w:val="21"/>
          <w:szCs w:val="21"/>
        </w:rPr>
      </w:pPr>
      <w:r>
        <w:rPr>
          <w:rFonts w:hint="eastAsia" w:ascii="宋体" w:hAnsi="宋体" w:cs="宋体"/>
          <w:sz w:val="21"/>
          <w:szCs w:val="21"/>
          <w:lang w:val="en-US" w:eastAsia="zh-CN"/>
        </w:rPr>
        <w:t>*</w:t>
      </w:r>
      <w:r>
        <w:rPr>
          <w:rFonts w:hint="eastAsia" w:ascii="宋体" w:hAnsi="宋体" w:eastAsia="宋体" w:cs="宋体"/>
          <w:sz w:val="21"/>
          <w:szCs w:val="21"/>
          <w:lang w:val="en-US" w:eastAsia="zh-CN"/>
        </w:rPr>
        <w:t>3.1.2.3</w:t>
      </w:r>
      <w:r>
        <w:rPr>
          <w:rFonts w:hint="eastAsia" w:ascii="宋体" w:hAnsi="宋体" w:eastAsia="宋体" w:cs="宋体"/>
          <w:sz w:val="21"/>
          <w:szCs w:val="21"/>
        </w:rPr>
        <w:t>投标方自行联系勘查现场，投标前充分与招标方沟通，了解招标方的生产工艺流程及产品使用需求，同时，投标方应充分考虑在既有条件下的产品安装和现场施工方案</w:t>
      </w:r>
      <w:r>
        <w:rPr>
          <w:rFonts w:hint="eastAsia" w:ascii="宋体" w:hAnsi="宋体" w:eastAsia="宋体" w:cs="宋体"/>
          <w:b w:val="0"/>
          <w:bCs w:val="0"/>
          <w:sz w:val="21"/>
          <w:szCs w:val="21"/>
        </w:rPr>
        <w:t>提供适用性强的技术方案</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简要图纸</w:t>
      </w:r>
      <w:r>
        <w:rPr>
          <w:rFonts w:hint="eastAsia" w:ascii="宋体" w:hAnsi="宋体" w:eastAsia="宋体" w:cs="宋体"/>
          <w:sz w:val="21"/>
          <w:szCs w:val="21"/>
        </w:rPr>
        <w:t>。</w:t>
      </w:r>
    </w:p>
    <w:p>
      <w:pPr>
        <w:pStyle w:val="3"/>
        <w:numPr>
          <w:ilvl w:val="0"/>
          <w:numId w:val="0"/>
        </w:numPr>
        <w:snapToGrid w:val="0"/>
        <w:ind w:leftChars="0"/>
        <w:rPr>
          <w:rFonts w:hint="eastAsia" w:ascii="宋体" w:hAnsi="宋体" w:eastAsia="宋体" w:cs="宋体"/>
          <w:sz w:val="21"/>
          <w:szCs w:val="21"/>
        </w:rPr>
      </w:pPr>
      <w:bookmarkStart w:id="4" w:name="_Toc5031916"/>
      <w:r>
        <w:rPr>
          <w:rFonts w:hint="eastAsia" w:ascii="宋体" w:hAnsi="宋体" w:eastAsia="宋体" w:cs="宋体"/>
          <w:sz w:val="21"/>
          <w:szCs w:val="21"/>
          <w:lang w:val="en-US" w:eastAsia="zh-CN"/>
        </w:rPr>
        <w:t>3.1.2.4</w:t>
      </w:r>
      <w:r>
        <w:rPr>
          <w:rFonts w:hint="eastAsia" w:ascii="宋体" w:hAnsi="宋体" w:eastAsia="宋体" w:cs="宋体"/>
          <w:sz w:val="21"/>
          <w:szCs w:val="21"/>
        </w:rPr>
        <w:t>转向架检修间设备质量标准及技术要求:</w:t>
      </w:r>
      <w:bookmarkEnd w:id="4"/>
    </w:p>
    <w:p>
      <w:pPr>
        <w:pStyle w:val="4"/>
        <w:numPr>
          <w:ilvl w:val="0"/>
          <w:numId w:val="0"/>
        </w:numPr>
        <w:snapToGrid w:val="0"/>
        <w:ind w:leftChars="0"/>
        <w:rPr>
          <w:rFonts w:hint="eastAsia" w:ascii="宋体" w:hAnsi="宋体" w:eastAsia="宋体" w:cs="宋体"/>
          <w:b/>
          <w:bCs w:val="0"/>
          <w:sz w:val="21"/>
          <w:szCs w:val="21"/>
        </w:rPr>
      </w:pPr>
      <w:bookmarkStart w:id="5" w:name="_Toc5031917"/>
      <w:r>
        <w:rPr>
          <w:rFonts w:hint="eastAsia" w:ascii="宋体" w:hAnsi="宋体" w:eastAsia="宋体" w:cs="宋体"/>
          <w:b/>
          <w:bCs w:val="0"/>
          <w:sz w:val="21"/>
          <w:szCs w:val="21"/>
        </w:rPr>
        <w:t>转向架悬挂检修流水线</w:t>
      </w:r>
      <w:bookmarkEnd w:id="5"/>
    </w:p>
    <w:p>
      <w:pPr>
        <w:snapToGrid w:val="0"/>
        <w:spacing w:line="360" w:lineRule="auto"/>
        <w:rPr>
          <w:rFonts w:hint="eastAsia" w:ascii="宋体" w:hAnsi="宋体" w:eastAsia="宋体" w:cs="宋体"/>
          <w:b/>
          <w:sz w:val="21"/>
          <w:szCs w:val="21"/>
        </w:rPr>
      </w:pPr>
      <w:r>
        <w:rPr>
          <w:rFonts w:hint="eastAsia" w:ascii="宋体" w:hAnsi="宋体" w:eastAsia="宋体" w:cs="宋体"/>
          <w:sz w:val="21"/>
          <w:szCs w:val="21"/>
          <w:lang w:val="en-US" w:eastAsia="zh-CN"/>
        </w:rPr>
        <w:t>3.1.2.4.1.</w:t>
      </w:r>
      <w:r>
        <w:rPr>
          <w:rFonts w:hint="eastAsia" w:ascii="宋体" w:hAnsi="宋体" w:eastAsia="宋体" w:cs="宋体"/>
          <w:b/>
          <w:sz w:val="21"/>
          <w:szCs w:val="21"/>
        </w:rPr>
        <w:t>1 设备用途</w:t>
      </w:r>
    </w:p>
    <w:p>
      <w:pPr>
        <w:numPr>
          <w:ilvl w:val="0"/>
          <w:numId w:val="1"/>
        </w:numPr>
        <w:snapToGrid w:val="0"/>
        <w:spacing w:line="360" w:lineRule="auto"/>
        <w:rPr>
          <w:rFonts w:hint="eastAsia" w:ascii="宋体" w:hAnsi="宋体" w:eastAsia="宋体" w:cs="宋体"/>
          <w:color w:val="FF0000"/>
          <w:sz w:val="21"/>
          <w:szCs w:val="21"/>
        </w:rPr>
      </w:pPr>
      <w:r>
        <w:rPr>
          <w:rFonts w:hint="eastAsia" w:ascii="宋体" w:hAnsi="宋体" w:eastAsia="宋体" w:cs="宋体"/>
          <w:bCs/>
          <w:sz w:val="21"/>
          <w:szCs w:val="21"/>
        </w:rPr>
        <w:t>悬挂式环形转向架检修流水线（以下称检修线）应适用于铁路货车</w:t>
      </w:r>
      <w:r>
        <w:rPr>
          <w:rFonts w:hint="eastAsia" w:ascii="宋体" w:hAnsi="宋体" w:cs="宋体"/>
          <w:bCs/>
          <w:sz w:val="21"/>
          <w:szCs w:val="21"/>
          <w:lang w:eastAsia="zh-CN"/>
        </w:rPr>
        <w:t>各型</w:t>
      </w:r>
      <w:r>
        <w:rPr>
          <w:rFonts w:hint="eastAsia" w:ascii="宋体" w:hAnsi="宋体" w:eastAsia="宋体" w:cs="宋体"/>
          <w:bCs/>
          <w:sz w:val="21"/>
          <w:szCs w:val="21"/>
        </w:rPr>
        <w:t>转向架的检修和输送作业。</w:t>
      </w:r>
    </w:p>
    <w:p>
      <w:pPr>
        <w:numPr>
          <w:ilvl w:val="0"/>
          <w:numId w:val="1"/>
        </w:numPr>
        <w:snapToGrid w:val="0"/>
        <w:spacing w:line="360" w:lineRule="auto"/>
        <w:rPr>
          <w:rFonts w:hint="eastAsia" w:ascii="宋体" w:hAnsi="宋体" w:eastAsia="宋体" w:cs="宋体"/>
          <w:sz w:val="21"/>
          <w:szCs w:val="21"/>
        </w:rPr>
      </w:pPr>
      <w:r>
        <w:rPr>
          <w:rFonts w:hint="eastAsia" w:ascii="宋体" w:hAnsi="宋体" w:eastAsia="宋体" w:cs="宋体"/>
          <w:bCs/>
          <w:sz w:val="21"/>
          <w:szCs w:val="21"/>
        </w:rPr>
        <w:t>检修线检修能力应满足设计要求，适应性强、具备扩能条件，能满足段修任务量增加后的检修需要。</w:t>
      </w:r>
    </w:p>
    <w:p>
      <w:pPr>
        <w:snapToGrid w:val="0"/>
        <w:spacing w:line="360" w:lineRule="auto"/>
        <w:rPr>
          <w:rFonts w:hint="eastAsia" w:ascii="宋体" w:hAnsi="宋体" w:eastAsia="宋体" w:cs="宋体"/>
          <w:b/>
          <w:sz w:val="21"/>
          <w:szCs w:val="21"/>
        </w:rPr>
      </w:pPr>
      <w:r>
        <w:rPr>
          <w:rFonts w:hint="eastAsia" w:ascii="宋体" w:hAnsi="宋体" w:eastAsia="宋体" w:cs="宋体"/>
          <w:sz w:val="21"/>
          <w:szCs w:val="21"/>
          <w:lang w:val="en-US" w:eastAsia="zh-CN"/>
        </w:rPr>
        <w:t>3.1.2.4.1.</w:t>
      </w:r>
      <w:r>
        <w:rPr>
          <w:rFonts w:hint="eastAsia" w:ascii="宋体" w:hAnsi="宋体" w:eastAsia="宋体" w:cs="宋体"/>
          <w:b/>
          <w:sz w:val="21"/>
          <w:szCs w:val="21"/>
        </w:rPr>
        <w:t>2技术要求</w:t>
      </w:r>
    </w:p>
    <w:p>
      <w:pPr>
        <w:numPr>
          <w:ilvl w:val="0"/>
          <w:numId w:val="0"/>
        </w:numPr>
        <w:snapToGrid w:val="0"/>
        <w:spacing w:line="360" w:lineRule="auto"/>
        <w:ind w:leftChars="0"/>
        <w:rPr>
          <w:rFonts w:hint="eastAsia" w:ascii="宋体" w:hAnsi="宋体" w:eastAsia="宋体" w:cs="宋体"/>
          <w:bCs/>
          <w:sz w:val="21"/>
          <w:szCs w:val="21"/>
        </w:rPr>
      </w:pPr>
      <w:r>
        <w:rPr>
          <w:rFonts w:hint="eastAsia" w:ascii="宋体" w:hAnsi="宋体" w:cs="宋体"/>
          <w:bCs/>
          <w:sz w:val="21"/>
          <w:szCs w:val="21"/>
          <w:lang w:val="en-US" w:eastAsia="zh-CN"/>
        </w:rPr>
        <w:t>1)</w:t>
      </w:r>
      <w:r>
        <w:rPr>
          <w:rFonts w:hint="eastAsia" w:ascii="宋体" w:hAnsi="宋体" w:eastAsia="宋体" w:cs="宋体"/>
          <w:bCs/>
          <w:sz w:val="21"/>
          <w:szCs w:val="21"/>
        </w:rPr>
        <w:t>检修线需设置独立的转向架上、下线工位。检修线主线采用双层结构，下层为检修工位，上层为构架检修线返回通道，左右设置有机械手升降平台；主线左侧分别布置有6m悬挂检修机械手检修工位，右侧布置有4m清洗机上下料工位，此两工位采用单层结构。工艺布局需满足现场的要求，各功能线须按工艺流程布置工位，具体详细见附图。</w:t>
      </w:r>
    </w:p>
    <w:p>
      <w:pPr>
        <w:numPr>
          <w:ilvl w:val="0"/>
          <w:numId w:val="0"/>
        </w:numPr>
        <w:snapToGrid w:val="0"/>
        <w:spacing w:line="360" w:lineRule="auto"/>
        <w:ind w:leftChars="0"/>
        <w:rPr>
          <w:rFonts w:hint="eastAsia" w:ascii="宋体" w:hAnsi="宋体" w:eastAsia="宋体" w:cs="宋体"/>
          <w:bCs/>
          <w:sz w:val="21"/>
          <w:szCs w:val="21"/>
        </w:rPr>
      </w:pPr>
      <w:r>
        <w:rPr>
          <w:rFonts w:hint="eastAsia" w:ascii="宋体" w:hAnsi="宋体" w:cs="宋体"/>
          <w:bCs/>
          <w:sz w:val="21"/>
          <w:szCs w:val="21"/>
          <w:lang w:val="en-US" w:eastAsia="zh-CN"/>
        </w:rPr>
        <w:t>2)</w:t>
      </w:r>
      <w:r>
        <w:rPr>
          <w:rFonts w:hint="eastAsia" w:ascii="宋体" w:hAnsi="宋体" w:eastAsia="宋体" w:cs="宋体"/>
          <w:bCs/>
          <w:sz w:val="21"/>
          <w:szCs w:val="21"/>
        </w:rPr>
        <w:t>检修线整体工艺布局顺畅，工序之间衔接合理。各工位的设置具有一定的灵活性，便于工艺或工位发生变化时，可以根据需要灵活调整工位，具有扩展和升级的空间。</w:t>
      </w:r>
    </w:p>
    <w:p>
      <w:pPr>
        <w:numPr>
          <w:ilvl w:val="0"/>
          <w:numId w:val="0"/>
        </w:numPr>
        <w:snapToGrid w:val="0"/>
        <w:spacing w:line="360" w:lineRule="auto"/>
        <w:ind w:leftChars="0"/>
        <w:rPr>
          <w:rFonts w:hint="eastAsia" w:ascii="宋体" w:hAnsi="宋体" w:eastAsia="宋体" w:cs="宋体"/>
          <w:bCs/>
          <w:sz w:val="21"/>
          <w:szCs w:val="21"/>
        </w:rPr>
      </w:pPr>
      <w:r>
        <w:rPr>
          <w:rFonts w:hint="eastAsia" w:ascii="宋体" w:hAnsi="宋体" w:eastAsia="宋体" w:cs="宋体"/>
          <w:b w:val="0"/>
          <w:bCs/>
          <w:sz w:val="21"/>
          <w:szCs w:val="21"/>
          <w:lang w:val="en-US" w:eastAsia="zh-CN"/>
        </w:rPr>
        <w:t>*</w:t>
      </w:r>
      <w:r>
        <w:rPr>
          <w:rFonts w:hint="eastAsia" w:ascii="宋体" w:hAnsi="宋体" w:cs="宋体"/>
          <w:b w:val="0"/>
          <w:bCs/>
          <w:sz w:val="21"/>
          <w:szCs w:val="21"/>
          <w:lang w:val="en-US" w:eastAsia="zh-CN"/>
        </w:rPr>
        <w:t>3)</w:t>
      </w:r>
      <w:r>
        <w:rPr>
          <w:rFonts w:hint="eastAsia" w:ascii="宋体" w:hAnsi="宋体" w:eastAsia="宋体" w:cs="宋体"/>
          <w:b w:val="0"/>
          <w:bCs/>
          <w:sz w:val="21"/>
          <w:szCs w:val="21"/>
        </w:rPr>
        <w:t>检修线需采用龙门式结构，通过连接梁组成一封闭的环行构架体，立柱采用方型钢管，构架体应有足够的强度和刚度。检修线总长度为72.9米，双层主线长度62.9米，单层线长度10 米，总宽度为4米，外形尺寸应符合设计要求。</w:t>
      </w:r>
    </w:p>
    <w:p>
      <w:pPr>
        <w:numPr>
          <w:ilvl w:val="4"/>
          <w:numId w:val="2"/>
        </w:numPr>
        <w:snapToGrid w:val="0"/>
        <w:spacing w:line="360" w:lineRule="auto"/>
        <w:ind w:left="0" w:firstLine="0"/>
        <w:rPr>
          <w:rFonts w:hint="eastAsia" w:ascii="宋体" w:hAnsi="宋体" w:eastAsia="宋体" w:cs="宋体"/>
          <w:bCs/>
          <w:sz w:val="21"/>
          <w:szCs w:val="21"/>
        </w:rPr>
      </w:pPr>
      <w:r>
        <w:rPr>
          <w:rFonts w:hint="eastAsia" w:ascii="宋体" w:hAnsi="宋体" w:eastAsia="宋体" w:cs="宋体"/>
          <w:bCs/>
          <w:sz w:val="21"/>
          <w:szCs w:val="21"/>
        </w:rPr>
        <w:t>主体框架采用200×8焊接方钢管和200×100×6矩形钢管及补强板等焊接成门型结构，使用200H型钢及联接梁焊接组装成封闭的钢结构体。结构采用有限元运算复核，构架的强度、刚度及稳定性均符合检修线的工艺要求。</w:t>
      </w:r>
    </w:p>
    <w:p>
      <w:pPr>
        <w:numPr>
          <w:ilvl w:val="4"/>
          <w:numId w:val="2"/>
        </w:numPr>
        <w:snapToGrid w:val="0"/>
        <w:spacing w:line="360" w:lineRule="auto"/>
        <w:ind w:left="0" w:firstLine="0"/>
        <w:rPr>
          <w:rFonts w:hint="eastAsia" w:ascii="宋体" w:hAnsi="宋体" w:eastAsia="宋体" w:cs="宋体"/>
          <w:bCs/>
          <w:sz w:val="21"/>
          <w:szCs w:val="21"/>
        </w:rPr>
      </w:pPr>
      <w:r>
        <w:rPr>
          <w:rFonts w:hint="eastAsia" w:ascii="宋体" w:hAnsi="宋体" w:eastAsia="宋体" w:cs="宋体"/>
          <w:bCs/>
          <w:sz w:val="21"/>
          <w:szCs w:val="21"/>
        </w:rPr>
        <w:t>为了保证检修机械手发生故障时不会影响整体物流通道和正常检修作业，在检修线端部设置有检修机械手故障检修区，实现检修机械手故障发生时能方便的移开检修机械手并进行快速检修。</w:t>
      </w:r>
    </w:p>
    <w:p>
      <w:pPr>
        <w:numPr>
          <w:ilvl w:val="4"/>
          <w:numId w:val="2"/>
        </w:numPr>
        <w:snapToGrid w:val="0"/>
        <w:spacing w:line="360" w:lineRule="auto"/>
        <w:ind w:left="0" w:firstLine="0"/>
        <w:rPr>
          <w:rFonts w:hint="eastAsia" w:ascii="宋体" w:hAnsi="宋体" w:eastAsia="宋体" w:cs="宋体"/>
          <w:bCs/>
          <w:sz w:val="21"/>
          <w:szCs w:val="21"/>
        </w:rPr>
      </w:pPr>
      <w:r>
        <w:rPr>
          <w:rFonts w:hint="eastAsia" w:ascii="宋体" w:hAnsi="宋体" w:eastAsia="宋体" w:cs="宋体"/>
          <w:bCs/>
          <w:sz w:val="21"/>
          <w:szCs w:val="21"/>
        </w:rPr>
        <w:t>在主体框架上方装有安全滑线固定支架，用于安全滑线的装配，满足检修线供电及通讯系统的要求。</w:t>
      </w:r>
    </w:p>
    <w:p>
      <w:pPr>
        <w:numPr>
          <w:ilvl w:val="4"/>
          <w:numId w:val="2"/>
        </w:numPr>
        <w:snapToGrid w:val="0"/>
        <w:spacing w:line="360" w:lineRule="auto"/>
        <w:ind w:left="0" w:firstLine="0"/>
        <w:rPr>
          <w:rFonts w:hint="eastAsia" w:ascii="宋体" w:hAnsi="宋体" w:eastAsia="宋体" w:cs="宋体"/>
          <w:bCs/>
          <w:sz w:val="21"/>
          <w:szCs w:val="21"/>
        </w:rPr>
      </w:pPr>
      <w:r>
        <w:rPr>
          <w:rFonts w:hint="eastAsia" w:ascii="宋体" w:hAnsi="宋体" w:eastAsia="宋体" w:cs="宋体"/>
          <w:bCs/>
          <w:sz w:val="21"/>
          <w:szCs w:val="21"/>
        </w:rPr>
        <w:t>检修线采用安全滑触线供电模式及采用安全滑触线作为通讯介质模式。共采用两组八根单极安全滑触线，每组四根，左侧一组其中三根安全滑触线用来为检修小车提供380V动力电源。另外一根作为220V电源零线，为检修小车提供220V控制电源；右侧一组其中两根用来作为检修小车与主控制系统之间PROFIBUS-DP总线网络通迅线，另外两根作为检修小车与地面人机操作界面之间485总线网络通迅线。</w:t>
      </w:r>
    </w:p>
    <w:p>
      <w:pPr>
        <w:numPr>
          <w:ilvl w:val="4"/>
          <w:numId w:val="2"/>
        </w:numPr>
        <w:snapToGrid w:val="0"/>
        <w:spacing w:line="360" w:lineRule="auto"/>
        <w:ind w:left="0" w:firstLine="0"/>
        <w:rPr>
          <w:rFonts w:hint="eastAsia" w:ascii="宋体" w:hAnsi="宋体" w:eastAsia="宋体" w:cs="宋体"/>
          <w:bCs/>
          <w:sz w:val="21"/>
          <w:szCs w:val="21"/>
        </w:rPr>
      </w:pPr>
      <w:r>
        <w:rPr>
          <w:rFonts w:hint="eastAsia" w:ascii="宋体" w:hAnsi="宋体" w:eastAsia="宋体" w:cs="宋体"/>
          <w:bCs/>
          <w:sz w:val="21"/>
          <w:szCs w:val="21"/>
        </w:rPr>
        <w:t>在检修线不同通道的交叉节点处设置有机械互锁保护装置，保证检修机械手运行安全。</w:t>
      </w:r>
    </w:p>
    <w:p>
      <w:pPr>
        <w:numPr>
          <w:ilvl w:val="0"/>
          <w:numId w:val="0"/>
        </w:numPr>
        <w:snapToGrid w:val="0"/>
        <w:spacing w:line="360" w:lineRule="auto"/>
        <w:ind w:leftChars="0"/>
        <w:rPr>
          <w:rFonts w:hint="eastAsia" w:ascii="宋体" w:hAnsi="宋体" w:eastAsia="宋体" w:cs="宋体"/>
          <w:bCs/>
          <w:sz w:val="21"/>
          <w:szCs w:val="21"/>
        </w:rPr>
      </w:pPr>
      <w:r>
        <w:rPr>
          <w:rFonts w:hint="eastAsia" w:ascii="宋体" w:hAnsi="宋体" w:cs="宋体"/>
          <w:bCs/>
          <w:sz w:val="21"/>
          <w:szCs w:val="21"/>
          <w:lang w:val="en-US" w:eastAsia="zh-CN"/>
        </w:rPr>
        <w:t>4)</w:t>
      </w:r>
      <w:r>
        <w:rPr>
          <w:rFonts w:hint="eastAsia" w:ascii="宋体" w:hAnsi="宋体" w:eastAsia="宋体" w:cs="宋体"/>
          <w:bCs/>
          <w:sz w:val="21"/>
          <w:szCs w:val="21"/>
        </w:rPr>
        <w:t>工位设置应体现出各工位的工作专业化、明确化、准确化、信息录入简便化的思路，实现在各工位人工设定下一工位，按确认键后检修小车自动到达。实现精确定位，数据流与转向架在流水线作业的移动的同步显示，从转向架上线开始，精确提供该转向架在整个流水线中每一工位的定位信息。</w:t>
      </w:r>
    </w:p>
    <w:p>
      <w:pPr>
        <w:numPr>
          <w:ilvl w:val="0"/>
          <w:numId w:val="0"/>
        </w:numPr>
        <w:snapToGrid w:val="0"/>
        <w:spacing w:line="360" w:lineRule="auto"/>
        <w:ind w:leftChars="0"/>
        <w:rPr>
          <w:rFonts w:hint="eastAsia" w:ascii="宋体" w:hAnsi="宋体" w:eastAsia="宋体" w:cs="宋体"/>
          <w:bCs/>
          <w:sz w:val="21"/>
          <w:szCs w:val="21"/>
        </w:rPr>
      </w:pPr>
      <w:r>
        <w:rPr>
          <w:rFonts w:hint="eastAsia" w:ascii="宋体" w:hAnsi="宋体" w:cs="宋体"/>
          <w:bCs/>
          <w:sz w:val="21"/>
          <w:szCs w:val="21"/>
          <w:lang w:val="en-US" w:eastAsia="zh-CN"/>
        </w:rPr>
        <w:t>5)</w:t>
      </w:r>
      <w:r>
        <w:rPr>
          <w:rFonts w:hint="eastAsia" w:ascii="宋体" w:hAnsi="宋体" w:eastAsia="宋体" w:cs="宋体"/>
          <w:bCs/>
          <w:sz w:val="21"/>
          <w:szCs w:val="21"/>
        </w:rPr>
        <w:t>检修线各工位需能独立工作，不影响整体检修线的物流和正常检修作业。</w:t>
      </w:r>
    </w:p>
    <w:p>
      <w:pPr>
        <w:numPr>
          <w:ilvl w:val="0"/>
          <w:numId w:val="0"/>
        </w:numPr>
        <w:snapToGrid w:val="0"/>
        <w:spacing w:line="360" w:lineRule="auto"/>
        <w:ind w:leftChars="0"/>
        <w:rPr>
          <w:rFonts w:hint="eastAsia" w:ascii="宋体" w:hAnsi="宋体" w:eastAsia="宋体" w:cs="宋体"/>
          <w:bCs/>
          <w:sz w:val="21"/>
          <w:szCs w:val="21"/>
        </w:rPr>
      </w:pPr>
      <w:r>
        <w:rPr>
          <w:rFonts w:hint="eastAsia" w:ascii="宋体" w:hAnsi="宋体" w:cs="宋体"/>
          <w:bCs/>
          <w:sz w:val="21"/>
          <w:szCs w:val="21"/>
          <w:lang w:val="en-US" w:eastAsia="zh-CN"/>
        </w:rPr>
        <w:t>6)</w:t>
      </w:r>
      <w:r>
        <w:rPr>
          <w:rFonts w:hint="eastAsia" w:ascii="宋体" w:hAnsi="宋体" w:eastAsia="宋体" w:cs="宋体"/>
          <w:bCs/>
          <w:sz w:val="21"/>
          <w:szCs w:val="21"/>
        </w:rPr>
        <w:t>悬挂线机械手技术要求：</w:t>
      </w:r>
    </w:p>
    <w:p>
      <w:pPr>
        <w:numPr>
          <w:ilvl w:val="0"/>
          <w:numId w:val="0"/>
        </w:numPr>
        <w:snapToGrid w:val="0"/>
        <w:spacing w:line="360" w:lineRule="auto"/>
        <w:ind w:leftChars="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w:t>
      </w:r>
      <w:r>
        <w:rPr>
          <w:rFonts w:hint="eastAsia" w:ascii="宋体" w:hAnsi="宋体" w:cs="宋体"/>
          <w:b w:val="0"/>
          <w:bCs w:val="0"/>
          <w:sz w:val="21"/>
          <w:szCs w:val="21"/>
          <w:lang w:val="en-US" w:eastAsia="zh-CN"/>
        </w:rPr>
        <w:t>a)</w:t>
      </w:r>
      <w:r>
        <w:rPr>
          <w:rFonts w:hint="eastAsia" w:ascii="宋体" w:hAnsi="宋体" w:eastAsia="宋体" w:cs="宋体"/>
          <w:b w:val="0"/>
          <w:bCs w:val="0"/>
          <w:sz w:val="21"/>
          <w:szCs w:val="21"/>
        </w:rPr>
        <w:t>检修线配套12台悬挂线机械手，每台悬挂机械手自带动力，满足转向架检修过程中的抓取/放下、上升/下降、水平旋转，沿轨道运行等动作,可独立控制，上下件方便、定位合理准确、便于操作。悬挂机械手在吊挂运行过程中应允许误操作而不发生安全事故。</w:t>
      </w:r>
    </w:p>
    <w:p>
      <w:pPr>
        <w:numPr>
          <w:ilvl w:val="0"/>
          <w:numId w:val="0"/>
        </w:numPr>
        <w:snapToGrid w:val="0"/>
        <w:spacing w:line="360" w:lineRule="auto"/>
        <w:ind w:leftChars="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w:t>
      </w:r>
      <w:r>
        <w:rPr>
          <w:rFonts w:hint="eastAsia" w:ascii="宋体" w:hAnsi="宋体" w:cs="宋体"/>
          <w:b w:val="0"/>
          <w:bCs w:val="0"/>
          <w:sz w:val="21"/>
          <w:szCs w:val="21"/>
          <w:lang w:val="en-US" w:eastAsia="zh-CN"/>
        </w:rPr>
        <w:t>b)</w:t>
      </w:r>
      <w:r>
        <w:rPr>
          <w:rFonts w:hint="eastAsia" w:ascii="宋体" w:hAnsi="宋体" w:eastAsia="宋体" w:cs="宋体"/>
          <w:b w:val="0"/>
          <w:bCs w:val="0"/>
          <w:sz w:val="21"/>
          <w:szCs w:val="21"/>
        </w:rPr>
        <w:t>升降装置采用一体化设计，由驱动电机、升降丝杠、丝母、防脱装置组成，驱动电机与升降丝杠的组装匹配紧凑、高效。升降的执行机构丝杠、丝母具有自锁功能，在突然断电、误操作等意外情况下不会发生安全事故，以保证作业安全。升降装置采用直线导轨进行导向，升降操作安全平稳。防脱装置用于安全保护，防止丝母损坏后升降装置的突然坠落。升降行程为1000mm，最低位及最高位应能满足转向架大分解、大组装及各工位检修高度的要求。</w:t>
      </w:r>
    </w:p>
    <w:p>
      <w:pPr>
        <w:numPr>
          <w:ilvl w:val="0"/>
          <w:numId w:val="0"/>
        </w:numPr>
        <w:snapToGrid w:val="0"/>
        <w:spacing w:line="360" w:lineRule="auto"/>
        <w:ind w:leftChars="0"/>
        <w:rPr>
          <w:rFonts w:hint="eastAsia" w:ascii="宋体" w:hAnsi="宋体" w:eastAsia="宋体" w:cs="宋体"/>
          <w:bCs/>
          <w:sz w:val="21"/>
          <w:szCs w:val="21"/>
        </w:rPr>
      </w:pPr>
      <w:r>
        <w:rPr>
          <w:rFonts w:hint="eastAsia" w:ascii="宋体" w:hAnsi="宋体" w:cs="宋体"/>
          <w:bCs/>
          <w:sz w:val="21"/>
          <w:szCs w:val="21"/>
          <w:lang w:val="en-US" w:eastAsia="zh-CN"/>
        </w:rPr>
        <w:t>c)</w:t>
      </w:r>
      <w:r>
        <w:rPr>
          <w:rFonts w:hint="eastAsia" w:ascii="宋体" w:hAnsi="宋体" w:eastAsia="宋体" w:cs="宋体"/>
          <w:bCs/>
          <w:sz w:val="21"/>
          <w:szCs w:val="21"/>
        </w:rPr>
        <w:t>旋转装置采用密封式方形箱体框架结构，由蜗轮箱、传动蜗轮及蜗杆、旋转减速器及电机、联接法兰、轴承等零部件所组成，结构紧凑，密封效果好。旋转角度为±180°，且采用变频调速技术，使定位精度能满足转向架大分解、大组装及工位检修定位的要求；</w:t>
      </w:r>
    </w:p>
    <w:p>
      <w:pPr>
        <w:numPr>
          <w:ilvl w:val="0"/>
          <w:numId w:val="0"/>
        </w:numPr>
        <w:snapToGrid w:val="0"/>
        <w:spacing w:line="360" w:lineRule="auto"/>
        <w:ind w:leftChars="0"/>
        <w:rPr>
          <w:rFonts w:hint="eastAsia" w:ascii="宋体" w:hAnsi="宋体" w:eastAsia="宋体" w:cs="宋体"/>
          <w:bCs/>
          <w:sz w:val="21"/>
          <w:szCs w:val="21"/>
        </w:rPr>
      </w:pPr>
      <w:r>
        <w:rPr>
          <w:rFonts w:hint="eastAsia" w:ascii="宋体" w:hAnsi="宋体" w:cs="宋体"/>
          <w:bCs/>
          <w:sz w:val="21"/>
          <w:szCs w:val="21"/>
          <w:lang w:val="en-US" w:eastAsia="zh-CN"/>
        </w:rPr>
        <w:t>d)</w:t>
      </w:r>
      <w:r>
        <w:rPr>
          <w:rFonts w:hint="eastAsia" w:ascii="宋体" w:hAnsi="宋体" w:eastAsia="宋体" w:cs="宋体"/>
          <w:bCs/>
          <w:sz w:val="21"/>
          <w:szCs w:val="21"/>
        </w:rPr>
        <w:t>走行装置利用电机驱动，采用滚轮滚动的方式进行走行动作，由位置传感器计算走行位置。机械手采用安全滑触线进行供电、通讯，安全滑触线集电器安装在走行装置上。悬挂机械手走行电机应采用变频调速技术，使悬挂机械手能够平稳启动、停止，其停车定位精度不大于±5mm，使定位精度能满足转向架大分解、大组装及工位检修定位的要求，各机械手之间需有自动测距防碰撞功能。</w:t>
      </w:r>
    </w:p>
    <w:p>
      <w:pPr>
        <w:numPr>
          <w:ilvl w:val="0"/>
          <w:numId w:val="0"/>
        </w:numPr>
        <w:snapToGrid w:val="0"/>
        <w:spacing w:line="360" w:lineRule="auto"/>
        <w:ind w:leftChars="0"/>
        <w:rPr>
          <w:rFonts w:hint="eastAsia" w:ascii="宋体" w:hAnsi="宋体" w:eastAsia="宋体" w:cs="宋体"/>
          <w:bCs/>
          <w:sz w:val="21"/>
          <w:szCs w:val="21"/>
        </w:rPr>
      </w:pPr>
      <w:r>
        <w:rPr>
          <w:rFonts w:hint="eastAsia" w:ascii="宋体" w:hAnsi="宋体" w:cs="宋体"/>
          <w:bCs/>
          <w:sz w:val="21"/>
          <w:szCs w:val="21"/>
          <w:lang w:val="en-US" w:eastAsia="zh-CN"/>
        </w:rPr>
        <w:t>e)</w:t>
      </w:r>
      <w:r>
        <w:rPr>
          <w:rFonts w:hint="eastAsia" w:ascii="宋体" w:hAnsi="宋体" w:eastAsia="宋体" w:cs="宋体"/>
          <w:bCs/>
          <w:sz w:val="21"/>
          <w:szCs w:val="21"/>
        </w:rPr>
        <w:t>吊挂装置包括吊挂箱体、活动吊钩和吊钩调节装置。箱体为吊挂装置的主框架结构，底部采用敞开式设计。吊挂装置采用两个活动吊钩（每个吊钩上有两个吊爪）,用于对构架进行四点吊挂。吊钩可进行四个自由度的位置调整，包括X向调整、Y向调整、Z向调整与Z轴旋转，调整范围可满足各型货车构架吊挂点的要求。</w:t>
      </w:r>
    </w:p>
    <w:p>
      <w:pPr>
        <w:numPr>
          <w:ilvl w:val="0"/>
          <w:numId w:val="0"/>
        </w:numPr>
        <w:snapToGrid w:val="0"/>
        <w:spacing w:line="360" w:lineRule="auto"/>
        <w:ind w:leftChars="0"/>
        <w:rPr>
          <w:rFonts w:hint="eastAsia" w:ascii="宋体" w:hAnsi="宋体" w:eastAsia="宋体" w:cs="宋体"/>
          <w:bCs/>
          <w:sz w:val="21"/>
          <w:szCs w:val="21"/>
        </w:rPr>
      </w:pPr>
      <w:r>
        <w:rPr>
          <w:rFonts w:hint="eastAsia" w:ascii="宋体" w:hAnsi="宋体" w:cs="宋体"/>
          <w:bCs/>
          <w:sz w:val="21"/>
          <w:szCs w:val="21"/>
          <w:lang w:val="en-US" w:eastAsia="zh-CN"/>
        </w:rPr>
        <w:t>f)</w:t>
      </w:r>
      <w:r>
        <w:rPr>
          <w:rFonts w:hint="eastAsia" w:ascii="宋体" w:hAnsi="宋体" w:eastAsia="宋体" w:cs="宋体"/>
          <w:bCs/>
          <w:sz w:val="21"/>
          <w:szCs w:val="21"/>
        </w:rPr>
        <w:t>检修线应能实现故障悬挂机械手快速下线抢修和故障构架快速下线检修，个别机械手因故障暂停运行或整个机械手系统进行数量增减均不会对检修线系统的正常运行造成影响。</w:t>
      </w:r>
    </w:p>
    <w:p>
      <w:pPr>
        <w:numPr>
          <w:ilvl w:val="0"/>
          <w:numId w:val="0"/>
        </w:numPr>
        <w:snapToGrid w:val="0"/>
        <w:spacing w:line="360" w:lineRule="auto"/>
        <w:ind w:leftChars="0"/>
        <w:rPr>
          <w:rFonts w:hint="eastAsia" w:ascii="宋体" w:hAnsi="宋体" w:eastAsia="宋体" w:cs="宋体"/>
          <w:bCs/>
          <w:sz w:val="21"/>
          <w:szCs w:val="21"/>
        </w:rPr>
      </w:pPr>
      <w:r>
        <w:rPr>
          <w:rFonts w:hint="eastAsia" w:ascii="宋体" w:hAnsi="宋体" w:cs="宋体"/>
          <w:bCs/>
          <w:sz w:val="21"/>
          <w:szCs w:val="21"/>
          <w:lang w:val="en-US" w:eastAsia="zh-CN"/>
        </w:rPr>
        <w:t>7)</w:t>
      </w:r>
      <w:r>
        <w:rPr>
          <w:rFonts w:hint="eastAsia" w:ascii="宋体" w:hAnsi="宋体" w:eastAsia="宋体" w:cs="宋体"/>
          <w:bCs/>
          <w:sz w:val="21"/>
          <w:szCs w:val="21"/>
        </w:rPr>
        <w:t>机械手升降平台技术要求：</w:t>
      </w:r>
    </w:p>
    <w:p>
      <w:pPr>
        <w:numPr>
          <w:ilvl w:val="4"/>
          <w:numId w:val="3"/>
        </w:numPr>
        <w:snapToGrid w:val="0"/>
        <w:spacing w:line="360" w:lineRule="auto"/>
        <w:ind w:left="0" w:firstLine="0"/>
        <w:rPr>
          <w:rFonts w:hint="eastAsia" w:ascii="宋体" w:hAnsi="宋体" w:eastAsia="宋体" w:cs="宋体"/>
          <w:sz w:val="21"/>
          <w:szCs w:val="21"/>
        </w:rPr>
      </w:pPr>
      <w:r>
        <w:rPr>
          <w:rFonts w:hint="eastAsia" w:ascii="宋体" w:hAnsi="宋体" w:eastAsia="宋体" w:cs="宋体"/>
          <w:sz w:val="21"/>
          <w:szCs w:val="21"/>
        </w:rPr>
        <w:t>主线两端设置有升降平台，可使构架检修机械手在上下层之间进行转移。</w:t>
      </w:r>
    </w:p>
    <w:p>
      <w:pPr>
        <w:numPr>
          <w:ilvl w:val="4"/>
          <w:numId w:val="3"/>
        </w:numPr>
        <w:snapToGrid w:val="0"/>
        <w:spacing w:line="360" w:lineRule="auto"/>
        <w:ind w:left="0" w:firstLine="0"/>
        <w:rPr>
          <w:rFonts w:hint="eastAsia" w:ascii="宋体" w:hAnsi="宋体" w:eastAsia="宋体" w:cs="宋体"/>
          <w:sz w:val="21"/>
          <w:szCs w:val="21"/>
        </w:rPr>
      </w:pPr>
      <w:r>
        <w:rPr>
          <w:rFonts w:hint="eastAsia" w:ascii="宋体" w:hAnsi="宋体" w:eastAsia="宋体" w:cs="宋体"/>
          <w:sz w:val="21"/>
          <w:szCs w:val="21"/>
        </w:rPr>
        <w:t>机械手升降平台固定在输送绗架上，在升降平台上装有轨道，当机械手运行到轨道上启动升降平台，实现机械手在垂直循环检修线上下两层之间的转运，当检修小车升降平台与上层或下层主体框架对接完成后机械手离开框架进入检修线。</w:t>
      </w:r>
    </w:p>
    <w:p>
      <w:pPr>
        <w:numPr>
          <w:ilvl w:val="4"/>
          <w:numId w:val="3"/>
        </w:numPr>
        <w:snapToGrid w:val="0"/>
        <w:spacing w:line="360" w:lineRule="auto"/>
        <w:ind w:left="0" w:firstLine="0"/>
        <w:rPr>
          <w:rFonts w:hint="eastAsia" w:ascii="宋体" w:hAnsi="宋体" w:eastAsia="宋体" w:cs="宋体"/>
          <w:sz w:val="21"/>
          <w:szCs w:val="21"/>
        </w:rPr>
      </w:pPr>
      <w:r>
        <w:rPr>
          <w:rFonts w:hint="eastAsia" w:ascii="宋体" w:hAnsi="宋体" w:eastAsia="宋体" w:cs="宋体"/>
          <w:sz w:val="21"/>
          <w:szCs w:val="21"/>
        </w:rPr>
        <w:t>升降平台采用一体化设计，由驱动电机、升降丝杠、丝母、防脱装置组成，驱动电机与升降丝杠的组装匹配紧凑、高效。升降的执行机构丝杠、丝母具有自锁功能，在突然断电、误操作等意外情况下不会发生安全事故，以保证作业安全。升降装置采用直线导轨进行导向，升降操作安全平稳。防脱装置用于安全保护，防止丝母损坏后升降装置的突然坠落。升降装置运行应稳定可靠，在现有同类工程项目中已实际运用2年以上。</w:t>
      </w:r>
    </w:p>
    <w:p>
      <w:pPr>
        <w:numPr>
          <w:ilvl w:val="4"/>
          <w:numId w:val="3"/>
        </w:numPr>
        <w:snapToGrid w:val="0"/>
        <w:spacing w:line="360" w:lineRule="auto"/>
        <w:ind w:left="0" w:firstLine="0"/>
        <w:rPr>
          <w:rFonts w:hint="eastAsia" w:ascii="宋体" w:hAnsi="宋体" w:eastAsia="宋体" w:cs="宋体"/>
          <w:bCs/>
          <w:sz w:val="21"/>
          <w:szCs w:val="21"/>
        </w:rPr>
      </w:pPr>
      <w:r>
        <w:rPr>
          <w:rFonts w:hint="eastAsia" w:ascii="宋体" w:hAnsi="宋体" w:eastAsia="宋体" w:cs="宋体"/>
          <w:bCs/>
          <w:sz w:val="21"/>
          <w:szCs w:val="21"/>
        </w:rPr>
        <w:t>每个升降平台应设有机械</w:t>
      </w:r>
      <w:r>
        <w:rPr>
          <w:rFonts w:hint="eastAsia" w:ascii="宋体" w:hAnsi="宋体" w:eastAsia="宋体" w:cs="宋体"/>
          <w:sz w:val="21"/>
          <w:szCs w:val="21"/>
        </w:rPr>
        <w:t>、电气双重保护装置。</w:t>
      </w:r>
      <w:r>
        <w:rPr>
          <w:rFonts w:hint="eastAsia" w:ascii="宋体" w:hAnsi="宋体" w:eastAsia="宋体" w:cs="宋体"/>
          <w:bCs/>
          <w:sz w:val="21"/>
          <w:szCs w:val="21"/>
        </w:rPr>
        <w:t>升降平台过程中对停放在上面的悬挂机械手应有互锁保护功能，旋转过程中应允许误操作而不发生安全事故。</w:t>
      </w:r>
    </w:p>
    <w:p>
      <w:pPr>
        <w:numPr>
          <w:ilvl w:val="0"/>
          <w:numId w:val="0"/>
        </w:numPr>
        <w:snapToGrid w:val="0"/>
        <w:spacing w:line="360" w:lineRule="auto"/>
        <w:ind w:leftChars="0"/>
        <w:rPr>
          <w:rFonts w:hint="eastAsia" w:ascii="宋体" w:hAnsi="宋体" w:eastAsia="宋体" w:cs="宋体"/>
          <w:bCs/>
          <w:sz w:val="21"/>
          <w:szCs w:val="21"/>
        </w:rPr>
      </w:pPr>
      <w:r>
        <w:rPr>
          <w:rFonts w:hint="eastAsia" w:ascii="宋体" w:hAnsi="宋体" w:cs="宋体"/>
          <w:bCs/>
          <w:sz w:val="21"/>
          <w:szCs w:val="21"/>
          <w:lang w:val="en-US" w:eastAsia="zh-CN"/>
        </w:rPr>
        <w:t>8)</w:t>
      </w:r>
      <w:r>
        <w:rPr>
          <w:rFonts w:hint="eastAsia" w:ascii="宋体" w:hAnsi="宋体" w:eastAsia="宋体" w:cs="宋体"/>
          <w:bCs/>
          <w:sz w:val="21"/>
          <w:szCs w:val="21"/>
        </w:rPr>
        <w:t>控制系统技术要求：</w:t>
      </w:r>
    </w:p>
    <w:p>
      <w:pPr>
        <w:numPr>
          <w:ilvl w:val="4"/>
          <w:numId w:val="4"/>
        </w:numPr>
        <w:snapToGrid w:val="0"/>
        <w:spacing w:line="360" w:lineRule="auto"/>
        <w:ind w:left="0" w:firstLine="0"/>
        <w:rPr>
          <w:rFonts w:hint="eastAsia" w:ascii="宋体" w:hAnsi="宋体" w:eastAsia="宋体" w:cs="宋体"/>
          <w:bCs/>
          <w:sz w:val="21"/>
          <w:szCs w:val="21"/>
        </w:rPr>
      </w:pPr>
      <w:r>
        <w:rPr>
          <w:rFonts w:hint="eastAsia" w:ascii="宋体" w:hAnsi="宋体" w:eastAsia="宋体" w:cs="宋体"/>
          <w:sz w:val="21"/>
          <w:szCs w:val="21"/>
        </w:rPr>
        <w:t>控制系统采用西门子TIA全集成自动化方案进行设计。控制器、通讯总线、网络等均采用西门子品牌产品。</w:t>
      </w:r>
    </w:p>
    <w:p>
      <w:pPr>
        <w:numPr>
          <w:ilvl w:val="4"/>
          <w:numId w:val="4"/>
        </w:numPr>
        <w:snapToGrid w:val="0"/>
        <w:spacing w:line="360" w:lineRule="auto"/>
        <w:ind w:left="0" w:firstLine="0"/>
        <w:rPr>
          <w:rFonts w:hint="eastAsia" w:ascii="宋体" w:hAnsi="宋体" w:eastAsia="宋体" w:cs="宋体"/>
          <w:bCs/>
          <w:sz w:val="21"/>
          <w:szCs w:val="21"/>
        </w:rPr>
      </w:pPr>
      <w:r>
        <w:rPr>
          <w:rFonts w:hint="eastAsia" w:ascii="宋体" w:hAnsi="宋体" w:eastAsia="宋体" w:cs="宋体"/>
          <w:sz w:val="21"/>
          <w:szCs w:val="21"/>
        </w:rPr>
        <w:t>控制系统由主控制系统、</w:t>
      </w:r>
      <w:r>
        <w:rPr>
          <w:rFonts w:hint="eastAsia" w:ascii="宋体" w:hAnsi="宋体" w:eastAsia="宋体" w:cs="宋体"/>
          <w:bCs/>
          <w:sz w:val="21"/>
          <w:szCs w:val="21"/>
        </w:rPr>
        <w:t>悬挂机械手</w:t>
      </w:r>
      <w:r>
        <w:rPr>
          <w:rFonts w:hint="eastAsia" w:ascii="宋体" w:hAnsi="宋体" w:eastAsia="宋体" w:cs="宋体"/>
          <w:sz w:val="21"/>
          <w:szCs w:val="21"/>
        </w:rPr>
        <w:t>控制系统、升降平台控制系统、地面工位操作系统等组成。</w:t>
      </w:r>
    </w:p>
    <w:p>
      <w:pPr>
        <w:numPr>
          <w:ilvl w:val="4"/>
          <w:numId w:val="4"/>
        </w:numPr>
        <w:snapToGrid w:val="0"/>
        <w:spacing w:line="360" w:lineRule="auto"/>
        <w:ind w:left="0" w:firstLine="0"/>
        <w:rPr>
          <w:rFonts w:hint="eastAsia" w:ascii="宋体" w:hAnsi="宋体" w:eastAsia="宋体" w:cs="宋体"/>
          <w:bCs/>
          <w:sz w:val="21"/>
          <w:szCs w:val="21"/>
        </w:rPr>
      </w:pPr>
      <w:r>
        <w:rPr>
          <w:rFonts w:hint="eastAsia" w:ascii="宋体" w:hAnsi="宋体" w:eastAsia="宋体" w:cs="宋体"/>
          <w:sz w:val="21"/>
          <w:szCs w:val="21"/>
        </w:rPr>
        <w:t>每个</w:t>
      </w:r>
      <w:r>
        <w:rPr>
          <w:rFonts w:hint="eastAsia" w:ascii="宋体" w:hAnsi="宋体" w:eastAsia="宋体" w:cs="宋体"/>
          <w:bCs/>
          <w:sz w:val="21"/>
          <w:szCs w:val="21"/>
        </w:rPr>
        <w:t>悬挂</w:t>
      </w:r>
      <w:r>
        <w:rPr>
          <w:rFonts w:hint="eastAsia" w:ascii="宋体" w:hAnsi="宋体" w:eastAsia="宋体" w:cs="宋体"/>
          <w:sz w:val="21"/>
          <w:szCs w:val="21"/>
        </w:rPr>
        <w:t>机械手具有独立的控制系统单元，</w:t>
      </w:r>
      <w:r>
        <w:rPr>
          <w:rFonts w:hint="eastAsia" w:ascii="宋体" w:hAnsi="宋体" w:eastAsia="宋体" w:cs="宋体"/>
          <w:bCs/>
          <w:sz w:val="21"/>
          <w:szCs w:val="21"/>
        </w:rPr>
        <w:t>悬挂机械手</w:t>
      </w:r>
      <w:r>
        <w:rPr>
          <w:rFonts w:hint="eastAsia" w:ascii="宋体" w:hAnsi="宋体" w:eastAsia="宋体" w:cs="宋体"/>
          <w:sz w:val="21"/>
          <w:szCs w:val="21"/>
        </w:rPr>
        <w:t>控制系统采用西门子Profibus DP工业总线与控制主站进行通讯，DP工业总线信号采用信号调制后通过安全滑触线进行传输。</w:t>
      </w:r>
    </w:p>
    <w:p>
      <w:pPr>
        <w:numPr>
          <w:ilvl w:val="4"/>
          <w:numId w:val="4"/>
        </w:numPr>
        <w:snapToGrid w:val="0"/>
        <w:spacing w:line="360" w:lineRule="auto"/>
        <w:ind w:left="0" w:firstLine="0"/>
        <w:rPr>
          <w:rFonts w:hint="eastAsia" w:ascii="宋体" w:hAnsi="宋体" w:eastAsia="宋体" w:cs="宋体"/>
          <w:bCs/>
          <w:sz w:val="21"/>
          <w:szCs w:val="21"/>
        </w:rPr>
      </w:pPr>
      <w:r>
        <w:rPr>
          <w:rFonts w:hint="eastAsia" w:ascii="宋体" w:hAnsi="宋体" w:eastAsia="宋体" w:cs="宋体"/>
          <w:sz w:val="21"/>
          <w:szCs w:val="21"/>
        </w:rPr>
        <w:t>每个升降平台具有独立的控制系统单元，控制系统采用西门子Profibus DP工业总线与控制主站进行通讯。</w:t>
      </w:r>
    </w:p>
    <w:p>
      <w:pPr>
        <w:numPr>
          <w:ilvl w:val="4"/>
          <w:numId w:val="4"/>
        </w:numPr>
        <w:snapToGrid w:val="0"/>
        <w:spacing w:line="360" w:lineRule="auto"/>
        <w:ind w:left="0" w:firstLine="0"/>
        <w:rPr>
          <w:rFonts w:hint="eastAsia" w:ascii="宋体" w:hAnsi="宋体" w:eastAsia="宋体" w:cs="宋体"/>
          <w:bCs/>
          <w:sz w:val="21"/>
          <w:szCs w:val="21"/>
        </w:rPr>
      </w:pPr>
      <w:r>
        <w:rPr>
          <w:rFonts w:hint="eastAsia" w:ascii="宋体" w:hAnsi="宋体" w:eastAsia="宋体" w:cs="宋体"/>
          <w:bCs/>
          <w:sz w:val="21"/>
          <w:szCs w:val="21"/>
        </w:rPr>
        <w:t>悬挂</w:t>
      </w:r>
      <w:r>
        <w:rPr>
          <w:rFonts w:hint="eastAsia" w:ascii="宋体" w:hAnsi="宋体" w:eastAsia="宋体" w:cs="宋体"/>
          <w:sz w:val="21"/>
          <w:szCs w:val="21"/>
        </w:rPr>
        <w:t>机械手采用编码器进行位置定位，机械手运行过程中可实时反馈自身在流水线中的所处位置。</w:t>
      </w:r>
    </w:p>
    <w:p>
      <w:pPr>
        <w:numPr>
          <w:ilvl w:val="4"/>
          <w:numId w:val="4"/>
        </w:numPr>
        <w:snapToGrid w:val="0"/>
        <w:spacing w:line="360" w:lineRule="auto"/>
        <w:ind w:left="0" w:firstLine="0"/>
        <w:rPr>
          <w:rFonts w:hint="eastAsia" w:ascii="宋体" w:hAnsi="宋体" w:eastAsia="宋体" w:cs="宋体"/>
          <w:bCs/>
          <w:sz w:val="21"/>
          <w:szCs w:val="21"/>
        </w:rPr>
      </w:pPr>
      <w:r>
        <w:rPr>
          <w:rFonts w:hint="eastAsia" w:ascii="宋体" w:hAnsi="宋体" w:eastAsia="宋体" w:cs="宋体"/>
          <w:sz w:val="21"/>
          <w:szCs w:val="21"/>
        </w:rPr>
        <w:t>工位操作系统采用人机界面对机械手或升降平台进行操作。工位操作人机界面可进行机械手或升降平台动作操作、调度操作、系统状态监控、参数设置和运行过程跟踪及状态诊断等。</w:t>
      </w:r>
    </w:p>
    <w:p>
      <w:pPr>
        <w:numPr>
          <w:ilvl w:val="4"/>
          <w:numId w:val="4"/>
        </w:numPr>
        <w:snapToGrid w:val="0"/>
        <w:spacing w:line="360" w:lineRule="auto"/>
        <w:ind w:left="0" w:firstLine="0"/>
        <w:rPr>
          <w:rFonts w:hint="eastAsia" w:ascii="宋体" w:hAnsi="宋体" w:eastAsia="宋体" w:cs="宋体"/>
          <w:bCs/>
          <w:sz w:val="21"/>
          <w:szCs w:val="21"/>
        </w:rPr>
      </w:pPr>
      <w:r>
        <w:rPr>
          <w:rFonts w:hint="eastAsia" w:ascii="宋体" w:hAnsi="宋体" w:eastAsia="宋体" w:cs="宋体"/>
          <w:sz w:val="21"/>
          <w:szCs w:val="21"/>
        </w:rPr>
        <w:t>主控制计算机采用工业以太网与控制主PLC进行通讯，可进行系统参数设置，对机械手状态进行实时监控，对机械手运行状态、位置等进行动画显示。主控制计算机具有HMIS网络接口，可以读取HMIS网络转向架检修等数据信息，同时把流水线各执行单元运行状态和转向架检修信息等传输到HMIS数据库。</w:t>
      </w:r>
    </w:p>
    <w:p>
      <w:pPr>
        <w:numPr>
          <w:ilvl w:val="4"/>
          <w:numId w:val="4"/>
        </w:numPr>
        <w:snapToGrid w:val="0"/>
        <w:spacing w:line="360" w:lineRule="auto"/>
        <w:ind w:left="0" w:firstLine="0"/>
        <w:rPr>
          <w:rFonts w:hint="eastAsia" w:ascii="宋体" w:hAnsi="宋体" w:eastAsia="宋体" w:cs="宋体"/>
          <w:bCs/>
          <w:sz w:val="21"/>
          <w:szCs w:val="21"/>
        </w:rPr>
      </w:pPr>
      <w:r>
        <w:rPr>
          <w:rFonts w:hint="eastAsia" w:ascii="宋体" w:hAnsi="宋体" w:eastAsia="宋体" w:cs="宋体"/>
          <w:sz w:val="21"/>
          <w:szCs w:val="21"/>
        </w:rPr>
        <w:t>控制系统具有智能调度功能。在流水线运行过程中，检修工位的检修作业完毕后，只需在工位操作人机界面的工位分布图形上点击机械手要运行到的目的工位，系统即自动会调度升降平台等子系统单元运行，使调度的机械手自动运行到目的位置。</w:t>
      </w:r>
    </w:p>
    <w:p>
      <w:pPr>
        <w:numPr>
          <w:ilvl w:val="4"/>
          <w:numId w:val="4"/>
        </w:numPr>
        <w:snapToGrid w:val="0"/>
        <w:spacing w:line="360" w:lineRule="auto"/>
        <w:ind w:left="0" w:firstLine="0"/>
        <w:rPr>
          <w:rFonts w:hint="eastAsia" w:ascii="宋体" w:hAnsi="宋体" w:eastAsia="宋体" w:cs="宋体"/>
          <w:bCs/>
          <w:sz w:val="21"/>
          <w:szCs w:val="21"/>
        </w:rPr>
      </w:pPr>
      <w:r>
        <w:rPr>
          <w:rFonts w:hint="eastAsia" w:ascii="宋体" w:hAnsi="宋体" w:eastAsia="宋体" w:cs="宋体"/>
          <w:sz w:val="21"/>
          <w:szCs w:val="21"/>
        </w:rPr>
        <w:t>检修线、</w:t>
      </w:r>
      <w:r>
        <w:rPr>
          <w:rFonts w:hint="eastAsia" w:ascii="宋体" w:hAnsi="宋体" w:eastAsia="宋体" w:cs="宋体"/>
          <w:bCs/>
          <w:sz w:val="21"/>
          <w:szCs w:val="21"/>
        </w:rPr>
        <w:t>悬挂机械手、升降平台</w:t>
      </w:r>
      <w:r>
        <w:rPr>
          <w:rFonts w:hint="eastAsia" w:ascii="宋体" w:hAnsi="宋体" w:eastAsia="宋体" w:cs="宋体"/>
          <w:sz w:val="21"/>
          <w:szCs w:val="21"/>
        </w:rPr>
        <w:t>各系统各动作之间应具有完善互锁保护，各个控制模块之间应进行自动连锁控制，能有效避免误操作导致的意外，系统能实时监控各执行机构的运行情况及负载状况，一旦执行机构动作有异常，迅速停止并报警</w:t>
      </w:r>
      <w:r>
        <w:rPr>
          <w:rFonts w:hint="eastAsia" w:ascii="宋体" w:hAnsi="宋体" w:eastAsia="宋体" w:cs="宋体"/>
          <w:bCs/>
          <w:sz w:val="21"/>
          <w:szCs w:val="21"/>
        </w:rPr>
        <w:t>。</w:t>
      </w:r>
    </w:p>
    <w:p>
      <w:pPr>
        <w:snapToGrid w:val="0"/>
        <w:spacing w:line="360" w:lineRule="auto"/>
        <w:rPr>
          <w:rFonts w:hint="eastAsia" w:ascii="宋体" w:hAnsi="宋体" w:eastAsia="宋体" w:cs="宋体"/>
          <w:b/>
          <w:sz w:val="21"/>
          <w:szCs w:val="21"/>
        </w:rPr>
      </w:pPr>
      <w:r>
        <w:rPr>
          <w:rFonts w:hint="eastAsia" w:ascii="宋体" w:hAnsi="宋体" w:eastAsia="宋体" w:cs="宋体"/>
          <w:sz w:val="21"/>
          <w:szCs w:val="21"/>
          <w:lang w:val="en-US" w:eastAsia="zh-CN"/>
        </w:rPr>
        <w:t>3.1.2.4.1.</w:t>
      </w:r>
      <w:r>
        <w:rPr>
          <w:rFonts w:hint="eastAsia" w:ascii="宋体" w:hAnsi="宋体" w:eastAsia="宋体" w:cs="宋体"/>
          <w:b/>
          <w:sz w:val="21"/>
          <w:szCs w:val="21"/>
        </w:rPr>
        <w:t>3主要技术参数</w:t>
      </w:r>
    </w:p>
    <w:p>
      <w:pPr>
        <w:snapToGrid w:val="0"/>
        <w:spacing w:line="360" w:lineRule="auto"/>
        <w:rPr>
          <w:rFonts w:hint="eastAsia" w:ascii="宋体" w:hAnsi="宋体" w:eastAsia="宋体" w:cs="宋体"/>
          <w:bCs/>
          <w:sz w:val="21"/>
          <w:szCs w:val="21"/>
        </w:rPr>
      </w:pPr>
      <w:r>
        <w:rPr>
          <w:rFonts w:hint="eastAsia" w:ascii="宋体" w:hAnsi="宋体" w:eastAsia="宋体" w:cs="宋体"/>
          <w:sz w:val="21"/>
          <w:szCs w:val="21"/>
        </w:rPr>
        <w:t xml:space="preserve">    </w:t>
      </w:r>
      <w:r>
        <w:rPr>
          <w:rFonts w:hint="eastAsia" w:ascii="宋体" w:hAnsi="宋体" w:eastAsia="宋体" w:cs="宋体"/>
          <w:bCs/>
          <w:sz w:val="21"/>
          <w:szCs w:val="21"/>
        </w:rPr>
        <w:t>悬挂机械手：            12辆</w:t>
      </w:r>
    </w:p>
    <w:p>
      <w:pPr>
        <w:snapToGrid w:val="0"/>
        <w:spacing w:line="360" w:lineRule="auto"/>
        <w:rPr>
          <w:rFonts w:hint="eastAsia" w:ascii="宋体" w:hAnsi="宋体" w:eastAsia="宋体" w:cs="宋体"/>
          <w:bCs/>
          <w:sz w:val="21"/>
          <w:szCs w:val="21"/>
        </w:rPr>
      </w:pPr>
      <w:r>
        <w:rPr>
          <w:rFonts w:hint="eastAsia" w:ascii="宋体" w:hAnsi="宋体" w:eastAsia="宋体" w:cs="宋体"/>
          <w:bCs/>
          <w:sz w:val="21"/>
          <w:szCs w:val="21"/>
        </w:rPr>
        <w:t xml:space="preserve">    升降平台：              2套</w:t>
      </w:r>
    </w:p>
    <w:p>
      <w:pPr>
        <w:snapToGrid w:val="0"/>
        <w:spacing w:line="360" w:lineRule="auto"/>
        <w:rPr>
          <w:rFonts w:hint="eastAsia" w:ascii="宋体" w:hAnsi="宋体" w:eastAsia="宋体" w:cs="宋体"/>
          <w:bCs/>
          <w:sz w:val="21"/>
          <w:szCs w:val="21"/>
        </w:rPr>
      </w:pPr>
      <w:r>
        <w:rPr>
          <w:rFonts w:hint="eastAsia" w:ascii="宋体" w:hAnsi="宋体" w:eastAsia="宋体" w:cs="宋体"/>
          <w:bCs/>
          <w:sz w:val="21"/>
          <w:szCs w:val="21"/>
        </w:rPr>
        <w:t xml:space="preserve">    转向架检修下线通过能力： 平均3~4分钟一个</w:t>
      </w:r>
    </w:p>
    <w:p>
      <w:pPr>
        <w:snapToGrid w:val="0"/>
        <w:spacing w:line="360" w:lineRule="auto"/>
        <w:rPr>
          <w:rFonts w:hint="eastAsia" w:ascii="宋体" w:hAnsi="宋体" w:eastAsia="宋体" w:cs="宋体"/>
          <w:bCs/>
          <w:sz w:val="21"/>
          <w:szCs w:val="21"/>
        </w:rPr>
      </w:pPr>
      <w:r>
        <w:rPr>
          <w:rFonts w:hint="eastAsia" w:ascii="宋体" w:hAnsi="宋体" w:eastAsia="宋体" w:cs="宋体"/>
          <w:bCs/>
          <w:sz w:val="21"/>
          <w:szCs w:val="21"/>
        </w:rPr>
        <w:t xml:space="preserve">    机械手升降电机：       5.5 kw</w:t>
      </w:r>
    </w:p>
    <w:p>
      <w:pPr>
        <w:snapToGrid w:val="0"/>
        <w:spacing w:line="360" w:lineRule="auto"/>
        <w:rPr>
          <w:rFonts w:hint="eastAsia" w:ascii="宋体" w:hAnsi="宋体" w:eastAsia="宋体" w:cs="宋体"/>
          <w:bCs/>
          <w:sz w:val="21"/>
          <w:szCs w:val="21"/>
        </w:rPr>
      </w:pPr>
      <w:r>
        <w:rPr>
          <w:rFonts w:hint="eastAsia" w:ascii="宋体" w:hAnsi="宋体" w:eastAsia="宋体" w:cs="宋体"/>
          <w:bCs/>
          <w:sz w:val="21"/>
          <w:szCs w:val="21"/>
        </w:rPr>
        <w:t xml:space="preserve">    机械手走行电机：       1.1 kw </w:t>
      </w:r>
    </w:p>
    <w:p>
      <w:pPr>
        <w:snapToGrid w:val="0"/>
        <w:spacing w:line="360" w:lineRule="auto"/>
        <w:rPr>
          <w:rFonts w:hint="eastAsia" w:ascii="宋体" w:hAnsi="宋体" w:eastAsia="宋体" w:cs="宋体"/>
          <w:bCs/>
          <w:sz w:val="21"/>
          <w:szCs w:val="21"/>
        </w:rPr>
      </w:pPr>
      <w:r>
        <w:rPr>
          <w:rFonts w:hint="eastAsia" w:ascii="宋体" w:hAnsi="宋体" w:eastAsia="宋体" w:cs="宋体"/>
          <w:bCs/>
          <w:sz w:val="21"/>
          <w:szCs w:val="21"/>
        </w:rPr>
        <w:t xml:space="preserve">    机械手旋转电机：       0.55kw </w:t>
      </w:r>
    </w:p>
    <w:p>
      <w:pPr>
        <w:snapToGrid w:val="0"/>
        <w:spacing w:line="360" w:lineRule="auto"/>
        <w:rPr>
          <w:rFonts w:hint="eastAsia" w:ascii="宋体" w:hAnsi="宋体" w:eastAsia="宋体" w:cs="宋体"/>
          <w:bCs/>
          <w:sz w:val="21"/>
          <w:szCs w:val="21"/>
        </w:rPr>
      </w:pPr>
      <w:r>
        <w:rPr>
          <w:rFonts w:hint="eastAsia" w:ascii="宋体" w:hAnsi="宋体" w:eastAsia="宋体" w:cs="宋体"/>
          <w:bCs/>
          <w:sz w:val="21"/>
          <w:szCs w:val="21"/>
        </w:rPr>
        <w:t xml:space="preserve">    机械手卡爪电机：       0.1kw  </w:t>
      </w:r>
    </w:p>
    <w:p>
      <w:pPr>
        <w:snapToGrid w:val="0"/>
        <w:spacing w:line="360" w:lineRule="auto"/>
        <w:rPr>
          <w:rFonts w:hint="eastAsia" w:ascii="宋体" w:hAnsi="宋体" w:eastAsia="宋体" w:cs="宋体"/>
          <w:bCs/>
          <w:sz w:val="21"/>
          <w:szCs w:val="21"/>
        </w:rPr>
      </w:pPr>
      <w:r>
        <w:rPr>
          <w:rFonts w:hint="eastAsia" w:ascii="宋体" w:hAnsi="宋体" w:eastAsia="宋体" w:cs="宋体"/>
          <w:bCs/>
          <w:sz w:val="21"/>
          <w:szCs w:val="21"/>
        </w:rPr>
        <w:t xml:space="preserve">    升降平台电机：         5.5kw</w:t>
      </w:r>
    </w:p>
    <w:p>
      <w:pPr>
        <w:snapToGrid w:val="0"/>
        <w:spacing w:line="360" w:lineRule="auto"/>
        <w:rPr>
          <w:rFonts w:hint="eastAsia" w:ascii="宋体" w:hAnsi="宋体" w:eastAsia="宋体" w:cs="宋体"/>
          <w:bCs/>
          <w:sz w:val="21"/>
          <w:szCs w:val="21"/>
        </w:rPr>
      </w:pPr>
      <w:r>
        <w:rPr>
          <w:rFonts w:hint="eastAsia" w:ascii="宋体" w:hAnsi="宋体" w:eastAsia="宋体" w:cs="宋体"/>
          <w:bCs/>
          <w:sz w:val="21"/>
          <w:szCs w:val="21"/>
        </w:rPr>
        <w:t xml:space="preserve">    机械手行走速度：       15m/min</w:t>
      </w:r>
    </w:p>
    <w:p>
      <w:pPr>
        <w:snapToGrid w:val="0"/>
        <w:spacing w:line="360" w:lineRule="auto"/>
        <w:rPr>
          <w:rFonts w:hint="eastAsia" w:ascii="宋体" w:hAnsi="宋体" w:eastAsia="宋体" w:cs="宋体"/>
          <w:bCs/>
          <w:sz w:val="21"/>
          <w:szCs w:val="21"/>
        </w:rPr>
      </w:pPr>
      <w:r>
        <w:rPr>
          <w:rFonts w:hint="eastAsia" w:ascii="宋体" w:hAnsi="宋体" w:eastAsia="宋体" w:cs="宋体"/>
          <w:bCs/>
          <w:sz w:val="21"/>
          <w:szCs w:val="21"/>
        </w:rPr>
        <w:t xml:space="preserve">    机械手起升速度：       3.2m/min</w:t>
      </w:r>
    </w:p>
    <w:p>
      <w:pPr>
        <w:snapToGrid w:val="0"/>
        <w:spacing w:line="360" w:lineRule="auto"/>
        <w:rPr>
          <w:rFonts w:hint="eastAsia" w:ascii="宋体" w:hAnsi="宋体" w:eastAsia="宋体" w:cs="宋体"/>
          <w:bCs/>
          <w:sz w:val="21"/>
          <w:szCs w:val="21"/>
        </w:rPr>
      </w:pPr>
      <w:r>
        <w:rPr>
          <w:rFonts w:hint="eastAsia" w:ascii="宋体" w:hAnsi="宋体" w:eastAsia="宋体" w:cs="宋体"/>
          <w:bCs/>
          <w:sz w:val="21"/>
          <w:szCs w:val="21"/>
        </w:rPr>
        <w:t xml:space="preserve">    机械手升降行程：       1200mm</w:t>
      </w:r>
    </w:p>
    <w:p>
      <w:pPr>
        <w:pStyle w:val="4"/>
        <w:numPr>
          <w:ilvl w:val="0"/>
          <w:numId w:val="0"/>
        </w:numPr>
        <w:snapToGrid w:val="0"/>
        <w:ind w:leftChars="0"/>
        <w:rPr>
          <w:rFonts w:hint="eastAsia" w:ascii="宋体" w:hAnsi="宋体" w:eastAsia="宋体" w:cs="宋体"/>
          <w:b/>
          <w:bCs w:val="0"/>
          <w:sz w:val="21"/>
          <w:szCs w:val="21"/>
        </w:rPr>
      </w:pPr>
      <w:bookmarkStart w:id="6" w:name="_Toc5031918"/>
      <w:r>
        <w:rPr>
          <w:rFonts w:hint="eastAsia" w:ascii="宋体" w:hAnsi="宋体" w:eastAsia="宋体" w:cs="宋体"/>
          <w:sz w:val="21"/>
          <w:szCs w:val="21"/>
          <w:lang w:val="en-US" w:eastAsia="zh-CN"/>
        </w:rPr>
        <w:t>3.1.2.4.1.</w:t>
      </w:r>
      <w:r>
        <w:rPr>
          <w:rFonts w:hint="eastAsia" w:ascii="宋体" w:hAnsi="宋体" w:eastAsia="宋体" w:cs="宋体"/>
          <w:b/>
          <w:sz w:val="21"/>
          <w:szCs w:val="21"/>
          <w:lang w:val="en-US" w:eastAsia="zh-CN"/>
        </w:rPr>
        <w:t>4</w:t>
      </w:r>
      <w:r>
        <w:rPr>
          <w:rFonts w:hint="eastAsia" w:ascii="宋体" w:hAnsi="宋体" w:eastAsia="宋体" w:cs="宋体"/>
          <w:b/>
          <w:bCs w:val="0"/>
          <w:sz w:val="21"/>
          <w:szCs w:val="21"/>
          <w:lang w:eastAsia="zh-CN"/>
        </w:rPr>
        <w:t>心盘永磁吊</w:t>
      </w:r>
      <w:bookmarkEnd w:id="6"/>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 设备用途</w:t>
      </w:r>
      <w:r>
        <w:rPr>
          <w:rFonts w:hint="eastAsia" w:ascii="宋体" w:hAnsi="宋体" w:cs="宋体"/>
          <w:sz w:val="21"/>
          <w:szCs w:val="21"/>
          <w:lang w:eastAsia="zh-CN"/>
        </w:rPr>
        <w:t>：</w:t>
      </w:r>
      <w:r>
        <w:rPr>
          <w:rFonts w:hint="eastAsia" w:ascii="宋体" w:hAnsi="宋体" w:eastAsia="宋体" w:cs="宋体"/>
          <w:sz w:val="21"/>
          <w:szCs w:val="21"/>
        </w:rPr>
        <w:t>应满足60t、70t级各类货车转向架下心盘的吊运、定位作业，与悬挂式转向架检修流水线配套使用。</w:t>
      </w:r>
    </w:p>
    <w:p>
      <w:pPr>
        <w:snapToGrid w:val="0"/>
        <w:spacing w:line="360" w:lineRule="auto"/>
        <w:rPr>
          <w:rFonts w:hint="eastAsia" w:ascii="宋体" w:hAnsi="宋体" w:eastAsia="宋体" w:cs="宋体"/>
          <w:sz w:val="21"/>
          <w:szCs w:val="21"/>
        </w:rPr>
      </w:pPr>
      <w:bookmarkStart w:id="7" w:name="_Toc182406246"/>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主要技术</w:t>
      </w:r>
      <w:bookmarkEnd w:id="7"/>
      <w:r>
        <w:rPr>
          <w:rFonts w:hint="eastAsia" w:ascii="宋体" w:hAnsi="宋体" w:eastAsia="宋体" w:cs="宋体"/>
          <w:sz w:val="21"/>
          <w:szCs w:val="21"/>
        </w:rPr>
        <w:t>要求</w:t>
      </w:r>
    </w:p>
    <w:p>
      <w:pPr>
        <w:snapToGrid w:val="0"/>
        <w:spacing w:line="360" w:lineRule="auto"/>
        <w:rPr>
          <w:rFonts w:hint="eastAsia" w:ascii="宋体" w:hAnsi="宋体" w:eastAsia="宋体" w:cs="宋体"/>
          <w:sz w:val="21"/>
          <w:szCs w:val="21"/>
        </w:rPr>
      </w:pPr>
      <w:bookmarkStart w:id="8" w:name="_Toc182406247"/>
      <w:r>
        <w:rPr>
          <w:rFonts w:hint="eastAsia" w:ascii="宋体" w:hAnsi="宋体" w:eastAsia="宋体" w:cs="宋体"/>
          <w:sz w:val="21"/>
          <w:szCs w:val="21"/>
          <w:lang w:val="en-US" w:eastAsia="zh-CN"/>
        </w:rPr>
        <w:t>a</w:t>
      </w:r>
      <w:r>
        <w:rPr>
          <w:rFonts w:hint="eastAsia" w:ascii="宋体" w:hAnsi="宋体" w:eastAsia="宋体" w:cs="宋体"/>
          <w:sz w:val="21"/>
          <w:szCs w:val="21"/>
        </w:rPr>
        <w:t>）采用臂式结构，可根据转向架心盘的位置调整吊具位置，吊具采用永磁铁，保证在断电的状态下，吊起物不脱落。</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）吊具的电气控制系统应满足升降、走行的工作要求。</w:t>
      </w:r>
      <w:bookmarkEnd w:id="8"/>
      <w:bookmarkStart w:id="9" w:name="_Toc182406253"/>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基本</w:t>
      </w:r>
      <w:bookmarkEnd w:id="9"/>
      <w:r>
        <w:rPr>
          <w:rFonts w:hint="eastAsia" w:ascii="宋体" w:hAnsi="宋体" w:eastAsia="宋体" w:cs="宋体"/>
          <w:sz w:val="21"/>
          <w:szCs w:val="21"/>
        </w:rPr>
        <w:t>功能概述</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当工件到达心盘分解工位后，将心盘与摇枕的连接螺栓去除，心盘吊具移动到心盘的上方，吊具下降到心盘上将心盘吸起，移动到心盘存放箱内，安装时工序相反。</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主要技术参数</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吊具起重量        0.2t</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吊具的回转半径</w:t>
      </w:r>
      <w:r>
        <w:rPr>
          <w:rFonts w:hint="eastAsia" w:ascii="宋体" w:hAnsi="宋体" w:eastAsia="宋体" w:cs="宋体"/>
          <w:sz w:val="21"/>
          <w:szCs w:val="21"/>
        </w:rPr>
        <w:tab/>
      </w:r>
      <w:r>
        <w:rPr>
          <w:rFonts w:hint="eastAsia" w:ascii="宋体" w:hAnsi="宋体" w:eastAsia="宋体" w:cs="宋体"/>
          <w:sz w:val="21"/>
          <w:szCs w:val="21"/>
        </w:rPr>
        <w:t xml:space="preserve">  2.5m</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吊具的起升速度</w:t>
      </w:r>
      <w:r>
        <w:rPr>
          <w:rFonts w:hint="eastAsia" w:ascii="宋体" w:hAnsi="宋体" w:eastAsia="宋体" w:cs="宋体"/>
          <w:sz w:val="21"/>
          <w:szCs w:val="21"/>
        </w:rPr>
        <w:tab/>
      </w:r>
      <w:r>
        <w:rPr>
          <w:rFonts w:hint="eastAsia" w:ascii="宋体" w:hAnsi="宋体" w:eastAsia="宋体" w:cs="宋体"/>
          <w:sz w:val="21"/>
          <w:szCs w:val="21"/>
        </w:rPr>
        <w:t xml:space="preserve">  5.6m</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功率：            2.2KW </w:t>
      </w:r>
    </w:p>
    <w:p>
      <w:pPr>
        <w:pStyle w:val="4"/>
        <w:numPr>
          <w:ilvl w:val="0"/>
          <w:numId w:val="0"/>
        </w:numPr>
        <w:snapToGrid w:val="0"/>
        <w:ind w:leftChars="0"/>
        <w:rPr>
          <w:rFonts w:hint="eastAsia" w:ascii="宋体" w:hAnsi="宋体" w:eastAsia="宋体" w:cs="宋体"/>
          <w:b/>
          <w:bCs w:val="0"/>
          <w:sz w:val="21"/>
          <w:szCs w:val="21"/>
          <w:lang w:eastAsia="zh-CN"/>
        </w:rPr>
      </w:pPr>
      <w:bookmarkStart w:id="10" w:name="_Toc5031919"/>
      <w:r>
        <w:rPr>
          <w:rFonts w:hint="eastAsia" w:ascii="宋体" w:hAnsi="宋体" w:eastAsia="宋体" w:cs="宋体"/>
          <w:sz w:val="21"/>
          <w:szCs w:val="21"/>
          <w:lang w:val="en-US" w:eastAsia="zh-CN"/>
        </w:rPr>
        <w:t>3.1.2.4.1.</w:t>
      </w:r>
      <w:r>
        <w:rPr>
          <w:rFonts w:hint="eastAsia" w:ascii="宋体" w:hAnsi="宋体" w:eastAsia="宋体" w:cs="宋体"/>
          <w:b/>
          <w:sz w:val="21"/>
          <w:szCs w:val="21"/>
          <w:lang w:val="en-US" w:eastAsia="zh-CN"/>
        </w:rPr>
        <w:t>5</w:t>
      </w:r>
      <w:r>
        <w:rPr>
          <w:rFonts w:hint="eastAsia" w:ascii="宋体" w:hAnsi="宋体" w:eastAsia="宋体" w:cs="宋体"/>
          <w:b/>
          <w:bCs w:val="0"/>
          <w:sz w:val="21"/>
          <w:szCs w:val="21"/>
          <w:lang w:eastAsia="zh-CN"/>
        </w:rPr>
        <w:t>平衡吊</w:t>
      </w:r>
      <w:bookmarkEnd w:id="10"/>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基本功能</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适用于60吨、70吨等各类铁路货车转向架（转8系列，转K2、K4、K5、K6）制动梁的分解、组装作业，可与环形转向架检修流水线配套使用。</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主要技术条件</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）吊运装置应采用螺旋升降机构，具有安全可靠的过载和极限保护装置。结构应紧凑、调整维护方便，使用安全可靠。</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）利用手动和电动机动的简单配合而形成一种复合运动来搬运吊物，使吊物按需要随时稳定地停留在作业区间内任一位置上。</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）本机必须是完整、全新的成套设备（包括所有零部件、元器件和附件）。必须有足够的刚度、耐磨性和运转平衡性。</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）采用的各种材料应符合国家相关规定，保护措施完善，使用寿命长，重要部件的材料应有质量检测报告。</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）在额定负荷连续运行22小时的条件下，整机性能稳定，精度可靠。</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f</w:t>
      </w:r>
      <w:r>
        <w:rPr>
          <w:rFonts w:hint="eastAsia" w:ascii="宋体" w:hAnsi="宋体" w:eastAsia="宋体" w:cs="宋体"/>
          <w:sz w:val="21"/>
          <w:szCs w:val="21"/>
        </w:rPr>
        <w:t>）系统应具有完善互锁保护功能。</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g</w:t>
      </w:r>
      <w:r>
        <w:rPr>
          <w:rFonts w:hint="eastAsia" w:ascii="宋体" w:hAnsi="宋体" w:eastAsia="宋体" w:cs="宋体"/>
          <w:sz w:val="21"/>
          <w:szCs w:val="21"/>
        </w:rPr>
        <w:t>）方便制动梁、承载鞍的分解、组装作业，满足不同情况下作业的要求，操作应简单方便、定位准确，并可达到随机平衡。</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设备主要技术参数</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额定起重量：  200 Kg</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最小提升高度：  500 mm</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最大提升高度：  2000 mm</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最小工作半径：  650 mm</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最大工作半径：  2500 mm</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升降速度：  7 m/min</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额定功率：2.2 Kw</w:t>
      </w:r>
    </w:p>
    <w:p>
      <w:pPr>
        <w:pStyle w:val="4"/>
        <w:numPr>
          <w:ilvl w:val="0"/>
          <w:numId w:val="0"/>
        </w:numPr>
        <w:snapToGrid w:val="0"/>
        <w:ind w:leftChars="0"/>
        <w:rPr>
          <w:rFonts w:hint="eastAsia" w:ascii="宋体" w:hAnsi="宋体" w:eastAsia="宋体" w:cs="宋体"/>
          <w:b/>
          <w:bCs w:val="0"/>
          <w:sz w:val="21"/>
          <w:szCs w:val="21"/>
          <w:lang w:eastAsia="zh-CN"/>
        </w:rPr>
      </w:pPr>
      <w:bookmarkStart w:id="11" w:name="_Toc5031920"/>
      <w:r>
        <w:rPr>
          <w:rFonts w:hint="eastAsia" w:ascii="宋体" w:hAnsi="宋体" w:eastAsia="宋体" w:cs="宋体"/>
          <w:sz w:val="21"/>
          <w:szCs w:val="21"/>
          <w:lang w:val="en-US" w:eastAsia="zh-CN"/>
        </w:rPr>
        <w:t>3.1.2.4.1.</w:t>
      </w:r>
      <w:r>
        <w:rPr>
          <w:rFonts w:hint="eastAsia" w:ascii="宋体" w:hAnsi="宋体" w:eastAsia="宋体" w:cs="宋体"/>
          <w:b/>
          <w:sz w:val="21"/>
          <w:szCs w:val="21"/>
          <w:lang w:val="en-US" w:eastAsia="zh-CN"/>
        </w:rPr>
        <w:t>6</w:t>
      </w:r>
      <w:r>
        <w:rPr>
          <w:rFonts w:hint="eastAsia" w:ascii="宋体" w:hAnsi="宋体" w:eastAsia="宋体" w:cs="宋体"/>
          <w:b/>
          <w:bCs w:val="0"/>
          <w:sz w:val="21"/>
          <w:szCs w:val="21"/>
          <w:lang w:eastAsia="zh-CN"/>
        </w:rPr>
        <w:t>交叉杆存放车</w:t>
      </w:r>
      <w:bookmarkEnd w:id="11"/>
    </w:p>
    <w:p>
      <w:pPr>
        <w:snapToGrid w:val="0"/>
        <w:spacing w:line="360" w:lineRule="auto"/>
        <w:rPr>
          <w:rFonts w:hint="eastAsia" w:ascii="宋体" w:hAnsi="宋体" w:eastAsia="宋体" w:cs="宋体"/>
          <w:bCs/>
          <w:sz w:val="21"/>
          <w:szCs w:val="21"/>
        </w:rPr>
      </w:pPr>
      <w:r>
        <w:rPr>
          <w:rFonts w:hint="eastAsia" w:ascii="宋体" w:hAnsi="宋体" w:eastAsia="宋体" w:cs="宋体"/>
          <w:b/>
          <w:bCs/>
          <w:sz w:val="21"/>
          <w:szCs w:val="21"/>
          <w:lang w:val="en-US" w:eastAsia="zh-CN"/>
        </w:rPr>
        <w:t>1)</w:t>
      </w:r>
      <w:r>
        <w:rPr>
          <w:rFonts w:hint="eastAsia" w:ascii="宋体" w:hAnsi="宋体" w:eastAsia="宋体" w:cs="宋体"/>
          <w:b/>
          <w:bCs/>
          <w:sz w:val="21"/>
          <w:szCs w:val="21"/>
        </w:rPr>
        <w:t>用途</w:t>
      </w:r>
      <w:r>
        <w:rPr>
          <w:rFonts w:hint="eastAsia" w:ascii="宋体" w:hAnsi="宋体" w:cs="宋体"/>
          <w:b/>
          <w:bCs/>
          <w:sz w:val="21"/>
          <w:szCs w:val="21"/>
          <w:lang w:eastAsia="zh-CN"/>
        </w:rPr>
        <w:t>：</w:t>
      </w:r>
      <w:r>
        <w:rPr>
          <w:rFonts w:hint="eastAsia" w:ascii="宋体" w:hAnsi="宋体" w:eastAsia="宋体" w:cs="宋体"/>
          <w:bCs/>
          <w:sz w:val="21"/>
          <w:szCs w:val="21"/>
        </w:rPr>
        <w:t>适用于K6\K2型构架的交叉杆运输，与悬挂式检修流水线配套使用。</w:t>
      </w:r>
    </w:p>
    <w:p>
      <w:pPr>
        <w:snapToGrid w:val="0"/>
        <w:spacing w:line="360" w:lineRule="auto"/>
        <w:rPr>
          <w:rFonts w:hint="eastAsia" w:ascii="宋体" w:hAnsi="宋体" w:eastAsia="宋体" w:cs="宋体"/>
          <w:b/>
          <w:bCs/>
          <w:sz w:val="21"/>
          <w:szCs w:val="21"/>
        </w:rPr>
      </w:pPr>
      <w:r>
        <w:rPr>
          <w:rFonts w:hint="eastAsia" w:ascii="宋体" w:hAnsi="宋体" w:eastAsia="宋体" w:cs="宋体"/>
          <w:b/>
          <w:sz w:val="21"/>
          <w:szCs w:val="21"/>
        </w:rPr>
        <w:t>2</w:t>
      </w:r>
      <w:r>
        <w:rPr>
          <w:rFonts w:hint="eastAsia" w:ascii="宋体" w:hAnsi="宋体" w:eastAsia="宋体" w:cs="宋体"/>
          <w:b/>
          <w:sz w:val="21"/>
          <w:szCs w:val="21"/>
          <w:lang w:val="en-US" w:eastAsia="zh-CN"/>
        </w:rPr>
        <w:t>)</w:t>
      </w:r>
      <w:r>
        <w:rPr>
          <w:rFonts w:hint="eastAsia" w:ascii="宋体" w:hAnsi="宋体" w:eastAsia="宋体" w:cs="宋体"/>
          <w:b/>
          <w:bCs/>
          <w:sz w:val="21"/>
          <w:szCs w:val="21"/>
        </w:rPr>
        <w:t>技术要求</w:t>
      </w:r>
    </w:p>
    <w:p>
      <w:pPr>
        <w:numPr>
          <w:ilvl w:val="0"/>
          <w:numId w:val="0"/>
        </w:numPr>
        <w:snapToGrid w:val="0"/>
        <w:spacing w:line="360" w:lineRule="auto"/>
        <w:ind w:leftChars="0"/>
        <w:rPr>
          <w:rFonts w:hint="eastAsia" w:ascii="宋体" w:hAnsi="宋体" w:eastAsia="宋体" w:cs="宋体"/>
          <w:bCs/>
          <w:sz w:val="21"/>
          <w:szCs w:val="21"/>
        </w:rPr>
      </w:pPr>
      <w:r>
        <w:rPr>
          <w:rFonts w:hint="eastAsia" w:ascii="宋体" w:hAnsi="宋体" w:eastAsia="宋体" w:cs="宋体"/>
          <w:bCs/>
          <w:sz w:val="21"/>
          <w:szCs w:val="21"/>
          <w:lang w:val="en-US" w:eastAsia="zh-CN"/>
        </w:rPr>
        <w:t>a)</w:t>
      </w:r>
      <w:r>
        <w:rPr>
          <w:rFonts w:hint="eastAsia" w:ascii="宋体" w:hAnsi="宋体" w:eastAsia="宋体" w:cs="宋体"/>
          <w:bCs/>
          <w:sz w:val="21"/>
          <w:szCs w:val="21"/>
        </w:rPr>
        <w:t>交叉杆移出采用机械式结构，可根据工艺要求实现交叉杆的工位转运，与悬挂式流水线配套使用。</w:t>
      </w:r>
    </w:p>
    <w:p>
      <w:pPr>
        <w:numPr>
          <w:ilvl w:val="0"/>
          <w:numId w:val="0"/>
        </w:numPr>
        <w:snapToGrid w:val="0"/>
        <w:spacing w:line="360" w:lineRule="auto"/>
        <w:ind w:leftChars="0"/>
        <w:rPr>
          <w:rFonts w:hint="eastAsia" w:ascii="宋体" w:hAnsi="宋体" w:eastAsia="宋体" w:cs="宋体"/>
          <w:bCs/>
          <w:sz w:val="21"/>
          <w:szCs w:val="21"/>
        </w:rPr>
      </w:pPr>
      <w:r>
        <w:rPr>
          <w:rFonts w:hint="eastAsia" w:ascii="宋体" w:hAnsi="宋体" w:eastAsia="宋体" w:cs="宋体"/>
          <w:bCs/>
          <w:sz w:val="21"/>
          <w:szCs w:val="21"/>
          <w:lang w:val="en-US" w:eastAsia="zh-CN"/>
        </w:rPr>
        <w:t>b)</w:t>
      </w:r>
      <w:r>
        <w:rPr>
          <w:rFonts w:hint="eastAsia" w:ascii="宋体" w:hAnsi="宋体" w:eastAsia="宋体" w:cs="宋体"/>
          <w:bCs/>
          <w:sz w:val="21"/>
          <w:szCs w:val="21"/>
        </w:rPr>
        <w:t>由交叉杆托架、移动装置等组成。</w:t>
      </w:r>
    </w:p>
    <w:p>
      <w:pPr>
        <w:snapToGrid w:val="0"/>
        <w:spacing w:line="360" w:lineRule="auto"/>
        <w:rPr>
          <w:rFonts w:hint="eastAsia" w:ascii="宋体" w:hAnsi="宋体" w:eastAsia="宋体" w:cs="宋体"/>
          <w:sz w:val="21"/>
          <w:szCs w:val="21"/>
        </w:rPr>
      </w:pPr>
      <w:r>
        <w:rPr>
          <w:rFonts w:hint="eastAsia" w:ascii="宋体" w:hAnsi="宋体" w:eastAsia="宋体" w:cs="宋体"/>
          <w:bCs/>
          <w:sz w:val="21"/>
          <w:szCs w:val="21"/>
        </w:rPr>
        <w:t>外形尺寸    800×600×750(mm)。</w:t>
      </w:r>
    </w:p>
    <w:p>
      <w:pPr>
        <w:pStyle w:val="4"/>
        <w:numPr>
          <w:ilvl w:val="0"/>
          <w:numId w:val="0"/>
        </w:numPr>
        <w:snapToGrid w:val="0"/>
        <w:ind w:leftChars="0"/>
        <w:rPr>
          <w:rFonts w:hint="eastAsia" w:ascii="宋体" w:hAnsi="宋体" w:eastAsia="宋体" w:cs="宋体"/>
          <w:b/>
          <w:bCs w:val="0"/>
          <w:sz w:val="21"/>
          <w:szCs w:val="21"/>
          <w:lang w:eastAsia="zh-CN"/>
        </w:rPr>
      </w:pPr>
      <w:bookmarkStart w:id="12" w:name="_Toc5031921"/>
      <w:r>
        <w:rPr>
          <w:rFonts w:hint="eastAsia" w:ascii="宋体" w:hAnsi="宋体" w:eastAsia="宋体" w:cs="宋体"/>
          <w:sz w:val="21"/>
          <w:szCs w:val="21"/>
          <w:lang w:val="en-US" w:eastAsia="zh-CN"/>
        </w:rPr>
        <w:t>3.1.2.4.1.</w:t>
      </w:r>
      <w:r>
        <w:rPr>
          <w:rFonts w:hint="eastAsia" w:ascii="宋体" w:hAnsi="宋体" w:eastAsia="宋体" w:cs="宋体"/>
          <w:b/>
          <w:sz w:val="21"/>
          <w:szCs w:val="21"/>
          <w:lang w:val="en-US" w:eastAsia="zh-CN"/>
        </w:rPr>
        <w:t>7</w:t>
      </w:r>
      <w:r>
        <w:rPr>
          <w:rFonts w:hint="eastAsia" w:ascii="宋体" w:hAnsi="宋体" w:eastAsia="宋体" w:cs="宋体"/>
          <w:b/>
          <w:bCs w:val="0"/>
          <w:sz w:val="21"/>
          <w:szCs w:val="21"/>
          <w:lang w:eastAsia="zh-CN"/>
        </w:rPr>
        <w:t>三小件辆份配送车</w:t>
      </w:r>
      <w:bookmarkEnd w:id="12"/>
    </w:p>
    <w:p>
      <w:pPr>
        <w:pStyle w:val="7"/>
        <w:snapToGrid w:val="0"/>
        <w:spacing w:line="36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设备用途：用来转运承载鞍、枕簧、斜楔三配件；</w:t>
      </w:r>
    </w:p>
    <w:p>
      <w:pPr>
        <w:pStyle w:val="7"/>
        <w:snapToGrid w:val="0"/>
        <w:spacing w:line="360" w:lineRule="auto"/>
        <w:ind w:left="0" w:leftChars="0" w:firstLine="0" w:firstLineChars="0"/>
        <w:rPr>
          <w:rFonts w:hint="eastAsia" w:ascii="宋体" w:hAnsi="宋体" w:eastAsia="宋体" w:cs="宋体"/>
          <w:sz w:val="21"/>
          <w:szCs w:val="21"/>
          <w:lang w:eastAsia="zh-CN"/>
        </w:rPr>
      </w:pPr>
      <w:r>
        <w:rPr>
          <w:rFonts w:hint="eastAsia" w:ascii="宋体" w:hAnsi="宋体" w:eastAsia="宋体" w:cs="宋体"/>
          <w:sz w:val="21"/>
          <w:szCs w:val="21"/>
          <w:lang w:eastAsia="zh-CN"/>
        </w:rPr>
        <w:t>配送车</w:t>
      </w:r>
      <w:r>
        <w:rPr>
          <w:rFonts w:hint="eastAsia" w:ascii="宋体" w:hAnsi="宋体" w:eastAsia="宋体" w:cs="宋体"/>
          <w:sz w:val="21"/>
          <w:szCs w:val="21"/>
        </w:rPr>
        <w:t>要求结构牢固，转运轻便</w:t>
      </w:r>
      <w:r>
        <w:rPr>
          <w:rFonts w:hint="eastAsia" w:ascii="宋体" w:hAnsi="宋体" w:eastAsia="宋体" w:cs="宋体"/>
          <w:sz w:val="21"/>
          <w:szCs w:val="21"/>
          <w:lang w:eastAsia="zh-CN"/>
        </w:rPr>
        <w:t>，便于人工和叉车转运。</w:t>
      </w:r>
    </w:p>
    <w:p>
      <w:pPr>
        <w:pStyle w:val="4"/>
        <w:numPr>
          <w:ilvl w:val="0"/>
          <w:numId w:val="0"/>
        </w:numPr>
        <w:snapToGrid w:val="0"/>
        <w:ind w:leftChars="0"/>
        <w:rPr>
          <w:rFonts w:hint="eastAsia" w:ascii="宋体" w:hAnsi="宋体" w:eastAsia="宋体" w:cs="宋体"/>
          <w:b/>
          <w:bCs w:val="0"/>
          <w:sz w:val="21"/>
          <w:szCs w:val="21"/>
          <w:lang w:eastAsia="zh-CN"/>
        </w:rPr>
      </w:pPr>
      <w:bookmarkStart w:id="13" w:name="_Toc5031922"/>
      <w:r>
        <w:rPr>
          <w:rFonts w:hint="eastAsia" w:ascii="宋体" w:hAnsi="宋体" w:eastAsia="宋体" w:cs="宋体"/>
          <w:sz w:val="21"/>
          <w:szCs w:val="21"/>
          <w:lang w:val="en-US" w:eastAsia="zh-CN"/>
        </w:rPr>
        <w:t>3.1.2.4.1.</w:t>
      </w:r>
      <w:r>
        <w:rPr>
          <w:rFonts w:hint="eastAsia" w:ascii="宋体" w:hAnsi="宋体" w:eastAsia="宋体" w:cs="宋体"/>
          <w:b/>
          <w:sz w:val="21"/>
          <w:szCs w:val="21"/>
          <w:lang w:val="en-US" w:eastAsia="zh-CN"/>
        </w:rPr>
        <w:t>8</w:t>
      </w:r>
      <w:r>
        <w:rPr>
          <w:rFonts w:hint="eastAsia" w:ascii="宋体" w:hAnsi="宋体" w:eastAsia="宋体" w:cs="宋体"/>
          <w:b/>
          <w:bCs w:val="0"/>
          <w:sz w:val="21"/>
          <w:szCs w:val="21"/>
          <w:lang w:eastAsia="zh-CN"/>
        </w:rPr>
        <w:t>拉板拉条配送车</w:t>
      </w:r>
      <w:bookmarkEnd w:id="13"/>
    </w:p>
    <w:p>
      <w:pPr>
        <w:pStyle w:val="7"/>
        <w:snapToGrid w:val="0"/>
        <w:spacing w:line="36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设备用途：用来转运</w:t>
      </w:r>
      <w:r>
        <w:rPr>
          <w:rFonts w:hint="eastAsia" w:ascii="宋体" w:hAnsi="宋体" w:eastAsia="宋体" w:cs="宋体"/>
          <w:sz w:val="21"/>
          <w:szCs w:val="21"/>
          <w:lang w:eastAsia="zh-CN"/>
        </w:rPr>
        <w:t>拉板拉条等制动配件</w:t>
      </w:r>
      <w:r>
        <w:rPr>
          <w:rFonts w:hint="eastAsia" w:ascii="宋体" w:hAnsi="宋体" w:eastAsia="宋体" w:cs="宋体"/>
          <w:sz w:val="21"/>
          <w:szCs w:val="21"/>
        </w:rPr>
        <w:t>；</w:t>
      </w:r>
    </w:p>
    <w:p>
      <w:pPr>
        <w:pStyle w:val="7"/>
        <w:snapToGrid w:val="0"/>
        <w:spacing w:line="360" w:lineRule="auto"/>
        <w:ind w:left="0" w:leftChars="0" w:firstLine="0" w:firstLineChars="0"/>
        <w:rPr>
          <w:rFonts w:hint="eastAsia" w:ascii="宋体" w:hAnsi="宋体" w:eastAsia="宋体" w:cs="宋体"/>
          <w:sz w:val="21"/>
          <w:szCs w:val="21"/>
          <w:lang w:eastAsia="zh-CN"/>
        </w:rPr>
      </w:pPr>
      <w:r>
        <w:rPr>
          <w:rFonts w:hint="eastAsia" w:ascii="宋体" w:hAnsi="宋体" w:eastAsia="宋体" w:cs="宋体"/>
          <w:sz w:val="21"/>
          <w:szCs w:val="21"/>
          <w:lang w:eastAsia="zh-CN"/>
        </w:rPr>
        <w:t>配送车</w:t>
      </w:r>
      <w:r>
        <w:rPr>
          <w:rFonts w:hint="eastAsia" w:ascii="宋体" w:hAnsi="宋体" w:eastAsia="宋体" w:cs="宋体"/>
          <w:sz w:val="21"/>
          <w:szCs w:val="21"/>
        </w:rPr>
        <w:t>要求结构牢固，转运轻便</w:t>
      </w:r>
      <w:r>
        <w:rPr>
          <w:rFonts w:hint="eastAsia" w:ascii="宋体" w:hAnsi="宋体" w:eastAsia="宋体" w:cs="宋体"/>
          <w:sz w:val="21"/>
          <w:szCs w:val="21"/>
          <w:lang w:eastAsia="zh-CN"/>
        </w:rPr>
        <w:t>，便于人工和叉车转运。</w:t>
      </w:r>
    </w:p>
    <w:p>
      <w:pPr>
        <w:pStyle w:val="4"/>
        <w:numPr>
          <w:ilvl w:val="0"/>
          <w:numId w:val="0"/>
        </w:numPr>
        <w:snapToGrid w:val="0"/>
        <w:ind w:leftChars="0"/>
        <w:rPr>
          <w:rFonts w:hint="eastAsia" w:ascii="宋体" w:hAnsi="宋体" w:eastAsia="宋体" w:cs="宋体"/>
          <w:b/>
          <w:bCs w:val="0"/>
          <w:sz w:val="21"/>
          <w:szCs w:val="21"/>
          <w:lang w:eastAsia="zh-CN"/>
        </w:rPr>
      </w:pPr>
      <w:bookmarkStart w:id="14" w:name="_Toc5031923"/>
      <w:r>
        <w:rPr>
          <w:rFonts w:hint="eastAsia" w:ascii="宋体" w:hAnsi="宋体" w:eastAsia="宋体" w:cs="宋体"/>
          <w:sz w:val="21"/>
          <w:szCs w:val="21"/>
          <w:lang w:val="en-US" w:eastAsia="zh-CN"/>
        </w:rPr>
        <w:t>3.1.2.4.1.</w:t>
      </w:r>
      <w:r>
        <w:rPr>
          <w:rFonts w:hint="eastAsia" w:ascii="宋体" w:hAnsi="宋体" w:eastAsia="宋体" w:cs="宋体"/>
          <w:b/>
          <w:sz w:val="21"/>
          <w:szCs w:val="21"/>
          <w:lang w:val="en-US" w:eastAsia="zh-CN"/>
        </w:rPr>
        <w:t>9</w:t>
      </w:r>
      <w:r>
        <w:rPr>
          <w:rFonts w:hint="eastAsia" w:ascii="宋体" w:hAnsi="宋体" w:eastAsia="宋体" w:cs="宋体"/>
          <w:b/>
          <w:bCs w:val="0"/>
          <w:sz w:val="21"/>
          <w:szCs w:val="21"/>
          <w:lang w:eastAsia="zh-CN"/>
        </w:rPr>
        <w:t>制动梁存放移动架</w:t>
      </w:r>
      <w:bookmarkEnd w:id="14"/>
    </w:p>
    <w:p>
      <w:pPr>
        <w:pStyle w:val="7"/>
        <w:snapToGrid w:val="0"/>
        <w:spacing w:line="36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设备用途：用来转运</w:t>
      </w:r>
      <w:r>
        <w:rPr>
          <w:rFonts w:hint="eastAsia" w:ascii="宋体" w:hAnsi="宋体" w:eastAsia="宋体" w:cs="宋体"/>
          <w:sz w:val="21"/>
          <w:szCs w:val="21"/>
          <w:lang w:eastAsia="zh-CN"/>
        </w:rPr>
        <w:t>拉板拉条等制动配件</w:t>
      </w:r>
      <w:r>
        <w:rPr>
          <w:rFonts w:hint="eastAsia" w:ascii="宋体" w:hAnsi="宋体" w:eastAsia="宋体" w:cs="宋体"/>
          <w:sz w:val="21"/>
          <w:szCs w:val="21"/>
        </w:rPr>
        <w:t>；</w:t>
      </w:r>
    </w:p>
    <w:p>
      <w:pPr>
        <w:pStyle w:val="7"/>
        <w:snapToGrid w:val="0"/>
        <w:spacing w:line="360" w:lineRule="auto"/>
        <w:ind w:left="0" w:leftChars="0" w:firstLine="0" w:firstLineChars="0"/>
        <w:rPr>
          <w:rFonts w:hint="eastAsia" w:ascii="宋体" w:hAnsi="宋体" w:eastAsia="宋体" w:cs="宋体"/>
          <w:sz w:val="21"/>
          <w:szCs w:val="21"/>
          <w:lang w:eastAsia="zh-CN"/>
        </w:rPr>
      </w:pPr>
      <w:r>
        <w:rPr>
          <w:rFonts w:hint="eastAsia" w:ascii="宋体" w:hAnsi="宋体" w:eastAsia="宋体" w:cs="宋体"/>
          <w:sz w:val="21"/>
          <w:szCs w:val="21"/>
          <w:lang w:eastAsia="zh-CN"/>
        </w:rPr>
        <w:t>配送车</w:t>
      </w:r>
      <w:r>
        <w:rPr>
          <w:rFonts w:hint="eastAsia" w:ascii="宋体" w:hAnsi="宋体" w:eastAsia="宋体" w:cs="宋体"/>
          <w:sz w:val="21"/>
          <w:szCs w:val="21"/>
        </w:rPr>
        <w:t>要求结构牢固，转运轻便</w:t>
      </w:r>
      <w:r>
        <w:rPr>
          <w:rFonts w:hint="eastAsia" w:ascii="宋体" w:hAnsi="宋体" w:eastAsia="宋体" w:cs="宋体"/>
          <w:sz w:val="21"/>
          <w:szCs w:val="21"/>
          <w:lang w:eastAsia="zh-CN"/>
        </w:rPr>
        <w:t>，便于人工和叉车转运。</w:t>
      </w:r>
    </w:p>
    <w:p>
      <w:pPr>
        <w:pStyle w:val="4"/>
        <w:numPr>
          <w:ilvl w:val="0"/>
          <w:numId w:val="0"/>
        </w:numPr>
        <w:snapToGrid w:val="0"/>
        <w:ind w:leftChars="0"/>
        <w:rPr>
          <w:rFonts w:hint="eastAsia" w:ascii="宋体" w:hAnsi="宋体" w:eastAsia="宋体" w:cs="宋体"/>
          <w:b/>
          <w:bCs w:val="0"/>
          <w:sz w:val="21"/>
          <w:szCs w:val="21"/>
          <w:lang w:eastAsia="zh-CN"/>
        </w:rPr>
      </w:pPr>
      <w:bookmarkStart w:id="15" w:name="_Toc4063261"/>
      <w:bookmarkStart w:id="16" w:name="_Toc5031924"/>
      <w:r>
        <w:rPr>
          <w:rFonts w:hint="eastAsia" w:ascii="宋体" w:hAnsi="宋体" w:eastAsia="宋体" w:cs="宋体"/>
          <w:sz w:val="21"/>
          <w:szCs w:val="21"/>
          <w:lang w:val="en-US" w:eastAsia="zh-CN"/>
        </w:rPr>
        <w:t>3.1.2.4.1.10</w:t>
      </w:r>
      <w:r>
        <w:rPr>
          <w:rFonts w:hint="eastAsia" w:ascii="宋体" w:hAnsi="宋体" w:eastAsia="宋体" w:cs="宋体"/>
          <w:b/>
          <w:bCs w:val="0"/>
          <w:sz w:val="21"/>
          <w:szCs w:val="21"/>
          <w:lang w:eastAsia="zh-CN"/>
        </w:rPr>
        <w:t>站立式电瓶叉车</w:t>
      </w:r>
      <w:bookmarkEnd w:id="15"/>
      <w:bookmarkEnd w:id="16"/>
    </w:p>
    <w:p>
      <w:pPr>
        <w:snapToGrid w:val="0"/>
        <w:spacing w:line="360" w:lineRule="auto"/>
        <w:rPr>
          <w:rFonts w:hint="eastAsia" w:ascii="宋体" w:hAnsi="宋体" w:eastAsia="宋体" w:cs="宋体"/>
          <w:sz w:val="21"/>
          <w:szCs w:val="21"/>
        </w:rPr>
      </w:pP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rPr>
        <w:t>用途</w:t>
      </w:r>
      <w:r>
        <w:rPr>
          <w:rFonts w:hint="eastAsia" w:ascii="宋体" w:hAnsi="宋体" w:eastAsia="宋体" w:cs="宋体"/>
          <w:sz w:val="21"/>
          <w:szCs w:val="21"/>
        </w:rPr>
        <w:t>用于铁路货车检修配件的</w:t>
      </w:r>
      <w:r>
        <w:rPr>
          <w:rFonts w:hint="eastAsia" w:ascii="宋体" w:hAnsi="宋体" w:eastAsia="宋体" w:cs="宋体"/>
          <w:sz w:val="21"/>
          <w:szCs w:val="21"/>
          <w:lang w:eastAsia="zh-CN"/>
        </w:rPr>
        <w:t>转运</w:t>
      </w:r>
      <w:r>
        <w:rPr>
          <w:rFonts w:hint="eastAsia" w:ascii="宋体" w:hAnsi="宋体" w:eastAsia="宋体" w:cs="宋体"/>
          <w:sz w:val="21"/>
          <w:szCs w:val="21"/>
        </w:rPr>
        <w:t>作业。</w:t>
      </w:r>
    </w:p>
    <w:p>
      <w:pPr>
        <w:pStyle w:val="7"/>
        <w:snapToGrid w:val="0"/>
        <w:spacing w:line="36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在平整的地面进行货物的搬运以及堆垛作业，且具有高效率、可靠性、安全性和操纵舒适性。</w:t>
      </w:r>
    </w:p>
    <w:p>
      <w:pPr>
        <w:snapToGrid w:val="0"/>
        <w:spacing w:line="360" w:lineRule="auto"/>
        <w:rPr>
          <w:rFonts w:hint="eastAsia" w:ascii="宋体" w:hAnsi="宋体" w:eastAsia="宋体" w:cs="宋体"/>
          <w:b/>
          <w:bCs/>
          <w:sz w:val="21"/>
          <w:szCs w:val="21"/>
        </w:rPr>
      </w:pP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设备主要参数</w:t>
      </w:r>
    </w:p>
    <w:p>
      <w:pPr>
        <w:pStyle w:val="7"/>
        <w:snapToGrid w:val="0"/>
        <w:spacing w:line="36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额定起重量：               0.5t</w:t>
      </w:r>
    </w:p>
    <w:p>
      <w:pPr>
        <w:pStyle w:val="7"/>
        <w:snapToGrid w:val="0"/>
        <w:spacing w:line="36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动力形式：                蓄电池</w:t>
      </w:r>
    </w:p>
    <w:p>
      <w:pPr>
        <w:pStyle w:val="7"/>
        <w:snapToGrid w:val="0"/>
        <w:spacing w:line="36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 xml:space="preserve">操纵方式：                </w:t>
      </w:r>
      <w:r>
        <w:rPr>
          <w:rFonts w:hint="eastAsia" w:ascii="宋体" w:hAnsi="宋体" w:eastAsia="宋体" w:cs="宋体"/>
          <w:sz w:val="21"/>
          <w:szCs w:val="21"/>
          <w:lang w:eastAsia="zh-CN"/>
        </w:rPr>
        <w:t>站立</w:t>
      </w:r>
      <w:r>
        <w:rPr>
          <w:rFonts w:hint="eastAsia" w:ascii="宋体" w:hAnsi="宋体" w:eastAsia="宋体" w:cs="宋体"/>
          <w:sz w:val="21"/>
          <w:szCs w:val="21"/>
        </w:rPr>
        <w:t>式</w:t>
      </w:r>
    </w:p>
    <w:p>
      <w:pPr>
        <w:pStyle w:val="7"/>
        <w:snapToGrid w:val="0"/>
        <w:spacing w:line="36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rPr>
        <w:t>蓄电池：电压/容量≦80V/650AH,电量支持连续作业时间≥5小时，电池寿命充放电次数≥1500次</w:t>
      </w:r>
      <w:r>
        <w:rPr>
          <w:rFonts w:hint="eastAsia" w:ascii="宋体" w:hAnsi="宋体" w:eastAsia="宋体" w:cs="宋体"/>
          <w:sz w:val="21"/>
          <w:szCs w:val="21"/>
          <w:lang w:val="en-US" w:eastAsia="zh-CN"/>
        </w:rPr>
        <w:t>,配置相应存电器。</w:t>
      </w:r>
    </w:p>
    <w:p>
      <w:pPr>
        <w:pStyle w:val="3"/>
        <w:keepNext/>
        <w:keepLines/>
        <w:pageBreakBefore w:val="0"/>
        <w:widowControl w:val="0"/>
        <w:numPr>
          <w:ilvl w:val="0"/>
          <w:numId w:val="0"/>
        </w:numPr>
        <w:kinsoku/>
        <w:wordWrap/>
        <w:overflowPunct/>
        <w:topLinePunct w:val="0"/>
        <w:autoSpaceDE/>
        <w:autoSpaceDN/>
        <w:bidi w:val="0"/>
        <w:adjustRightInd/>
        <w:snapToGrid w:val="0"/>
        <w:spacing w:before="0" w:after="0"/>
        <w:ind w:leftChars="0"/>
        <w:textAlignment w:val="auto"/>
        <w:outlineLvl w:val="0"/>
        <w:rPr>
          <w:rFonts w:hint="eastAsia" w:ascii="宋体" w:hAnsi="宋体" w:eastAsia="宋体" w:cs="宋体"/>
          <w:sz w:val="21"/>
          <w:szCs w:val="21"/>
        </w:rPr>
      </w:pPr>
      <w:bookmarkStart w:id="17" w:name="_Toc5031925"/>
      <w:r>
        <w:rPr>
          <w:rFonts w:hint="eastAsia" w:ascii="宋体" w:hAnsi="宋体" w:cs="宋体"/>
          <w:sz w:val="21"/>
          <w:szCs w:val="21"/>
          <w:lang w:val="en-US" w:eastAsia="zh-CN"/>
        </w:rPr>
        <w:t>*</w:t>
      </w:r>
      <w:r>
        <w:rPr>
          <w:rFonts w:hint="eastAsia" w:ascii="宋体" w:hAnsi="宋体" w:eastAsia="宋体" w:cs="宋体"/>
          <w:sz w:val="21"/>
          <w:szCs w:val="21"/>
          <w:lang w:val="en-US" w:eastAsia="zh-CN"/>
        </w:rPr>
        <w:t>3.1.2.4.1.</w:t>
      </w:r>
      <w:r>
        <w:rPr>
          <w:rFonts w:hint="eastAsia" w:ascii="宋体" w:hAnsi="宋体" w:eastAsia="宋体" w:cs="宋体"/>
          <w:b/>
          <w:sz w:val="21"/>
          <w:szCs w:val="21"/>
          <w:lang w:val="en-US" w:eastAsia="zh-CN"/>
        </w:rPr>
        <w:t>11</w:t>
      </w:r>
      <w:r>
        <w:rPr>
          <w:rFonts w:hint="eastAsia" w:ascii="宋体" w:hAnsi="宋体" w:eastAsia="宋体" w:cs="宋体"/>
          <w:sz w:val="21"/>
          <w:szCs w:val="21"/>
          <w:lang w:eastAsia="zh-CN"/>
        </w:rPr>
        <w:t>利旧设备搬迁</w:t>
      </w:r>
      <w:r>
        <w:rPr>
          <w:rFonts w:hint="eastAsia" w:ascii="宋体" w:hAnsi="宋体" w:eastAsia="宋体" w:cs="宋体"/>
          <w:sz w:val="21"/>
          <w:szCs w:val="21"/>
        </w:rPr>
        <w:t>质量标准及技术要求:</w:t>
      </w:r>
      <w:bookmarkEnd w:id="17"/>
    </w:p>
    <w:p>
      <w:pPr>
        <w:pStyle w:val="7"/>
        <w:snapToGrid w:val="0"/>
        <w:spacing w:line="360" w:lineRule="auto"/>
        <w:ind w:firstLine="480"/>
        <w:rPr>
          <w:rFonts w:hint="eastAsia" w:ascii="宋体" w:hAnsi="宋体" w:eastAsia="宋体" w:cs="宋体"/>
          <w:sz w:val="21"/>
          <w:szCs w:val="21"/>
          <w:lang w:eastAsia="zh-CN"/>
        </w:rPr>
      </w:pPr>
      <w:r>
        <w:rPr>
          <w:rFonts w:hint="eastAsia" w:ascii="宋体" w:hAnsi="宋体" w:eastAsia="宋体" w:cs="宋体"/>
          <w:sz w:val="21"/>
          <w:szCs w:val="21"/>
          <w:lang w:eastAsia="zh-CN"/>
        </w:rPr>
        <w:t>投</w:t>
      </w:r>
      <w:r>
        <w:rPr>
          <w:rFonts w:hint="eastAsia" w:ascii="宋体" w:hAnsi="宋体" w:eastAsia="宋体" w:cs="宋体"/>
          <w:sz w:val="21"/>
          <w:szCs w:val="21"/>
        </w:rPr>
        <w:t>标方</w:t>
      </w:r>
      <w:r>
        <w:rPr>
          <w:rFonts w:hint="eastAsia" w:cs="宋体"/>
          <w:sz w:val="21"/>
          <w:szCs w:val="21"/>
          <w:lang w:eastAsia="zh-CN"/>
        </w:rPr>
        <w:t>对招标方现场</w:t>
      </w:r>
      <w:r>
        <w:rPr>
          <w:rFonts w:hint="eastAsia" w:ascii="宋体" w:hAnsi="宋体" w:eastAsia="宋体" w:cs="宋体"/>
          <w:sz w:val="21"/>
          <w:szCs w:val="21"/>
        </w:rPr>
        <w:t>配套的利旧设备</w:t>
      </w:r>
      <w:r>
        <w:rPr>
          <w:rFonts w:hint="eastAsia" w:cs="宋体"/>
          <w:sz w:val="21"/>
          <w:szCs w:val="21"/>
          <w:lang w:eastAsia="zh-CN"/>
        </w:rPr>
        <w:t>负责移设</w:t>
      </w:r>
      <w:r>
        <w:rPr>
          <w:rFonts w:hint="eastAsia" w:ascii="宋体" w:hAnsi="宋体" w:eastAsia="宋体" w:cs="宋体"/>
          <w:sz w:val="21"/>
          <w:szCs w:val="21"/>
        </w:rPr>
        <w:t>安装、必要的</w:t>
      </w:r>
      <w:r>
        <w:rPr>
          <w:rFonts w:hint="eastAsia" w:ascii="宋体" w:hAnsi="宋体" w:eastAsia="宋体" w:cs="宋体"/>
          <w:sz w:val="21"/>
          <w:szCs w:val="21"/>
          <w:lang w:eastAsia="zh-CN"/>
        </w:rPr>
        <w:t>改造、整修</w:t>
      </w:r>
      <w:r>
        <w:rPr>
          <w:rFonts w:hint="eastAsia" w:ascii="宋体" w:hAnsi="宋体" w:eastAsia="宋体" w:cs="宋体"/>
          <w:sz w:val="21"/>
          <w:szCs w:val="21"/>
        </w:rPr>
        <w:t>、调试并达到使用标准。进场后需会同使用单位共同对利旧设备进行鉴定，协商确定整修范围标准（包含清理和喷漆），安装方案等使之达到使用条件并做必要的配套流水线作业改造。</w:t>
      </w:r>
      <w:r>
        <w:rPr>
          <w:rFonts w:hint="eastAsia" w:ascii="宋体" w:hAnsi="宋体" w:eastAsia="宋体" w:cs="宋体"/>
          <w:sz w:val="21"/>
          <w:szCs w:val="21"/>
          <w:lang w:eastAsia="zh-CN"/>
        </w:rPr>
        <w:t>利旧设备明细</w:t>
      </w:r>
    </w:p>
    <w:tbl>
      <w:tblPr>
        <w:tblStyle w:val="6"/>
        <w:tblW w:w="899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851"/>
        <w:gridCol w:w="3466"/>
        <w:gridCol w:w="1415"/>
        <w:gridCol w:w="1426"/>
        <w:gridCol w:w="18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425" w:hRule="atLeast"/>
        </w:trPr>
        <w:tc>
          <w:tcPr>
            <w:tcW w:w="851" w:type="dxa"/>
            <w:tcMar>
              <w:left w:w="0" w:type="dxa"/>
              <w:right w:w="0" w:type="dxa"/>
            </w:tcMar>
            <w:vAlign w:val="center"/>
          </w:tcPr>
          <w:p>
            <w:pPr>
              <w:widowControl/>
              <w:snapToGrid w:val="0"/>
              <w:spacing w:line="440" w:lineRule="exact"/>
              <w:jc w:val="center"/>
              <w:rPr>
                <w:b/>
                <w:sz w:val="21"/>
                <w:szCs w:val="21"/>
              </w:rPr>
            </w:pPr>
            <w:r>
              <w:rPr>
                <w:b/>
                <w:sz w:val="21"/>
                <w:szCs w:val="21"/>
              </w:rPr>
              <w:t>序号</w:t>
            </w:r>
          </w:p>
        </w:tc>
        <w:tc>
          <w:tcPr>
            <w:tcW w:w="3466" w:type="dxa"/>
            <w:tcMar>
              <w:left w:w="0" w:type="dxa"/>
              <w:right w:w="0" w:type="dxa"/>
            </w:tcMar>
            <w:vAlign w:val="center"/>
          </w:tcPr>
          <w:p>
            <w:pPr>
              <w:widowControl/>
              <w:snapToGrid w:val="0"/>
              <w:spacing w:line="440" w:lineRule="exact"/>
              <w:jc w:val="center"/>
              <w:rPr>
                <w:b/>
                <w:sz w:val="21"/>
                <w:szCs w:val="21"/>
              </w:rPr>
            </w:pPr>
            <w:r>
              <w:rPr>
                <w:b/>
                <w:sz w:val="21"/>
                <w:szCs w:val="21"/>
              </w:rPr>
              <w:t>名        称</w:t>
            </w:r>
          </w:p>
        </w:tc>
        <w:tc>
          <w:tcPr>
            <w:tcW w:w="1415" w:type="dxa"/>
            <w:tcMar>
              <w:left w:w="0" w:type="dxa"/>
              <w:right w:w="0" w:type="dxa"/>
            </w:tcMar>
            <w:vAlign w:val="center"/>
          </w:tcPr>
          <w:p>
            <w:pPr>
              <w:widowControl/>
              <w:snapToGrid w:val="0"/>
              <w:spacing w:line="440" w:lineRule="exact"/>
              <w:jc w:val="center"/>
              <w:rPr>
                <w:b/>
                <w:sz w:val="21"/>
                <w:szCs w:val="21"/>
              </w:rPr>
            </w:pPr>
            <w:r>
              <w:rPr>
                <w:b/>
                <w:sz w:val="21"/>
                <w:szCs w:val="21"/>
              </w:rPr>
              <w:t>单位</w:t>
            </w:r>
          </w:p>
        </w:tc>
        <w:tc>
          <w:tcPr>
            <w:tcW w:w="1426" w:type="dxa"/>
            <w:tcMar>
              <w:left w:w="0" w:type="dxa"/>
              <w:right w:w="0" w:type="dxa"/>
            </w:tcMar>
            <w:vAlign w:val="center"/>
          </w:tcPr>
          <w:p>
            <w:pPr>
              <w:widowControl/>
              <w:snapToGrid w:val="0"/>
              <w:spacing w:line="440" w:lineRule="exact"/>
              <w:jc w:val="center"/>
              <w:rPr>
                <w:b/>
                <w:sz w:val="21"/>
                <w:szCs w:val="21"/>
              </w:rPr>
            </w:pPr>
            <w:r>
              <w:rPr>
                <w:b/>
                <w:sz w:val="21"/>
                <w:szCs w:val="21"/>
              </w:rPr>
              <w:t>数量</w:t>
            </w:r>
          </w:p>
        </w:tc>
        <w:tc>
          <w:tcPr>
            <w:tcW w:w="1840" w:type="dxa"/>
            <w:tcMar>
              <w:left w:w="0" w:type="dxa"/>
              <w:right w:w="0" w:type="dxa"/>
            </w:tcMar>
            <w:vAlign w:val="center"/>
          </w:tcPr>
          <w:p>
            <w:pPr>
              <w:snapToGrid w:val="0"/>
              <w:jc w:val="center"/>
              <w:rPr>
                <w:sz w:val="21"/>
                <w:szCs w:val="21"/>
              </w:rPr>
            </w:pPr>
            <w:r>
              <w:rPr>
                <w:b/>
                <w:sz w:val="21"/>
                <w:szCs w:val="21"/>
              </w:rPr>
              <w:t>备      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425" w:hRule="atLeast"/>
        </w:trPr>
        <w:tc>
          <w:tcPr>
            <w:tcW w:w="851" w:type="dxa"/>
            <w:tcMar>
              <w:left w:w="0" w:type="dxa"/>
              <w:right w:w="0" w:type="dxa"/>
            </w:tcMar>
            <w:vAlign w:val="center"/>
          </w:tcPr>
          <w:p>
            <w:pPr>
              <w:snapToGrid w:val="0"/>
              <w:jc w:val="center"/>
              <w:rPr>
                <w:sz w:val="21"/>
                <w:szCs w:val="21"/>
              </w:rPr>
            </w:pPr>
            <w:r>
              <w:rPr>
                <w:rFonts w:hint="eastAsia"/>
                <w:sz w:val="21"/>
                <w:szCs w:val="21"/>
              </w:rPr>
              <w:t>1</w:t>
            </w:r>
          </w:p>
        </w:tc>
        <w:tc>
          <w:tcPr>
            <w:tcW w:w="3466" w:type="dxa"/>
            <w:tcMar>
              <w:left w:w="0" w:type="dxa"/>
              <w:right w:w="0" w:type="dxa"/>
            </w:tcMar>
            <w:vAlign w:val="center"/>
          </w:tcPr>
          <w:p>
            <w:pPr>
              <w:snapToGrid w:val="0"/>
              <w:ind w:left="42" w:leftChars="20" w:right="42" w:rightChars="20"/>
              <w:rPr>
                <w:rFonts w:hint="eastAsia"/>
                <w:sz w:val="21"/>
                <w:szCs w:val="21"/>
              </w:rPr>
            </w:pPr>
            <w:r>
              <w:rPr>
                <w:rFonts w:hint="eastAsia"/>
                <w:sz w:val="21"/>
                <w:szCs w:val="21"/>
              </w:rPr>
              <w:t>制动梁检修线</w:t>
            </w:r>
          </w:p>
        </w:tc>
        <w:tc>
          <w:tcPr>
            <w:tcW w:w="1415" w:type="dxa"/>
            <w:tcMar>
              <w:left w:w="0" w:type="dxa"/>
              <w:right w:w="0" w:type="dxa"/>
            </w:tcMar>
            <w:vAlign w:val="center"/>
          </w:tcPr>
          <w:p>
            <w:pPr>
              <w:snapToGrid w:val="0"/>
              <w:jc w:val="center"/>
              <w:rPr>
                <w:sz w:val="21"/>
                <w:szCs w:val="21"/>
              </w:rPr>
            </w:pPr>
            <w:r>
              <w:rPr>
                <w:rFonts w:hint="eastAsia"/>
                <w:sz w:val="21"/>
                <w:szCs w:val="21"/>
              </w:rPr>
              <w:t>套</w:t>
            </w:r>
          </w:p>
        </w:tc>
        <w:tc>
          <w:tcPr>
            <w:tcW w:w="1426" w:type="dxa"/>
            <w:tcMar>
              <w:left w:w="0" w:type="dxa"/>
              <w:right w:w="0" w:type="dxa"/>
            </w:tcMar>
            <w:vAlign w:val="center"/>
          </w:tcPr>
          <w:p>
            <w:pPr>
              <w:snapToGrid w:val="0"/>
              <w:jc w:val="center"/>
              <w:rPr>
                <w:sz w:val="21"/>
                <w:szCs w:val="21"/>
              </w:rPr>
            </w:pPr>
            <w:r>
              <w:rPr>
                <w:sz w:val="21"/>
                <w:szCs w:val="21"/>
              </w:rPr>
              <w:t>1</w:t>
            </w:r>
          </w:p>
        </w:tc>
        <w:tc>
          <w:tcPr>
            <w:tcW w:w="1840" w:type="dxa"/>
            <w:tcMar>
              <w:left w:w="0" w:type="dxa"/>
              <w:right w:w="0" w:type="dxa"/>
            </w:tcMar>
            <w:vAlign w:val="center"/>
          </w:tcPr>
          <w:p>
            <w:pPr>
              <w:snapToGrid w:val="0"/>
              <w:ind w:left="42" w:leftChars="20" w:right="42" w:rightChars="20"/>
              <w:jc w:val="center"/>
              <w:rPr>
                <w:rFonts w:hint="eastAsia"/>
                <w:sz w:val="21"/>
                <w:szCs w:val="21"/>
              </w:rPr>
            </w:pPr>
            <w:r>
              <w:rPr>
                <w:rFonts w:hint="eastAsia"/>
                <w:sz w:val="21"/>
                <w:szCs w:val="21"/>
              </w:rPr>
              <w:t>移设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425" w:hRule="atLeast"/>
        </w:trPr>
        <w:tc>
          <w:tcPr>
            <w:tcW w:w="851" w:type="dxa"/>
            <w:tcMar>
              <w:left w:w="0" w:type="dxa"/>
              <w:right w:w="0" w:type="dxa"/>
            </w:tcMar>
            <w:vAlign w:val="center"/>
          </w:tcPr>
          <w:p>
            <w:pPr>
              <w:snapToGrid w:val="0"/>
              <w:jc w:val="center"/>
              <w:rPr>
                <w:sz w:val="21"/>
                <w:szCs w:val="21"/>
              </w:rPr>
            </w:pPr>
            <w:r>
              <w:rPr>
                <w:sz w:val="21"/>
                <w:szCs w:val="21"/>
              </w:rPr>
              <w:t>2</w:t>
            </w:r>
          </w:p>
        </w:tc>
        <w:tc>
          <w:tcPr>
            <w:tcW w:w="3466" w:type="dxa"/>
            <w:tcMar>
              <w:left w:w="0" w:type="dxa"/>
              <w:right w:w="0" w:type="dxa"/>
            </w:tcMar>
            <w:vAlign w:val="center"/>
          </w:tcPr>
          <w:p>
            <w:pPr>
              <w:snapToGrid w:val="0"/>
              <w:ind w:left="42" w:leftChars="20" w:right="42" w:rightChars="20"/>
              <w:rPr>
                <w:rFonts w:hint="eastAsia"/>
                <w:sz w:val="21"/>
                <w:szCs w:val="21"/>
              </w:rPr>
            </w:pPr>
            <w:r>
              <w:rPr>
                <w:rFonts w:hint="eastAsia"/>
                <w:sz w:val="21"/>
                <w:szCs w:val="21"/>
              </w:rPr>
              <w:t>转向架清洗机</w:t>
            </w:r>
          </w:p>
        </w:tc>
        <w:tc>
          <w:tcPr>
            <w:tcW w:w="1415" w:type="dxa"/>
            <w:tcMar>
              <w:left w:w="0" w:type="dxa"/>
              <w:right w:w="0" w:type="dxa"/>
            </w:tcMar>
            <w:vAlign w:val="center"/>
          </w:tcPr>
          <w:p>
            <w:pPr>
              <w:snapToGrid w:val="0"/>
              <w:jc w:val="center"/>
              <w:rPr>
                <w:sz w:val="21"/>
                <w:szCs w:val="21"/>
              </w:rPr>
            </w:pPr>
            <w:r>
              <w:rPr>
                <w:rFonts w:hint="eastAsia"/>
                <w:sz w:val="21"/>
                <w:szCs w:val="21"/>
              </w:rPr>
              <w:t>台</w:t>
            </w:r>
          </w:p>
        </w:tc>
        <w:tc>
          <w:tcPr>
            <w:tcW w:w="1426" w:type="dxa"/>
            <w:tcMar>
              <w:left w:w="0" w:type="dxa"/>
              <w:right w:w="0" w:type="dxa"/>
            </w:tcMar>
            <w:vAlign w:val="center"/>
          </w:tcPr>
          <w:p>
            <w:pPr>
              <w:snapToGrid w:val="0"/>
              <w:jc w:val="center"/>
              <w:rPr>
                <w:sz w:val="21"/>
                <w:szCs w:val="21"/>
              </w:rPr>
            </w:pPr>
            <w:r>
              <w:rPr>
                <w:sz w:val="21"/>
                <w:szCs w:val="21"/>
              </w:rPr>
              <w:t>1</w:t>
            </w:r>
          </w:p>
        </w:tc>
        <w:tc>
          <w:tcPr>
            <w:tcW w:w="1840" w:type="dxa"/>
            <w:tcMar>
              <w:left w:w="0" w:type="dxa"/>
              <w:right w:w="0" w:type="dxa"/>
            </w:tcMar>
            <w:vAlign w:val="center"/>
          </w:tcPr>
          <w:p>
            <w:pPr>
              <w:snapToGrid w:val="0"/>
              <w:ind w:left="42" w:leftChars="20" w:right="42" w:rightChars="20"/>
              <w:jc w:val="center"/>
              <w:rPr>
                <w:rFonts w:hint="eastAsia"/>
                <w:sz w:val="21"/>
                <w:szCs w:val="21"/>
              </w:rPr>
            </w:pPr>
            <w:r>
              <w:rPr>
                <w:rFonts w:hint="eastAsia"/>
                <w:sz w:val="21"/>
                <w:szCs w:val="21"/>
              </w:rPr>
              <w:t>改造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425" w:hRule="atLeast"/>
        </w:trPr>
        <w:tc>
          <w:tcPr>
            <w:tcW w:w="851" w:type="dxa"/>
            <w:tcMar>
              <w:left w:w="0" w:type="dxa"/>
              <w:right w:w="0" w:type="dxa"/>
            </w:tcMar>
            <w:vAlign w:val="center"/>
          </w:tcPr>
          <w:p>
            <w:pPr>
              <w:snapToGrid w:val="0"/>
              <w:jc w:val="center"/>
              <w:rPr>
                <w:sz w:val="21"/>
                <w:szCs w:val="21"/>
              </w:rPr>
            </w:pPr>
            <w:r>
              <w:rPr>
                <w:sz w:val="21"/>
                <w:szCs w:val="21"/>
              </w:rPr>
              <w:t>3</w:t>
            </w:r>
          </w:p>
        </w:tc>
        <w:tc>
          <w:tcPr>
            <w:tcW w:w="3466" w:type="dxa"/>
            <w:tcMar>
              <w:left w:w="0" w:type="dxa"/>
              <w:right w:w="0" w:type="dxa"/>
            </w:tcMar>
            <w:vAlign w:val="center"/>
          </w:tcPr>
          <w:p>
            <w:pPr>
              <w:snapToGrid w:val="0"/>
              <w:ind w:left="42" w:leftChars="20" w:right="42" w:rightChars="20"/>
              <w:rPr>
                <w:rFonts w:hint="eastAsia"/>
                <w:sz w:val="21"/>
                <w:szCs w:val="21"/>
              </w:rPr>
            </w:pPr>
            <w:r>
              <w:rPr>
                <w:rFonts w:hint="eastAsia"/>
                <w:sz w:val="21"/>
                <w:szCs w:val="21"/>
              </w:rPr>
              <w:t>摇枕、侧架整体翻转检查机</w:t>
            </w:r>
          </w:p>
        </w:tc>
        <w:tc>
          <w:tcPr>
            <w:tcW w:w="1415" w:type="dxa"/>
            <w:tcMar>
              <w:left w:w="0" w:type="dxa"/>
              <w:right w:w="0" w:type="dxa"/>
            </w:tcMar>
            <w:vAlign w:val="center"/>
          </w:tcPr>
          <w:p>
            <w:pPr>
              <w:snapToGrid w:val="0"/>
              <w:jc w:val="center"/>
              <w:rPr>
                <w:sz w:val="21"/>
                <w:szCs w:val="21"/>
              </w:rPr>
            </w:pPr>
            <w:r>
              <w:rPr>
                <w:rFonts w:hint="eastAsia"/>
                <w:sz w:val="21"/>
                <w:szCs w:val="21"/>
              </w:rPr>
              <w:t>台</w:t>
            </w:r>
          </w:p>
        </w:tc>
        <w:tc>
          <w:tcPr>
            <w:tcW w:w="1426" w:type="dxa"/>
            <w:tcMar>
              <w:left w:w="0" w:type="dxa"/>
              <w:right w:w="0" w:type="dxa"/>
            </w:tcMar>
            <w:vAlign w:val="center"/>
          </w:tcPr>
          <w:p>
            <w:pPr>
              <w:snapToGrid w:val="0"/>
              <w:jc w:val="center"/>
              <w:rPr>
                <w:sz w:val="21"/>
                <w:szCs w:val="21"/>
              </w:rPr>
            </w:pPr>
            <w:r>
              <w:rPr>
                <w:sz w:val="21"/>
                <w:szCs w:val="21"/>
              </w:rPr>
              <w:t>1</w:t>
            </w:r>
          </w:p>
        </w:tc>
        <w:tc>
          <w:tcPr>
            <w:tcW w:w="1840" w:type="dxa"/>
            <w:tcMar>
              <w:left w:w="0" w:type="dxa"/>
              <w:right w:w="0" w:type="dxa"/>
            </w:tcMar>
            <w:vAlign w:val="center"/>
          </w:tcPr>
          <w:p>
            <w:pPr>
              <w:snapToGrid w:val="0"/>
              <w:ind w:left="42" w:leftChars="20" w:right="42" w:rightChars="20"/>
              <w:jc w:val="center"/>
              <w:rPr>
                <w:rFonts w:hint="eastAsia"/>
                <w:sz w:val="21"/>
                <w:szCs w:val="21"/>
              </w:rPr>
            </w:pPr>
            <w:r>
              <w:rPr>
                <w:rFonts w:hint="eastAsia"/>
                <w:sz w:val="21"/>
                <w:szCs w:val="21"/>
              </w:rPr>
              <w:t>移设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425" w:hRule="atLeast"/>
        </w:trPr>
        <w:tc>
          <w:tcPr>
            <w:tcW w:w="851" w:type="dxa"/>
            <w:tcMar>
              <w:left w:w="0" w:type="dxa"/>
              <w:right w:w="0" w:type="dxa"/>
            </w:tcMar>
            <w:vAlign w:val="center"/>
          </w:tcPr>
          <w:p>
            <w:pPr>
              <w:snapToGrid w:val="0"/>
              <w:jc w:val="center"/>
              <w:rPr>
                <w:sz w:val="21"/>
                <w:szCs w:val="21"/>
              </w:rPr>
            </w:pPr>
            <w:r>
              <w:rPr>
                <w:sz w:val="21"/>
                <w:szCs w:val="21"/>
              </w:rPr>
              <w:t>4</w:t>
            </w:r>
          </w:p>
        </w:tc>
        <w:tc>
          <w:tcPr>
            <w:tcW w:w="3466" w:type="dxa"/>
            <w:tcMar>
              <w:left w:w="0" w:type="dxa"/>
              <w:right w:w="0" w:type="dxa"/>
            </w:tcMar>
            <w:vAlign w:val="center"/>
          </w:tcPr>
          <w:p>
            <w:pPr>
              <w:snapToGrid w:val="0"/>
              <w:ind w:left="42" w:leftChars="20" w:right="42" w:rightChars="20"/>
              <w:rPr>
                <w:rFonts w:hint="eastAsia"/>
                <w:sz w:val="21"/>
                <w:szCs w:val="21"/>
              </w:rPr>
            </w:pPr>
            <w:r>
              <w:rPr>
                <w:rFonts w:hint="eastAsia"/>
                <w:sz w:val="21"/>
                <w:szCs w:val="21"/>
              </w:rPr>
              <w:t>正位检测机</w:t>
            </w:r>
          </w:p>
        </w:tc>
        <w:tc>
          <w:tcPr>
            <w:tcW w:w="1415" w:type="dxa"/>
            <w:tcMar>
              <w:left w:w="0" w:type="dxa"/>
              <w:right w:w="0" w:type="dxa"/>
            </w:tcMar>
            <w:vAlign w:val="center"/>
          </w:tcPr>
          <w:p>
            <w:pPr>
              <w:snapToGrid w:val="0"/>
              <w:jc w:val="center"/>
              <w:rPr>
                <w:sz w:val="21"/>
                <w:szCs w:val="21"/>
              </w:rPr>
            </w:pPr>
            <w:r>
              <w:rPr>
                <w:rFonts w:hint="eastAsia"/>
                <w:sz w:val="21"/>
                <w:szCs w:val="21"/>
              </w:rPr>
              <w:t>台</w:t>
            </w:r>
          </w:p>
        </w:tc>
        <w:tc>
          <w:tcPr>
            <w:tcW w:w="1426" w:type="dxa"/>
            <w:tcMar>
              <w:left w:w="0" w:type="dxa"/>
              <w:right w:w="0" w:type="dxa"/>
            </w:tcMar>
            <w:vAlign w:val="center"/>
          </w:tcPr>
          <w:p>
            <w:pPr>
              <w:snapToGrid w:val="0"/>
              <w:jc w:val="center"/>
              <w:rPr>
                <w:sz w:val="21"/>
                <w:szCs w:val="21"/>
              </w:rPr>
            </w:pPr>
            <w:r>
              <w:rPr>
                <w:sz w:val="21"/>
                <w:szCs w:val="21"/>
              </w:rPr>
              <w:t>2</w:t>
            </w:r>
          </w:p>
        </w:tc>
        <w:tc>
          <w:tcPr>
            <w:tcW w:w="1840" w:type="dxa"/>
            <w:tcMar>
              <w:left w:w="0" w:type="dxa"/>
              <w:right w:w="0" w:type="dxa"/>
            </w:tcMar>
            <w:vAlign w:val="center"/>
          </w:tcPr>
          <w:p>
            <w:pPr>
              <w:snapToGrid w:val="0"/>
              <w:ind w:left="42" w:leftChars="20" w:right="42" w:rightChars="20"/>
              <w:jc w:val="center"/>
              <w:rPr>
                <w:rFonts w:hint="eastAsia"/>
                <w:sz w:val="21"/>
                <w:szCs w:val="21"/>
              </w:rPr>
            </w:pPr>
            <w:r>
              <w:rPr>
                <w:rFonts w:hint="eastAsia"/>
                <w:sz w:val="21"/>
                <w:szCs w:val="21"/>
              </w:rPr>
              <w:t>移设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425" w:hRule="atLeast"/>
        </w:trPr>
        <w:tc>
          <w:tcPr>
            <w:tcW w:w="851" w:type="dxa"/>
            <w:tcMar>
              <w:left w:w="0" w:type="dxa"/>
              <w:right w:w="0" w:type="dxa"/>
            </w:tcMar>
            <w:vAlign w:val="center"/>
          </w:tcPr>
          <w:p>
            <w:pPr>
              <w:snapToGrid w:val="0"/>
              <w:jc w:val="center"/>
              <w:rPr>
                <w:sz w:val="21"/>
                <w:szCs w:val="21"/>
              </w:rPr>
            </w:pPr>
            <w:r>
              <w:rPr>
                <w:sz w:val="21"/>
                <w:szCs w:val="21"/>
              </w:rPr>
              <w:t>5</w:t>
            </w:r>
          </w:p>
        </w:tc>
        <w:tc>
          <w:tcPr>
            <w:tcW w:w="3466" w:type="dxa"/>
            <w:tcMar>
              <w:left w:w="0" w:type="dxa"/>
              <w:right w:w="0" w:type="dxa"/>
            </w:tcMar>
            <w:vAlign w:val="center"/>
          </w:tcPr>
          <w:p>
            <w:pPr>
              <w:snapToGrid w:val="0"/>
              <w:ind w:left="42" w:leftChars="20" w:right="42" w:rightChars="20"/>
              <w:rPr>
                <w:rFonts w:hint="eastAsia"/>
                <w:sz w:val="21"/>
                <w:szCs w:val="21"/>
              </w:rPr>
            </w:pPr>
            <w:r>
              <w:rPr>
                <w:rFonts w:hint="eastAsia"/>
                <w:sz w:val="21"/>
                <w:szCs w:val="21"/>
              </w:rPr>
              <w:t>交叉杆扳机</w:t>
            </w:r>
          </w:p>
        </w:tc>
        <w:tc>
          <w:tcPr>
            <w:tcW w:w="1415" w:type="dxa"/>
            <w:tcMar>
              <w:left w:w="0" w:type="dxa"/>
              <w:right w:w="0" w:type="dxa"/>
            </w:tcMar>
            <w:vAlign w:val="center"/>
          </w:tcPr>
          <w:p>
            <w:pPr>
              <w:snapToGrid w:val="0"/>
              <w:jc w:val="center"/>
              <w:rPr>
                <w:sz w:val="21"/>
                <w:szCs w:val="21"/>
              </w:rPr>
            </w:pPr>
            <w:r>
              <w:rPr>
                <w:rFonts w:hint="eastAsia"/>
                <w:sz w:val="21"/>
                <w:szCs w:val="21"/>
              </w:rPr>
              <w:t>台</w:t>
            </w:r>
          </w:p>
        </w:tc>
        <w:tc>
          <w:tcPr>
            <w:tcW w:w="1426" w:type="dxa"/>
            <w:tcMar>
              <w:left w:w="0" w:type="dxa"/>
              <w:right w:w="0" w:type="dxa"/>
            </w:tcMar>
            <w:vAlign w:val="center"/>
          </w:tcPr>
          <w:p>
            <w:pPr>
              <w:snapToGrid w:val="0"/>
              <w:jc w:val="center"/>
              <w:rPr>
                <w:sz w:val="21"/>
                <w:szCs w:val="21"/>
              </w:rPr>
            </w:pPr>
            <w:r>
              <w:rPr>
                <w:sz w:val="21"/>
                <w:szCs w:val="21"/>
              </w:rPr>
              <w:t>2</w:t>
            </w:r>
          </w:p>
        </w:tc>
        <w:tc>
          <w:tcPr>
            <w:tcW w:w="1840" w:type="dxa"/>
            <w:tcMar>
              <w:left w:w="0" w:type="dxa"/>
              <w:right w:w="0" w:type="dxa"/>
            </w:tcMar>
            <w:vAlign w:val="center"/>
          </w:tcPr>
          <w:p>
            <w:pPr>
              <w:snapToGrid w:val="0"/>
              <w:ind w:left="42" w:leftChars="20" w:right="42" w:rightChars="20"/>
              <w:jc w:val="center"/>
              <w:rPr>
                <w:rFonts w:hint="eastAsia"/>
                <w:sz w:val="21"/>
                <w:szCs w:val="21"/>
              </w:rPr>
            </w:pPr>
            <w:r>
              <w:rPr>
                <w:rFonts w:hint="eastAsia"/>
                <w:sz w:val="21"/>
                <w:szCs w:val="21"/>
              </w:rPr>
              <w:t>移设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425" w:hRule="atLeast"/>
        </w:trPr>
        <w:tc>
          <w:tcPr>
            <w:tcW w:w="851" w:type="dxa"/>
            <w:tcMar>
              <w:left w:w="0" w:type="dxa"/>
              <w:right w:w="0" w:type="dxa"/>
            </w:tcMar>
            <w:vAlign w:val="center"/>
          </w:tcPr>
          <w:p>
            <w:pPr>
              <w:snapToGrid w:val="0"/>
              <w:jc w:val="center"/>
              <w:rPr>
                <w:rFonts w:hint="eastAsia" w:eastAsia="宋体"/>
                <w:sz w:val="21"/>
                <w:szCs w:val="21"/>
                <w:lang w:eastAsia="zh-CN"/>
              </w:rPr>
            </w:pPr>
            <w:r>
              <w:rPr>
                <w:rFonts w:hint="eastAsia"/>
                <w:sz w:val="21"/>
                <w:szCs w:val="21"/>
                <w:lang w:val="en-US" w:eastAsia="zh-CN"/>
              </w:rPr>
              <w:t>6</w:t>
            </w:r>
          </w:p>
        </w:tc>
        <w:tc>
          <w:tcPr>
            <w:tcW w:w="3466" w:type="dxa"/>
            <w:tcMar>
              <w:left w:w="0" w:type="dxa"/>
              <w:right w:w="0" w:type="dxa"/>
            </w:tcMar>
            <w:vAlign w:val="center"/>
          </w:tcPr>
          <w:p>
            <w:pPr>
              <w:snapToGrid w:val="0"/>
              <w:ind w:left="42" w:leftChars="20" w:right="42" w:rightChars="20"/>
              <w:rPr>
                <w:rFonts w:hint="eastAsia"/>
                <w:sz w:val="21"/>
                <w:szCs w:val="21"/>
              </w:rPr>
            </w:pPr>
            <w:r>
              <w:rPr>
                <w:rFonts w:hint="eastAsia"/>
                <w:sz w:val="21"/>
                <w:szCs w:val="21"/>
              </w:rPr>
              <w:t>枕簧自动检测机</w:t>
            </w:r>
          </w:p>
        </w:tc>
        <w:tc>
          <w:tcPr>
            <w:tcW w:w="1415" w:type="dxa"/>
            <w:tcMar>
              <w:left w:w="0" w:type="dxa"/>
              <w:right w:w="0" w:type="dxa"/>
            </w:tcMar>
            <w:vAlign w:val="center"/>
          </w:tcPr>
          <w:p>
            <w:pPr>
              <w:snapToGrid w:val="0"/>
              <w:jc w:val="center"/>
              <w:rPr>
                <w:sz w:val="21"/>
                <w:szCs w:val="21"/>
              </w:rPr>
            </w:pPr>
            <w:r>
              <w:rPr>
                <w:rFonts w:hint="eastAsia"/>
                <w:sz w:val="21"/>
                <w:szCs w:val="21"/>
              </w:rPr>
              <w:t>台</w:t>
            </w:r>
          </w:p>
        </w:tc>
        <w:tc>
          <w:tcPr>
            <w:tcW w:w="1426" w:type="dxa"/>
            <w:tcMar>
              <w:left w:w="0" w:type="dxa"/>
              <w:right w:w="0" w:type="dxa"/>
            </w:tcMar>
            <w:vAlign w:val="center"/>
          </w:tcPr>
          <w:p>
            <w:pPr>
              <w:snapToGrid w:val="0"/>
              <w:jc w:val="center"/>
              <w:rPr>
                <w:sz w:val="21"/>
                <w:szCs w:val="21"/>
              </w:rPr>
            </w:pPr>
            <w:r>
              <w:rPr>
                <w:sz w:val="21"/>
                <w:szCs w:val="21"/>
              </w:rPr>
              <w:t>1</w:t>
            </w:r>
          </w:p>
        </w:tc>
        <w:tc>
          <w:tcPr>
            <w:tcW w:w="1840" w:type="dxa"/>
            <w:tcMar>
              <w:left w:w="0" w:type="dxa"/>
              <w:right w:w="0" w:type="dxa"/>
            </w:tcMar>
            <w:vAlign w:val="center"/>
          </w:tcPr>
          <w:p>
            <w:pPr>
              <w:snapToGrid w:val="0"/>
              <w:ind w:left="42" w:leftChars="20" w:right="42" w:rightChars="20"/>
              <w:jc w:val="center"/>
              <w:rPr>
                <w:rFonts w:hint="eastAsia"/>
                <w:sz w:val="21"/>
                <w:szCs w:val="21"/>
              </w:rPr>
            </w:pPr>
            <w:r>
              <w:rPr>
                <w:rFonts w:hint="eastAsia"/>
                <w:sz w:val="21"/>
                <w:szCs w:val="21"/>
              </w:rPr>
              <w:t>改造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425" w:hRule="atLeast"/>
        </w:trPr>
        <w:tc>
          <w:tcPr>
            <w:tcW w:w="851" w:type="dxa"/>
            <w:tcMar>
              <w:left w:w="0" w:type="dxa"/>
              <w:right w:w="0" w:type="dxa"/>
            </w:tcMar>
            <w:vAlign w:val="center"/>
          </w:tcPr>
          <w:p>
            <w:pPr>
              <w:snapToGrid w:val="0"/>
              <w:jc w:val="center"/>
              <w:rPr>
                <w:rFonts w:hint="eastAsia" w:eastAsia="宋体"/>
                <w:sz w:val="21"/>
                <w:szCs w:val="21"/>
                <w:lang w:eastAsia="zh-CN"/>
              </w:rPr>
            </w:pPr>
            <w:r>
              <w:rPr>
                <w:rFonts w:hint="eastAsia"/>
                <w:sz w:val="21"/>
                <w:szCs w:val="21"/>
                <w:lang w:val="en-US" w:eastAsia="zh-CN"/>
              </w:rPr>
              <w:t>7</w:t>
            </w:r>
          </w:p>
        </w:tc>
        <w:tc>
          <w:tcPr>
            <w:tcW w:w="3466" w:type="dxa"/>
            <w:tcMar>
              <w:left w:w="0" w:type="dxa"/>
              <w:right w:w="0" w:type="dxa"/>
            </w:tcMar>
            <w:vAlign w:val="center"/>
          </w:tcPr>
          <w:p>
            <w:pPr>
              <w:snapToGrid w:val="0"/>
              <w:ind w:left="42" w:leftChars="20" w:right="42" w:rightChars="20"/>
              <w:rPr>
                <w:rFonts w:hint="eastAsia"/>
                <w:sz w:val="21"/>
                <w:szCs w:val="21"/>
              </w:rPr>
            </w:pPr>
            <w:r>
              <w:rPr>
                <w:rFonts w:hint="eastAsia"/>
                <w:sz w:val="21"/>
                <w:szCs w:val="21"/>
              </w:rPr>
              <w:t>滑槽磨耗板压装机</w:t>
            </w:r>
          </w:p>
        </w:tc>
        <w:tc>
          <w:tcPr>
            <w:tcW w:w="1415" w:type="dxa"/>
            <w:tcMar>
              <w:left w:w="0" w:type="dxa"/>
              <w:right w:w="0" w:type="dxa"/>
            </w:tcMar>
            <w:vAlign w:val="center"/>
          </w:tcPr>
          <w:p>
            <w:pPr>
              <w:snapToGrid w:val="0"/>
              <w:jc w:val="center"/>
              <w:rPr>
                <w:rFonts w:hint="eastAsia"/>
                <w:sz w:val="21"/>
                <w:szCs w:val="21"/>
              </w:rPr>
            </w:pPr>
            <w:r>
              <w:rPr>
                <w:rFonts w:hint="eastAsia"/>
                <w:sz w:val="21"/>
                <w:szCs w:val="21"/>
              </w:rPr>
              <w:t>台</w:t>
            </w:r>
          </w:p>
        </w:tc>
        <w:tc>
          <w:tcPr>
            <w:tcW w:w="1426" w:type="dxa"/>
            <w:tcMar>
              <w:left w:w="0" w:type="dxa"/>
              <w:right w:w="0" w:type="dxa"/>
            </w:tcMar>
            <w:vAlign w:val="center"/>
          </w:tcPr>
          <w:p>
            <w:pPr>
              <w:snapToGrid w:val="0"/>
              <w:jc w:val="center"/>
              <w:rPr>
                <w:rFonts w:hint="eastAsia"/>
                <w:sz w:val="21"/>
                <w:szCs w:val="21"/>
              </w:rPr>
            </w:pPr>
            <w:r>
              <w:rPr>
                <w:rFonts w:hint="eastAsia"/>
                <w:sz w:val="21"/>
                <w:szCs w:val="21"/>
              </w:rPr>
              <w:t>1</w:t>
            </w:r>
          </w:p>
        </w:tc>
        <w:tc>
          <w:tcPr>
            <w:tcW w:w="1840" w:type="dxa"/>
            <w:tcMar>
              <w:left w:w="0" w:type="dxa"/>
              <w:right w:w="0" w:type="dxa"/>
            </w:tcMar>
            <w:vAlign w:val="center"/>
          </w:tcPr>
          <w:p>
            <w:pPr>
              <w:snapToGrid w:val="0"/>
              <w:ind w:left="42" w:leftChars="20" w:right="42" w:rightChars="20"/>
              <w:jc w:val="center"/>
              <w:rPr>
                <w:rFonts w:hint="eastAsia"/>
                <w:sz w:val="21"/>
                <w:szCs w:val="21"/>
              </w:rPr>
            </w:pPr>
            <w:r>
              <w:rPr>
                <w:rFonts w:hint="eastAsia"/>
                <w:sz w:val="21"/>
                <w:szCs w:val="21"/>
              </w:rPr>
              <w:t>移设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350" w:hRule="atLeast"/>
        </w:trPr>
        <w:tc>
          <w:tcPr>
            <w:tcW w:w="851" w:type="dxa"/>
            <w:tcMar>
              <w:left w:w="0" w:type="dxa"/>
              <w:right w:w="0" w:type="dxa"/>
            </w:tcMar>
            <w:vAlign w:val="center"/>
          </w:tcPr>
          <w:p>
            <w:pPr>
              <w:snapToGrid w:val="0"/>
              <w:jc w:val="center"/>
              <w:rPr>
                <w:rFonts w:hint="eastAsia" w:eastAsia="宋体"/>
                <w:sz w:val="21"/>
                <w:szCs w:val="21"/>
                <w:lang w:eastAsia="zh-CN"/>
              </w:rPr>
            </w:pPr>
            <w:r>
              <w:rPr>
                <w:rFonts w:hint="eastAsia"/>
                <w:sz w:val="21"/>
                <w:szCs w:val="21"/>
                <w:lang w:val="en-US" w:eastAsia="zh-CN"/>
              </w:rPr>
              <w:t>8</w:t>
            </w:r>
          </w:p>
        </w:tc>
        <w:tc>
          <w:tcPr>
            <w:tcW w:w="3466" w:type="dxa"/>
            <w:tcMar>
              <w:left w:w="0" w:type="dxa"/>
              <w:right w:w="0" w:type="dxa"/>
            </w:tcMar>
            <w:vAlign w:val="center"/>
          </w:tcPr>
          <w:p>
            <w:pPr>
              <w:snapToGrid w:val="0"/>
              <w:ind w:left="42" w:leftChars="20" w:right="42" w:rightChars="20"/>
              <w:rPr>
                <w:rFonts w:hint="eastAsia"/>
                <w:sz w:val="21"/>
                <w:szCs w:val="21"/>
              </w:rPr>
            </w:pPr>
            <w:r>
              <w:rPr>
                <w:rFonts w:hint="eastAsia"/>
                <w:sz w:val="21"/>
                <w:szCs w:val="21"/>
              </w:rPr>
              <w:t>下旁承分解压装机</w:t>
            </w:r>
          </w:p>
        </w:tc>
        <w:tc>
          <w:tcPr>
            <w:tcW w:w="1415" w:type="dxa"/>
            <w:tcMar>
              <w:left w:w="0" w:type="dxa"/>
              <w:right w:w="0" w:type="dxa"/>
            </w:tcMar>
            <w:vAlign w:val="center"/>
          </w:tcPr>
          <w:p>
            <w:pPr>
              <w:snapToGrid w:val="0"/>
              <w:jc w:val="center"/>
              <w:rPr>
                <w:sz w:val="21"/>
                <w:szCs w:val="21"/>
              </w:rPr>
            </w:pPr>
            <w:r>
              <w:rPr>
                <w:rFonts w:hint="eastAsia"/>
                <w:sz w:val="21"/>
                <w:szCs w:val="21"/>
              </w:rPr>
              <w:t>台</w:t>
            </w:r>
          </w:p>
        </w:tc>
        <w:tc>
          <w:tcPr>
            <w:tcW w:w="1426" w:type="dxa"/>
            <w:tcMar>
              <w:left w:w="0" w:type="dxa"/>
              <w:right w:w="0" w:type="dxa"/>
            </w:tcMar>
            <w:vAlign w:val="center"/>
          </w:tcPr>
          <w:p>
            <w:pPr>
              <w:snapToGrid w:val="0"/>
              <w:jc w:val="center"/>
              <w:rPr>
                <w:sz w:val="21"/>
                <w:szCs w:val="21"/>
              </w:rPr>
            </w:pPr>
            <w:r>
              <w:rPr>
                <w:sz w:val="21"/>
                <w:szCs w:val="21"/>
              </w:rPr>
              <w:t>1</w:t>
            </w:r>
          </w:p>
        </w:tc>
        <w:tc>
          <w:tcPr>
            <w:tcW w:w="1840" w:type="dxa"/>
            <w:tcMar>
              <w:left w:w="0" w:type="dxa"/>
              <w:right w:w="0" w:type="dxa"/>
            </w:tcMar>
            <w:vAlign w:val="center"/>
          </w:tcPr>
          <w:p>
            <w:pPr>
              <w:snapToGrid w:val="0"/>
              <w:ind w:left="42" w:leftChars="20" w:right="42" w:rightChars="20"/>
              <w:jc w:val="center"/>
              <w:rPr>
                <w:rFonts w:hint="eastAsia"/>
                <w:sz w:val="21"/>
                <w:szCs w:val="21"/>
              </w:rPr>
            </w:pPr>
            <w:r>
              <w:rPr>
                <w:rFonts w:hint="eastAsia"/>
                <w:sz w:val="21"/>
                <w:szCs w:val="21"/>
              </w:rPr>
              <w:t>移设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425" w:hRule="atLeast"/>
        </w:trPr>
        <w:tc>
          <w:tcPr>
            <w:tcW w:w="851" w:type="dxa"/>
            <w:tcMar>
              <w:left w:w="0" w:type="dxa"/>
              <w:right w:w="0" w:type="dxa"/>
            </w:tcMar>
            <w:vAlign w:val="center"/>
          </w:tcPr>
          <w:p>
            <w:pPr>
              <w:snapToGrid w:val="0"/>
              <w:jc w:val="center"/>
              <w:rPr>
                <w:rFonts w:hint="eastAsia" w:eastAsia="宋体"/>
                <w:sz w:val="21"/>
                <w:szCs w:val="21"/>
                <w:lang w:eastAsia="zh-CN"/>
              </w:rPr>
            </w:pPr>
            <w:r>
              <w:rPr>
                <w:rFonts w:hint="eastAsia"/>
                <w:sz w:val="21"/>
                <w:szCs w:val="21"/>
                <w:lang w:val="en-US" w:eastAsia="zh-CN"/>
              </w:rPr>
              <w:t>9</w:t>
            </w:r>
          </w:p>
        </w:tc>
        <w:tc>
          <w:tcPr>
            <w:tcW w:w="3466" w:type="dxa"/>
            <w:tcMar>
              <w:left w:w="0" w:type="dxa"/>
              <w:right w:w="0" w:type="dxa"/>
            </w:tcMar>
            <w:vAlign w:val="center"/>
          </w:tcPr>
          <w:p>
            <w:pPr>
              <w:snapToGrid w:val="0"/>
              <w:ind w:left="42" w:leftChars="20" w:right="42" w:rightChars="20"/>
              <w:rPr>
                <w:rFonts w:hint="eastAsia"/>
                <w:sz w:val="21"/>
                <w:szCs w:val="21"/>
              </w:rPr>
            </w:pPr>
            <w:r>
              <w:rPr>
                <w:rFonts w:hint="eastAsia"/>
                <w:sz w:val="21"/>
                <w:szCs w:val="21"/>
              </w:rPr>
              <w:t>交叉杆探伤机</w:t>
            </w:r>
          </w:p>
        </w:tc>
        <w:tc>
          <w:tcPr>
            <w:tcW w:w="1415" w:type="dxa"/>
            <w:tcMar>
              <w:left w:w="0" w:type="dxa"/>
              <w:right w:w="0" w:type="dxa"/>
            </w:tcMar>
            <w:vAlign w:val="center"/>
          </w:tcPr>
          <w:p>
            <w:pPr>
              <w:snapToGrid w:val="0"/>
              <w:jc w:val="center"/>
              <w:rPr>
                <w:sz w:val="21"/>
                <w:szCs w:val="21"/>
              </w:rPr>
            </w:pPr>
            <w:r>
              <w:rPr>
                <w:rFonts w:hint="eastAsia"/>
                <w:sz w:val="21"/>
                <w:szCs w:val="21"/>
              </w:rPr>
              <w:t>台</w:t>
            </w:r>
          </w:p>
        </w:tc>
        <w:tc>
          <w:tcPr>
            <w:tcW w:w="1426" w:type="dxa"/>
            <w:tcMar>
              <w:left w:w="0" w:type="dxa"/>
              <w:right w:w="0" w:type="dxa"/>
            </w:tcMar>
            <w:vAlign w:val="center"/>
          </w:tcPr>
          <w:p>
            <w:pPr>
              <w:snapToGrid w:val="0"/>
              <w:jc w:val="center"/>
              <w:rPr>
                <w:sz w:val="21"/>
                <w:szCs w:val="21"/>
              </w:rPr>
            </w:pPr>
            <w:r>
              <w:rPr>
                <w:sz w:val="21"/>
                <w:szCs w:val="21"/>
              </w:rPr>
              <w:t>1</w:t>
            </w:r>
          </w:p>
        </w:tc>
        <w:tc>
          <w:tcPr>
            <w:tcW w:w="1840" w:type="dxa"/>
            <w:tcMar>
              <w:left w:w="0" w:type="dxa"/>
              <w:right w:w="0" w:type="dxa"/>
            </w:tcMar>
            <w:vAlign w:val="center"/>
          </w:tcPr>
          <w:p>
            <w:pPr>
              <w:snapToGrid w:val="0"/>
              <w:ind w:left="42" w:leftChars="20" w:right="42" w:rightChars="20"/>
              <w:jc w:val="center"/>
              <w:rPr>
                <w:rFonts w:hint="eastAsia"/>
                <w:sz w:val="21"/>
                <w:szCs w:val="21"/>
              </w:rPr>
            </w:pPr>
            <w:r>
              <w:rPr>
                <w:rFonts w:hint="eastAsia"/>
                <w:sz w:val="21"/>
                <w:szCs w:val="21"/>
              </w:rPr>
              <w:t>移设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425" w:hRule="atLeast"/>
        </w:trPr>
        <w:tc>
          <w:tcPr>
            <w:tcW w:w="851" w:type="dxa"/>
            <w:tcMar>
              <w:left w:w="0" w:type="dxa"/>
              <w:right w:w="0" w:type="dxa"/>
            </w:tcMar>
            <w:vAlign w:val="center"/>
          </w:tcPr>
          <w:p>
            <w:pPr>
              <w:snapToGrid w:val="0"/>
              <w:jc w:val="center"/>
              <w:rPr>
                <w:rFonts w:hint="eastAsia" w:eastAsia="宋体"/>
                <w:sz w:val="21"/>
                <w:szCs w:val="21"/>
                <w:lang w:eastAsia="zh-CN"/>
              </w:rPr>
            </w:pPr>
            <w:r>
              <w:rPr>
                <w:sz w:val="21"/>
                <w:szCs w:val="21"/>
              </w:rPr>
              <w:t>1</w:t>
            </w:r>
            <w:r>
              <w:rPr>
                <w:rFonts w:hint="eastAsia"/>
                <w:sz w:val="21"/>
                <w:szCs w:val="21"/>
                <w:lang w:val="en-US" w:eastAsia="zh-CN"/>
              </w:rPr>
              <w:t>0</w:t>
            </w:r>
          </w:p>
        </w:tc>
        <w:tc>
          <w:tcPr>
            <w:tcW w:w="3466" w:type="dxa"/>
            <w:tcMar>
              <w:left w:w="0" w:type="dxa"/>
              <w:right w:w="0" w:type="dxa"/>
            </w:tcMar>
            <w:vAlign w:val="center"/>
          </w:tcPr>
          <w:p>
            <w:pPr>
              <w:snapToGrid w:val="0"/>
              <w:ind w:left="42" w:leftChars="20" w:right="42" w:rightChars="20"/>
              <w:rPr>
                <w:rFonts w:hint="eastAsia"/>
                <w:sz w:val="21"/>
                <w:szCs w:val="21"/>
              </w:rPr>
            </w:pPr>
            <w:r>
              <w:rPr>
                <w:rFonts w:hint="eastAsia"/>
                <w:sz w:val="21"/>
                <w:szCs w:val="21"/>
              </w:rPr>
              <w:t>侧架摇枕探伤机</w:t>
            </w:r>
          </w:p>
        </w:tc>
        <w:tc>
          <w:tcPr>
            <w:tcW w:w="1415" w:type="dxa"/>
            <w:tcMar>
              <w:left w:w="0" w:type="dxa"/>
              <w:right w:w="0" w:type="dxa"/>
            </w:tcMar>
            <w:vAlign w:val="center"/>
          </w:tcPr>
          <w:p>
            <w:pPr>
              <w:snapToGrid w:val="0"/>
              <w:jc w:val="center"/>
              <w:rPr>
                <w:sz w:val="21"/>
                <w:szCs w:val="21"/>
              </w:rPr>
            </w:pPr>
            <w:r>
              <w:rPr>
                <w:rFonts w:hint="eastAsia"/>
                <w:sz w:val="21"/>
                <w:szCs w:val="21"/>
              </w:rPr>
              <w:t>台</w:t>
            </w:r>
          </w:p>
        </w:tc>
        <w:tc>
          <w:tcPr>
            <w:tcW w:w="1426" w:type="dxa"/>
            <w:tcMar>
              <w:left w:w="0" w:type="dxa"/>
              <w:right w:w="0" w:type="dxa"/>
            </w:tcMar>
            <w:vAlign w:val="center"/>
          </w:tcPr>
          <w:p>
            <w:pPr>
              <w:snapToGrid w:val="0"/>
              <w:jc w:val="center"/>
              <w:rPr>
                <w:sz w:val="21"/>
                <w:szCs w:val="21"/>
              </w:rPr>
            </w:pPr>
            <w:r>
              <w:rPr>
                <w:sz w:val="21"/>
                <w:szCs w:val="21"/>
              </w:rPr>
              <w:t>1</w:t>
            </w:r>
          </w:p>
        </w:tc>
        <w:tc>
          <w:tcPr>
            <w:tcW w:w="1840" w:type="dxa"/>
            <w:tcMar>
              <w:left w:w="0" w:type="dxa"/>
              <w:right w:w="0" w:type="dxa"/>
            </w:tcMar>
            <w:vAlign w:val="center"/>
          </w:tcPr>
          <w:p>
            <w:pPr>
              <w:snapToGrid w:val="0"/>
              <w:ind w:left="42" w:leftChars="20" w:right="42" w:rightChars="20"/>
              <w:jc w:val="center"/>
              <w:rPr>
                <w:rFonts w:hint="eastAsia"/>
                <w:sz w:val="21"/>
                <w:szCs w:val="21"/>
              </w:rPr>
            </w:pPr>
            <w:r>
              <w:rPr>
                <w:rFonts w:hint="eastAsia"/>
                <w:sz w:val="21"/>
                <w:szCs w:val="21"/>
              </w:rPr>
              <w:t>移设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425" w:hRule="atLeast"/>
        </w:trPr>
        <w:tc>
          <w:tcPr>
            <w:tcW w:w="851" w:type="dxa"/>
            <w:tcMar>
              <w:left w:w="0" w:type="dxa"/>
              <w:right w:w="0" w:type="dxa"/>
            </w:tcMar>
            <w:vAlign w:val="center"/>
          </w:tcPr>
          <w:p>
            <w:pPr>
              <w:snapToGrid w:val="0"/>
              <w:jc w:val="center"/>
              <w:rPr>
                <w:rFonts w:hint="eastAsia" w:eastAsia="宋体"/>
                <w:sz w:val="21"/>
                <w:szCs w:val="21"/>
                <w:lang w:eastAsia="zh-CN"/>
              </w:rPr>
            </w:pPr>
            <w:r>
              <w:rPr>
                <w:sz w:val="21"/>
                <w:szCs w:val="21"/>
              </w:rPr>
              <w:t>1</w:t>
            </w:r>
            <w:r>
              <w:rPr>
                <w:rFonts w:hint="eastAsia"/>
                <w:sz w:val="21"/>
                <w:szCs w:val="21"/>
                <w:lang w:val="en-US" w:eastAsia="zh-CN"/>
              </w:rPr>
              <w:t>1</w:t>
            </w:r>
          </w:p>
        </w:tc>
        <w:tc>
          <w:tcPr>
            <w:tcW w:w="3466" w:type="dxa"/>
            <w:tcMar>
              <w:left w:w="0" w:type="dxa"/>
              <w:right w:w="0" w:type="dxa"/>
            </w:tcMar>
            <w:vAlign w:val="center"/>
          </w:tcPr>
          <w:p>
            <w:pPr>
              <w:snapToGrid w:val="0"/>
              <w:ind w:left="42" w:leftChars="20" w:right="42" w:rightChars="20"/>
              <w:rPr>
                <w:rFonts w:hint="eastAsia"/>
                <w:sz w:val="21"/>
                <w:szCs w:val="21"/>
              </w:rPr>
            </w:pPr>
            <w:r>
              <w:rPr>
                <w:rFonts w:hint="eastAsia"/>
                <w:sz w:val="21"/>
                <w:szCs w:val="21"/>
              </w:rPr>
              <w:t>制动梁检测机</w:t>
            </w:r>
          </w:p>
        </w:tc>
        <w:tc>
          <w:tcPr>
            <w:tcW w:w="1415" w:type="dxa"/>
            <w:tcMar>
              <w:left w:w="0" w:type="dxa"/>
              <w:right w:w="0" w:type="dxa"/>
            </w:tcMar>
            <w:vAlign w:val="center"/>
          </w:tcPr>
          <w:p>
            <w:pPr>
              <w:snapToGrid w:val="0"/>
              <w:jc w:val="center"/>
              <w:rPr>
                <w:sz w:val="21"/>
                <w:szCs w:val="21"/>
              </w:rPr>
            </w:pPr>
            <w:r>
              <w:rPr>
                <w:rFonts w:hint="eastAsia"/>
                <w:sz w:val="21"/>
                <w:szCs w:val="21"/>
              </w:rPr>
              <w:t>台</w:t>
            </w:r>
          </w:p>
        </w:tc>
        <w:tc>
          <w:tcPr>
            <w:tcW w:w="1426" w:type="dxa"/>
            <w:tcMar>
              <w:left w:w="0" w:type="dxa"/>
              <w:right w:w="0" w:type="dxa"/>
            </w:tcMar>
            <w:vAlign w:val="center"/>
          </w:tcPr>
          <w:p>
            <w:pPr>
              <w:snapToGrid w:val="0"/>
              <w:jc w:val="center"/>
              <w:rPr>
                <w:sz w:val="21"/>
                <w:szCs w:val="21"/>
              </w:rPr>
            </w:pPr>
            <w:r>
              <w:rPr>
                <w:sz w:val="21"/>
                <w:szCs w:val="21"/>
              </w:rPr>
              <w:t>1</w:t>
            </w:r>
          </w:p>
        </w:tc>
        <w:tc>
          <w:tcPr>
            <w:tcW w:w="1840" w:type="dxa"/>
            <w:tcMar>
              <w:left w:w="0" w:type="dxa"/>
              <w:right w:w="0" w:type="dxa"/>
            </w:tcMar>
            <w:vAlign w:val="center"/>
          </w:tcPr>
          <w:p>
            <w:pPr>
              <w:snapToGrid w:val="0"/>
              <w:ind w:left="42" w:leftChars="20" w:right="42" w:rightChars="20"/>
              <w:jc w:val="center"/>
              <w:rPr>
                <w:rFonts w:hint="eastAsia"/>
                <w:sz w:val="21"/>
                <w:szCs w:val="21"/>
              </w:rPr>
            </w:pPr>
            <w:r>
              <w:rPr>
                <w:rFonts w:hint="eastAsia"/>
                <w:sz w:val="21"/>
                <w:szCs w:val="21"/>
              </w:rPr>
              <w:t>移设</w:t>
            </w:r>
          </w:p>
        </w:tc>
      </w:tr>
    </w:tbl>
    <w:p>
      <w:pPr>
        <w:spacing w:line="360" w:lineRule="auto"/>
        <w:rPr>
          <w:rFonts w:hint="eastAsia" w:ascii="宋体" w:hAnsi="宋体"/>
          <w:sz w:val="21"/>
          <w:szCs w:val="21"/>
        </w:rPr>
      </w:pPr>
      <w:bookmarkStart w:id="18" w:name="_Toc332108687"/>
      <w:bookmarkStart w:id="19" w:name="_Toc332912095"/>
      <w:r>
        <w:rPr>
          <w:rFonts w:hint="eastAsia" w:ascii="宋体" w:hAnsi="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lang w:val="en-US" w:eastAsia="zh-CN"/>
        </w:rPr>
        <w:t>3.1.</w:t>
      </w:r>
      <w:r>
        <w:rPr>
          <w:rFonts w:hint="eastAsia" w:ascii="宋体" w:hAnsi="宋体"/>
          <w:sz w:val="21"/>
          <w:szCs w:val="21"/>
          <w:lang w:val="en-US" w:eastAsia="zh-CN"/>
        </w:rPr>
        <w:t>3</w:t>
      </w:r>
      <w:r>
        <w:rPr>
          <w:rFonts w:hint="eastAsia" w:ascii="宋体" w:hAnsi="宋体"/>
          <w:sz w:val="21"/>
          <w:szCs w:val="21"/>
        </w:rPr>
        <w:t>转向架检修线在长</w:t>
      </w:r>
      <w:r>
        <w:rPr>
          <w:rFonts w:hint="eastAsia" w:ascii="宋体" w:hAnsi="宋体"/>
          <w:sz w:val="21"/>
          <w:szCs w:val="21"/>
          <w:lang w:val="en-US" w:eastAsia="zh-CN"/>
        </w:rPr>
        <w:t>8</w:t>
      </w:r>
      <w:r>
        <w:rPr>
          <w:rFonts w:hint="eastAsia" w:ascii="宋体" w:hAnsi="宋体"/>
          <w:sz w:val="21"/>
          <w:szCs w:val="21"/>
        </w:rPr>
        <w:t>0米，宽12米范围内布置。</w:t>
      </w:r>
    </w:p>
    <w:bookmarkEnd w:id="18"/>
    <w:bookmarkEnd w:id="19"/>
    <w:p>
      <w:pPr>
        <w:spacing w:line="360" w:lineRule="auto"/>
        <w:rPr>
          <w:rFonts w:hint="eastAsia" w:ascii="宋体" w:hAnsi="宋体"/>
          <w:b w:val="0"/>
          <w:bCs/>
          <w:sz w:val="21"/>
          <w:szCs w:val="21"/>
        </w:rPr>
      </w:pPr>
      <w:r>
        <w:rPr>
          <w:rFonts w:hint="eastAsia" w:ascii="宋体" w:hAnsi="宋体" w:eastAsia="宋体" w:cs="宋体"/>
          <w:b w:val="0"/>
          <w:bCs/>
          <w:color w:val="auto"/>
          <w:sz w:val="21"/>
          <w:szCs w:val="21"/>
          <w:highlight w:val="none"/>
          <w:lang w:val="en-US" w:eastAsia="zh-CN"/>
        </w:rPr>
        <w:t>3.1.</w:t>
      </w:r>
      <w:r>
        <w:rPr>
          <w:rFonts w:hint="eastAsia" w:ascii="宋体" w:hAnsi="宋体"/>
          <w:b w:val="0"/>
          <w:bCs/>
          <w:sz w:val="21"/>
          <w:szCs w:val="21"/>
          <w:lang w:val="en-US" w:eastAsia="zh-CN"/>
        </w:rPr>
        <w:t>4</w:t>
      </w:r>
      <w:r>
        <w:rPr>
          <w:rFonts w:hint="eastAsia" w:ascii="宋体" w:hAnsi="宋体"/>
          <w:b w:val="0"/>
          <w:bCs/>
          <w:sz w:val="21"/>
          <w:szCs w:val="21"/>
        </w:rPr>
        <w:t>设备基础</w:t>
      </w:r>
      <w:r>
        <w:rPr>
          <w:rFonts w:hint="eastAsia" w:ascii="宋体" w:hAnsi="宋体"/>
          <w:b w:val="0"/>
          <w:bCs/>
          <w:sz w:val="21"/>
          <w:szCs w:val="21"/>
          <w:lang w:val="en-US" w:eastAsia="zh-CN"/>
        </w:rPr>
        <w:t>:</w:t>
      </w:r>
      <w:r>
        <w:rPr>
          <w:rFonts w:hint="eastAsia" w:ascii="宋体" w:hAnsi="宋体"/>
          <w:b w:val="0"/>
          <w:bCs/>
          <w:sz w:val="21"/>
          <w:szCs w:val="21"/>
        </w:rPr>
        <w:t>负责所有设备的基础设计</w:t>
      </w:r>
      <w:r>
        <w:rPr>
          <w:rFonts w:hint="eastAsia" w:ascii="宋体" w:hAnsi="宋体"/>
          <w:b w:val="0"/>
          <w:bCs/>
          <w:sz w:val="21"/>
          <w:szCs w:val="21"/>
          <w:lang w:eastAsia="zh-CN"/>
        </w:rPr>
        <w:t>、电源线的布置</w:t>
      </w:r>
      <w:r>
        <w:rPr>
          <w:rFonts w:hint="eastAsia" w:ascii="宋体" w:hAnsi="宋体"/>
          <w:b w:val="0"/>
          <w:bCs/>
          <w:sz w:val="21"/>
          <w:szCs w:val="21"/>
        </w:rPr>
        <w:t>及施工</w:t>
      </w:r>
      <w:r>
        <w:rPr>
          <w:rFonts w:hint="eastAsia" w:ascii="宋体" w:hAnsi="宋体"/>
          <w:b w:val="0"/>
          <w:bCs/>
          <w:sz w:val="21"/>
          <w:szCs w:val="21"/>
          <w:lang w:eastAsia="zh-CN"/>
        </w:rPr>
        <w:t>，多余轨道的铺设或拆除、迁移设备后原有基础回填及地面的恢复</w:t>
      </w:r>
      <w:r>
        <w:rPr>
          <w:rFonts w:hint="eastAsia" w:ascii="宋体" w:hAnsi="宋体"/>
          <w:b w:val="0"/>
          <w:bCs/>
          <w:sz w:val="21"/>
          <w:szCs w:val="21"/>
        </w:rPr>
        <w:t>。</w:t>
      </w:r>
    </w:p>
    <w:p>
      <w:pPr>
        <w:keepNext w:val="0"/>
        <w:keepLines w:val="0"/>
        <w:pageBreakBefore w:val="0"/>
        <w:kinsoku/>
        <w:wordWrap/>
        <w:overflowPunct/>
        <w:topLinePunct w:val="0"/>
        <w:autoSpaceDE/>
        <w:autoSpaceDN/>
        <w:bidi w:val="0"/>
        <w:adjustRightInd w:val="0"/>
        <w:snapToGrid/>
        <w:spacing w:line="500" w:lineRule="exact"/>
        <w:ind w:left="0" w:leftChars="0" w:right="0" w:rightChars="0"/>
        <w:textAlignment w:val="auto"/>
        <w:rPr>
          <w:rFonts w:hint="eastAsia" w:ascii="宋体" w:hAnsi="宋体" w:eastAsia="宋体" w:cs="宋体"/>
          <w:bCs/>
          <w:sz w:val="21"/>
          <w:szCs w:val="21"/>
          <w:highlight w:val="none"/>
        </w:rPr>
      </w:pPr>
      <w:r>
        <w:rPr>
          <w:rFonts w:hint="eastAsia" w:ascii="宋体" w:hAnsi="宋体" w:eastAsia="宋体" w:cs="宋体"/>
          <w:sz w:val="21"/>
          <w:szCs w:val="21"/>
          <w:highlight w:val="none"/>
        </w:rPr>
        <w:t>*3.2</w:t>
      </w:r>
      <w:r>
        <w:rPr>
          <w:rFonts w:hint="eastAsia" w:ascii="宋体" w:hAnsi="宋体" w:cs="宋体"/>
          <w:sz w:val="21"/>
          <w:szCs w:val="21"/>
          <w:highlight w:val="none"/>
          <w:lang w:eastAsia="zh-CN"/>
        </w:rPr>
        <w:t>投标方</w:t>
      </w:r>
      <w:r>
        <w:rPr>
          <w:rFonts w:hint="eastAsia" w:ascii="宋体" w:hAnsi="宋体" w:eastAsia="宋体" w:cs="宋体"/>
          <w:bCs/>
          <w:sz w:val="21"/>
          <w:szCs w:val="21"/>
          <w:highlight w:val="none"/>
        </w:rPr>
        <w:t>按如下要求对投标设备的结构、性能进行详细描述。</w:t>
      </w:r>
    </w:p>
    <w:p>
      <w:pPr>
        <w:keepNext w:val="0"/>
        <w:keepLines w:val="0"/>
        <w:pageBreakBefore w:val="0"/>
        <w:kinsoku/>
        <w:wordWrap/>
        <w:overflowPunct/>
        <w:topLinePunct w:val="0"/>
        <w:autoSpaceDE/>
        <w:autoSpaceDN/>
        <w:bidi w:val="0"/>
        <w:adjustRightInd w:val="0"/>
        <w:snapToGrid/>
        <w:spacing w:line="500" w:lineRule="exact"/>
        <w:ind w:left="0" w:leftChars="0" w:right="0" w:rightChars="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3.2.1</w:t>
      </w:r>
      <w:r>
        <w:rPr>
          <w:rFonts w:hint="eastAsia" w:ascii="宋体" w:hAnsi="宋体" w:cs="宋体"/>
          <w:bCs/>
          <w:sz w:val="21"/>
          <w:szCs w:val="21"/>
          <w:highlight w:val="none"/>
          <w:lang w:val="en-US" w:eastAsia="zh-CN"/>
        </w:rPr>
        <w:t xml:space="preserve"> </w:t>
      </w:r>
      <w:r>
        <w:rPr>
          <w:rFonts w:hint="eastAsia" w:ascii="宋体"/>
          <w:b w:val="0"/>
          <w:bCs/>
          <w:sz w:val="21"/>
          <w:szCs w:val="21"/>
          <w:lang w:val="en-US" w:eastAsia="zh-CN"/>
        </w:rPr>
        <w:t>悬臂式转向架流水线</w:t>
      </w:r>
      <w:r>
        <w:rPr>
          <w:rFonts w:hint="eastAsia" w:ascii="宋体" w:hAnsi="宋体" w:eastAsia="宋体" w:cs="宋体"/>
          <w:bCs/>
          <w:sz w:val="21"/>
          <w:szCs w:val="21"/>
          <w:highlight w:val="none"/>
          <w:lang w:eastAsia="zh-CN"/>
        </w:rPr>
        <w:t>中每项设备</w:t>
      </w:r>
      <w:r>
        <w:rPr>
          <w:rFonts w:hint="eastAsia" w:ascii="宋体" w:hAnsi="宋体" w:eastAsia="宋体" w:cs="宋体"/>
          <w:bCs/>
          <w:sz w:val="21"/>
          <w:szCs w:val="21"/>
          <w:highlight w:val="none"/>
        </w:rPr>
        <w:t>的构</w:t>
      </w:r>
      <w:r>
        <w:rPr>
          <w:rFonts w:hint="eastAsia" w:ascii="宋体" w:hAnsi="宋体" w:eastAsia="宋体" w:cs="宋体"/>
          <w:sz w:val="21"/>
          <w:szCs w:val="21"/>
          <w:highlight w:val="none"/>
        </w:rPr>
        <w:t>造；</w:t>
      </w:r>
    </w:p>
    <w:p>
      <w:pPr>
        <w:keepNext w:val="0"/>
        <w:keepLines w:val="0"/>
        <w:pageBreakBefore w:val="0"/>
        <w:kinsoku/>
        <w:wordWrap/>
        <w:overflowPunct/>
        <w:topLinePunct w:val="0"/>
        <w:autoSpaceDE/>
        <w:autoSpaceDN/>
        <w:bidi w:val="0"/>
        <w:snapToGrid/>
        <w:spacing w:line="500" w:lineRule="exact"/>
        <w:ind w:left="0" w:leftChars="0"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3.2.2各部件的规格型号、生产厂家、技术参数；</w:t>
      </w:r>
    </w:p>
    <w:p>
      <w:pPr>
        <w:keepNext w:val="0"/>
        <w:keepLines w:val="0"/>
        <w:pageBreakBefore w:val="0"/>
        <w:kinsoku/>
        <w:wordWrap/>
        <w:overflowPunct/>
        <w:topLinePunct w:val="0"/>
        <w:autoSpaceDE/>
        <w:autoSpaceDN/>
        <w:bidi w:val="0"/>
        <w:snapToGrid/>
        <w:spacing w:line="500" w:lineRule="exact"/>
        <w:ind w:left="0" w:leftChars="0"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3.2.3</w:t>
      </w:r>
      <w:r>
        <w:rPr>
          <w:rFonts w:hint="eastAsia" w:ascii="宋体" w:hAnsi="宋体" w:cs="宋体"/>
          <w:sz w:val="21"/>
          <w:szCs w:val="21"/>
          <w:highlight w:val="none"/>
          <w:lang w:val="en-US" w:eastAsia="zh-CN"/>
        </w:rPr>
        <w:t xml:space="preserve"> </w:t>
      </w:r>
      <w:r>
        <w:rPr>
          <w:rFonts w:hint="eastAsia" w:ascii="宋体"/>
          <w:b w:val="0"/>
          <w:bCs/>
          <w:sz w:val="21"/>
          <w:szCs w:val="21"/>
          <w:lang w:val="en-US" w:eastAsia="zh-CN"/>
        </w:rPr>
        <w:t>悬臂式转向架流水线</w:t>
      </w:r>
      <w:r>
        <w:rPr>
          <w:rFonts w:hint="eastAsia" w:ascii="宋体" w:hAnsi="宋体" w:eastAsia="宋体" w:cs="宋体"/>
          <w:bCs/>
          <w:sz w:val="21"/>
          <w:szCs w:val="21"/>
          <w:highlight w:val="none"/>
          <w:lang w:eastAsia="zh-CN"/>
        </w:rPr>
        <w:t>中每项设备</w:t>
      </w:r>
      <w:r>
        <w:rPr>
          <w:rFonts w:hint="eastAsia" w:ascii="宋体" w:hAnsi="宋体" w:eastAsia="宋体" w:cs="宋体"/>
          <w:sz w:val="21"/>
          <w:szCs w:val="21"/>
          <w:highlight w:val="none"/>
        </w:rPr>
        <w:t>的主要技术指标；</w:t>
      </w:r>
    </w:p>
    <w:p>
      <w:pPr>
        <w:keepNext w:val="0"/>
        <w:keepLines w:val="0"/>
        <w:pageBreakBefore w:val="0"/>
        <w:kinsoku/>
        <w:wordWrap/>
        <w:overflowPunct/>
        <w:topLinePunct w:val="0"/>
        <w:autoSpaceDE/>
        <w:autoSpaceDN/>
        <w:bidi w:val="0"/>
        <w:snapToGrid/>
        <w:spacing w:line="500" w:lineRule="exact"/>
        <w:ind w:left="0" w:leftChars="0" w:right="0" w:rightChars="0"/>
        <w:textAlignment w:val="auto"/>
        <w:rPr>
          <w:rFonts w:hint="eastAsia" w:ascii="宋体"/>
          <w:sz w:val="21"/>
          <w:szCs w:val="21"/>
        </w:rPr>
      </w:pPr>
      <w:r>
        <w:rPr>
          <w:rFonts w:hint="eastAsia" w:ascii="宋体" w:hAnsi="宋体" w:eastAsia="宋体" w:cs="宋体"/>
          <w:sz w:val="21"/>
          <w:szCs w:val="21"/>
          <w:highlight w:val="none"/>
        </w:rPr>
        <w:t>3.2.4其它技术描述。</w:t>
      </w:r>
    </w:p>
    <w:p>
      <w:pPr>
        <w:keepNext w:val="0"/>
        <w:keepLines w:val="0"/>
        <w:pageBreakBefore w:val="0"/>
        <w:kinsoku/>
        <w:wordWrap/>
        <w:overflowPunct/>
        <w:topLinePunct w:val="0"/>
        <w:autoSpaceDE/>
        <w:autoSpaceDN/>
        <w:bidi w:val="0"/>
        <w:snapToGrid/>
        <w:spacing w:line="500" w:lineRule="exact"/>
        <w:ind w:left="0" w:leftChars="0" w:right="0" w:rightChars="0"/>
        <w:textAlignment w:val="auto"/>
        <w:rPr>
          <w:rFonts w:hint="eastAsia" w:ascii="宋体"/>
          <w:sz w:val="21"/>
          <w:szCs w:val="21"/>
          <w:u w:val="single"/>
        </w:rPr>
      </w:pPr>
      <w:r>
        <w:rPr>
          <w:rFonts w:hint="eastAsia" w:ascii="宋体" w:hAnsi="宋体" w:eastAsia="宋体" w:cs="宋体"/>
          <w:sz w:val="21"/>
          <w:szCs w:val="21"/>
          <w:highlight w:val="none"/>
        </w:rPr>
        <w:t>4.供货范围及交货时间</w:t>
      </w:r>
    </w:p>
    <w:p>
      <w:pPr>
        <w:keepNext w:val="0"/>
        <w:keepLines w:val="0"/>
        <w:pageBreakBefore w:val="0"/>
        <w:kinsoku/>
        <w:wordWrap/>
        <w:overflowPunct/>
        <w:topLinePunct w:val="0"/>
        <w:autoSpaceDE/>
        <w:autoSpaceDN/>
        <w:bidi w:val="0"/>
        <w:snapToGrid/>
        <w:spacing w:line="500" w:lineRule="exact"/>
        <w:ind w:left="0" w:leftChars="0" w:right="0" w:rightChars="0" w:firstLine="420" w:firstLineChars="200"/>
        <w:textAlignment w:val="auto"/>
        <w:rPr>
          <w:rFonts w:hint="eastAsia" w:ascii="宋体" w:hAnsi="宋体" w:eastAsia="宋体" w:cs="宋体"/>
          <w:sz w:val="21"/>
          <w:szCs w:val="21"/>
          <w:highlight w:val="none"/>
        </w:rPr>
      </w:pPr>
      <w:r>
        <w:rPr>
          <w:rFonts w:hint="eastAsia" w:ascii="宋体"/>
          <w:sz w:val="21"/>
          <w:szCs w:val="21"/>
        </w:rPr>
        <w:t xml:space="preserve"> </w:t>
      </w:r>
      <w:r>
        <w:rPr>
          <w:rFonts w:hint="eastAsia" w:ascii="宋体" w:hAnsi="宋体" w:eastAsia="宋体" w:cs="宋体"/>
          <w:sz w:val="21"/>
          <w:szCs w:val="21"/>
          <w:highlight w:val="none"/>
        </w:rPr>
        <w:t>完整的、全新的、符合制造标准的、满足本合同各项条件及技术要求的</w:t>
      </w:r>
      <w:r>
        <w:rPr>
          <w:rFonts w:hint="eastAsia" w:ascii="宋体" w:hAnsi="宋体" w:cs="宋体"/>
          <w:sz w:val="21"/>
          <w:szCs w:val="21"/>
          <w:highlight w:val="none"/>
          <w:lang w:eastAsia="zh-CN"/>
        </w:rPr>
        <w:t>悬臂式转向架流水线</w:t>
      </w:r>
      <w:r>
        <w:rPr>
          <w:rFonts w:hint="eastAsia" w:ascii="宋体" w:hAnsi="宋体" w:eastAsia="宋体" w:cs="宋体"/>
          <w:sz w:val="21"/>
          <w:szCs w:val="21"/>
          <w:highlight w:val="none"/>
        </w:rPr>
        <w:t>。其中包括安装调试设备所必需的全部零件和材料（如连接件、电气安装材料等）。供货范围详见下表（但不限于此；包含在本次报价内）。</w:t>
      </w:r>
    </w:p>
    <w:tbl>
      <w:tblPr>
        <w:tblStyle w:val="6"/>
        <w:tblW w:w="89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2657"/>
        <w:gridCol w:w="2099"/>
        <w:gridCol w:w="965"/>
        <w:gridCol w:w="2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882"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序号</w:t>
            </w:r>
          </w:p>
        </w:tc>
        <w:tc>
          <w:tcPr>
            <w:tcW w:w="265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名称</w:t>
            </w:r>
          </w:p>
        </w:tc>
        <w:tc>
          <w:tcPr>
            <w:tcW w:w="2099"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规格型号</w:t>
            </w:r>
          </w:p>
        </w:tc>
        <w:tc>
          <w:tcPr>
            <w:tcW w:w="965"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数量</w:t>
            </w:r>
          </w:p>
        </w:tc>
        <w:tc>
          <w:tcPr>
            <w:tcW w:w="231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供货时间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 w:hRule="atLeast"/>
          <w:jc w:val="center"/>
        </w:trPr>
        <w:tc>
          <w:tcPr>
            <w:tcW w:w="882" w:type="dxa"/>
            <w:vAlign w:val="center"/>
          </w:tcPr>
          <w:p>
            <w:pPr>
              <w:spacing w:line="360" w:lineRule="auto"/>
              <w:jc w:val="center"/>
              <w:rPr>
                <w:rFonts w:hint="eastAsia" w:ascii="宋体" w:hAnsi="宋体" w:eastAsia="宋体" w:cs="宋体"/>
                <w:color w:val="000000"/>
                <w:kern w:val="0"/>
                <w:sz w:val="21"/>
                <w:szCs w:val="21"/>
                <w:highlight w:val="none"/>
                <w:lang w:eastAsia="zh-CN"/>
              </w:rPr>
            </w:pPr>
            <w:r>
              <w:rPr>
                <w:rFonts w:hint="eastAsia" w:ascii="宋体" w:hAnsi="宋体"/>
                <w:color w:val="000000"/>
                <w:sz w:val="21"/>
                <w:szCs w:val="21"/>
                <w:lang w:val="en-US" w:eastAsia="zh-CN"/>
              </w:rPr>
              <w:t>1</w:t>
            </w:r>
          </w:p>
        </w:tc>
        <w:tc>
          <w:tcPr>
            <w:tcW w:w="2657" w:type="dxa"/>
            <w:vAlign w:val="center"/>
          </w:tcPr>
          <w:p>
            <w:pPr>
              <w:widowControl/>
              <w:jc w:val="left"/>
              <w:rPr>
                <w:rFonts w:hint="eastAsia" w:ascii="宋体"/>
                <w:b w:val="0"/>
                <w:bCs/>
                <w:sz w:val="21"/>
                <w:szCs w:val="21"/>
                <w:lang w:val="en-US" w:eastAsia="zh-CN"/>
              </w:rPr>
            </w:pPr>
            <w:r>
              <w:rPr>
                <w:rFonts w:hint="eastAsia" w:ascii="仿宋" w:hAnsi="仿宋" w:eastAsia="仿宋" w:cs="宋体"/>
                <w:kern w:val="0"/>
                <w:sz w:val="21"/>
                <w:szCs w:val="21"/>
              </w:rPr>
              <w:t>悬挂式转向架检修线</w:t>
            </w:r>
          </w:p>
        </w:tc>
        <w:tc>
          <w:tcPr>
            <w:tcW w:w="2099" w:type="dxa"/>
            <w:vAlign w:val="center"/>
          </w:tcPr>
          <w:p>
            <w:pPr>
              <w:widowControl/>
              <w:jc w:val="center"/>
              <w:rPr>
                <w:rFonts w:hint="eastAsia" w:ascii="宋体" w:hAnsi="宋体" w:eastAsia="宋体" w:cs="宋体"/>
                <w:color w:val="000000"/>
                <w:kern w:val="0"/>
                <w:sz w:val="21"/>
                <w:szCs w:val="21"/>
                <w:highlight w:val="none"/>
              </w:rPr>
            </w:pPr>
          </w:p>
        </w:tc>
        <w:tc>
          <w:tcPr>
            <w:tcW w:w="965" w:type="dxa"/>
            <w:vAlign w:val="center"/>
          </w:tcPr>
          <w:p>
            <w:pPr>
              <w:widowControl/>
              <w:jc w:val="center"/>
              <w:rPr>
                <w:rFonts w:hint="eastAsia" w:ascii="宋体" w:hAnsi="宋体" w:cs="宋体"/>
                <w:color w:val="000000"/>
                <w:kern w:val="0"/>
                <w:sz w:val="21"/>
                <w:szCs w:val="21"/>
                <w:highlight w:val="none"/>
                <w:lang w:val="en-US" w:eastAsia="zh-CN"/>
              </w:rPr>
            </w:pPr>
            <w:r>
              <w:rPr>
                <w:rFonts w:ascii="仿宋" w:hAnsi="仿宋" w:eastAsia="仿宋" w:cs="Arial"/>
                <w:kern w:val="0"/>
                <w:sz w:val="21"/>
                <w:szCs w:val="21"/>
              </w:rPr>
              <w:t>1</w:t>
            </w:r>
            <w:r>
              <w:rPr>
                <w:rFonts w:hint="eastAsia" w:ascii="仿宋" w:hAnsi="仿宋" w:eastAsia="仿宋" w:cs="宋体"/>
                <w:kern w:val="0"/>
                <w:sz w:val="21"/>
                <w:szCs w:val="21"/>
              </w:rPr>
              <w:t>套</w:t>
            </w:r>
          </w:p>
        </w:tc>
        <w:tc>
          <w:tcPr>
            <w:tcW w:w="231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left"/>
              <w:textAlignment w:val="auto"/>
              <w:rPr>
                <w:rFonts w:hint="eastAsia" w:ascii="宋体"/>
                <w:sz w:val="21"/>
                <w:szCs w:val="21"/>
                <w:lang w:eastAsia="zh-CN"/>
              </w:rPr>
            </w:pPr>
            <w:r>
              <w:rPr>
                <w:rFonts w:hint="eastAsia" w:ascii="宋体"/>
                <w:sz w:val="21"/>
                <w:szCs w:val="21"/>
                <w:lang w:eastAsia="zh-CN"/>
              </w:rPr>
              <w:t>合同</w:t>
            </w:r>
            <w:r>
              <w:rPr>
                <w:rFonts w:hint="eastAsia" w:ascii="宋体"/>
                <w:sz w:val="21"/>
                <w:szCs w:val="21"/>
                <w:lang w:val="en-US" w:eastAsia="zh-CN"/>
              </w:rPr>
              <w:t>生效后3个月</w:t>
            </w:r>
            <w:r>
              <w:rPr>
                <w:rFonts w:hint="eastAsia" w:ascii="宋体"/>
                <w:sz w:val="21"/>
                <w:szCs w:val="21"/>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 w:hRule="atLeast"/>
          <w:jc w:val="center"/>
        </w:trPr>
        <w:tc>
          <w:tcPr>
            <w:tcW w:w="882" w:type="dxa"/>
            <w:vAlign w:val="center"/>
          </w:tcPr>
          <w:p>
            <w:pPr>
              <w:spacing w:line="360" w:lineRule="auto"/>
              <w:jc w:val="center"/>
              <w:rPr>
                <w:rFonts w:hint="eastAsia" w:ascii="宋体" w:hAnsi="宋体" w:eastAsia="宋体" w:cs="宋体"/>
                <w:color w:val="auto"/>
                <w:kern w:val="0"/>
                <w:sz w:val="21"/>
                <w:szCs w:val="21"/>
                <w:highlight w:val="none"/>
                <w:lang w:val="en-US" w:eastAsia="zh-CN"/>
              </w:rPr>
            </w:pPr>
            <w:r>
              <w:rPr>
                <w:rFonts w:hint="eastAsia" w:ascii="宋体" w:hAnsi="宋体"/>
                <w:color w:val="auto"/>
                <w:sz w:val="21"/>
                <w:szCs w:val="21"/>
                <w:lang w:val="en-US" w:eastAsia="zh-CN"/>
              </w:rPr>
              <w:t>1.1</w:t>
            </w:r>
          </w:p>
        </w:tc>
        <w:tc>
          <w:tcPr>
            <w:tcW w:w="2657" w:type="dxa"/>
            <w:vAlign w:val="center"/>
          </w:tcPr>
          <w:p>
            <w:pPr>
              <w:widowControl/>
              <w:jc w:val="left"/>
              <w:rPr>
                <w:rFonts w:hint="eastAsia" w:ascii="宋体"/>
                <w:b w:val="0"/>
                <w:bCs/>
                <w:color w:val="auto"/>
                <w:sz w:val="21"/>
                <w:szCs w:val="21"/>
                <w:lang w:val="en-US" w:eastAsia="zh-CN"/>
              </w:rPr>
            </w:pPr>
            <w:r>
              <w:rPr>
                <w:rFonts w:hint="eastAsia" w:ascii="仿宋" w:hAnsi="仿宋" w:eastAsia="仿宋" w:cs="宋体"/>
                <w:color w:val="auto"/>
                <w:kern w:val="0"/>
                <w:sz w:val="21"/>
                <w:szCs w:val="21"/>
              </w:rPr>
              <w:t>转向架检修流水线主架（双层）</w:t>
            </w:r>
          </w:p>
        </w:tc>
        <w:tc>
          <w:tcPr>
            <w:tcW w:w="2099" w:type="dxa"/>
            <w:vAlign w:val="center"/>
          </w:tcPr>
          <w:p>
            <w:pPr>
              <w:widowControl/>
              <w:jc w:val="center"/>
              <w:rPr>
                <w:rFonts w:hint="eastAsia" w:ascii="宋体" w:hAnsi="宋体" w:eastAsia="宋体" w:cs="宋体"/>
                <w:color w:val="auto"/>
                <w:kern w:val="0"/>
                <w:sz w:val="21"/>
                <w:szCs w:val="21"/>
                <w:highlight w:val="none"/>
              </w:rPr>
            </w:pPr>
          </w:p>
        </w:tc>
        <w:tc>
          <w:tcPr>
            <w:tcW w:w="965" w:type="dxa"/>
            <w:vAlign w:val="center"/>
          </w:tcPr>
          <w:p>
            <w:pPr>
              <w:widowControl/>
              <w:jc w:val="center"/>
              <w:rPr>
                <w:rFonts w:hint="eastAsia" w:ascii="宋体" w:hAnsi="宋体" w:cs="宋体"/>
                <w:color w:val="auto"/>
                <w:kern w:val="0"/>
                <w:sz w:val="21"/>
                <w:szCs w:val="21"/>
                <w:highlight w:val="none"/>
                <w:lang w:val="en-US" w:eastAsia="zh-CN"/>
              </w:rPr>
            </w:pPr>
            <w:r>
              <w:rPr>
                <w:rFonts w:ascii="仿宋" w:hAnsi="仿宋" w:eastAsia="仿宋" w:cs="Arial"/>
                <w:color w:val="auto"/>
                <w:kern w:val="0"/>
                <w:sz w:val="21"/>
                <w:szCs w:val="21"/>
              </w:rPr>
              <w:t>62.9</w:t>
            </w:r>
            <w:r>
              <w:rPr>
                <w:rFonts w:hint="eastAsia" w:ascii="仿宋" w:hAnsi="仿宋" w:eastAsia="仿宋" w:cs="宋体"/>
                <w:color w:val="auto"/>
                <w:kern w:val="0"/>
                <w:sz w:val="21"/>
                <w:szCs w:val="21"/>
              </w:rPr>
              <w:t>米</w:t>
            </w:r>
          </w:p>
        </w:tc>
        <w:tc>
          <w:tcPr>
            <w:tcW w:w="231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left"/>
              <w:textAlignment w:val="auto"/>
              <w:rPr>
                <w:rFonts w:hint="eastAsia" w:ascii="宋体"/>
                <w:sz w:val="21"/>
                <w:szCs w:val="21"/>
                <w:lang w:eastAsia="zh-CN"/>
              </w:rPr>
            </w:pPr>
            <w:r>
              <w:rPr>
                <w:rFonts w:hint="eastAsia" w:ascii="宋体"/>
                <w:sz w:val="21"/>
                <w:szCs w:val="21"/>
                <w:lang w:eastAsia="zh-CN"/>
              </w:rPr>
              <w:t>合同</w:t>
            </w:r>
            <w:r>
              <w:rPr>
                <w:rFonts w:hint="eastAsia" w:ascii="宋体"/>
                <w:sz w:val="21"/>
                <w:szCs w:val="21"/>
                <w:lang w:val="en-US" w:eastAsia="zh-CN"/>
              </w:rPr>
              <w:t>生效后3个月</w:t>
            </w:r>
            <w:r>
              <w:rPr>
                <w:rFonts w:hint="eastAsia" w:ascii="宋体"/>
                <w:sz w:val="21"/>
                <w:szCs w:val="21"/>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 w:hRule="atLeast"/>
          <w:jc w:val="center"/>
        </w:trPr>
        <w:tc>
          <w:tcPr>
            <w:tcW w:w="882" w:type="dxa"/>
            <w:vAlign w:val="center"/>
          </w:tcPr>
          <w:p>
            <w:pPr>
              <w:spacing w:line="360" w:lineRule="auto"/>
              <w:jc w:val="center"/>
              <w:rPr>
                <w:rFonts w:hint="eastAsia" w:ascii="宋体" w:hAnsi="宋体" w:eastAsia="宋体" w:cs="宋体"/>
                <w:color w:val="auto"/>
                <w:kern w:val="0"/>
                <w:sz w:val="21"/>
                <w:szCs w:val="21"/>
                <w:highlight w:val="none"/>
                <w:lang w:val="en-US" w:eastAsia="zh-CN"/>
              </w:rPr>
            </w:pPr>
            <w:r>
              <w:rPr>
                <w:rFonts w:hint="eastAsia" w:ascii="宋体" w:hAnsi="宋体"/>
                <w:color w:val="auto"/>
                <w:sz w:val="21"/>
                <w:szCs w:val="21"/>
                <w:lang w:val="en-US" w:eastAsia="zh-CN"/>
              </w:rPr>
              <w:t>1.2</w:t>
            </w:r>
          </w:p>
        </w:tc>
        <w:tc>
          <w:tcPr>
            <w:tcW w:w="2657" w:type="dxa"/>
            <w:vAlign w:val="center"/>
          </w:tcPr>
          <w:p>
            <w:pPr>
              <w:widowControl/>
              <w:jc w:val="left"/>
              <w:rPr>
                <w:rFonts w:hint="eastAsia" w:ascii="宋体"/>
                <w:b w:val="0"/>
                <w:bCs/>
                <w:color w:val="auto"/>
                <w:sz w:val="21"/>
                <w:szCs w:val="21"/>
                <w:lang w:val="en-US" w:eastAsia="zh-CN"/>
              </w:rPr>
            </w:pPr>
            <w:r>
              <w:rPr>
                <w:rFonts w:hint="eastAsia" w:ascii="仿宋" w:hAnsi="仿宋" w:eastAsia="仿宋" w:cs="宋体"/>
                <w:color w:val="auto"/>
                <w:kern w:val="0"/>
                <w:sz w:val="21"/>
                <w:szCs w:val="21"/>
              </w:rPr>
              <w:t>转向架检修流水线主架（单层）</w:t>
            </w:r>
          </w:p>
        </w:tc>
        <w:tc>
          <w:tcPr>
            <w:tcW w:w="2099" w:type="dxa"/>
            <w:vAlign w:val="center"/>
          </w:tcPr>
          <w:p>
            <w:pPr>
              <w:widowControl/>
              <w:jc w:val="center"/>
              <w:rPr>
                <w:rFonts w:hint="eastAsia" w:ascii="宋体" w:hAnsi="宋体" w:eastAsia="宋体" w:cs="宋体"/>
                <w:color w:val="auto"/>
                <w:kern w:val="0"/>
                <w:sz w:val="21"/>
                <w:szCs w:val="21"/>
                <w:highlight w:val="none"/>
              </w:rPr>
            </w:pPr>
          </w:p>
        </w:tc>
        <w:tc>
          <w:tcPr>
            <w:tcW w:w="965" w:type="dxa"/>
            <w:vAlign w:val="center"/>
          </w:tcPr>
          <w:p>
            <w:pPr>
              <w:widowControl/>
              <w:jc w:val="center"/>
              <w:rPr>
                <w:rFonts w:hint="eastAsia" w:ascii="宋体" w:hAnsi="宋体" w:cs="宋体"/>
                <w:color w:val="auto"/>
                <w:kern w:val="0"/>
                <w:sz w:val="21"/>
                <w:szCs w:val="21"/>
                <w:highlight w:val="none"/>
                <w:lang w:val="en-US" w:eastAsia="zh-CN"/>
              </w:rPr>
            </w:pPr>
            <w:r>
              <w:rPr>
                <w:rFonts w:ascii="仿宋" w:hAnsi="仿宋" w:eastAsia="仿宋" w:cs="Arial"/>
                <w:color w:val="auto"/>
                <w:kern w:val="0"/>
                <w:sz w:val="21"/>
                <w:szCs w:val="21"/>
              </w:rPr>
              <w:t>10</w:t>
            </w:r>
            <w:r>
              <w:rPr>
                <w:rFonts w:hint="eastAsia" w:ascii="仿宋" w:hAnsi="仿宋" w:eastAsia="仿宋" w:cs="宋体"/>
                <w:color w:val="auto"/>
                <w:kern w:val="0"/>
                <w:sz w:val="21"/>
                <w:szCs w:val="21"/>
              </w:rPr>
              <w:t>米</w:t>
            </w:r>
          </w:p>
        </w:tc>
        <w:tc>
          <w:tcPr>
            <w:tcW w:w="231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left"/>
              <w:textAlignment w:val="auto"/>
              <w:rPr>
                <w:rFonts w:hint="eastAsia" w:ascii="宋体"/>
                <w:sz w:val="21"/>
                <w:szCs w:val="21"/>
                <w:lang w:eastAsia="zh-CN"/>
              </w:rPr>
            </w:pPr>
            <w:r>
              <w:rPr>
                <w:rFonts w:hint="eastAsia" w:ascii="宋体"/>
                <w:sz w:val="21"/>
                <w:szCs w:val="21"/>
                <w:lang w:eastAsia="zh-CN"/>
              </w:rPr>
              <w:t>合同</w:t>
            </w:r>
            <w:r>
              <w:rPr>
                <w:rFonts w:hint="eastAsia" w:ascii="宋体"/>
                <w:sz w:val="21"/>
                <w:szCs w:val="21"/>
                <w:lang w:val="en-US" w:eastAsia="zh-CN"/>
              </w:rPr>
              <w:t>生效后3个月</w:t>
            </w:r>
            <w:r>
              <w:rPr>
                <w:rFonts w:hint="eastAsia" w:ascii="宋体"/>
                <w:sz w:val="21"/>
                <w:szCs w:val="21"/>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 w:hRule="atLeast"/>
          <w:jc w:val="center"/>
        </w:trPr>
        <w:tc>
          <w:tcPr>
            <w:tcW w:w="882" w:type="dxa"/>
            <w:vAlign w:val="center"/>
          </w:tcPr>
          <w:p>
            <w:pPr>
              <w:spacing w:line="360" w:lineRule="auto"/>
              <w:jc w:val="center"/>
              <w:rPr>
                <w:rFonts w:hint="eastAsia" w:ascii="宋体" w:hAnsi="宋体" w:eastAsia="宋体" w:cs="宋体"/>
                <w:color w:val="auto"/>
                <w:kern w:val="0"/>
                <w:sz w:val="21"/>
                <w:szCs w:val="21"/>
                <w:highlight w:val="none"/>
                <w:lang w:val="en-US" w:eastAsia="zh-CN"/>
              </w:rPr>
            </w:pPr>
            <w:r>
              <w:rPr>
                <w:rFonts w:hint="eastAsia" w:ascii="宋体" w:hAnsi="宋体"/>
                <w:color w:val="auto"/>
                <w:sz w:val="21"/>
                <w:szCs w:val="21"/>
                <w:lang w:val="en-US" w:eastAsia="zh-CN"/>
              </w:rPr>
              <w:t>1.3</w:t>
            </w:r>
          </w:p>
        </w:tc>
        <w:tc>
          <w:tcPr>
            <w:tcW w:w="2657" w:type="dxa"/>
            <w:vAlign w:val="center"/>
          </w:tcPr>
          <w:p>
            <w:pPr>
              <w:widowControl/>
              <w:jc w:val="left"/>
              <w:rPr>
                <w:rFonts w:hint="eastAsia" w:ascii="宋体"/>
                <w:b w:val="0"/>
                <w:bCs/>
                <w:color w:val="auto"/>
                <w:sz w:val="21"/>
                <w:szCs w:val="21"/>
                <w:lang w:val="en-US" w:eastAsia="zh-CN"/>
              </w:rPr>
            </w:pPr>
            <w:r>
              <w:rPr>
                <w:rFonts w:hint="eastAsia" w:ascii="仿宋" w:hAnsi="仿宋" w:eastAsia="仿宋" w:cs="宋体"/>
                <w:color w:val="auto"/>
                <w:kern w:val="0"/>
                <w:sz w:val="21"/>
                <w:szCs w:val="21"/>
              </w:rPr>
              <w:t>悬挂检修小车</w:t>
            </w:r>
          </w:p>
        </w:tc>
        <w:tc>
          <w:tcPr>
            <w:tcW w:w="2099" w:type="dxa"/>
            <w:vAlign w:val="center"/>
          </w:tcPr>
          <w:p>
            <w:pPr>
              <w:widowControl/>
              <w:jc w:val="center"/>
              <w:rPr>
                <w:rFonts w:hint="eastAsia" w:ascii="宋体" w:hAnsi="宋体" w:eastAsia="宋体" w:cs="宋体"/>
                <w:color w:val="auto"/>
                <w:kern w:val="0"/>
                <w:sz w:val="21"/>
                <w:szCs w:val="21"/>
                <w:highlight w:val="none"/>
              </w:rPr>
            </w:pPr>
          </w:p>
        </w:tc>
        <w:tc>
          <w:tcPr>
            <w:tcW w:w="965" w:type="dxa"/>
            <w:vAlign w:val="center"/>
          </w:tcPr>
          <w:p>
            <w:pPr>
              <w:widowControl/>
              <w:jc w:val="center"/>
              <w:rPr>
                <w:rFonts w:hint="eastAsia" w:ascii="宋体" w:hAnsi="宋体" w:cs="宋体"/>
                <w:color w:val="auto"/>
                <w:kern w:val="0"/>
                <w:sz w:val="21"/>
                <w:szCs w:val="21"/>
                <w:highlight w:val="none"/>
                <w:lang w:val="en-US" w:eastAsia="zh-CN"/>
              </w:rPr>
            </w:pPr>
            <w:r>
              <w:rPr>
                <w:rFonts w:ascii="仿宋" w:hAnsi="仿宋" w:eastAsia="仿宋" w:cs="Arial"/>
                <w:color w:val="auto"/>
                <w:kern w:val="0"/>
                <w:sz w:val="21"/>
                <w:szCs w:val="21"/>
              </w:rPr>
              <w:t>12</w:t>
            </w:r>
            <w:r>
              <w:rPr>
                <w:rFonts w:hint="eastAsia" w:ascii="仿宋" w:hAnsi="仿宋" w:eastAsia="仿宋" w:cs="宋体"/>
                <w:color w:val="auto"/>
                <w:kern w:val="0"/>
                <w:sz w:val="21"/>
                <w:szCs w:val="21"/>
              </w:rPr>
              <w:t>台</w:t>
            </w:r>
          </w:p>
        </w:tc>
        <w:tc>
          <w:tcPr>
            <w:tcW w:w="231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left"/>
              <w:textAlignment w:val="auto"/>
              <w:rPr>
                <w:rFonts w:hint="eastAsia" w:ascii="宋体"/>
                <w:sz w:val="21"/>
                <w:szCs w:val="21"/>
                <w:lang w:eastAsia="zh-CN"/>
              </w:rPr>
            </w:pPr>
            <w:r>
              <w:rPr>
                <w:rFonts w:hint="eastAsia" w:ascii="宋体"/>
                <w:sz w:val="21"/>
                <w:szCs w:val="21"/>
                <w:lang w:eastAsia="zh-CN"/>
              </w:rPr>
              <w:t>合同</w:t>
            </w:r>
            <w:r>
              <w:rPr>
                <w:rFonts w:hint="eastAsia" w:ascii="宋体"/>
                <w:sz w:val="21"/>
                <w:szCs w:val="21"/>
                <w:lang w:val="en-US" w:eastAsia="zh-CN"/>
              </w:rPr>
              <w:t>生效后3个月</w:t>
            </w:r>
            <w:r>
              <w:rPr>
                <w:rFonts w:hint="eastAsia" w:ascii="宋体"/>
                <w:sz w:val="21"/>
                <w:szCs w:val="21"/>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 w:hRule="atLeast"/>
          <w:jc w:val="center"/>
        </w:trPr>
        <w:tc>
          <w:tcPr>
            <w:tcW w:w="882" w:type="dxa"/>
            <w:vAlign w:val="center"/>
          </w:tcPr>
          <w:p>
            <w:pPr>
              <w:spacing w:line="360" w:lineRule="auto"/>
              <w:jc w:val="center"/>
              <w:rPr>
                <w:rFonts w:hint="eastAsia" w:ascii="宋体" w:hAnsi="宋体" w:eastAsia="宋体" w:cs="宋体"/>
                <w:color w:val="auto"/>
                <w:kern w:val="0"/>
                <w:sz w:val="21"/>
                <w:szCs w:val="21"/>
                <w:highlight w:val="none"/>
                <w:lang w:val="en-US" w:eastAsia="zh-CN"/>
              </w:rPr>
            </w:pPr>
            <w:r>
              <w:rPr>
                <w:rFonts w:hint="eastAsia" w:ascii="宋体" w:hAnsi="宋体"/>
                <w:color w:val="auto"/>
                <w:sz w:val="21"/>
                <w:szCs w:val="21"/>
                <w:lang w:val="en-US" w:eastAsia="zh-CN"/>
              </w:rPr>
              <w:t>1.4</w:t>
            </w:r>
          </w:p>
        </w:tc>
        <w:tc>
          <w:tcPr>
            <w:tcW w:w="2657" w:type="dxa"/>
            <w:vAlign w:val="center"/>
          </w:tcPr>
          <w:p>
            <w:pPr>
              <w:widowControl/>
              <w:jc w:val="left"/>
              <w:rPr>
                <w:rFonts w:hint="eastAsia" w:ascii="宋体"/>
                <w:b w:val="0"/>
                <w:bCs/>
                <w:color w:val="auto"/>
                <w:sz w:val="21"/>
                <w:szCs w:val="21"/>
                <w:lang w:val="en-US" w:eastAsia="zh-CN"/>
              </w:rPr>
            </w:pPr>
            <w:r>
              <w:rPr>
                <w:rFonts w:hint="eastAsia" w:ascii="仿宋" w:hAnsi="仿宋" w:eastAsia="仿宋" w:cs="宋体"/>
                <w:color w:val="auto"/>
                <w:kern w:val="0"/>
                <w:sz w:val="21"/>
                <w:szCs w:val="21"/>
              </w:rPr>
              <w:t>升降装置</w:t>
            </w:r>
          </w:p>
        </w:tc>
        <w:tc>
          <w:tcPr>
            <w:tcW w:w="2099" w:type="dxa"/>
            <w:vAlign w:val="center"/>
          </w:tcPr>
          <w:p>
            <w:pPr>
              <w:widowControl/>
              <w:jc w:val="center"/>
              <w:rPr>
                <w:rFonts w:hint="eastAsia" w:ascii="宋体" w:hAnsi="宋体" w:eastAsia="宋体" w:cs="宋体"/>
                <w:color w:val="auto"/>
                <w:kern w:val="0"/>
                <w:sz w:val="21"/>
                <w:szCs w:val="21"/>
                <w:highlight w:val="none"/>
              </w:rPr>
            </w:pPr>
          </w:p>
        </w:tc>
        <w:tc>
          <w:tcPr>
            <w:tcW w:w="965" w:type="dxa"/>
            <w:vAlign w:val="center"/>
          </w:tcPr>
          <w:p>
            <w:pPr>
              <w:widowControl/>
              <w:jc w:val="center"/>
              <w:rPr>
                <w:rFonts w:hint="eastAsia" w:ascii="宋体" w:hAnsi="宋体" w:cs="宋体"/>
                <w:color w:val="auto"/>
                <w:kern w:val="0"/>
                <w:sz w:val="21"/>
                <w:szCs w:val="21"/>
                <w:highlight w:val="none"/>
                <w:lang w:val="en-US" w:eastAsia="zh-CN"/>
              </w:rPr>
            </w:pPr>
            <w:r>
              <w:rPr>
                <w:rFonts w:ascii="仿宋" w:hAnsi="仿宋" w:eastAsia="仿宋" w:cs="Arial"/>
                <w:color w:val="auto"/>
                <w:kern w:val="0"/>
                <w:sz w:val="21"/>
                <w:szCs w:val="21"/>
              </w:rPr>
              <w:t>2</w:t>
            </w:r>
            <w:r>
              <w:rPr>
                <w:rFonts w:hint="eastAsia" w:ascii="仿宋" w:hAnsi="仿宋" w:eastAsia="仿宋" w:cs="宋体"/>
                <w:color w:val="auto"/>
                <w:kern w:val="0"/>
                <w:sz w:val="21"/>
                <w:szCs w:val="21"/>
              </w:rPr>
              <w:t>套</w:t>
            </w:r>
          </w:p>
        </w:tc>
        <w:tc>
          <w:tcPr>
            <w:tcW w:w="231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left"/>
              <w:textAlignment w:val="auto"/>
              <w:rPr>
                <w:rFonts w:hint="eastAsia" w:ascii="宋体"/>
                <w:sz w:val="21"/>
                <w:szCs w:val="21"/>
                <w:lang w:eastAsia="zh-CN"/>
              </w:rPr>
            </w:pPr>
            <w:r>
              <w:rPr>
                <w:rFonts w:hint="eastAsia" w:ascii="宋体"/>
                <w:sz w:val="21"/>
                <w:szCs w:val="21"/>
                <w:lang w:eastAsia="zh-CN"/>
              </w:rPr>
              <w:t>合同</w:t>
            </w:r>
            <w:r>
              <w:rPr>
                <w:rFonts w:hint="eastAsia" w:ascii="宋体"/>
                <w:sz w:val="21"/>
                <w:szCs w:val="21"/>
                <w:lang w:val="en-US" w:eastAsia="zh-CN"/>
              </w:rPr>
              <w:t>生效后3个月</w:t>
            </w:r>
            <w:r>
              <w:rPr>
                <w:rFonts w:hint="eastAsia" w:ascii="宋体"/>
                <w:sz w:val="21"/>
                <w:szCs w:val="21"/>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 w:hRule="atLeast"/>
          <w:jc w:val="center"/>
        </w:trPr>
        <w:tc>
          <w:tcPr>
            <w:tcW w:w="882" w:type="dxa"/>
            <w:vAlign w:val="center"/>
          </w:tcPr>
          <w:p>
            <w:pPr>
              <w:spacing w:line="360" w:lineRule="auto"/>
              <w:jc w:val="center"/>
              <w:rPr>
                <w:rFonts w:hint="eastAsia" w:ascii="宋体" w:hAnsi="宋体" w:eastAsia="宋体" w:cs="宋体"/>
                <w:color w:val="auto"/>
                <w:kern w:val="0"/>
                <w:sz w:val="21"/>
                <w:szCs w:val="21"/>
                <w:highlight w:val="none"/>
                <w:lang w:val="en-US" w:eastAsia="zh-CN"/>
              </w:rPr>
            </w:pPr>
            <w:r>
              <w:rPr>
                <w:rFonts w:hint="eastAsia" w:ascii="宋体" w:hAnsi="宋体"/>
                <w:color w:val="auto"/>
                <w:sz w:val="21"/>
                <w:szCs w:val="21"/>
                <w:lang w:val="en-US" w:eastAsia="zh-CN"/>
              </w:rPr>
              <w:t>1.5</w:t>
            </w:r>
          </w:p>
        </w:tc>
        <w:tc>
          <w:tcPr>
            <w:tcW w:w="2657" w:type="dxa"/>
            <w:vAlign w:val="center"/>
          </w:tcPr>
          <w:p>
            <w:pPr>
              <w:widowControl/>
              <w:jc w:val="left"/>
              <w:rPr>
                <w:rFonts w:hint="eastAsia" w:ascii="宋体"/>
                <w:b w:val="0"/>
                <w:bCs/>
                <w:color w:val="auto"/>
                <w:sz w:val="21"/>
                <w:szCs w:val="21"/>
                <w:lang w:val="en-US" w:eastAsia="zh-CN"/>
              </w:rPr>
            </w:pPr>
            <w:r>
              <w:rPr>
                <w:rFonts w:hint="eastAsia" w:ascii="仿宋" w:hAnsi="仿宋" w:eastAsia="仿宋" w:cs="宋体"/>
                <w:color w:val="auto"/>
                <w:kern w:val="0"/>
                <w:sz w:val="21"/>
                <w:szCs w:val="21"/>
              </w:rPr>
              <w:t>电气控制系统</w:t>
            </w:r>
          </w:p>
        </w:tc>
        <w:tc>
          <w:tcPr>
            <w:tcW w:w="2099" w:type="dxa"/>
            <w:vAlign w:val="center"/>
          </w:tcPr>
          <w:p>
            <w:pPr>
              <w:widowControl/>
              <w:jc w:val="center"/>
              <w:rPr>
                <w:rFonts w:hint="eastAsia" w:ascii="宋体" w:hAnsi="宋体" w:eastAsia="宋体" w:cs="宋体"/>
                <w:color w:val="auto"/>
                <w:kern w:val="0"/>
                <w:sz w:val="21"/>
                <w:szCs w:val="21"/>
                <w:highlight w:val="none"/>
              </w:rPr>
            </w:pPr>
          </w:p>
        </w:tc>
        <w:tc>
          <w:tcPr>
            <w:tcW w:w="965" w:type="dxa"/>
            <w:vAlign w:val="center"/>
          </w:tcPr>
          <w:p>
            <w:pPr>
              <w:widowControl/>
              <w:jc w:val="center"/>
              <w:rPr>
                <w:rFonts w:hint="eastAsia" w:ascii="宋体" w:hAnsi="宋体" w:cs="宋体"/>
                <w:color w:val="auto"/>
                <w:kern w:val="0"/>
                <w:sz w:val="21"/>
                <w:szCs w:val="21"/>
                <w:highlight w:val="none"/>
                <w:lang w:val="en-US" w:eastAsia="zh-CN"/>
              </w:rPr>
            </w:pPr>
            <w:r>
              <w:rPr>
                <w:rFonts w:ascii="仿宋" w:hAnsi="仿宋" w:eastAsia="仿宋" w:cs="Arial"/>
                <w:color w:val="auto"/>
                <w:kern w:val="0"/>
                <w:sz w:val="21"/>
                <w:szCs w:val="21"/>
              </w:rPr>
              <w:t>1</w:t>
            </w:r>
            <w:r>
              <w:rPr>
                <w:rFonts w:hint="eastAsia" w:ascii="仿宋" w:hAnsi="仿宋" w:eastAsia="仿宋" w:cs="宋体"/>
                <w:color w:val="auto"/>
                <w:kern w:val="0"/>
                <w:sz w:val="21"/>
                <w:szCs w:val="21"/>
              </w:rPr>
              <w:t>套</w:t>
            </w:r>
          </w:p>
        </w:tc>
        <w:tc>
          <w:tcPr>
            <w:tcW w:w="231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left"/>
              <w:textAlignment w:val="auto"/>
              <w:rPr>
                <w:rFonts w:hint="eastAsia" w:ascii="宋体"/>
                <w:sz w:val="21"/>
                <w:szCs w:val="21"/>
                <w:lang w:eastAsia="zh-CN"/>
              </w:rPr>
            </w:pPr>
            <w:r>
              <w:rPr>
                <w:rFonts w:hint="eastAsia" w:ascii="宋体"/>
                <w:sz w:val="21"/>
                <w:szCs w:val="21"/>
                <w:lang w:eastAsia="zh-CN"/>
              </w:rPr>
              <w:t>合同</w:t>
            </w:r>
            <w:r>
              <w:rPr>
                <w:rFonts w:hint="eastAsia" w:ascii="宋体"/>
                <w:sz w:val="21"/>
                <w:szCs w:val="21"/>
                <w:lang w:val="en-US" w:eastAsia="zh-CN"/>
              </w:rPr>
              <w:t>生效后3个月</w:t>
            </w:r>
            <w:r>
              <w:rPr>
                <w:rFonts w:hint="eastAsia" w:ascii="宋体"/>
                <w:sz w:val="21"/>
                <w:szCs w:val="21"/>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 w:hRule="atLeast"/>
          <w:jc w:val="center"/>
        </w:trPr>
        <w:tc>
          <w:tcPr>
            <w:tcW w:w="882" w:type="dxa"/>
            <w:vAlign w:val="center"/>
          </w:tcPr>
          <w:p>
            <w:pPr>
              <w:spacing w:line="360" w:lineRule="auto"/>
              <w:jc w:val="center"/>
              <w:rPr>
                <w:rFonts w:hint="eastAsia" w:ascii="宋体" w:hAnsi="宋体" w:eastAsia="宋体" w:cs="宋体"/>
                <w:color w:val="auto"/>
                <w:kern w:val="0"/>
                <w:sz w:val="21"/>
                <w:szCs w:val="21"/>
                <w:highlight w:val="none"/>
                <w:lang w:val="en-US" w:eastAsia="zh-CN"/>
              </w:rPr>
            </w:pPr>
            <w:r>
              <w:rPr>
                <w:rFonts w:hint="eastAsia" w:ascii="宋体" w:hAnsi="宋体"/>
                <w:color w:val="auto"/>
                <w:sz w:val="21"/>
                <w:szCs w:val="21"/>
                <w:lang w:val="en-US" w:eastAsia="zh-CN"/>
              </w:rPr>
              <w:t>1.6</w:t>
            </w:r>
          </w:p>
        </w:tc>
        <w:tc>
          <w:tcPr>
            <w:tcW w:w="2657" w:type="dxa"/>
            <w:vAlign w:val="center"/>
          </w:tcPr>
          <w:p>
            <w:pPr>
              <w:widowControl/>
              <w:jc w:val="left"/>
              <w:rPr>
                <w:rFonts w:hint="eastAsia" w:ascii="宋体" w:hAnsi="宋体" w:eastAsia="宋体" w:cs="宋体"/>
                <w:b w:val="0"/>
                <w:bCs/>
                <w:color w:val="auto"/>
                <w:sz w:val="21"/>
                <w:szCs w:val="21"/>
                <w:lang w:eastAsia="zh-CN"/>
              </w:rPr>
            </w:pPr>
            <w:r>
              <w:rPr>
                <w:rFonts w:hint="eastAsia" w:ascii="仿宋" w:hAnsi="仿宋" w:eastAsia="仿宋" w:cs="宋体"/>
                <w:color w:val="auto"/>
                <w:kern w:val="0"/>
                <w:sz w:val="21"/>
                <w:szCs w:val="21"/>
              </w:rPr>
              <w:t>智能监控系统</w:t>
            </w:r>
          </w:p>
        </w:tc>
        <w:tc>
          <w:tcPr>
            <w:tcW w:w="2099" w:type="dxa"/>
            <w:vAlign w:val="center"/>
          </w:tcPr>
          <w:p>
            <w:pPr>
              <w:widowControl/>
              <w:jc w:val="center"/>
              <w:rPr>
                <w:rFonts w:hint="eastAsia" w:ascii="宋体" w:hAnsi="宋体" w:eastAsia="宋体" w:cs="宋体"/>
                <w:color w:val="auto"/>
                <w:kern w:val="0"/>
                <w:sz w:val="21"/>
                <w:szCs w:val="21"/>
                <w:highlight w:val="none"/>
                <w:lang w:val="en-US" w:eastAsia="zh-CN"/>
              </w:rPr>
            </w:pPr>
          </w:p>
        </w:tc>
        <w:tc>
          <w:tcPr>
            <w:tcW w:w="965" w:type="dxa"/>
            <w:vAlign w:val="center"/>
          </w:tcPr>
          <w:p>
            <w:pPr>
              <w:widowControl/>
              <w:jc w:val="center"/>
              <w:rPr>
                <w:rFonts w:hint="eastAsia" w:ascii="宋体" w:hAnsi="宋体" w:cs="宋体"/>
                <w:color w:val="auto"/>
                <w:kern w:val="0"/>
                <w:sz w:val="21"/>
                <w:szCs w:val="21"/>
                <w:highlight w:val="none"/>
                <w:lang w:val="en-US" w:eastAsia="zh-CN"/>
              </w:rPr>
            </w:pPr>
            <w:r>
              <w:rPr>
                <w:rFonts w:ascii="仿宋" w:hAnsi="仿宋" w:eastAsia="仿宋" w:cs="Arial"/>
                <w:color w:val="auto"/>
                <w:kern w:val="0"/>
                <w:sz w:val="21"/>
                <w:szCs w:val="21"/>
              </w:rPr>
              <w:t>1</w:t>
            </w:r>
            <w:r>
              <w:rPr>
                <w:rFonts w:hint="eastAsia" w:ascii="仿宋" w:hAnsi="仿宋" w:eastAsia="仿宋" w:cs="宋体"/>
                <w:color w:val="auto"/>
                <w:kern w:val="0"/>
                <w:sz w:val="21"/>
                <w:szCs w:val="21"/>
              </w:rPr>
              <w:t>套</w:t>
            </w:r>
          </w:p>
        </w:tc>
        <w:tc>
          <w:tcPr>
            <w:tcW w:w="231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left"/>
              <w:textAlignment w:val="auto"/>
              <w:rPr>
                <w:rFonts w:hint="eastAsia" w:ascii="宋体"/>
                <w:sz w:val="21"/>
                <w:szCs w:val="21"/>
                <w:lang w:eastAsia="zh-CN"/>
              </w:rPr>
            </w:pPr>
            <w:r>
              <w:rPr>
                <w:rFonts w:hint="eastAsia" w:ascii="宋体"/>
                <w:sz w:val="21"/>
                <w:szCs w:val="21"/>
                <w:lang w:eastAsia="zh-CN"/>
              </w:rPr>
              <w:t>合同</w:t>
            </w:r>
            <w:r>
              <w:rPr>
                <w:rFonts w:hint="eastAsia" w:ascii="宋体"/>
                <w:sz w:val="21"/>
                <w:szCs w:val="21"/>
                <w:lang w:val="en-US" w:eastAsia="zh-CN"/>
              </w:rPr>
              <w:t>生效后3个月</w:t>
            </w:r>
            <w:r>
              <w:rPr>
                <w:rFonts w:hint="eastAsia" w:ascii="宋体"/>
                <w:sz w:val="21"/>
                <w:szCs w:val="21"/>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 w:hRule="atLeast"/>
          <w:jc w:val="center"/>
        </w:trPr>
        <w:tc>
          <w:tcPr>
            <w:tcW w:w="882" w:type="dxa"/>
            <w:vAlign w:val="center"/>
          </w:tcPr>
          <w:p>
            <w:pPr>
              <w:spacing w:line="360" w:lineRule="auto"/>
              <w:jc w:val="center"/>
              <w:rPr>
                <w:rFonts w:hint="eastAsia" w:ascii="宋体" w:hAnsi="宋体" w:eastAsia="宋体"/>
                <w:color w:val="000000"/>
                <w:sz w:val="21"/>
                <w:szCs w:val="21"/>
                <w:lang w:val="en-US" w:eastAsia="zh-CN"/>
              </w:rPr>
            </w:pPr>
            <w:r>
              <w:rPr>
                <w:rFonts w:hint="eastAsia" w:ascii="宋体" w:hAnsi="宋体"/>
                <w:color w:val="000000"/>
                <w:sz w:val="21"/>
                <w:szCs w:val="21"/>
                <w:lang w:val="en-US" w:eastAsia="zh-CN"/>
              </w:rPr>
              <w:t>2</w:t>
            </w:r>
          </w:p>
        </w:tc>
        <w:tc>
          <w:tcPr>
            <w:tcW w:w="2657" w:type="dxa"/>
            <w:vAlign w:val="center"/>
          </w:tcPr>
          <w:p>
            <w:pPr>
              <w:widowControl/>
              <w:jc w:val="left"/>
              <w:rPr>
                <w:rFonts w:hint="eastAsia" w:cs="Arial"/>
                <w:sz w:val="21"/>
                <w:szCs w:val="21"/>
              </w:rPr>
            </w:pPr>
            <w:r>
              <w:rPr>
                <w:rFonts w:hint="eastAsia" w:ascii="仿宋" w:hAnsi="仿宋" w:eastAsia="仿宋" w:cs="宋体"/>
                <w:kern w:val="0"/>
                <w:sz w:val="21"/>
                <w:szCs w:val="21"/>
              </w:rPr>
              <w:t>心盘永磁吊</w:t>
            </w:r>
          </w:p>
        </w:tc>
        <w:tc>
          <w:tcPr>
            <w:tcW w:w="2099" w:type="dxa"/>
            <w:vAlign w:val="center"/>
          </w:tcPr>
          <w:p>
            <w:pPr>
              <w:widowControl/>
              <w:jc w:val="center"/>
              <w:rPr>
                <w:rFonts w:hint="eastAsia" w:ascii="宋体" w:hAnsi="宋体" w:eastAsia="宋体" w:cs="宋体"/>
                <w:color w:val="000000"/>
                <w:kern w:val="0"/>
                <w:sz w:val="21"/>
                <w:szCs w:val="21"/>
                <w:highlight w:val="none"/>
                <w:lang w:val="en-US" w:eastAsia="zh-CN"/>
              </w:rPr>
            </w:pPr>
          </w:p>
        </w:tc>
        <w:tc>
          <w:tcPr>
            <w:tcW w:w="965" w:type="dxa"/>
            <w:vAlign w:val="center"/>
          </w:tcPr>
          <w:p>
            <w:pPr>
              <w:widowControl/>
              <w:jc w:val="center"/>
              <w:rPr>
                <w:rFonts w:hint="eastAsia" w:ascii="Arial" w:hAnsi="Arial" w:cs="Arial"/>
                <w:sz w:val="21"/>
                <w:szCs w:val="21"/>
              </w:rPr>
            </w:pPr>
            <w:r>
              <w:rPr>
                <w:rFonts w:ascii="仿宋" w:hAnsi="仿宋" w:eastAsia="仿宋" w:cs="Arial"/>
                <w:kern w:val="0"/>
                <w:sz w:val="21"/>
                <w:szCs w:val="21"/>
              </w:rPr>
              <w:t>2</w:t>
            </w:r>
            <w:r>
              <w:rPr>
                <w:rFonts w:hint="eastAsia" w:ascii="仿宋" w:hAnsi="仿宋" w:eastAsia="仿宋" w:cs="宋体"/>
                <w:kern w:val="0"/>
                <w:sz w:val="21"/>
                <w:szCs w:val="21"/>
              </w:rPr>
              <w:t>台</w:t>
            </w:r>
          </w:p>
        </w:tc>
        <w:tc>
          <w:tcPr>
            <w:tcW w:w="231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left"/>
              <w:textAlignment w:val="auto"/>
              <w:rPr>
                <w:rFonts w:hint="eastAsia" w:ascii="宋体"/>
                <w:sz w:val="21"/>
                <w:szCs w:val="21"/>
                <w:lang w:eastAsia="zh-CN"/>
              </w:rPr>
            </w:pPr>
            <w:r>
              <w:rPr>
                <w:rFonts w:hint="eastAsia" w:ascii="宋体"/>
                <w:sz w:val="21"/>
                <w:szCs w:val="21"/>
                <w:lang w:eastAsia="zh-CN"/>
              </w:rPr>
              <w:t>合同</w:t>
            </w:r>
            <w:r>
              <w:rPr>
                <w:rFonts w:hint="eastAsia" w:ascii="宋体"/>
                <w:sz w:val="21"/>
                <w:szCs w:val="21"/>
                <w:lang w:val="en-US" w:eastAsia="zh-CN"/>
              </w:rPr>
              <w:t>生效后3个月</w:t>
            </w:r>
            <w:r>
              <w:rPr>
                <w:rFonts w:hint="eastAsia" w:ascii="宋体"/>
                <w:sz w:val="21"/>
                <w:szCs w:val="21"/>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 w:hRule="atLeast"/>
          <w:jc w:val="center"/>
        </w:trPr>
        <w:tc>
          <w:tcPr>
            <w:tcW w:w="882" w:type="dxa"/>
            <w:vAlign w:val="center"/>
          </w:tcPr>
          <w:p>
            <w:pPr>
              <w:spacing w:line="360" w:lineRule="auto"/>
              <w:jc w:val="center"/>
              <w:rPr>
                <w:rFonts w:hint="eastAsia" w:ascii="宋体" w:hAnsi="宋体" w:eastAsia="宋体"/>
                <w:color w:val="000000"/>
                <w:sz w:val="21"/>
                <w:szCs w:val="21"/>
                <w:lang w:val="en-US" w:eastAsia="zh-CN"/>
              </w:rPr>
            </w:pPr>
            <w:r>
              <w:rPr>
                <w:rFonts w:hint="eastAsia" w:ascii="宋体" w:hAnsi="宋体"/>
                <w:color w:val="000000"/>
                <w:sz w:val="21"/>
                <w:szCs w:val="21"/>
                <w:lang w:val="en-US" w:eastAsia="zh-CN"/>
              </w:rPr>
              <w:t>3</w:t>
            </w:r>
          </w:p>
        </w:tc>
        <w:tc>
          <w:tcPr>
            <w:tcW w:w="2657" w:type="dxa"/>
            <w:vAlign w:val="center"/>
          </w:tcPr>
          <w:p>
            <w:pPr>
              <w:widowControl/>
              <w:jc w:val="left"/>
              <w:rPr>
                <w:rFonts w:hint="eastAsia" w:cs="Arial"/>
                <w:sz w:val="21"/>
                <w:szCs w:val="21"/>
              </w:rPr>
            </w:pPr>
            <w:r>
              <w:rPr>
                <w:rFonts w:hint="eastAsia" w:ascii="仿宋" w:hAnsi="仿宋" w:eastAsia="仿宋" w:cs="宋体"/>
                <w:kern w:val="0"/>
                <w:sz w:val="21"/>
                <w:szCs w:val="21"/>
              </w:rPr>
              <w:t>平衡吊</w:t>
            </w:r>
          </w:p>
        </w:tc>
        <w:tc>
          <w:tcPr>
            <w:tcW w:w="2099" w:type="dxa"/>
            <w:vAlign w:val="center"/>
          </w:tcPr>
          <w:p>
            <w:pPr>
              <w:widowControl/>
              <w:jc w:val="center"/>
              <w:rPr>
                <w:rFonts w:hint="eastAsia" w:ascii="宋体" w:hAnsi="宋体" w:eastAsia="宋体" w:cs="宋体"/>
                <w:color w:val="000000"/>
                <w:kern w:val="0"/>
                <w:sz w:val="21"/>
                <w:szCs w:val="21"/>
                <w:highlight w:val="none"/>
                <w:lang w:val="en-US" w:eastAsia="zh-CN"/>
              </w:rPr>
            </w:pPr>
          </w:p>
        </w:tc>
        <w:tc>
          <w:tcPr>
            <w:tcW w:w="965" w:type="dxa"/>
            <w:vAlign w:val="center"/>
          </w:tcPr>
          <w:p>
            <w:pPr>
              <w:widowControl/>
              <w:jc w:val="center"/>
              <w:rPr>
                <w:rFonts w:hint="eastAsia" w:ascii="Arial" w:hAnsi="Arial" w:cs="Arial"/>
                <w:sz w:val="21"/>
                <w:szCs w:val="21"/>
              </w:rPr>
            </w:pPr>
            <w:r>
              <w:rPr>
                <w:rFonts w:ascii="仿宋" w:hAnsi="仿宋" w:eastAsia="仿宋" w:cs="Arial"/>
                <w:kern w:val="0"/>
                <w:sz w:val="21"/>
                <w:szCs w:val="21"/>
              </w:rPr>
              <w:t>4</w:t>
            </w:r>
            <w:r>
              <w:rPr>
                <w:rFonts w:hint="eastAsia" w:ascii="仿宋" w:hAnsi="仿宋" w:eastAsia="仿宋" w:cs="宋体"/>
                <w:kern w:val="0"/>
                <w:sz w:val="21"/>
                <w:szCs w:val="21"/>
              </w:rPr>
              <w:t>台</w:t>
            </w:r>
          </w:p>
        </w:tc>
        <w:tc>
          <w:tcPr>
            <w:tcW w:w="231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left"/>
              <w:textAlignment w:val="auto"/>
              <w:rPr>
                <w:rFonts w:hint="eastAsia" w:ascii="宋体"/>
                <w:sz w:val="21"/>
                <w:szCs w:val="21"/>
                <w:lang w:eastAsia="zh-CN"/>
              </w:rPr>
            </w:pPr>
            <w:r>
              <w:rPr>
                <w:rFonts w:hint="eastAsia" w:ascii="宋体"/>
                <w:sz w:val="21"/>
                <w:szCs w:val="21"/>
                <w:lang w:eastAsia="zh-CN"/>
              </w:rPr>
              <w:t>合同</w:t>
            </w:r>
            <w:r>
              <w:rPr>
                <w:rFonts w:hint="eastAsia" w:ascii="宋体"/>
                <w:sz w:val="21"/>
                <w:szCs w:val="21"/>
                <w:lang w:val="en-US" w:eastAsia="zh-CN"/>
              </w:rPr>
              <w:t>生效后3个月</w:t>
            </w:r>
            <w:r>
              <w:rPr>
                <w:rFonts w:hint="eastAsia" w:ascii="宋体"/>
                <w:sz w:val="21"/>
                <w:szCs w:val="21"/>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 w:hRule="atLeast"/>
          <w:jc w:val="center"/>
        </w:trPr>
        <w:tc>
          <w:tcPr>
            <w:tcW w:w="882" w:type="dxa"/>
            <w:vAlign w:val="center"/>
          </w:tcPr>
          <w:p>
            <w:pPr>
              <w:spacing w:line="360" w:lineRule="auto"/>
              <w:jc w:val="center"/>
              <w:rPr>
                <w:rFonts w:hint="eastAsia" w:ascii="宋体" w:hAnsi="宋体" w:eastAsia="宋体"/>
                <w:color w:val="000000"/>
                <w:sz w:val="21"/>
                <w:szCs w:val="21"/>
                <w:lang w:val="en-US" w:eastAsia="zh-CN"/>
              </w:rPr>
            </w:pPr>
            <w:r>
              <w:rPr>
                <w:rFonts w:hint="eastAsia" w:ascii="宋体" w:hAnsi="宋体"/>
                <w:color w:val="000000"/>
                <w:sz w:val="21"/>
                <w:szCs w:val="21"/>
                <w:lang w:val="en-US" w:eastAsia="zh-CN"/>
              </w:rPr>
              <w:t>4</w:t>
            </w:r>
          </w:p>
        </w:tc>
        <w:tc>
          <w:tcPr>
            <w:tcW w:w="2657" w:type="dxa"/>
            <w:vAlign w:val="center"/>
          </w:tcPr>
          <w:p>
            <w:pPr>
              <w:widowControl/>
              <w:jc w:val="left"/>
              <w:rPr>
                <w:rFonts w:hint="eastAsia" w:cs="Arial"/>
                <w:sz w:val="21"/>
                <w:szCs w:val="21"/>
              </w:rPr>
            </w:pPr>
            <w:r>
              <w:rPr>
                <w:rFonts w:hint="eastAsia" w:ascii="仿宋" w:hAnsi="仿宋" w:eastAsia="仿宋" w:cs="宋体"/>
                <w:kern w:val="0"/>
                <w:sz w:val="21"/>
                <w:szCs w:val="21"/>
              </w:rPr>
              <w:t>交叉杆移出车</w:t>
            </w:r>
          </w:p>
        </w:tc>
        <w:tc>
          <w:tcPr>
            <w:tcW w:w="2099" w:type="dxa"/>
            <w:vAlign w:val="center"/>
          </w:tcPr>
          <w:p>
            <w:pPr>
              <w:widowControl/>
              <w:jc w:val="center"/>
              <w:rPr>
                <w:rFonts w:hint="eastAsia" w:ascii="宋体" w:hAnsi="宋体" w:eastAsia="宋体" w:cs="宋体"/>
                <w:color w:val="000000"/>
                <w:kern w:val="0"/>
                <w:sz w:val="21"/>
                <w:szCs w:val="21"/>
                <w:highlight w:val="none"/>
                <w:lang w:val="en-US" w:eastAsia="zh-CN"/>
              </w:rPr>
            </w:pPr>
          </w:p>
        </w:tc>
        <w:tc>
          <w:tcPr>
            <w:tcW w:w="965" w:type="dxa"/>
            <w:vAlign w:val="center"/>
          </w:tcPr>
          <w:p>
            <w:pPr>
              <w:widowControl/>
              <w:jc w:val="center"/>
              <w:rPr>
                <w:rFonts w:hint="eastAsia" w:ascii="Arial" w:hAnsi="Arial" w:cs="Arial"/>
                <w:sz w:val="21"/>
                <w:szCs w:val="21"/>
              </w:rPr>
            </w:pPr>
            <w:r>
              <w:rPr>
                <w:rFonts w:ascii="仿宋" w:hAnsi="仿宋" w:eastAsia="仿宋" w:cs="Arial"/>
                <w:kern w:val="0"/>
                <w:sz w:val="21"/>
                <w:szCs w:val="21"/>
              </w:rPr>
              <w:t>2</w:t>
            </w:r>
            <w:r>
              <w:rPr>
                <w:rFonts w:hint="eastAsia" w:ascii="仿宋" w:hAnsi="仿宋" w:eastAsia="仿宋" w:cs="宋体"/>
                <w:kern w:val="0"/>
                <w:sz w:val="21"/>
                <w:szCs w:val="21"/>
              </w:rPr>
              <w:t>台</w:t>
            </w:r>
          </w:p>
        </w:tc>
        <w:tc>
          <w:tcPr>
            <w:tcW w:w="231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left"/>
              <w:textAlignment w:val="auto"/>
              <w:rPr>
                <w:rFonts w:hint="eastAsia" w:ascii="宋体"/>
                <w:sz w:val="21"/>
                <w:szCs w:val="21"/>
                <w:lang w:eastAsia="zh-CN"/>
              </w:rPr>
            </w:pPr>
            <w:r>
              <w:rPr>
                <w:rFonts w:hint="eastAsia" w:ascii="宋体"/>
                <w:sz w:val="21"/>
                <w:szCs w:val="21"/>
                <w:lang w:eastAsia="zh-CN"/>
              </w:rPr>
              <w:t>合同</w:t>
            </w:r>
            <w:r>
              <w:rPr>
                <w:rFonts w:hint="eastAsia" w:ascii="宋体"/>
                <w:sz w:val="21"/>
                <w:szCs w:val="21"/>
                <w:lang w:val="en-US" w:eastAsia="zh-CN"/>
              </w:rPr>
              <w:t>生效后3个月</w:t>
            </w:r>
            <w:r>
              <w:rPr>
                <w:rFonts w:hint="eastAsia" w:ascii="宋体"/>
                <w:sz w:val="21"/>
                <w:szCs w:val="21"/>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 w:hRule="atLeast"/>
          <w:jc w:val="center"/>
        </w:trPr>
        <w:tc>
          <w:tcPr>
            <w:tcW w:w="882" w:type="dxa"/>
            <w:vAlign w:val="center"/>
          </w:tcPr>
          <w:p>
            <w:pPr>
              <w:spacing w:line="360" w:lineRule="auto"/>
              <w:jc w:val="center"/>
              <w:rPr>
                <w:rFonts w:hint="eastAsia" w:ascii="宋体" w:hAnsi="宋体" w:eastAsia="宋体"/>
                <w:color w:val="000000"/>
                <w:sz w:val="21"/>
                <w:szCs w:val="21"/>
                <w:lang w:val="en-US" w:eastAsia="zh-CN"/>
              </w:rPr>
            </w:pPr>
            <w:r>
              <w:rPr>
                <w:rFonts w:hint="eastAsia" w:ascii="宋体" w:hAnsi="宋体"/>
                <w:color w:val="000000"/>
                <w:sz w:val="21"/>
                <w:szCs w:val="21"/>
                <w:lang w:val="en-US" w:eastAsia="zh-CN"/>
              </w:rPr>
              <w:t>5</w:t>
            </w:r>
          </w:p>
        </w:tc>
        <w:tc>
          <w:tcPr>
            <w:tcW w:w="2657" w:type="dxa"/>
            <w:vAlign w:val="center"/>
          </w:tcPr>
          <w:p>
            <w:pPr>
              <w:widowControl/>
              <w:jc w:val="left"/>
              <w:rPr>
                <w:rFonts w:hint="eastAsia" w:cs="Arial"/>
                <w:sz w:val="21"/>
                <w:szCs w:val="21"/>
              </w:rPr>
            </w:pPr>
            <w:r>
              <w:rPr>
                <w:rFonts w:hint="eastAsia" w:ascii="仿宋" w:hAnsi="仿宋" w:eastAsia="仿宋" w:cs="宋体"/>
                <w:kern w:val="0"/>
                <w:sz w:val="21"/>
                <w:szCs w:val="21"/>
              </w:rPr>
              <w:t>三小件辆份配送车</w:t>
            </w:r>
          </w:p>
        </w:tc>
        <w:tc>
          <w:tcPr>
            <w:tcW w:w="2099" w:type="dxa"/>
            <w:vAlign w:val="center"/>
          </w:tcPr>
          <w:p>
            <w:pPr>
              <w:widowControl/>
              <w:jc w:val="center"/>
              <w:rPr>
                <w:rFonts w:hint="eastAsia" w:ascii="宋体" w:hAnsi="宋体" w:eastAsia="宋体" w:cs="宋体"/>
                <w:color w:val="000000"/>
                <w:kern w:val="0"/>
                <w:sz w:val="21"/>
                <w:szCs w:val="21"/>
                <w:highlight w:val="none"/>
                <w:lang w:val="en-US" w:eastAsia="zh-CN"/>
              </w:rPr>
            </w:pPr>
          </w:p>
        </w:tc>
        <w:tc>
          <w:tcPr>
            <w:tcW w:w="965" w:type="dxa"/>
            <w:vAlign w:val="center"/>
          </w:tcPr>
          <w:p>
            <w:pPr>
              <w:widowControl/>
              <w:jc w:val="center"/>
              <w:rPr>
                <w:rFonts w:hint="eastAsia" w:ascii="Arial" w:hAnsi="Arial" w:cs="Arial"/>
                <w:sz w:val="21"/>
                <w:szCs w:val="21"/>
              </w:rPr>
            </w:pPr>
            <w:r>
              <w:rPr>
                <w:rFonts w:ascii="仿宋" w:hAnsi="仿宋" w:eastAsia="仿宋" w:cs="Arial"/>
                <w:kern w:val="0"/>
                <w:sz w:val="21"/>
                <w:szCs w:val="21"/>
              </w:rPr>
              <w:t>15</w:t>
            </w:r>
            <w:r>
              <w:rPr>
                <w:rFonts w:hint="eastAsia" w:ascii="仿宋" w:hAnsi="仿宋" w:eastAsia="仿宋" w:cs="宋体"/>
                <w:kern w:val="0"/>
                <w:sz w:val="21"/>
                <w:szCs w:val="21"/>
              </w:rPr>
              <w:t>辆</w:t>
            </w:r>
          </w:p>
        </w:tc>
        <w:tc>
          <w:tcPr>
            <w:tcW w:w="231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left"/>
              <w:textAlignment w:val="auto"/>
              <w:rPr>
                <w:rFonts w:hint="eastAsia" w:ascii="宋体"/>
                <w:sz w:val="21"/>
                <w:szCs w:val="21"/>
                <w:lang w:eastAsia="zh-CN"/>
              </w:rPr>
            </w:pPr>
            <w:r>
              <w:rPr>
                <w:rFonts w:hint="eastAsia" w:ascii="宋体"/>
                <w:sz w:val="21"/>
                <w:szCs w:val="21"/>
                <w:lang w:eastAsia="zh-CN"/>
              </w:rPr>
              <w:t>合同</w:t>
            </w:r>
            <w:r>
              <w:rPr>
                <w:rFonts w:hint="eastAsia" w:ascii="宋体"/>
                <w:sz w:val="21"/>
                <w:szCs w:val="21"/>
                <w:lang w:val="en-US" w:eastAsia="zh-CN"/>
              </w:rPr>
              <w:t>生效后3个月</w:t>
            </w:r>
            <w:r>
              <w:rPr>
                <w:rFonts w:hint="eastAsia" w:ascii="宋体"/>
                <w:sz w:val="21"/>
                <w:szCs w:val="21"/>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 w:hRule="atLeast"/>
          <w:jc w:val="center"/>
        </w:trPr>
        <w:tc>
          <w:tcPr>
            <w:tcW w:w="882" w:type="dxa"/>
            <w:vAlign w:val="center"/>
          </w:tcPr>
          <w:p>
            <w:pPr>
              <w:spacing w:line="360" w:lineRule="auto"/>
              <w:jc w:val="center"/>
              <w:rPr>
                <w:rFonts w:hint="eastAsia" w:ascii="宋体" w:hAnsi="宋体" w:eastAsia="宋体"/>
                <w:color w:val="000000"/>
                <w:sz w:val="21"/>
                <w:szCs w:val="21"/>
                <w:lang w:val="en-US" w:eastAsia="zh-CN"/>
              </w:rPr>
            </w:pPr>
            <w:r>
              <w:rPr>
                <w:rFonts w:hint="eastAsia" w:ascii="宋体" w:hAnsi="宋体"/>
                <w:color w:val="000000"/>
                <w:sz w:val="21"/>
                <w:szCs w:val="21"/>
                <w:lang w:val="en-US" w:eastAsia="zh-CN"/>
              </w:rPr>
              <w:t>6</w:t>
            </w:r>
          </w:p>
        </w:tc>
        <w:tc>
          <w:tcPr>
            <w:tcW w:w="2657" w:type="dxa"/>
            <w:vAlign w:val="center"/>
          </w:tcPr>
          <w:p>
            <w:pPr>
              <w:widowControl/>
              <w:jc w:val="left"/>
              <w:rPr>
                <w:rFonts w:hint="eastAsia" w:cs="Arial"/>
                <w:sz w:val="21"/>
                <w:szCs w:val="21"/>
              </w:rPr>
            </w:pPr>
            <w:r>
              <w:rPr>
                <w:rFonts w:hint="eastAsia" w:ascii="仿宋" w:hAnsi="仿宋" w:eastAsia="仿宋" w:cs="宋体"/>
                <w:kern w:val="0"/>
                <w:sz w:val="21"/>
                <w:szCs w:val="21"/>
              </w:rPr>
              <w:t>拉板拉条配送车</w:t>
            </w:r>
          </w:p>
        </w:tc>
        <w:tc>
          <w:tcPr>
            <w:tcW w:w="2099" w:type="dxa"/>
            <w:vAlign w:val="center"/>
          </w:tcPr>
          <w:p>
            <w:pPr>
              <w:widowControl/>
              <w:jc w:val="center"/>
              <w:rPr>
                <w:rFonts w:hint="eastAsia" w:ascii="宋体" w:hAnsi="宋体" w:eastAsia="宋体" w:cs="宋体"/>
                <w:color w:val="000000"/>
                <w:kern w:val="0"/>
                <w:sz w:val="21"/>
                <w:szCs w:val="21"/>
                <w:highlight w:val="none"/>
                <w:lang w:val="en-US" w:eastAsia="zh-CN"/>
              </w:rPr>
            </w:pPr>
          </w:p>
        </w:tc>
        <w:tc>
          <w:tcPr>
            <w:tcW w:w="965" w:type="dxa"/>
            <w:vAlign w:val="center"/>
          </w:tcPr>
          <w:p>
            <w:pPr>
              <w:widowControl/>
              <w:jc w:val="center"/>
              <w:rPr>
                <w:rFonts w:hint="eastAsia" w:ascii="Arial" w:hAnsi="Arial" w:cs="Arial"/>
                <w:sz w:val="21"/>
                <w:szCs w:val="21"/>
              </w:rPr>
            </w:pPr>
            <w:r>
              <w:rPr>
                <w:rFonts w:ascii="仿宋" w:hAnsi="仿宋" w:eastAsia="仿宋" w:cs="Arial"/>
                <w:kern w:val="0"/>
                <w:sz w:val="21"/>
                <w:szCs w:val="21"/>
              </w:rPr>
              <w:t>8</w:t>
            </w:r>
            <w:r>
              <w:rPr>
                <w:rFonts w:hint="eastAsia" w:ascii="仿宋" w:hAnsi="仿宋" w:eastAsia="仿宋" w:cs="宋体"/>
                <w:kern w:val="0"/>
                <w:sz w:val="21"/>
                <w:szCs w:val="21"/>
              </w:rPr>
              <w:t>辆</w:t>
            </w:r>
          </w:p>
        </w:tc>
        <w:tc>
          <w:tcPr>
            <w:tcW w:w="231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left"/>
              <w:textAlignment w:val="auto"/>
              <w:rPr>
                <w:rFonts w:hint="eastAsia" w:ascii="宋体"/>
                <w:sz w:val="21"/>
                <w:szCs w:val="21"/>
                <w:lang w:eastAsia="zh-CN"/>
              </w:rPr>
            </w:pPr>
            <w:r>
              <w:rPr>
                <w:rFonts w:hint="eastAsia" w:ascii="宋体"/>
                <w:sz w:val="21"/>
                <w:szCs w:val="21"/>
                <w:lang w:eastAsia="zh-CN"/>
              </w:rPr>
              <w:t>合同</w:t>
            </w:r>
            <w:r>
              <w:rPr>
                <w:rFonts w:hint="eastAsia" w:ascii="宋体"/>
                <w:sz w:val="21"/>
                <w:szCs w:val="21"/>
                <w:lang w:val="en-US" w:eastAsia="zh-CN"/>
              </w:rPr>
              <w:t>生效后3个月</w:t>
            </w:r>
            <w:r>
              <w:rPr>
                <w:rFonts w:hint="eastAsia" w:ascii="宋体"/>
                <w:sz w:val="21"/>
                <w:szCs w:val="21"/>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 w:hRule="atLeast"/>
          <w:jc w:val="center"/>
        </w:trPr>
        <w:tc>
          <w:tcPr>
            <w:tcW w:w="882" w:type="dxa"/>
            <w:vAlign w:val="center"/>
          </w:tcPr>
          <w:p>
            <w:pPr>
              <w:spacing w:line="360" w:lineRule="auto"/>
              <w:jc w:val="center"/>
              <w:rPr>
                <w:rFonts w:hint="eastAsia" w:ascii="宋体" w:hAnsi="宋体" w:eastAsia="宋体"/>
                <w:color w:val="000000"/>
                <w:sz w:val="21"/>
                <w:szCs w:val="21"/>
                <w:lang w:val="en-US" w:eastAsia="zh-CN"/>
              </w:rPr>
            </w:pPr>
            <w:r>
              <w:rPr>
                <w:rFonts w:hint="eastAsia" w:ascii="宋体" w:hAnsi="宋体"/>
                <w:color w:val="000000"/>
                <w:sz w:val="21"/>
                <w:szCs w:val="21"/>
                <w:lang w:val="en-US" w:eastAsia="zh-CN"/>
              </w:rPr>
              <w:t>7</w:t>
            </w:r>
          </w:p>
        </w:tc>
        <w:tc>
          <w:tcPr>
            <w:tcW w:w="2657" w:type="dxa"/>
            <w:vAlign w:val="center"/>
          </w:tcPr>
          <w:p>
            <w:pPr>
              <w:widowControl/>
              <w:jc w:val="left"/>
              <w:rPr>
                <w:rFonts w:hint="eastAsia" w:cs="Arial"/>
                <w:sz w:val="21"/>
                <w:szCs w:val="21"/>
              </w:rPr>
            </w:pPr>
            <w:r>
              <w:rPr>
                <w:rFonts w:hint="eastAsia" w:ascii="仿宋" w:hAnsi="仿宋" w:eastAsia="仿宋" w:cs="宋体"/>
                <w:kern w:val="0"/>
                <w:sz w:val="21"/>
                <w:szCs w:val="21"/>
              </w:rPr>
              <w:t>制动梁存放移动架</w:t>
            </w:r>
          </w:p>
        </w:tc>
        <w:tc>
          <w:tcPr>
            <w:tcW w:w="2099" w:type="dxa"/>
            <w:vAlign w:val="center"/>
          </w:tcPr>
          <w:p>
            <w:pPr>
              <w:widowControl/>
              <w:jc w:val="center"/>
              <w:rPr>
                <w:rFonts w:hint="eastAsia" w:ascii="宋体" w:hAnsi="宋体" w:eastAsia="宋体" w:cs="宋体"/>
                <w:color w:val="000000"/>
                <w:kern w:val="0"/>
                <w:sz w:val="21"/>
                <w:szCs w:val="21"/>
                <w:highlight w:val="none"/>
                <w:lang w:val="en-US" w:eastAsia="zh-CN"/>
              </w:rPr>
            </w:pPr>
          </w:p>
        </w:tc>
        <w:tc>
          <w:tcPr>
            <w:tcW w:w="965" w:type="dxa"/>
            <w:vAlign w:val="center"/>
          </w:tcPr>
          <w:p>
            <w:pPr>
              <w:widowControl/>
              <w:jc w:val="center"/>
              <w:rPr>
                <w:rFonts w:hint="eastAsia" w:ascii="Arial" w:hAnsi="Arial" w:cs="Arial"/>
                <w:sz w:val="21"/>
                <w:szCs w:val="21"/>
              </w:rPr>
            </w:pPr>
            <w:r>
              <w:rPr>
                <w:rFonts w:ascii="仿宋" w:hAnsi="仿宋" w:eastAsia="仿宋" w:cs="Arial"/>
                <w:kern w:val="0"/>
                <w:sz w:val="21"/>
                <w:szCs w:val="21"/>
              </w:rPr>
              <w:t>6</w:t>
            </w:r>
            <w:r>
              <w:rPr>
                <w:rFonts w:hint="eastAsia" w:ascii="仿宋" w:hAnsi="仿宋" w:eastAsia="仿宋" w:cs="宋体"/>
                <w:kern w:val="0"/>
                <w:sz w:val="21"/>
                <w:szCs w:val="21"/>
              </w:rPr>
              <w:t>辆</w:t>
            </w:r>
          </w:p>
        </w:tc>
        <w:tc>
          <w:tcPr>
            <w:tcW w:w="231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left"/>
              <w:textAlignment w:val="auto"/>
              <w:rPr>
                <w:rFonts w:hint="eastAsia" w:ascii="宋体"/>
                <w:sz w:val="21"/>
                <w:szCs w:val="21"/>
                <w:lang w:eastAsia="zh-CN"/>
              </w:rPr>
            </w:pPr>
            <w:r>
              <w:rPr>
                <w:rFonts w:hint="eastAsia" w:ascii="宋体"/>
                <w:sz w:val="21"/>
                <w:szCs w:val="21"/>
                <w:lang w:eastAsia="zh-CN"/>
              </w:rPr>
              <w:t>合同</w:t>
            </w:r>
            <w:r>
              <w:rPr>
                <w:rFonts w:hint="eastAsia" w:ascii="宋体"/>
                <w:sz w:val="21"/>
                <w:szCs w:val="21"/>
                <w:lang w:val="en-US" w:eastAsia="zh-CN"/>
              </w:rPr>
              <w:t>生效后3个月</w:t>
            </w:r>
            <w:r>
              <w:rPr>
                <w:rFonts w:hint="eastAsia" w:ascii="宋体"/>
                <w:sz w:val="21"/>
                <w:szCs w:val="21"/>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 w:hRule="atLeast"/>
          <w:jc w:val="center"/>
        </w:trPr>
        <w:tc>
          <w:tcPr>
            <w:tcW w:w="882" w:type="dxa"/>
            <w:vAlign w:val="center"/>
          </w:tcPr>
          <w:p>
            <w:pPr>
              <w:spacing w:line="360" w:lineRule="auto"/>
              <w:jc w:val="center"/>
              <w:rPr>
                <w:rFonts w:hint="eastAsia" w:ascii="宋体" w:hAnsi="宋体" w:eastAsia="宋体"/>
                <w:color w:val="000000"/>
                <w:sz w:val="21"/>
                <w:szCs w:val="21"/>
                <w:lang w:val="en-US" w:eastAsia="zh-CN"/>
              </w:rPr>
            </w:pPr>
            <w:r>
              <w:rPr>
                <w:rFonts w:hint="eastAsia" w:ascii="宋体" w:hAnsi="宋体"/>
                <w:color w:val="000000"/>
                <w:sz w:val="21"/>
                <w:szCs w:val="21"/>
                <w:lang w:val="en-US" w:eastAsia="zh-CN"/>
              </w:rPr>
              <w:t>8</w:t>
            </w:r>
          </w:p>
        </w:tc>
        <w:tc>
          <w:tcPr>
            <w:tcW w:w="2657" w:type="dxa"/>
            <w:vAlign w:val="center"/>
          </w:tcPr>
          <w:p>
            <w:pPr>
              <w:widowControl/>
              <w:jc w:val="left"/>
              <w:rPr>
                <w:rFonts w:hint="eastAsia" w:ascii="宋体" w:hAnsi="宋体" w:eastAsia="宋体" w:cs="宋体"/>
                <w:i w:val="0"/>
                <w:color w:val="000000"/>
                <w:kern w:val="0"/>
                <w:sz w:val="21"/>
                <w:szCs w:val="21"/>
                <w:u w:val="none"/>
                <w:lang w:val="en-US" w:eastAsia="zh-CN" w:bidi="ar"/>
              </w:rPr>
            </w:pPr>
            <w:r>
              <w:rPr>
                <w:rFonts w:hint="eastAsia" w:ascii="仿宋" w:hAnsi="仿宋" w:eastAsia="仿宋" w:cs="宋体"/>
                <w:kern w:val="0"/>
                <w:sz w:val="21"/>
                <w:szCs w:val="21"/>
              </w:rPr>
              <w:t>站立式电瓶叉车</w:t>
            </w:r>
          </w:p>
        </w:tc>
        <w:tc>
          <w:tcPr>
            <w:tcW w:w="2099" w:type="dxa"/>
            <w:vAlign w:val="center"/>
          </w:tcPr>
          <w:p>
            <w:pPr>
              <w:widowControl/>
              <w:jc w:val="center"/>
              <w:rPr>
                <w:rFonts w:hint="default" w:ascii="Arial" w:hAnsi="Arial" w:eastAsia="宋体" w:cs="Arial"/>
                <w:i w:val="0"/>
                <w:color w:val="000000"/>
                <w:kern w:val="0"/>
                <w:sz w:val="21"/>
                <w:szCs w:val="21"/>
                <w:u w:val="none"/>
                <w:lang w:val="en-US" w:eastAsia="zh-CN" w:bidi="ar"/>
              </w:rPr>
            </w:pPr>
          </w:p>
        </w:tc>
        <w:tc>
          <w:tcPr>
            <w:tcW w:w="965" w:type="dxa"/>
            <w:vAlign w:val="center"/>
          </w:tcPr>
          <w:p>
            <w:pPr>
              <w:widowControl/>
              <w:jc w:val="center"/>
              <w:rPr>
                <w:rFonts w:hint="eastAsia" w:ascii="Arial" w:hAnsi="Arial" w:cs="Arial"/>
                <w:sz w:val="21"/>
                <w:szCs w:val="21"/>
              </w:rPr>
            </w:pPr>
            <w:r>
              <w:rPr>
                <w:rFonts w:hint="eastAsia" w:ascii="仿宋" w:hAnsi="仿宋" w:eastAsia="仿宋" w:cs="宋体"/>
                <w:kern w:val="0"/>
                <w:sz w:val="21"/>
                <w:szCs w:val="21"/>
              </w:rPr>
              <w:t>3台</w:t>
            </w:r>
          </w:p>
        </w:tc>
        <w:tc>
          <w:tcPr>
            <w:tcW w:w="231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left"/>
              <w:textAlignment w:val="auto"/>
              <w:rPr>
                <w:rFonts w:hint="eastAsia" w:ascii="宋体"/>
                <w:sz w:val="21"/>
                <w:szCs w:val="21"/>
                <w:lang w:eastAsia="zh-CN"/>
              </w:rPr>
            </w:pPr>
            <w:r>
              <w:rPr>
                <w:rFonts w:hint="eastAsia" w:ascii="宋体"/>
                <w:sz w:val="21"/>
                <w:szCs w:val="21"/>
                <w:lang w:eastAsia="zh-CN"/>
              </w:rPr>
              <w:t>合同</w:t>
            </w:r>
            <w:r>
              <w:rPr>
                <w:rFonts w:hint="eastAsia" w:ascii="宋体"/>
                <w:sz w:val="21"/>
                <w:szCs w:val="21"/>
                <w:lang w:val="en-US" w:eastAsia="zh-CN"/>
              </w:rPr>
              <w:t>生效后3个月</w:t>
            </w:r>
            <w:r>
              <w:rPr>
                <w:rFonts w:hint="eastAsia" w:ascii="宋体"/>
                <w:sz w:val="21"/>
                <w:szCs w:val="21"/>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 w:hRule="atLeast"/>
          <w:jc w:val="center"/>
        </w:trPr>
        <w:tc>
          <w:tcPr>
            <w:tcW w:w="882" w:type="dxa"/>
            <w:vAlign w:val="center"/>
          </w:tcPr>
          <w:p>
            <w:pPr>
              <w:spacing w:line="360" w:lineRule="auto"/>
              <w:jc w:val="center"/>
              <w:rPr>
                <w:rFonts w:hint="eastAsia" w:ascii="宋体" w:hAnsi="宋体"/>
                <w:color w:val="000000"/>
                <w:sz w:val="21"/>
                <w:szCs w:val="21"/>
                <w:lang w:val="en-US" w:eastAsia="zh-CN"/>
              </w:rPr>
            </w:pPr>
            <w:r>
              <w:rPr>
                <w:rFonts w:hint="eastAsia" w:ascii="宋体" w:hAnsi="宋体"/>
                <w:color w:val="000000"/>
                <w:sz w:val="21"/>
                <w:szCs w:val="21"/>
                <w:lang w:val="en-US" w:eastAsia="zh-CN"/>
              </w:rPr>
              <w:t>9</w:t>
            </w:r>
          </w:p>
        </w:tc>
        <w:tc>
          <w:tcPr>
            <w:tcW w:w="2657" w:type="dxa"/>
            <w:vAlign w:val="center"/>
          </w:tcPr>
          <w:p>
            <w:pPr>
              <w:widowControl/>
              <w:jc w:val="left"/>
              <w:rPr>
                <w:rFonts w:hint="eastAsia" w:ascii="仿宋" w:hAnsi="仿宋" w:eastAsia="仿宋" w:cs="宋体"/>
                <w:kern w:val="0"/>
                <w:sz w:val="21"/>
                <w:szCs w:val="21"/>
                <w:lang w:eastAsia="zh-CN"/>
              </w:rPr>
            </w:pPr>
            <w:r>
              <w:rPr>
                <w:rFonts w:hint="eastAsia" w:ascii="仿宋" w:hAnsi="仿宋" w:eastAsia="仿宋" w:cs="宋体"/>
                <w:kern w:val="0"/>
                <w:sz w:val="21"/>
                <w:szCs w:val="21"/>
              </w:rPr>
              <w:t>站立式电瓶叉车</w:t>
            </w:r>
            <w:r>
              <w:rPr>
                <w:rFonts w:hint="eastAsia" w:ascii="仿宋" w:hAnsi="仿宋" w:eastAsia="仿宋" w:cs="宋体"/>
                <w:kern w:val="0"/>
                <w:sz w:val="21"/>
                <w:szCs w:val="21"/>
                <w:lang w:eastAsia="zh-CN"/>
              </w:rPr>
              <w:t>存电器</w:t>
            </w:r>
          </w:p>
        </w:tc>
        <w:tc>
          <w:tcPr>
            <w:tcW w:w="2099" w:type="dxa"/>
            <w:vAlign w:val="center"/>
          </w:tcPr>
          <w:p>
            <w:pPr>
              <w:widowControl/>
              <w:jc w:val="center"/>
              <w:rPr>
                <w:rFonts w:hint="default" w:ascii="Arial" w:hAnsi="Arial" w:eastAsia="宋体" w:cs="Arial"/>
                <w:i w:val="0"/>
                <w:color w:val="000000"/>
                <w:kern w:val="0"/>
                <w:sz w:val="21"/>
                <w:szCs w:val="21"/>
                <w:u w:val="none"/>
                <w:lang w:val="en-US" w:eastAsia="zh-CN" w:bidi="ar"/>
              </w:rPr>
            </w:pPr>
          </w:p>
        </w:tc>
        <w:tc>
          <w:tcPr>
            <w:tcW w:w="965" w:type="dxa"/>
            <w:vAlign w:val="center"/>
          </w:tcPr>
          <w:p>
            <w:pPr>
              <w:widowControl/>
              <w:jc w:val="center"/>
              <w:rPr>
                <w:rFonts w:hint="eastAsia" w:ascii="仿宋" w:hAnsi="仿宋" w:eastAsia="仿宋" w:cs="宋体"/>
                <w:kern w:val="0"/>
                <w:sz w:val="21"/>
                <w:szCs w:val="21"/>
                <w:lang w:val="en-US" w:eastAsia="zh-CN"/>
              </w:rPr>
            </w:pPr>
            <w:r>
              <w:rPr>
                <w:rFonts w:hint="eastAsia" w:ascii="仿宋" w:hAnsi="仿宋" w:eastAsia="仿宋" w:cs="宋体"/>
                <w:kern w:val="0"/>
                <w:sz w:val="21"/>
                <w:szCs w:val="21"/>
                <w:lang w:val="en-US" w:eastAsia="zh-CN"/>
              </w:rPr>
              <w:t>3台</w:t>
            </w:r>
          </w:p>
        </w:tc>
        <w:tc>
          <w:tcPr>
            <w:tcW w:w="2317" w:type="dxa"/>
            <w:vAlign w:val="center"/>
          </w:tcPr>
          <w:p>
            <w:pPr>
              <w:keepNext w:val="0"/>
              <w:keepLines w:val="0"/>
              <w:pageBreakBefore w:val="0"/>
              <w:widowControl/>
              <w:kinsoku/>
              <w:wordWrap/>
              <w:overflowPunct/>
              <w:topLinePunct w:val="0"/>
              <w:autoSpaceDE/>
              <w:autoSpaceDN/>
              <w:bidi w:val="0"/>
              <w:snapToGrid/>
              <w:spacing w:line="500" w:lineRule="exact"/>
              <w:ind w:left="0" w:leftChars="0" w:right="0" w:rightChars="0"/>
              <w:jc w:val="left"/>
              <w:textAlignment w:val="auto"/>
              <w:rPr>
                <w:rFonts w:hint="eastAsia" w:ascii="宋体"/>
                <w:sz w:val="21"/>
                <w:szCs w:val="21"/>
                <w:lang w:eastAsia="zh-CN"/>
              </w:rPr>
            </w:pPr>
            <w:r>
              <w:rPr>
                <w:rFonts w:hint="eastAsia" w:ascii="宋体"/>
                <w:sz w:val="21"/>
                <w:szCs w:val="21"/>
                <w:lang w:eastAsia="zh-CN"/>
              </w:rPr>
              <w:t>合同</w:t>
            </w:r>
            <w:r>
              <w:rPr>
                <w:rFonts w:hint="eastAsia" w:ascii="宋体"/>
                <w:sz w:val="21"/>
                <w:szCs w:val="21"/>
                <w:lang w:val="en-US" w:eastAsia="zh-CN"/>
              </w:rPr>
              <w:t>生效后3个月</w:t>
            </w:r>
            <w:r>
              <w:rPr>
                <w:rFonts w:hint="eastAsia" w:ascii="宋体"/>
                <w:sz w:val="21"/>
                <w:szCs w:val="21"/>
              </w:rPr>
              <w:t>内</w:t>
            </w:r>
          </w:p>
        </w:tc>
      </w:tr>
    </w:tbl>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r>
        <w:rPr>
          <w:rFonts w:hint="eastAsia" w:ascii="宋体" w:hAnsi="宋体" w:eastAsia="宋体" w:cs="宋体"/>
          <w:bCs/>
          <w:color w:val="000000"/>
          <w:sz w:val="21"/>
          <w:szCs w:val="21"/>
          <w:highlight w:val="none"/>
          <w:lang w:bidi="ar-SA"/>
        </w:rPr>
        <w:t>5.技术资料</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5.1投标方必随设备交付的技术资料有：基础资料（包括出厂测试报告）</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《操作手册》、《保养维修手册》</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《配件图册》</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产品合格证</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设备操作规程（图文结合）</w:t>
      </w:r>
      <w:r>
        <w:rPr>
          <w:rFonts w:hint="eastAsia" w:ascii="宋体" w:hAnsi="宋体" w:eastAsia="宋体" w:cs="宋体"/>
          <w:sz w:val="21"/>
          <w:szCs w:val="21"/>
          <w:highlight w:val="none"/>
          <w:lang w:eastAsia="zh-CN"/>
        </w:rPr>
        <w:t>各</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套</w:t>
      </w:r>
      <w:r>
        <w:rPr>
          <w:rFonts w:hint="eastAsia" w:ascii="宋体" w:hAnsi="宋体" w:cs="宋体"/>
          <w:sz w:val="21"/>
          <w:szCs w:val="21"/>
          <w:highlight w:val="none"/>
          <w:lang w:eastAsia="zh-CN"/>
        </w:rPr>
        <w:t>和</w:t>
      </w:r>
      <w:r>
        <w:rPr>
          <w:rFonts w:hint="eastAsia" w:ascii="宋体"/>
          <w:sz w:val="21"/>
          <w:szCs w:val="21"/>
          <w:lang w:val="en-US" w:eastAsia="zh-CN"/>
        </w:rPr>
        <w:t>2套设备竣工档案</w:t>
      </w:r>
      <w:r>
        <w:rPr>
          <w:rFonts w:hint="eastAsia" w:ascii="宋体" w:hAnsi="宋体" w:eastAsia="宋体" w:cs="宋体"/>
          <w:sz w:val="21"/>
          <w:szCs w:val="21"/>
          <w:highlight w:val="none"/>
        </w:rPr>
        <w:t>。</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5.1.1《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5.1.2《保养维修手册》中要求详列有关检修方法及技术标准；详列设备的日常点检、安全注意事项。 </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5.1.3《操作手册》、《保养维修手册》、《配件图册》分开或集成均可以。</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r>
        <w:rPr>
          <w:rFonts w:hint="eastAsia" w:ascii="宋体" w:hAnsi="宋体" w:eastAsia="宋体" w:cs="宋体"/>
          <w:bCs/>
          <w:color w:val="000000"/>
          <w:sz w:val="21"/>
          <w:szCs w:val="21"/>
          <w:highlight w:val="none"/>
          <w:lang w:bidi="ar-SA"/>
        </w:rPr>
        <w:t>5.2</w:t>
      </w:r>
      <w:r>
        <w:rPr>
          <w:rFonts w:hint="eastAsia" w:ascii="宋体" w:hAnsi="宋体" w:cs="宋体"/>
          <w:bCs/>
          <w:color w:val="000000"/>
          <w:sz w:val="21"/>
          <w:szCs w:val="21"/>
          <w:highlight w:val="none"/>
          <w:lang w:eastAsia="zh-CN" w:bidi="ar-SA"/>
        </w:rPr>
        <w:t>投标方</w:t>
      </w:r>
      <w:r>
        <w:rPr>
          <w:rFonts w:hint="eastAsia" w:ascii="宋体" w:hAnsi="宋体" w:eastAsia="宋体" w:cs="宋体"/>
          <w:bCs/>
          <w:color w:val="000000"/>
          <w:sz w:val="21"/>
          <w:szCs w:val="21"/>
          <w:highlight w:val="none"/>
          <w:lang w:bidi="ar-SA"/>
        </w:rPr>
        <w:t>必须交付全新的、完整的、与提供设备相符的、招标方认可的技术资料和图纸（包括纸质版本与电子版本）。对于缺失损坏、不符合要求的技术资料和图纸，投标方在</w:t>
      </w:r>
      <w:r>
        <w:rPr>
          <w:rFonts w:hint="eastAsia" w:ascii="宋体" w:hAnsi="宋体" w:eastAsia="宋体" w:cs="宋体"/>
          <w:bCs/>
          <w:color w:val="000000"/>
          <w:sz w:val="21"/>
          <w:szCs w:val="21"/>
          <w:highlight w:val="none"/>
          <w:lang w:val="en-US" w:eastAsia="zh-CN" w:bidi="ar-SA"/>
        </w:rPr>
        <w:t>30</w:t>
      </w:r>
      <w:r>
        <w:rPr>
          <w:rFonts w:hint="eastAsia" w:ascii="宋体" w:hAnsi="宋体" w:eastAsia="宋体" w:cs="宋体"/>
          <w:bCs/>
          <w:color w:val="000000"/>
          <w:sz w:val="21"/>
          <w:szCs w:val="21"/>
          <w:highlight w:val="none"/>
          <w:lang w:bidi="ar-SA"/>
        </w:rPr>
        <w:t>日内，补齐、更换。</w:t>
      </w:r>
      <w:r>
        <w:rPr>
          <w:rFonts w:hint="eastAsia" w:ascii="宋体" w:hAnsi="宋体" w:cs="宋体"/>
          <w:bCs/>
          <w:color w:val="000000"/>
          <w:sz w:val="21"/>
          <w:szCs w:val="21"/>
          <w:highlight w:val="none"/>
          <w:lang w:eastAsia="zh-CN" w:bidi="ar-SA"/>
        </w:rPr>
        <w:t>投</w:t>
      </w:r>
      <w:r>
        <w:rPr>
          <w:rFonts w:hint="eastAsia" w:ascii="宋体" w:hAnsi="宋体" w:eastAsia="宋体" w:cs="宋体"/>
          <w:bCs/>
          <w:color w:val="000000"/>
          <w:sz w:val="21"/>
          <w:szCs w:val="21"/>
          <w:highlight w:val="none"/>
          <w:lang w:bidi="ar-SA"/>
        </w:rPr>
        <w:t>标方将</w:t>
      </w:r>
      <w:r>
        <w:rPr>
          <w:rFonts w:hint="eastAsia" w:ascii="宋体" w:hAnsi="宋体" w:eastAsia="宋体" w:cs="宋体"/>
          <w:bCs/>
          <w:color w:val="000000"/>
          <w:sz w:val="21"/>
          <w:szCs w:val="21"/>
          <w:highlight w:val="none"/>
          <w:lang w:val="en-US" w:eastAsia="zh-CN" w:bidi="ar-SA"/>
        </w:rPr>
        <w:t>2</w:t>
      </w:r>
      <w:r>
        <w:rPr>
          <w:rFonts w:hint="eastAsia" w:ascii="宋体" w:hAnsi="宋体" w:eastAsia="宋体" w:cs="宋体"/>
          <w:bCs/>
          <w:color w:val="000000"/>
          <w:sz w:val="21"/>
          <w:szCs w:val="21"/>
          <w:highlight w:val="none"/>
          <w:lang w:bidi="ar-SA"/>
        </w:rPr>
        <w:t>套电子版文件，分别存储于U盘中与纸质版本一并交付。招标方出于培训目的，有权复制交付的技术资料和图纸。</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bookmarkStart w:id="20" w:name="_Toc470071178"/>
      <w:r>
        <w:rPr>
          <w:rFonts w:hint="eastAsia" w:ascii="宋体" w:hAnsi="宋体" w:eastAsia="宋体" w:cs="宋体"/>
          <w:bCs/>
          <w:color w:val="000000"/>
          <w:sz w:val="21"/>
          <w:szCs w:val="21"/>
          <w:highlight w:val="none"/>
          <w:lang w:bidi="ar-SA"/>
        </w:rPr>
        <w:t>6.技术服务及培训</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r>
        <w:rPr>
          <w:rFonts w:hint="eastAsia" w:ascii="宋体" w:hAnsi="宋体" w:eastAsia="宋体" w:cs="宋体"/>
          <w:bCs/>
          <w:color w:val="000000"/>
          <w:sz w:val="21"/>
          <w:szCs w:val="21"/>
          <w:highlight w:val="none"/>
          <w:lang w:bidi="ar-SA"/>
        </w:rPr>
        <w:t>6.1技术服务</w:t>
      </w:r>
    </w:p>
    <w:p>
      <w:pPr>
        <w:keepNext w:val="0"/>
        <w:keepLines w:val="0"/>
        <w:pageBreakBefore w:val="0"/>
        <w:widowControl w:val="0"/>
        <w:kinsoku/>
        <w:wordWrap/>
        <w:overflowPunct/>
        <w:topLinePunct w:val="0"/>
        <w:autoSpaceDE/>
        <w:autoSpaceDN/>
        <w:bidi w:val="0"/>
        <w:spacing w:line="360" w:lineRule="auto"/>
        <w:ind w:right="0" w:rightChars="0" w:firstLine="420" w:firstLineChars="20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在设备组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r>
        <w:rPr>
          <w:rFonts w:hint="eastAsia" w:ascii="宋体" w:hAnsi="宋体" w:eastAsia="宋体" w:cs="宋体"/>
          <w:bCs/>
          <w:color w:val="000000"/>
          <w:sz w:val="21"/>
          <w:szCs w:val="21"/>
          <w:highlight w:val="none"/>
          <w:lang w:bidi="ar-SA"/>
        </w:rPr>
        <w:t>6.2技术培训</w:t>
      </w:r>
    </w:p>
    <w:p>
      <w:pPr>
        <w:keepNext w:val="0"/>
        <w:keepLines w:val="0"/>
        <w:pageBreakBefore w:val="0"/>
        <w:widowControl w:val="0"/>
        <w:kinsoku/>
        <w:wordWrap/>
        <w:overflowPunct/>
        <w:topLinePunct w:val="0"/>
        <w:autoSpaceDE/>
        <w:autoSpaceDN/>
        <w:bidi w:val="0"/>
        <w:spacing w:line="360" w:lineRule="auto"/>
        <w:ind w:right="0" w:rightChars="0" w:firstLine="420" w:firstLineChars="200"/>
        <w:outlineLvl w:val="9"/>
        <w:rPr>
          <w:rFonts w:hint="eastAsia" w:ascii="宋体" w:hAnsi="宋体" w:eastAsia="宋体" w:cs="宋体"/>
          <w:bCs/>
          <w:color w:val="000000"/>
          <w:sz w:val="21"/>
          <w:szCs w:val="21"/>
          <w:highlight w:val="none"/>
          <w:lang w:bidi="ar-SA"/>
        </w:rPr>
      </w:pPr>
      <w:r>
        <w:rPr>
          <w:rFonts w:hint="eastAsia" w:ascii="宋体" w:hAnsi="宋体" w:eastAsia="宋体" w:cs="宋体"/>
          <w:sz w:val="21"/>
          <w:szCs w:val="21"/>
          <w:highlight w:val="none"/>
        </w:rPr>
        <w:t>投标方需派技术人员到招标方现场免费</w:t>
      </w:r>
      <w:r>
        <w:rPr>
          <w:rFonts w:hint="eastAsia" w:ascii="宋体"/>
          <w:sz w:val="21"/>
          <w:szCs w:val="21"/>
        </w:rPr>
        <w:t>5日</w:t>
      </w:r>
      <w:r>
        <w:rPr>
          <w:rFonts w:hint="eastAsia" w:ascii="宋体" w:hAnsi="宋体" w:eastAsia="宋体" w:cs="宋体"/>
          <w:sz w:val="21"/>
          <w:szCs w:val="21"/>
          <w:highlight w:val="none"/>
        </w:rPr>
        <w:t>对操作、维修人员进行技术培训。通过培训能够使操作人员熟练掌握机器的各种功能，制作产品，使检修人员能清楚其构造原理，并能处理各种故障。</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r>
        <w:rPr>
          <w:rFonts w:hint="eastAsia" w:ascii="宋体" w:hAnsi="宋体" w:eastAsia="宋体" w:cs="宋体"/>
          <w:bCs/>
          <w:color w:val="000000"/>
          <w:sz w:val="21"/>
          <w:szCs w:val="21"/>
          <w:highlight w:val="none"/>
          <w:lang w:bidi="ar-SA"/>
        </w:rPr>
        <w:t>7.安装调试及考核验收</w:t>
      </w:r>
      <w:bookmarkEnd w:id="20"/>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r>
        <w:rPr>
          <w:rFonts w:hint="eastAsia" w:ascii="宋体" w:hAnsi="宋体" w:eastAsia="宋体" w:cs="宋体"/>
          <w:bCs/>
          <w:color w:val="000000"/>
          <w:sz w:val="21"/>
          <w:szCs w:val="21"/>
          <w:highlight w:val="none"/>
          <w:lang w:bidi="ar-SA"/>
        </w:rPr>
        <w:t>7.1安装调试</w:t>
      </w:r>
    </w:p>
    <w:p>
      <w:pPr>
        <w:adjustRightInd w:val="0"/>
        <w:snapToGrid w:val="0"/>
        <w:spacing w:line="360" w:lineRule="auto"/>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7.1.1安装调试全部由中标方负责，包括设备的</w:t>
      </w:r>
      <w:r>
        <w:rPr>
          <w:rFonts w:hint="eastAsia" w:ascii="宋体" w:hAnsi="宋体" w:cs="宋体"/>
          <w:sz w:val="21"/>
          <w:szCs w:val="21"/>
          <w:highlight w:val="none"/>
          <w:lang w:eastAsia="zh-CN"/>
        </w:rPr>
        <w:t>装卸、基础施工、电缆的提供及铺设、</w:t>
      </w:r>
      <w:r>
        <w:rPr>
          <w:rFonts w:hint="eastAsia" w:ascii="宋体" w:hAnsi="宋体" w:eastAsia="宋体" w:cs="宋体"/>
          <w:sz w:val="21"/>
          <w:szCs w:val="21"/>
          <w:highlight w:val="none"/>
        </w:rPr>
        <w:t>安装、调试、试运行。</w:t>
      </w:r>
      <w:r>
        <w:rPr>
          <w:rFonts w:hint="eastAsia" w:ascii="宋体" w:hAnsi="宋体" w:cs="宋体"/>
          <w:sz w:val="21"/>
          <w:szCs w:val="21"/>
          <w:highlight w:val="none"/>
          <w:lang w:eastAsia="zh-CN"/>
        </w:rPr>
        <w:t>设备所需水、电位置由招标方指定，中标方负责实施，包括所需的材料及施工。台车库地面恢复采用金钢砂，恢复长度约为</w:t>
      </w:r>
      <w:r>
        <w:rPr>
          <w:rFonts w:hint="eastAsia" w:ascii="宋体" w:hAnsi="宋体" w:cs="宋体"/>
          <w:sz w:val="21"/>
          <w:szCs w:val="21"/>
          <w:highlight w:val="none"/>
          <w:lang w:val="en-US" w:eastAsia="zh-CN"/>
        </w:rPr>
        <w:t>94米，宽约13米，</w:t>
      </w:r>
      <w:r>
        <w:rPr>
          <w:rFonts w:hint="eastAsia" w:ascii="宋体" w:hAnsi="宋体" w:cs="宋体"/>
          <w:sz w:val="21"/>
          <w:szCs w:val="21"/>
          <w:highlight w:val="none"/>
          <w:lang w:eastAsia="zh-CN"/>
        </w:rPr>
        <w:t>金钢砂厚度</w:t>
      </w:r>
      <w:r>
        <w:rPr>
          <w:rFonts w:hint="eastAsia" w:ascii="宋体" w:hAnsi="宋体" w:cs="宋体"/>
          <w:sz w:val="21"/>
          <w:szCs w:val="21"/>
          <w:highlight w:val="none"/>
          <w:lang w:val="en-US" w:eastAsia="zh-CN"/>
        </w:rPr>
        <w:t>不得小于5MM，每平米不得小于7KG</w:t>
      </w:r>
      <w:r>
        <w:rPr>
          <w:rFonts w:hint="eastAsia" w:ascii="宋体" w:hAnsi="宋体"/>
          <w:sz w:val="21"/>
          <w:szCs w:val="21"/>
          <w:lang w:val="en-US" w:eastAsia="zh-CN"/>
        </w:rPr>
        <w:t>。</w:t>
      </w:r>
      <w:r>
        <w:rPr>
          <w:rFonts w:hint="eastAsia" w:ascii="宋体" w:hAnsi="宋体" w:eastAsia="宋体" w:cs="宋体"/>
          <w:sz w:val="21"/>
          <w:szCs w:val="21"/>
          <w:highlight w:val="none"/>
        </w:rPr>
        <w:t>设备试运行期间，设备所出现的故障由投标方负责解决，招标方给予协助。</w:t>
      </w:r>
      <w:r>
        <w:rPr>
          <w:rFonts w:hint="eastAsia" w:ascii="宋体" w:hAnsi="宋体" w:cs="宋体"/>
          <w:sz w:val="21"/>
          <w:szCs w:val="21"/>
          <w:highlight w:val="none"/>
          <w:lang w:eastAsia="zh-CN"/>
        </w:rPr>
        <w:t>设备外表颜色由招标方确定。</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7.1.2设备调试完成后，进行试运行，试运行由招标方操作人员在投标方技术人员的密切、具体指导下进行。</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r>
        <w:rPr>
          <w:rFonts w:hint="eastAsia" w:ascii="宋体" w:hAnsi="宋体" w:eastAsia="宋体" w:cs="宋体"/>
          <w:bCs/>
          <w:color w:val="000000"/>
          <w:sz w:val="21"/>
          <w:szCs w:val="21"/>
          <w:highlight w:val="none"/>
          <w:lang w:bidi="ar-SA"/>
        </w:rPr>
        <w:t>7.2设备考核</w:t>
      </w:r>
    </w:p>
    <w:p>
      <w:pPr>
        <w:keepNext w:val="0"/>
        <w:keepLines w:val="0"/>
        <w:pageBreakBefore w:val="0"/>
        <w:widowControl w:val="0"/>
        <w:kinsoku/>
        <w:wordWrap/>
        <w:overflowPunct/>
        <w:topLinePunct w:val="0"/>
        <w:autoSpaceDE/>
        <w:autoSpaceDN/>
        <w:bidi w:val="0"/>
        <w:spacing w:line="360" w:lineRule="auto"/>
        <w:ind w:left="-2" w:leftChars="-1" w:right="0" w:rightChars="0" w:firstLine="1"/>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7.2.1设备考核期为</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个月，设备的故障次数不高于</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次，故障累计时间不高于</w:t>
      </w:r>
      <w:r>
        <w:rPr>
          <w:rFonts w:hint="eastAsia" w:ascii="宋体" w:hAnsi="宋体" w:eastAsia="宋体" w:cs="宋体"/>
          <w:sz w:val="21"/>
          <w:szCs w:val="21"/>
          <w:highlight w:val="none"/>
          <w:u w:val="none"/>
          <w:lang w:val="en-US" w:eastAsia="zh-CN"/>
        </w:rPr>
        <w:t>4</w:t>
      </w:r>
      <w:r>
        <w:rPr>
          <w:rFonts w:hint="eastAsia" w:ascii="宋体" w:hAnsi="宋体" w:eastAsia="宋体" w:cs="宋体"/>
          <w:sz w:val="21"/>
          <w:szCs w:val="21"/>
          <w:highlight w:val="none"/>
        </w:rPr>
        <w:t>小时。</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7.2.2设备在首次考核未能通过，再经过更换部件或其他方法处理后，在</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个月内仍未达到考核要求，不能通过考核，则视该设备为不合格产品。</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个月的期限是从首次考核试运行开始的第一天计算。设备不符合招标文件规定的要求及相关标准和规范的设备同样被视为不合格设备。</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7.2.3如考核属于不合格设备，不能进行设备验收，投标方无偿更换设备。在双方同意的期限内将新设备运抵招标方现场，由此产生的一切费用由投标方承担。在新设备安装之前，原设备继续由招标方使用。</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r>
        <w:rPr>
          <w:rFonts w:hint="eastAsia" w:ascii="宋体" w:hAnsi="宋体" w:eastAsia="宋体" w:cs="宋体"/>
          <w:bCs/>
          <w:color w:val="000000"/>
          <w:sz w:val="21"/>
          <w:szCs w:val="21"/>
          <w:highlight w:val="none"/>
          <w:lang w:bidi="ar-SA"/>
        </w:rPr>
        <w:t>7.3设备验收</w:t>
      </w:r>
    </w:p>
    <w:p>
      <w:pPr>
        <w:keepNext w:val="0"/>
        <w:keepLines w:val="0"/>
        <w:pageBreakBefore w:val="0"/>
        <w:widowControl w:val="0"/>
        <w:kinsoku/>
        <w:wordWrap/>
        <w:overflowPunct/>
        <w:topLinePunct w:val="0"/>
        <w:autoSpaceDE/>
        <w:autoSpaceDN/>
        <w:bidi w:val="0"/>
        <w:spacing w:line="360" w:lineRule="auto"/>
        <w:ind w:right="0" w:rightChars="0" w:firstLine="420" w:firstLineChars="20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考核完成后，双方对设备进行验收。验收标准为本规范书所规定的要求和相关标准、规范。</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bookmarkStart w:id="21" w:name="_Toc31743"/>
      <w:r>
        <w:rPr>
          <w:rFonts w:hint="eastAsia" w:ascii="宋体" w:hAnsi="宋体" w:eastAsia="宋体" w:cs="宋体"/>
          <w:bCs/>
          <w:color w:val="000000"/>
          <w:sz w:val="21"/>
          <w:szCs w:val="21"/>
          <w:highlight w:val="none"/>
          <w:lang w:bidi="ar-SA"/>
        </w:rPr>
        <w:t>8.质量保证</w:t>
      </w:r>
      <w:bookmarkEnd w:id="21"/>
    </w:p>
    <w:p>
      <w:pPr>
        <w:keepNext w:val="0"/>
        <w:keepLines w:val="0"/>
        <w:pageBreakBefore w:val="0"/>
        <w:widowControl w:val="0"/>
        <w:kinsoku/>
        <w:wordWrap/>
        <w:overflowPunct/>
        <w:topLinePunct w:val="0"/>
        <w:autoSpaceDE/>
        <w:autoSpaceDN/>
        <w:bidi w:val="0"/>
        <w:spacing w:line="360" w:lineRule="auto"/>
        <w:ind w:right="0" w:rightChars="0" w:firstLine="420" w:firstLineChars="200"/>
        <w:outlineLvl w:val="9"/>
        <w:rPr>
          <w:rFonts w:hint="eastAsia" w:ascii="宋体" w:hAnsi="宋体" w:eastAsia="宋体" w:cs="宋体"/>
          <w:sz w:val="21"/>
          <w:szCs w:val="21"/>
          <w:highlight w:val="none"/>
        </w:rPr>
      </w:pPr>
      <w:bookmarkStart w:id="22" w:name="_Toc470071179"/>
      <w:r>
        <w:rPr>
          <w:rFonts w:hint="eastAsia" w:ascii="宋体" w:hAnsi="宋体" w:eastAsia="宋体" w:cs="宋体"/>
          <w:sz w:val="21"/>
          <w:szCs w:val="21"/>
          <w:highlight w:val="none"/>
        </w:rPr>
        <w:t>整机质量保证期为</w:t>
      </w:r>
      <w:r>
        <w:rPr>
          <w:rFonts w:hint="eastAsia" w:ascii="宋体" w:hAnsi="宋体" w:cs="宋体"/>
          <w:sz w:val="21"/>
          <w:szCs w:val="21"/>
          <w:highlight w:val="none"/>
          <w:lang w:val="en-US" w:eastAsia="zh-CN"/>
        </w:rPr>
        <w:t>12</w:t>
      </w:r>
      <w:r>
        <w:rPr>
          <w:rFonts w:hint="eastAsia" w:ascii="宋体" w:hAnsi="宋体" w:eastAsia="宋体" w:cs="宋体"/>
          <w:sz w:val="21"/>
          <w:szCs w:val="21"/>
          <w:highlight w:val="none"/>
        </w:rPr>
        <w:t>个月。</w:t>
      </w:r>
      <w:r>
        <w:rPr>
          <w:rFonts w:hint="eastAsia" w:ascii="宋体" w:hAnsi="宋体" w:cs="宋体"/>
          <w:color w:val="auto"/>
          <w:sz w:val="21"/>
          <w:szCs w:val="21"/>
          <w:highlight w:val="none"/>
          <w:lang w:eastAsia="zh-CN"/>
        </w:rPr>
        <w:t>设备</w:t>
      </w:r>
      <w:r>
        <w:rPr>
          <w:rFonts w:hint="eastAsia" w:ascii="宋体" w:hAnsi="宋体" w:eastAsia="宋体" w:cs="宋体"/>
          <w:color w:val="auto"/>
          <w:sz w:val="21"/>
          <w:szCs w:val="21"/>
          <w:highlight w:val="none"/>
        </w:rPr>
        <w:t>验收合格</w:t>
      </w:r>
      <w:r>
        <w:rPr>
          <w:rFonts w:hint="eastAsia" w:ascii="宋体" w:hAnsi="宋体" w:cs="宋体"/>
          <w:color w:val="auto"/>
          <w:sz w:val="21"/>
          <w:szCs w:val="21"/>
          <w:highlight w:val="none"/>
          <w:lang w:eastAsia="zh-CN"/>
        </w:rPr>
        <w:t>后，从签订完设备验收报告</w:t>
      </w:r>
      <w:r>
        <w:rPr>
          <w:rFonts w:hint="eastAsia" w:ascii="宋体" w:hAnsi="宋体" w:eastAsia="宋体" w:cs="宋体"/>
          <w:color w:val="auto"/>
          <w:sz w:val="21"/>
          <w:szCs w:val="21"/>
          <w:highlight w:val="none"/>
        </w:rPr>
        <w:t>之日算起</w:t>
      </w:r>
      <w:r>
        <w:rPr>
          <w:rFonts w:hint="eastAsia" w:ascii="宋体" w:hAnsi="宋体" w:cs="宋体"/>
          <w:color w:val="auto"/>
          <w:sz w:val="21"/>
          <w:szCs w:val="21"/>
          <w:highlight w:val="none"/>
          <w:lang w:eastAsia="zh-CN"/>
        </w:rPr>
        <w:t>进入质保期，</w:t>
      </w:r>
      <w:r>
        <w:rPr>
          <w:rFonts w:hint="eastAsia" w:ascii="宋体" w:hAnsi="宋体" w:eastAsia="宋体" w:cs="宋体"/>
          <w:sz w:val="21"/>
          <w:szCs w:val="21"/>
          <w:highlight w:val="none"/>
        </w:rPr>
        <w:t>在质量保证期内，因产品设计或制造质量原因造成的问题，由投标方负责免费维修或更换。</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color w:val="000000"/>
          <w:sz w:val="21"/>
          <w:szCs w:val="21"/>
          <w:highlight w:val="none"/>
          <w:lang w:bidi="ar-SA"/>
        </w:rPr>
      </w:pPr>
      <w:r>
        <w:rPr>
          <w:rFonts w:hint="eastAsia" w:ascii="宋体" w:hAnsi="宋体" w:eastAsia="宋体" w:cs="宋体"/>
          <w:bCs/>
          <w:color w:val="000000"/>
          <w:sz w:val="21"/>
          <w:szCs w:val="21"/>
          <w:highlight w:val="none"/>
          <w:lang w:bidi="ar-SA"/>
        </w:rPr>
        <w:t>9.售后支持</w:t>
      </w:r>
      <w:bookmarkEnd w:id="22"/>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9.1在质保期内，如果出现故障，投标方在接到招标方书面通知后48小时内，指派技术服务人员到招标方使用现场，进行维修。</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9.2在整机质保期内，投标方指派技术服务人员到招标方使用单位进行回访和协助设备维护保养，费用由投标方承担。</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9.3投标方帮助和指导招标方解决使用中遇到的问题，对突发性故障和重大维修项目，将速派精干的服务工程师赴现场协助指导处理。</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9.4投标方根据招标方需要，保证长期提供优质、低价配件。</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9.5投标方根据招标方需要，保证长期提供配件图册、保养维修手册等技术资料。</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9.6投标方产品在技术改进后，应根据招标方需要，保证招标方设备的使用、维修及配件供应能够适应技术改进情况。</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9.7 投标方应在投标书中说明质保期满后如何在技术上继续给招标方提供支持。如是否可定期派人到招标方现场对设备作全面检查，根据检查结果向招标方提出维修建议。当设备出现严重故障时，能保证48小时内到达招标方现场。</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9.8 投标方应在投标书中说明设备投入运行后，招标方向投标方正常订购配件时，投标方能给招标方多大幅度的优惠。说明如果招标方遇到配件急需时，投标方如何以最快的速度给予支持。</w:t>
      </w:r>
    </w:p>
    <w:p>
      <w:pPr>
        <w:spacing w:line="360" w:lineRule="auto"/>
        <w:rPr>
          <w:rFonts w:hint="eastAsia" w:eastAsia="宋体"/>
          <w:b w:val="0"/>
          <w:bCs/>
          <w:color w:val="000000"/>
          <w:sz w:val="21"/>
          <w:szCs w:val="21"/>
          <w:highlight w:val="none"/>
          <w:lang w:val="en-US" w:eastAsia="zh-CN"/>
        </w:rPr>
      </w:pPr>
      <w:r>
        <w:rPr>
          <w:rFonts w:hint="eastAsia" w:ascii="宋体" w:hAnsi="宋体" w:cs="宋体"/>
          <w:sz w:val="21"/>
          <w:szCs w:val="21"/>
          <w:highlight w:val="none"/>
          <w:lang w:val="en-US" w:eastAsia="zh-CN"/>
        </w:rPr>
        <w:t>*9.9资质要求：见招标公告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E0C92"/>
    <w:multiLevelType w:val="multilevel"/>
    <w:tmpl w:val="22BE0C92"/>
    <w:lvl w:ilvl="0" w:tentative="0">
      <w:start w:val="1"/>
      <w:numFmt w:val="decimal"/>
      <w:lvlText w:val="%1)"/>
      <w:lvlJc w:val="left"/>
      <w:pPr>
        <w:ind w:left="420" w:hanging="420"/>
      </w:pPr>
      <w:rPr>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B45180"/>
    <w:multiLevelType w:val="multilevel"/>
    <w:tmpl w:val="36B45180"/>
    <w:lvl w:ilvl="0" w:tentative="0">
      <w:start w:val="3"/>
      <w:numFmt w:val="decimal"/>
      <w:lvlText w:val="%1"/>
      <w:lvlJc w:val="left"/>
      <w:pPr>
        <w:ind w:left="600" w:hanging="600"/>
      </w:pPr>
      <w:rPr>
        <w:rFonts w:hint="default"/>
      </w:rPr>
    </w:lvl>
    <w:lvl w:ilvl="1" w:tentative="0">
      <w:start w:val="3"/>
      <w:numFmt w:val="decimal"/>
      <w:lvlText w:val="%1.%2"/>
      <w:lvlJc w:val="left"/>
      <w:pPr>
        <w:ind w:left="600" w:hanging="600"/>
      </w:pPr>
      <w:rPr>
        <w:rFonts w:hint="default"/>
      </w:rPr>
    </w:lvl>
    <w:lvl w:ilvl="2" w:tentative="0">
      <w:start w:val="2"/>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ascii="宋体" w:hAnsi="宋体" w:eastAsia="宋体"/>
      </w:rPr>
    </w:lvl>
    <w:lvl w:ilvl="4" w:tentative="0">
      <w:start w:val="1"/>
      <w:numFmt w:val="lowerLetter"/>
      <w:lvlText w:val="%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2">
    <w:nsid w:val="3C1A608B"/>
    <w:multiLevelType w:val="multilevel"/>
    <w:tmpl w:val="3C1A608B"/>
    <w:lvl w:ilvl="0" w:tentative="0">
      <w:start w:val="3"/>
      <w:numFmt w:val="decimal"/>
      <w:lvlText w:val="%1"/>
      <w:lvlJc w:val="left"/>
      <w:pPr>
        <w:ind w:left="600" w:hanging="600"/>
      </w:pPr>
      <w:rPr>
        <w:rFonts w:hint="default"/>
      </w:rPr>
    </w:lvl>
    <w:lvl w:ilvl="1" w:tentative="0">
      <w:start w:val="3"/>
      <w:numFmt w:val="decimal"/>
      <w:lvlText w:val="%1.%2"/>
      <w:lvlJc w:val="left"/>
      <w:pPr>
        <w:ind w:left="600" w:hanging="600"/>
      </w:pPr>
      <w:rPr>
        <w:rFonts w:hint="default"/>
      </w:rPr>
    </w:lvl>
    <w:lvl w:ilvl="2" w:tentative="0">
      <w:start w:val="2"/>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ascii="宋体" w:hAnsi="宋体" w:eastAsia="宋体"/>
      </w:rPr>
    </w:lvl>
    <w:lvl w:ilvl="4" w:tentative="0">
      <w:start w:val="1"/>
      <w:numFmt w:val="lowerLetter"/>
      <w:lvlText w:val="%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3">
    <w:nsid w:val="41633BBC"/>
    <w:multiLevelType w:val="multilevel"/>
    <w:tmpl w:val="41633BBC"/>
    <w:lvl w:ilvl="0" w:tentative="0">
      <w:start w:val="3"/>
      <w:numFmt w:val="decimal"/>
      <w:lvlText w:val="%1"/>
      <w:lvlJc w:val="left"/>
      <w:pPr>
        <w:ind w:left="600" w:hanging="600"/>
      </w:pPr>
      <w:rPr>
        <w:rFonts w:hint="default"/>
      </w:rPr>
    </w:lvl>
    <w:lvl w:ilvl="1" w:tentative="0">
      <w:start w:val="3"/>
      <w:numFmt w:val="decimal"/>
      <w:lvlText w:val="%1.%2"/>
      <w:lvlJc w:val="left"/>
      <w:pPr>
        <w:ind w:left="600" w:hanging="600"/>
      </w:pPr>
      <w:rPr>
        <w:rFonts w:hint="default"/>
      </w:rPr>
    </w:lvl>
    <w:lvl w:ilvl="2" w:tentative="0">
      <w:start w:val="2"/>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ascii="宋体" w:hAnsi="宋体" w:eastAsia="宋体"/>
      </w:rPr>
    </w:lvl>
    <w:lvl w:ilvl="4" w:tentative="0">
      <w:start w:val="1"/>
      <w:numFmt w:val="lowerLetter"/>
      <w:lvlText w:val="%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1E6273"/>
    <w:rsid w:val="1B1E6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1"/>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4">
    <w:name w:val="Title"/>
    <w:basedOn w:val="1"/>
    <w:next w:val="1"/>
    <w:qFormat/>
    <w:uiPriority w:val="0"/>
    <w:pPr>
      <w:adjustRightInd w:val="0"/>
      <w:spacing w:before="240" w:after="60" w:line="312" w:lineRule="atLeast"/>
      <w:jc w:val="center"/>
      <w:textAlignment w:val="baseline"/>
    </w:pPr>
    <w:rPr>
      <w:rFonts w:ascii="Arial" w:hAnsi="Arial"/>
      <w:b/>
      <w:kern w:val="28"/>
      <w:sz w:val="32"/>
      <w:szCs w:val="20"/>
    </w:rPr>
  </w:style>
  <w:style w:type="paragraph" w:customStyle="1" w:styleId="7">
    <w:name w:val="内1"/>
    <w:basedOn w:val="1"/>
    <w:qFormat/>
    <w:uiPriority w:val="0"/>
    <w:pPr>
      <w:ind w:firstLine="200" w:firstLineChars="200"/>
    </w:pPr>
    <w:rPr>
      <w:rFonts w:ascii="宋体" w:hAnsi="宋体"/>
      <w:bCs/>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2019-08-02T07:49:00Z</dcterms:created>
  <dc:creator>Administrator</dc:creator>
  <cp:lastModifiedBy>Administrator</cp:lastModifiedBy>
  <dcterms:modified xsi:type="dcterms:W3CDTF">2019-08-02T07:49:59Z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