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20" w:firstLineChars="20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质量指标要求：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/>
        <w:jc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表2.1 丙烯脱醇剂</w:t>
      </w:r>
    </w:p>
    <w:tbl>
      <w:tblPr>
        <w:tblStyle w:val="5"/>
        <w:tblW w:w="775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2"/>
        <w:gridCol w:w="3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吸附温度 ℃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20～40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吸附压力 MPa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3.5～4.5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吸附流量 t/h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再生氮气流量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kg/h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11250/3000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再生温度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℃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再生压力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MPa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精制入口水含量ppm wt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＜15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干燥器出口水含量ppm wt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＜1.0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精制入口甲醇含量ppm wt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＜600.0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干燥器出口甲醇含量ppm wt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＜0.5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静态水吸附 %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≥21.5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动态水吸附 %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≥20.5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磨耗率 %wt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≤0.09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堆积密度kg/m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≥750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包装含水量 %wt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静态乙烯吸附 mg/g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分子筛规格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"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7×14 球形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干燥器吸附周期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天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≥2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保证使用寿命年</w:t>
            </w:r>
          </w:p>
        </w:tc>
        <w:tc>
          <w:tcPr>
            <w:tcW w:w="37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≥5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textAlignment w:val="baseline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2质量指标要求：</w:t>
      </w:r>
    </w:p>
    <w:p>
      <w:pPr>
        <w:pStyle w:val="2"/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表2.1 丙烯脱水剂</w:t>
      </w:r>
    </w:p>
    <w:tbl>
      <w:tblPr>
        <w:tblStyle w:val="5"/>
        <w:tblW w:w="775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7"/>
        <w:gridCol w:w="3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吸附温度 ℃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20～40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吸附压力 MPa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3.5～4.5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吸附流量 t/h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≤75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再生氮气流量 kg/h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再生温度 ℃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再生压力 MPa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精制入口丙烯水含量ppm wt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＜150.0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干燥器出口丙烯水含量ppm wt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＜1.0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静态水吸附 %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≥20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动态水吸附 %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≥20.5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磨耗率 %wt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≤0.20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堆积密度 kg/m3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≥705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包装含水量 %wt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≤1.4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静态乙烯吸附 mg/g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≤2.5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分子筛规格 "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1/16 条形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干燥器吸附周期 天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≥25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447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保证使用寿命 年</w:t>
            </w:r>
          </w:p>
        </w:tc>
        <w:tc>
          <w:tcPr>
            <w:tcW w:w="3312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≥5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42768"/>
    <w:rsid w:val="3CCC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3"/>
    <w:next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styleId="3">
    <w:name w:val="Plain Text"/>
    <w:basedOn w:val="1"/>
    <w:qFormat/>
    <w:uiPriority w:val="0"/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pc-liu</dc:creator>
  <cp:lastModifiedBy>工程公司:刘伟东</cp:lastModifiedBy>
  <dcterms:modified xsi:type="dcterms:W3CDTF">2019-09-10T07:18:30Z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