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Times New Roman" w:asciiTheme="majorEastAsia" w:hAnsiTheme="majorEastAsia" w:eastAsiaTheme="majorEastAsia"/>
          <w:b/>
          <w:bCs/>
          <w:sz w:val="32"/>
          <w:szCs w:val="32"/>
        </w:rPr>
      </w:pPr>
      <w:r>
        <w:rPr>
          <w:rFonts w:hint="eastAsia" w:cs="Times New Roman" w:asciiTheme="majorEastAsia" w:hAnsiTheme="majorEastAsia" w:eastAsiaTheme="majorEastAsia"/>
          <w:b/>
          <w:bCs/>
          <w:sz w:val="32"/>
          <w:szCs w:val="32"/>
        </w:rPr>
        <w:t>神华宁煤煤制油分公司脱硫装置</w:t>
      </w:r>
    </w:p>
    <w:p>
      <w:pPr>
        <w:jc w:val="center"/>
        <w:rPr>
          <w:rFonts w:hint="eastAsia" w:cs="Times New Roman" w:asciiTheme="majorEastAsia" w:hAnsiTheme="majorEastAsia" w:eastAsiaTheme="majorEastAsia"/>
          <w:b/>
          <w:bCs/>
          <w:sz w:val="32"/>
          <w:szCs w:val="32"/>
        </w:rPr>
      </w:pPr>
      <w:r>
        <w:rPr>
          <w:rFonts w:hint="eastAsia" w:cs="Times New Roman" w:asciiTheme="majorEastAsia" w:hAnsiTheme="majorEastAsia" w:eastAsiaTheme="majorEastAsia"/>
          <w:b/>
          <w:bCs/>
          <w:sz w:val="32"/>
          <w:szCs w:val="32"/>
        </w:rPr>
        <w:t>玻璃钢管线修复、脱硫塔及循环槽内部</w:t>
      </w:r>
      <w:bookmarkStart w:id="29" w:name="_GoBack"/>
      <w:bookmarkEnd w:id="29"/>
      <w:r>
        <w:rPr>
          <w:rFonts w:hint="eastAsia" w:cs="Times New Roman" w:asciiTheme="majorEastAsia" w:hAnsiTheme="majorEastAsia" w:eastAsiaTheme="majorEastAsia"/>
          <w:b/>
          <w:bCs/>
          <w:sz w:val="32"/>
          <w:szCs w:val="32"/>
        </w:rPr>
        <w:t>防腐修复项目</w:t>
      </w:r>
    </w:p>
    <w:p>
      <w:pPr>
        <w:jc w:val="center"/>
        <w:rPr>
          <w:rFonts w:hint="eastAsia" w:asciiTheme="majorEastAsia" w:hAnsiTheme="majorEastAsia" w:eastAsiaTheme="majorEastAsia"/>
          <w:b/>
          <w:bCs/>
          <w:sz w:val="32"/>
          <w:szCs w:val="32"/>
        </w:rPr>
      </w:pPr>
      <w:r>
        <w:rPr>
          <w:rFonts w:hint="eastAsia" w:asciiTheme="majorEastAsia" w:hAnsiTheme="majorEastAsia" w:eastAsiaTheme="majorEastAsia"/>
          <w:b/>
          <w:bCs/>
          <w:sz w:val="32"/>
          <w:szCs w:val="32"/>
        </w:rPr>
        <w:t>技术附件</w:t>
      </w:r>
    </w:p>
    <w:sdt>
      <w:sdtPr>
        <w:rPr>
          <w:rFonts w:ascii="宋体" w:hAnsi="宋体" w:eastAsia="宋体"/>
          <w:sz w:val="21"/>
        </w:rPr>
        <w:id w:val="147457783"/>
        <w:docPartObj>
          <w:docPartGallery w:val="Table of Contents"/>
          <w:docPartUnique/>
        </w:docPartObj>
      </w:sdtPr>
      <w:sdtEndPr>
        <w:rPr>
          <w:rFonts w:ascii="宋体" w:hAnsi="宋体" w:eastAsia="宋体"/>
          <w:sz w:val="24"/>
          <w:szCs w:val="24"/>
        </w:rPr>
      </w:sdtEndPr>
      <w:sdtContent>
        <w:p>
          <w:pPr>
            <w:jc w:val="center"/>
          </w:pPr>
          <w:r>
            <w:rPr>
              <w:rFonts w:ascii="宋体" w:hAnsi="宋体" w:eastAsia="宋体"/>
              <w:b/>
              <w:bCs/>
              <w:sz w:val="32"/>
              <w:szCs w:val="32"/>
            </w:rPr>
            <w:t>目</w:t>
          </w:r>
          <w:r>
            <w:rPr>
              <w:rFonts w:hint="eastAsia" w:ascii="宋体" w:hAnsi="宋体" w:eastAsia="宋体"/>
              <w:b/>
              <w:bCs/>
              <w:sz w:val="32"/>
              <w:szCs w:val="32"/>
              <w:lang w:val="en-US" w:eastAsia="zh-CN"/>
            </w:rPr>
            <w:t xml:space="preserve">  </w:t>
          </w:r>
          <w:r>
            <w:rPr>
              <w:rFonts w:ascii="宋体" w:hAnsi="宋体" w:eastAsia="宋体"/>
              <w:b/>
              <w:bCs/>
              <w:sz w:val="32"/>
              <w:szCs w:val="32"/>
            </w:rPr>
            <w:t>录</w:t>
          </w:r>
        </w:p>
        <w:p>
          <w:pPr>
            <w:pStyle w:val="9"/>
            <w:tabs>
              <w:tab w:val="right" w:leader="dot" w:pos="8306"/>
            </w:tabs>
            <w:rPr>
              <w:sz w:val="24"/>
              <w:szCs w:val="24"/>
            </w:rPr>
          </w:pPr>
          <w:r>
            <w:rPr>
              <w:b/>
              <w:bCs/>
              <w:sz w:val="24"/>
              <w:szCs w:val="24"/>
            </w:rPr>
            <w:fldChar w:fldCharType="begin"/>
          </w:r>
          <w:r>
            <w:rPr>
              <w:sz w:val="24"/>
              <w:szCs w:val="24"/>
            </w:rPr>
            <w:instrText xml:space="preserve"> HYPERLINK \l _Toc13690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8fd6e659-74d8-47eb-9c1f-27452cb7eeda}"/>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一、 </w:t>
              </w:r>
              <w:r>
                <w:rPr>
                  <w:rFonts w:hint="eastAsia" w:ascii="Times New Roman" w:hAnsi="Times New Roman" w:eastAsia="宋体" w:cs="Times New Roman"/>
                  <w:b/>
                  <w:bCs/>
                  <w:sz w:val="24"/>
                  <w:szCs w:val="24"/>
                </w:rPr>
                <w:t>概况</w:t>
              </w:r>
            </w:sdtContent>
          </w:sdt>
          <w:r>
            <w:rPr>
              <w:b/>
              <w:bCs/>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_Toc8003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883d4d88-674a-42ef-bc67-509896223815}"/>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1.1总则</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_Toc3148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597a7e45-5a3f-4148-8e9f-9d97b96bb15a}"/>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1.2项目简介</w:t>
              </w:r>
            </w:sdtContent>
          </w:sdt>
          <w:r>
            <w:rPr>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_Toc950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18c5baf5-5eef-480a-a42a-7a638907ee1f}"/>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二、 </w:t>
              </w:r>
              <w:r>
                <w:rPr>
                  <w:rFonts w:hint="eastAsia" w:ascii="Times New Roman" w:hAnsi="Times New Roman" w:eastAsia="宋体" w:cs="Times New Roman"/>
                  <w:b/>
                  <w:bCs/>
                  <w:sz w:val="24"/>
                  <w:szCs w:val="24"/>
                </w:rPr>
                <w:t>施工及采购范围</w:t>
              </w:r>
            </w:sdtContent>
          </w:sdt>
          <w:r>
            <w:rPr>
              <w:b/>
              <w:bCs/>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_Toc27864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cc8be1cb-550c-4420-aa2b-e06b037e042d}"/>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2.1采购范围</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_Toc25223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ec795e7b-8761-4d63-a450-55a94a134df1}"/>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2.2施工条件</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_Toc20648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8035d6b6-2e1f-4425-bd7c-db2c010500ca}"/>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2.3施工说明</w:t>
              </w:r>
            </w:sdtContent>
          </w:sdt>
          <w:r>
            <w:rPr>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_Toc12650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8971c930-64e4-425d-9d27-f022d6cd76cb}"/>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三、 </w:t>
              </w:r>
              <w:r>
                <w:rPr>
                  <w:rFonts w:hint="eastAsia" w:ascii="Times New Roman" w:hAnsi="Times New Roman" w:eastAsia="宋体" w:cs="Times New Roman"/>
                  <w:b/>
                  <w:bCs/>
                  <w:sz w:val="24"/>
                  <w:szCs w:val="24"/>
                </w:rPr>
                <w:t>供货范围</w:t>
              </w:r>
            </w:sdtContent>
          </w:sdt>
          <w:r>
            <w:rPr>
              <w:b/>
              <w:bCs/>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_Toc932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3ea786ef-49d1-4375-af7b-68c3eefdcca2}"/>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3.1脱硫塔槽防腐供货范围</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_Toc3490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bdcd0e08-ab14-4057-bc1e-2431441dc9ce}"/>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3.2玻璃钢管线粘接供货范围</w:t>
              </w:r>
            </w:sdtContent>
          </w:sdt>
          <w:r>
            <w:rPr>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_Toc4888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fb339adf-3dd9-463e-a368-b7cb7b1fde6f}"/>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四、 </w:t>
              </w:r>
              <w:r>
                <w:rPr>
                  <w:rFonts w:hint="eastAsia" w:ascii="Times New Roman" w:hAnsi="Times New Roman" w:eastAsia="宋体" w:cs="Times New Roman"/>
                  <w:b/>
                  <w:bCs/>
                  <w:sz w:val="24"/>
                  <w:szCs w:val="24"/>
                </w:rPr>
                <w:t>工期要求</w:t>
              </w:r>
            </w:sdtContent>
          </w:sdt>
          <w:r>
            <w:rPr>
              <w:b/>
              <w:bCs/>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_Toc26644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7b58973f-c99d-422a-8dd8-21c1b476a031}"/>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五、 </w:t>
              </w:r>
              <w:r>
                <w:rPr>
                  <w:rFonts w:hint="eastAsia" w:ascii="Times New Roman" w:hAnsi="Times New Roman" w:eastAsia="宋体" w:cs="Times New Roman"/>
                  <w:b/>
                  <w:bCs/>
                  <w:sz w:val="24"/>
                  <w:szCs w:val="24"/>
                </w:rPr>
                <w:t>技术标准</w:t>
              </w:r>
            </w:sdtContent>
          </w:sdt>
          <w:r>
            <w:rPr>
              <w:b/>
              <w:bCs/>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_Toc2546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6adffddf-9d0e-4bef-b8fb-5f062620611e}"/>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5.1防腐材料要求</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_Toc3861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6cae2c6b-eace-4766-895c-6a726af08e41}"/>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5.2防腐技术参数</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_Toc6121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06b0f1de-8bba-40ab-834c-59dd9b51faff}"/>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5.3凝胶试验</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_Toc27491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b05ba3a5-e08b-4cd9-be5d-649472dbbc54}"/>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5.4原材料配比</w:t>
              </w:r>
            </w:sdtContent>
          </w:sdt>
          <w:r>
            <w:rPr>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_Toc17155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0fb50e13-e073-4900-a539-d02715ba3591}"/>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六、 </w:t>
              </w:r>
              <w:r>
                <w:rPr>
                  <w:rFonts w:hint="eastAsia" w:ascii="Times New Roman" w:hAnsi="Times New Roman" w:eastAsia="宋体" w:cs="Times New Roman"/>
                  <w:b/>
                  <w:bCs/>
                  <w:sz w:val="24"/>
                  <w:szCs w:val="24"/>
                </w:rPr>
                <w:t>质量要求</w:t>
              </w:r>
            </w:sdtContent>
          </w:sdt>
          <w:r>
            <w:rPr>
              <w:b/>
              <w:bCs/>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_Toc12842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229f94b8-f43a-4ebe-aca6-2fd64af3b7dd}"/>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七、 </w:t>
              </w:r>
              <w:r>
                <w:rPr>
                  <w:rFonts w:hint="eastAsia" w:ascii="Times New Roman" w:hAnsi="Times New Roman" w:eastAsia="宋体" w:cs="Times New Roman"/>
                  <w:b/>
                  <w:bCs/>
                  <w:sz w:val="24"/>
                  <w:szCs w:val="24"/>
                </w:rPr>
                <w:t>安全健康环保要求</w:t>
              </w:r>
            </w:sdtContent>
          </w:sdt>
          <w:r>
            <w:rPr>
              <w:b/>
              <w:bCs/>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_Toc32268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45ac9837-0919-4e61-a082-d50c69908cd9}"/>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八、 </w:t>
              </w:r>
              <w:r>
                <w:rPr>
                  <w:rFonts w:hint="eastAsia" w:ascii="Times New Roman" w:hAnsi="Times New Roman" w:eastAsia="宋体" w:cs="Times New Roman"/>
                  <w:b/>
                  <w:bCs/>
                  <w:sz w:val="24"/>
                  <w:szCs w:val="24"/>
                </w:rPr>
                <w:t>现场管理要求</w:t>
              </w:r>
            </w:sdtContent>
          </w:sdt>
          <w:r>
            <w:rPr>
              <w:b/>
              <w:bCs/>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_Toc7183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11527f06-d9a9-40e2-addc-9562f2465ffc}"/>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九、 </w:t>
              </w:r>
              <w:r>
                <w:rPr>
                  <w:rFonts w:hint="eastAsia" w:ascii="Times New Roman" w:hAnsi="Times New Roman" w:eastAsia="宋体" w:cs="Times New Roman"/>
                  <w:b/>
                  <w:bCs/>
                  <w:sz w:val="24"/>
                  <w:szCs w:val="24"/>
                </w:rPr>
                <w:t>过程管控及验收</w:t>
              </w:r>
            </w:sdtContent>
          </w:sdt>
          <w:r>
            <w:rPr>
              <w:b/>
              <w:bCs/>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_Toc5115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60ab6547-a668-422a-bbab-3b54f5e8dbce}"/>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9.1过程管控要求</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_Toc29064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bbeea1fd-7c62-4283-8819-0b1793689e91}"/>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9.2防腐验收标准</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_Toc5983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ecf93944-f400-4224-afb4-f6d7437ede76}"/>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9.3玻璃钢管线粘接验收标准</w:t>
              </w:r>
            </w:sdtContent>
          </w:sdt>
          <w:r>
            <w:rPr>
              <w:sz w:val="24"/>
              <w:szCs w:val="24"/>
            </w:rPr>
            <w:fldChar w:fldCharType="end"/>
          </w:r>
        </w:p>
        <w:p>
          <w:pPr>
            <w:pStyle w:val="9"/>
            <w:tabs>
              <w:tab w:val="right" w:leader="dot" w:pos="8306"/>
            </w:tabs>
            <w:rPr>
              <w:sz w:val="24"/>
              <w:szCs w:val="24"/>
            </w:rPr>
          </w:pPr>
          <w:r>
            <w:rPr>
              <w:b/>
              <w:bCs/>
              <w:sz w:val="24"/>
              <w:szCs w:val="24"/>
            </w:rPr>
            <w:fldChar w:fldCharType="begin"/>
          </w:r>
          <w:r>
            <w:rPr>
              <w:sz w:val="24"/>
              <w:szCs w:val="24"/>
            </w:rPr>
            <w:instrText xml:space="preserve"> HYPERLINK \l _Toc32530 </w:instrText>
          </w:r>
          <w:r>
            <w:rPr>
              <w:b/>
              <w:bCs/>
              <w:sz w:val="24"/>
              <w:szCs w:val="24"/>
            </w:rPr>
            <w:fldChar w:fldCharType="separate"/>
          </w:r>
          <w:sdt>
            <w:sdtPr>
              <w:rPr>
                <w:rFonts w:ascii="Times New Roman" w:hAnsi="Times New Roman" w:eastAsia="宋体" w:cs="Times New Roman"/>
                <w:b/>
                <w:bCs/>
                <w:kern w:val="2"/>
                <w:sz w:val="28"/>
                <w:szCs w:val="36"/>
                <w:lang w:val="en-US" w:eastAsia="zh-CN" w:bidi="ar-SA"/>
              </w:rPr>
              <w:id w:val="147457783"/>
              <w:placeholder>
                <w:docPart w:val="{1932d2b0-9930-40dd-aeeb-1a991016445a}"/>
              </w:placeholder>
            </w:sdtPr>
            <w:sdtEndPr>
              <w:rPr>
                <w:rFonts w:ascii="Times New Roman" w:hAnsi="Times New Roman" w:eastAsia="宋体" w:cs="Times New Roman"/>
                <w:b/>
                <w:bCs/>
                <w:kern w:val="2"/>
                <w:sz w:val="28"/>
                <w:szCs w:val="36"/>
                <w:lang w:val="en-US" w:eastAsia="zh-CN" w:bidi="ar-SA"/>
              </w:rPr>
            </w:sdtEndPr>
            <w:sdtContent>
              <w:r>
                <w:rPr>
                  <w:rFonts w:hint="default" w:ascii="Times New Roman" w:hAnsi="Times New Roman" w:eastAsia="宋体" w:cs="Times New Roman"/>
                  <w:b/>
                  <w:bCs/>
                  <w:sz w:val="24"/>
                  <w:szCs w:val="24"/>
                </w:rPr>
                <w:t xml:space="preserve">十、 </w:t>
              </w:r>
              <w:r>
                <w:rPr>
                  <w:rFonts w:hint="eastAsia" w:ascii="Times New Roman" w:hAnsi="Times New Roman" w:eastAsia="宋体" w:cs="Times New Roman"/>
                  <w:b/>
                  <w:bCs/>
                  <w:sz w:val="24"/>
                  <w:szCs w:val="24"/>
                </w:rPr>
                <w:t>人员要求</w:t>
              </w:r>
            </w:sdtContent>
          </w:sdt>
          <w:r>
            <w:rPr>
              <w:b/>
              <w:bCs/>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_Toc15939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ad589ecf-765d-44ac-bc02-ab772dd7e39c}"/>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10.1施工组织</w:t>
              </w:r>
            </w:sdtContent>
          </w:sdt>
          <w:r>
            <w:rPr>
              <w:sz w:val="24"/>
              <w:szCs w:val="24"/>
            </w:rPr>
            <w:fldChar w:fldCharType="end"/>
          </w:r>
        </w:p>
        <w:p>
          <w:pPr>
            <w:pStyle w:val="10"/>
            <w:tabs>
              <w:tab w:val="right" w:leader="dot" w:pos="8306"/>
            </w:tabs>
            <w:rPr>
              <w:sz w:val="24"/>
              <w:szCs w:val="24"/>
            </w:rPr>
          </w:pPr>
          <w:r>
            <w:rPr>
              <w:sz w:val="24"/>
              <w:szCs w:val="24"/>
            </w:rPr>
            <w:fldChar w:fldCharType="begin"/>
          </w:r>
          <w:r>
            <w:rPr>
              <w:sz w:val="24"/>
              <w:szCs w:val="24"/>
            </w:rPr>
            <w:instrText xml:space="preserve"> HYPERLINK \l _Toc22533 </w:instrText>
          </w:r>
          <w:r>
            <w:rPr>
              <w:sz w:val="24"/>
              <w:szCs w:val="24"/>
            </w:rPr>
            <w:fldChar w:fldCharType="separate"/>
          </w:r>
          <w:sdt>
            <w:sdtPr>
              <w:rPr>
                <w:rFonts w:ascii="Times New Roman" w:hAnsi="Times New Roman" w:eastAsia="宋体" w:cs="Times New Roman"/>
                <w:kern w:val="2"/>
                <w:sz w:val="28"/>
                <w:szCs w:val="36"/>
                <w:lang w:val="en-US" w:eastAsia="zh-CN" w:bidi="ar-SA"/>
              </w:rPr>
              <w:id w:val="147457783"/>
              <w:placeholder>
                <w:docPart w:val="{176c77b9-3ad5-4070-ae14-9b74ac994f69}"/>
              </w:placeholder>
            </w:sdtPr>
            <w:sdtEndPr>
              <w:rPr>
                <w:rFonts w:ascii="Times New Roman" w:hAnsi="Times New Roman" w:eastAsia="宋体" w:cs="Times New Roman"/>
                <w:kern w:val="2"/>
                <w:sz w:val="28"/>
                <w:szCs w:val="36"/>
                <w:lang w:val="en-US" w:eastAsia="zh-CN" w:bidi="ar-SA"/>
              </w:rPr>
            </w:sdtEndPr>
            <w:sdtContent>
              <w:r>
                <w:rPr>
                  <w:rFonts w:hint="eastAsia" w:ascii="Arial" w:hAnsi="Arial" w:eastAsia="宋体" w:cs="Times New Roman"/>
                  <w:sz w:val="24"/>
                  <w:szCs w:val="24"/>
                </w:rPr>
                <w:t>10.2人员配备情况</w:t>
              </w:r>
            </w:sdtContent>
          </w:sdt>
          <w:r>
            <w:rPr>
              <w:sz w:val="24"/>
              <w:szCs w:val="24"/>
            </w:rPr>
            <w:fldChar w:fldCharType="end"/>
          </w:r>
        </w:p>
      </w:sdtContent>
    </w:sdt>
    <w:p>
      <w:pPr>
        <w:jc w:val="center"/>
        <w:rPr>
          <w:rFonts w:hint="eastAsia" w:ascii="方正小标宋简体" w:hAnsi="仿宋" w:eastAsia="方正小标宋简体"/>
          <w:b w:val="0"/>
          <w:bCs/>
          <w:sz w:val="48"/>
          <w:szCs w:val="48"/>
        </w:rPr>
      </w:pPr>
    </w:p>
    <w:p>
      <w:pPr>
        <w:jc w:val="center"/>
        <w:rPr>
          <w:rFonts w:hint="eastAsia" w:ascii="方正小标宋简体" w:hAnsi="仿宋" w:eastAsia="方正小标宋简体"/>
          <w:b w:val="0"/>
          <w:bCs/>
          <w:sz w:val="48"/>
          <w:szCs w:val="48"/>
        </w:rPr>
      </w:pPr>
    </w:p>
    <w:p>
      <w:pPr>
        <w:jc w:val="center"/>
        <w:rPr>
          <w:rFonts w:hint="eastAsia" w:ascii="方正小标宋简体" w:hAnsi="仿宋" w:eastAsia="方正小标宋简体"/>
          <w:b w:val="0"/>
          <w:bCs/>
          <w:sz w:val="48"/>
          <w:szCs w:val="48"/>
        </w:rPr>
      </w:pPr>
    </w:p>
    <w:p>
      <w:pPr>
        <w:jc w:val="center"/>
        <w:rPr>
          <w:rFonts w:hint="eastAsia" w:ascii="方正小标宋简体" w:hAnsi="仿宋" w:eastAsia="方正小标宋简体"/>
          <w:b w:val="0"/>
          <w:bCs/>
          <w:sz w:val="48"/>
          <w:szCs w:val="48"/>
        </w:rPr>
      </w:pPr>
    </w:p>
    <w:p>
      <w:pPr>
        <w:jc w:val="center"/>
        <w:rPr>
          <w:rFonts w:hint="eastAsia" w:ascii="方正小标宋简体" w:hAnsi="仿宋" w:eastAsia="方正小标宋简体"/>
          <w:b w:val="0"/>
          <w:bCs/>
          <w:sz w:val="48"/>
          <w:szCs w:val="48"/>
        </w:rPr>
      </w:pPr>
    </w:p>
    <w:p>
      <w:pPr>
        <w:jc w:val="center"/>
        <w:rPr>
          <w:rFonts w:hint="eastAsia" w:ascii="方正小标宋简体" w:hAnsi="仿宋" w:eastAsia="方正小标宋简体"/>
          <w:b w:val="0"/>
          <w:bCs/>
          <w:sz w:val="48"/>
          <w:szCs w:val="48"/>
        </w:rPr>
      </w:pPr>
    </w:p>
    <w:p>
      <w:pPr>
        <w:jc w:val="center"/>
        <w:rPr>
          <w:rFonts w:hint="eastAsia" w:ascii="方正小标宋简体" w:hAnsi="仿宋" w:eastAsia="方正小标宋简体"/>
          <w:b w:val="0"/>
          <w:bCs/>
          <w:sz w:val="48"/>
          <w:szCs w:val="48"/>
        </w:rPr>
      </w:pPr>
    </w:p>
    <w:p>
      <w:pPr>
        <w:jc w:val="center"/>
        <w:rPr>
          <w:rFonts w:hint="eastAsia" w:ascii="方正小标宋简体" w:hAnsi="仿宋" w:eastAsia="方正小标宋简体"/>
          <w:b w:val="0"/>
          <w:bCs/>
          <w:sz w:val="48"/>
          <w:szCs w:val="48"/>
        </w:rPr>
      </w:pPr>
    </w:p>
    <w:p>
      <w:pPr>
        <w:jc w:val="both"/>
        <w:rPr>
          <w:rFonts w:hint="eastAsia" w:ascii="方正小标宋简体" w:hAnsi="仿宋" w:eastAsia="方正小标宋简体"/>
          <w:b w:val="0"/>
          <w:bCs/>
          <w:sz w:val="48"/>
          <w:szCs w:val="48"/>
        </w:rPr>
      </w:pPr>
    </w:p>
    <w:p>
      <w:pPr>
        <w:pStyle w:val="4"/>
        <w:numPr>
          <w:ilvl w:val="0"/>
          <w:numId w:val="1"/>
        </w:numPr>
        <w:sectPr>
          <w:pgSz w:w="11906" w:h="16838"/>
          <w:pgMar w:top="1440" w:right="1800" w:bottom="1440" w:left="1800" w:header="851" w:footer="992" w:gutter="0"/>
          <w:cols w:space="425" w:num="1"/>
          <w:docGrid w:type="lines" w:linePitch="312" w:charSpace="0"/>
        </w:sectPr>
      </w:pPr>
      <w:bookmarkStart w:id="0" w:name="_Toc13690"/>
    </w:p>
    <w:p>
      <w:pPr>
        <w:pStyle w:val="4"/>
        <w:numPr>
          <w:ilvl w:val="0"/>
          <w:numId w:val="1"/>
        </w:numPr>
        <w:rPr>
          <w:rFonts w:hint="eastAsia" w:ascii="宋体" w:hAnsi="宋体" w:eastAsia="宋体" w:cs="宋体"/>
          <w:sz w:val="32"/>
          <w:szCs w:val="32"/>
        </w:rPr>
      </w:pPr>
      <w:r>
        <w:rPr>
          <w:rFonts w:hint="eastAsia" w:ascii="宋体" w:hAnsi="宋体" w:eastAsia="宋体" w:cs="宋体"/>
          <w:sz w:val="32"/>
          <w:szCs w:val="32"/>
        </w:rPr>
        <w:t>概况</w:t>
      </w:r>
      <w:bookmarkEnd w:id="0"/>
    </w:p>
    <w:p>
      <w:pPr>
        <w:pStyle w:val="5"/>
        <w:rPr>
          <w:rFonts w:hint="eastAsia" w:ascii="宋体" w:hAnsi="宋体" w:eastAsia="宋体" w:cs="宋体"/>
          <w:b w:val="0"/>
          <w:bCs w:val="0"/>
          <w:lang w:val="en-US" w:eastAsia="zh-CN"/>
        </w:rPr>
      </w:pPr>
      <w:bookmarkStart w:id="1" w:name="_Toc8003"/>
      <w:r>
        <w:rPr>
          <w:rFonts w:hint="eastAsia" w:ascii="宋体" w:hAnsi="宋体" w:eastAsia="宋体" w:cs="宋体"/>
          <w:b w:val="0"/>
          <w:bCs w:val="0"/>
          <w:lang w:val="en-US" w:eastAsia="zh-CN"/>
        </w:rPr>
        <w:t>1.1总则</w:t>
      </w:r>
      <w:bookmarkEnd w:id="1"/>
    </w:p>
    <w:p>
      <w:pPr>
        <w:pStyle w:val="3"/>
        <w:spacing w:before="50" w:after="50"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依照《中华人民共和国合同法》及其他有关法律、行政法规规定，甲方与乙方经充分协商，就乙方负责承担甲方煤制油分公司脱硫装置玻璃钢管线修复、脱硫塔及循环槽内部防腐修复项目的有关事宜，签订本技术附件。</w:t>
      </w:r>
    </w:p>
    <w:p>
      <w:pPr>
        <w:pStyle w:val="11"/>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本技术附件对神华宁夏煤业集团有限责任公司400万吨/年煤炭间接液化项目煤制油分公司脱硫装置玻璃钢管线修复、脱硫塔及循环槽内部防腐修复项目的工作范围及内容、安全施工、设备及人力配置等方面的技术要求和必须遵循的相关文件以及乙方的资质及技术要求进行了规定。</w:t>
      </w:r>
    </w:p>
    <w:p>
      <w:pPr>
        <w:pStyle w:val="5"/>
        <w:rPr>
          <w:rFonts w:hint="eastAsia" w:ascii="宋体" w:hAnsi="宋体" w:eastAsia="宋体" w:cs="宋体"/>
          <w:b w:val="0"/>
          <w:bCs w:val="0"/>
          <w:lang w:val="en-US" w:eastAsia="zh-CN"/>
        </w:rPr>
      </w:pPr>
      <w:bookmarkStart w:id="2" w:name="_Toc3148"/>
      <w:r>
        <w:rPr>
          <w:rFonts w:hint="eastAsia" w:ascii="宋体" w:hAnsi="宋体" w:eastAsia="宋体" w:cs="宋体"/>
          <w:b w:val="0"/>
          <w:bCs w:val="0"/>
          <w:lang w:val="en-US" w:eastAsia="zh-CN"/>
        </w:rPr>
        <w:t>1.2项目简介</w:t>
      </w:r>
      <w:bookmarkEnd w:id="2"/>
    </w:p>
    <w:p>
      <w:pPr>
        <w:pStyle w:val="11"/>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煤制油分公司动力厂及净化合成厂脱硫装置的硫铵浆液输送管线为玻璃钢材质，运行过程中管道容易发生堵塞，玻璃钢法兰、短接等管件长期运行造成泄漏损坏；脱硫塔及进出口烟道、循环槽等防腐涂层部分已腐蚀失效，出现大面积起泡、鼓包、老化、脱落等现象，频繁出现腐蚀穿孔泄漏等情况，对装置实现长周期稳定运行造成影响。故需要委托专业公司对玻璃钢管线、脱硫塔及烟道、循环槽内部防腐进行修复。</w:t>
      </w:r>
    </w:p>
    <w:p>
      <w:pPr>
        <w:pStyle w:val="4"/>
        <w:numPr>
          <w:ilvl w:val="0"/>
          <w:numId w:val="1"/>
        </w:numPr>
        <w:rPr>
          <w:rFonts w:hint="eastAsia" w:ascii="宋体" w:hAnsi="宋体" w:eastAsia="宋体" w:cs="宋体"/>
          <w:sz w:val="32"/>
          <w:szCs w:val="32"/>
        </w:rPr>
      </w:pPr>
      <w:bookmarkStart w:id="3" w:name="_Toc950"/>
      <w:r>
        <w:rPr>
          <w:rFonts w:hint="eastAsia" w:ascii="宋体" w:hAnsi="宋体" w:eastAsia="宋体" w:cs="宋体"/>
          <w:sz w:val="32"/>
          <w:szCs w:val="32"/>
          <w:lang w:val="en-US" w:eastAsia="zh-CN"/>
        </w:rPr>
        <w:t>施工及</w:t>
      </w:r>
      <w:r>
        <w:rPr>
          <w:rFonts w:hint="eastAsia" w:ascii="宋体" w:hAnsi="宋体" w:eastAsia="宋体" w:cs="宋体"/>
          <w:sz w:val="32"/>
          <w:szCs w:val="32"/>
        </w:rPr>
        <w:t>采购范围</w:t>
      </w:r>
      <w:bookmarkEnd w:id="3"/>
    </w:p>
    <w:p>
      <w:pPr>
        <w:pStyle w:val="5"/>
        <w:rPr>
          <w:rFonts w:hint="eastAsia" w:ascii="宋体" w:hAnsi="宋体" w:eastAsia="宋体" w:cs="宋体"/>
          <w:b w:val="0"/>
          <w:bCs w:val="0"/>
          <w:lang w:val="en-US" w:eastAsia="zh-CN"/>
        </w:rPr>
      </w:pPr>
      <w:bookmarkStart w:id="4" w:name="_Toc27864"/>
      <w:r>
        <w:rPr>
          <w:rFonts w:hint="eastAsia" w:ascii="宋体" w:hAnsi="宋体" w:eastAsia="宋体" w:cs="宋体"/>
          <w:b w:val="0"/>
          <w:bCs w:val="0"/>
          <w:lang w:val="en-US" w:eastAsia="zh-CN"/>
        </w:rPr>
        <w:t>2.1采购范围</w:t>
      </w:r>
      <w:bookmarkEnd w:id="4"/>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负责脱硫系统所有损坏的玻璃钢管线粘接、制作、更换、维修工作；   </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负责12台脱硫塔（含出入口烟道）、12台循环槽内部防腐修复，含旧防腐层的打磨去除，预估防腐总面积为6208.8平方米，其中脱硫塔防腐修复面积3960㎡，烟道防腐修复面积1080㎡，循环槽防腐修复面积为1168.8㎡；   </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负责提供修复所需的粘接材料、防腐材料；</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脚手架、保温拆除及恢复由业主提供</w:t>
      </w:r>
      <w:r>
        <w:rPr>
          <w:rFonts w:hint="eastAsia" w:ascii="宋体" w:hAnsi="宋体" w:eastAsia="宋体" w:cs="宋体"/>
          <w:sz w:val="24"/>
          <w:szCs w:val="24"/>
          <w:lang w:eastAsia="zh-CN"/>
        </w:rPr>
        <w:t>；</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脱硫塔规格及防腐要求，玻璃钢管线规格及玻璃钢管线粘接要求详见技术附件</w:t>
      </w:r>
      <w:r>
        <w:rPr>
          <w:rFonts w:hint="eastAsia" w:ascii="宋体" w:hAnsi="宋体" w:eastAsia="宋体" w:cs="宋体"/>
          <w:sz w:val="24"/>
          <w:szCs w:val="24"/>
          <w:lang w:eastAsia="zh-CN"/>
        </w:rPr>
        <w:t>；</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要求玻璃钢管线粘接服务方式能满足现场生产要求，中标单位接到招标方通知1个小时内须到达现场</w:t>
      </w:r>
      <w:r>
        <w:rPr>
          <w:rFonts w:hint="eastAsia" w:ascii="宋体" w:hAnsi="宋体" w:eastAsia="宋体" w:cs="宋体"/>
          <w:sz w:val="24"/>
          <w:szCs w:val="24"/>
          <w:lang w:eastAsia="zh-CN"/>
        </w:rPr>
        <w:t>；</w:t>
      </w:r>
    </w:p>
    <w:p>
      <w:pPr>
        <w:pStyle w:val="11"/>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25"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要求中标单位负责编制脱硫塔、循环槽防腐施工方案报业主审批后施工。</w:t>
      </w:r>
    </w:p>
    <w:p>
      <w:pPr>
        <w:pStyle w:val="5"/>
        <w:rPr>
          <w:rFonts w:hint="eastAsia" w:ascii="宋体" w:hAnsi="宋体" w:eastAsia="宋体" w:cs="宋体"/>
          <w:b w:val="0"/>
          <w:bCs w:val="0"/>
        </w:rPr>
      </w:pPr>
      <w:bookmarkStart w:id="5" w:name="_Toc25223"/>
      <w:r>
        <w:rPr>
          <w:rFonts w:hint="eastAsia" w:ascii="宋体" w:hAnsi="宋体" w:eastAsia="宋体" w:cs="宋体"/>
          <w:b w:val="0"/>
          <w:bCs w:val="0"/>
          <w:lang w:val="en-US" w:eastAsia="zh-CN"/>
        </w:rPr>
        <w:t>2.2</w:t>
      </w:r>
      <w:bookmarkStart w:id="6" w:name="_Toc432762848"/>
      <w:r>
        <w:rPr>
          <w:rFonts w:hint="eastAsia" w:ascii="宋体" w:hAnsi="宋体" w:eastAsia="宋体" w:cs="宋体"/>
          <w:b w:val="0"/>
          <w:bCs w:val="0"/>
        </w:rPr>
        <w:t>施工条件</w:t>
      </w:r>
      <w:bookmarkEnd w:id="5"/>
      <w:bookmarkEnd w:id="6"/>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甲方负责为乙方创造施工条件，包括施工过程所需搭设脚手架、用水、用电（照明）等。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firstLine="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甲方负责为乙方提供施工场地。需长期存放于甲方单位的设备放置于甲方指定位置。甲方不负责对乙方长期存放的设备进行保管。</w:t>
      </w:r>
    </w:p>
    <w:p>
      <w:pPr>
        <w:pStyle w:val="5"/>
        <w:rPr>
          <w:rFonts w:hint="eastAsia" w:ascii="宋体" w:hAnsi="宋体" w:eastAsia="宋体" w:cs="宋体"/>
          <w:b w:val="0"/>
          <w:bCs w:val="0"/>
        </w:rPr>
      </w:pPr>
      <w:bookmarkStart w:id="7" w:name="_Toc20648"/>
      <w:r>
        <w:rPr>
          <w:rFonts w:hint="eastAsia" w:ascii="宋体" w:hAnsi="宋体" w:eastAsia="宋体" w:cs="宋体"/>
          <w:b w:val="0"/>
          <w:bCs w:val="0"/>
          <w:lang w:val="en-US" w:eastAsia="zh-CN"/>
        </w:rPr>
        <w:t>2.3</w:t>
      </w:r>
      <w:bookmarkStart w:id="8" w:name="_Toc432762849"/>
      <w:bookmarkStart w:id="9" w:name="_Toc424839815"/>
      <w:r>
        <w:rPr>
          <w:rFonts w:hint="eastAsia" w:ascii="宋体" w:hAnsi="宋体" w:eastAsia="宋体" w:cs="宋体"/>
          <w:b w:val="0"/>
          <w:bCs w:val="0"/>
        </w:rPr>
        <w:t>施工说明</w:t>
      </w:r>
      <w:bookmarkEnd w:id="7"/>
      <w:bookmarkEnd w:id="8"/>
      <w:bookmarkEnd w:id="9"/>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甲方不提供乙方施工人员的食宿及交通等。</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施工过程中，对于出现的技术难题，由乙方提出切实可行实施方案，经甲方、乙方共同确认后方可实施。</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乙方的项目施工，必须满足本项目要求的施工资质和能力。</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乙方施工人员必须接受“三级教育”，合格后方可入厂。同时自觉履行甲方的有关规章制度，服从甲方工作人员的指挥。</w:t>
      </w:r>
    </w:p>
    <w:p>
      <w:pPr>
        <w:keepNext w:val="0"/>
        <w:keepLines w:val="0"/>
        <w:pageBreakBefore w:val="0"/>
        <w:widowControl w:val="0"/>
        <w:numPr>
          <w:ilvl w:val="0"/>
          <w:numId w:val="4"/>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rPr>
        <w:t>乙方应当遵守国家和行业安全技术操作规程，完成甲方</w:t>
      </w:r>
      <w:r>
        <w:rPr>
          <w:rFonts w:hint="eastAsia" w:ascii="宋体" w:hAnsi="宋体" w:eastAsia="宋体" w:cs="宋体"/>
          <w:sz w:val="24"/>
          <w:szCs w:val="24"/>
          <w:lang w:val="en-US" w:eastAsia="zh-CN"/>
        </w:rPr>
        <w:t>设备内部防腐修复</w:t>
      </w:r>
      <w:r>
        <w:rPr>
          <w:rFonts w:hint="eastAsia" w:ascii="宋体" w:hAnsi="宋体" w:eastAsia="宋体" w:cs="宋体"/>
          <w:sz w:val="24"/>
          <w:szCs w:val="24"/>
        </w:rPr>
        <w:t>、</w:t>
      </w:r>
      <w:r>
        <w:rPr>
          <w:rFonts w:hint="eastAsia" w:ascii="宋体" w:hAnsi="宋体" w:eastAsia="宋体" w:cs="宋体"/>
          <w:sz w:val="24"/>
          <w:szCs w:val="24"/>
          <w:lang w:val="en-US" w:eastAsia="zh-CN"/>
        </w:rPr>
        <w:t>玻璃钢管线粘接修复</w:t>
      </w:r>
      <w:r>
        <w:rPr>
          <w:rFonts w:hint="eastAsia" w:ascii="宋体" w:hAnsi="宋体" w:eastAsia="宋体" w:cs="宋体"/>
          <w:sz w:val="24"/>
          <w:szCs w:val="24"/>
        </w:rPr>
        <w:t>工作。</w:t>
      </w:r>
    </w:p>
    <w:p>
      <w:pPr>
        <w:pStyle w:val="4"/>
        <w:numPr>
          <w:ilvl w:val="0"/>
          <w:numId w:val="1"/>
        </w:numPr>
        <w:rPr>
          <w:rFonts w:hint="eastAsia" w:ascii="宋体" w:hAnsi="宋体" w:eastAsia="宋体" w:cs="宋体"/>
          <w:sz w:val="32"/>
          <w:szCs w:val="32"/>
        </w:rPr>
      </w:pPr>
      <w:bookmarkStart w:id="10" w:name="_Toc12650"/>
      <w:r>
        <w:rPr>
          <w:rFonts w:hint="eastAsia" w:ascii="宋体" w:hAnsi="宋体" w:eastAsia="宋体" w:cs="宋体"/>
          <w:sz w:val="32"/>
          <w:szCs w:val="32"/>
        </w:rPr>
        <w:t>供货范围</w:t>
      </w:r>
      <w:bookmarkEnd w:id="10"/>
    </w:p>
    <w:p>
      <w:pPr>
        <w:pStyle w:val="5"/>
        <w:rPr>
          <w:rFonts w:hint="eastAsia" w:ascii="宋体" w:hAnsi="宋体" w:eastAsia="宋体" w:cs="宋体"/>
          <w:b w:val="0"/>
          <w:bCs w:val="0"/>
          <w:lang w:val="en-US" w:eastAsia="zh-CN"/>
        </w:rPr>
      </w:pPr>
      <w:bookmarkStart w:id="11" w:name="_Toc932"/>
      <w:r>
        <w:rPr>
          <w:rFonts w:hint="eastAsia" w:ascii="宋体" w:hAnsi="宋体" w:eastAsia="宋体" w:cs="宋体"/>
          <w:b w:val="0"/>
          <w:bCs w:val="0"/>
          <w:lang w:val="en-US" w:eastAsia="zh-CN"/>
        </w:rPr>
        <w:t>3.1脱硫塔槽防腐供货范围</w:t>
      </w:r>
      <w:bookmarkEnd w:id="11"/>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乙方提供脱硫塔、烟道、循环槽内防腐施工方案，并对施工方案负责以及提供防腐施工全过程中的技术支持。</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乙方所提供的高温鳞片，在烟气温度达到180℃时连续运行30分钟的情况下，装置内的防腐鳞片不应发生龟裂、脱落。</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乙方分别提供所需材料的相关辅材（如固化剂、促进剂、耐磨材料等）型号、数量、采购合同及发票原件。</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乙方提供所需的高温树脂、中温树脂型号、数量以及相关树脂的使用业绩，并提供原产地证明、合格证等相关质量质量证明文件、采购合同及发票原件。</w:t>
      </w:r>
    </w:p>
    <w:p>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乙方提供短切毡、表面毡、玻璃丝纤维布、耐磨材料的型号、规格及所需数量。</w:t>
      </w:r>
    </w:p>
    <w:p>
      <w:pPr>
        <w:pStyle w:val="5"/>
        <w:rPr>
          <w:rFonts w:hint="eastAsia" w:ascii="宋体" w:hAnsi="宋体" w:eastAsia="宋体" w:cs="宋体"/>
          <w:b w:val="0"/>
          <w:bCs w:val="0"/>
          <w:lang w:val="en-US" w:eastAsia="zh-CN"/>
        </w:rPr>
      </w:pPr>
      <w:bookmarkStart w:id="12" w:name="_Toc3490"/>
      <w:r>
        <w:rPr>
          <w:rFonts w:hint="eastAsia" w:ascii="宋体" w:hAnsi="宋体" w:eastAsia="宋体" w:cs="宋体"/>
          <w:b w:val="0"/>
          <w:bCs w:val="0"/>
          <w:lang w:val="en-US" w:eastAsia="zh-CN"/>
        </w:rPr>
        <w:t>3.2玻璃钢管线粘接供货范围</w:t>
      </w:r>
      <w:bookmarkEnd w:id="12"/>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要求表面毡为用匹配树脂系统的粘接抗电化学腐蚀或抗化学腐蚀型玻璃纤维，30-80g/m2。</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要求短切毡为树脂粉末粘合剂接在一起的短切纤维，纤维长度：10-50mm，300-600g/m2，最大重量误差±10%，最大含水量0.2%。</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要求纤维布为玻璃纤维，有机物含量最大2%重量比，含水量最大0.2%，600-800g/m2，最大重量误差±10%。</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供方分别提供所需材料的相关辅材（如固化剂、促进剂等）型号、数量、采购合同及发票原件。</w:t>
      </w:r>
    </w:p>
    <w:p>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lang w:val="en-US" w:eastAsia="zh-CN"/>
        </w:rPr>
      </w:pPr>
      <w:r>
        <w:rPr>
          <w:rFonts w:hint="eastAsia" w:ascii="宋体" w:hAnsi="宋体" w:eastAsia="宋体" w:cs="宋体"/>
          <w:sz w:val="24"/>
          <w:szCs w:val="24"/>
          <w:lang w:val="en-US" w:eastAsia="zh-CN"/>
        </w:rPr>
        <w:t>供方提供短切毡、表面毡、玻璃丝纤维布的型号、规格及所需数量。</w:t>
      </w:r>
    </w:p>
    <w:p>
      <w:pPr>
        <w:pStyle w:val="4"/>
        <w:numPr>
          <w:ilvl w:val="0"/>
          <w:numId w:val="1"/>
        </w:numPr>
        <w:rPr>
          <w:rFonts w:hint="eastAsia" w:ascii="宋体" w:hAnsi="宋体" w:eastAsia="宋体" w:cs="宋体"/>
          <w:sz w:val="32"/>
          <w:szCs w:val="32"/>
        </w:rPr>
      </w:pPr>
      <w:bookmarkStart w:id="13" w:name="_Toc4888"/>
      <w:r>
        <w:rPr>
          <w:rFonts w:hint="eastAsia" w:ascii="宋体" w:hAnsi="宋体" w:eastAsia="宋体" w:cs="宋体"/>
          <w:sz w:val="32"/>
          <w:szCs w:val="32"/>
        </w:rPr>
        <w:t>工期要求</w:t>
      </w:r>
      <w:bookmarkEnd w:id="1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工期要求1年，实际开工日期以招标方通知为准。</w:t>
      </w:r>
    </w:p>
    <w:p>
      <w:pPr>
        <w:pStyle w:val="4"/>
        <w:numPr>
          <w:ilvl w:val="0"/>
          <w:numId w:val="1"/>
        </w:numPr>
        <w:rPr>
          <w:rFonts w:hint="eastAsia" w:ascii="宋体" w:hAnsi="宋体" w:eastAsia="宋体" w:cs="宋体"/>
          <w:sz w:val="32"/>
          <w:szCs w:val="32"/>
        </w:rPr>
      </w:pPr>
      <w:bookmarkStart w:id="14" w:name="_Toc26644"/>
      <w:r>
        <w:rPr>
          <w:rFonts w:hint="eastAsia" w:ascii="宋体" w:hAnsi="宋体" w:eastAsia="宋体" w:cs="宋体"/>
          <w:sz w:val="32"/>
          <w:szCs w:val="32"/>
        </w:rPr>
        <w:t>技术标准</w:t>
      </w:r>
      <w:bookmarkEnd w:id="14"/>
    </w:p>
    <w:p>
      <w:pPr>
        <w:pStyle w:val="5"/>
        <w:rPr>
          <w:rFonts w:hint="eastAsia" w:ascii="宋体" w:hAnsi="宋体" w:eastAsia="宋体" w:cs="宋体"/>
          <w:b w:val="0"/>
          <w:bCs w:val="0"/>
        </w:rPr>
      </w:pPr>
      <w:bookmarkStart w:id="15" w:name="_Toc2546"/>
      <w:r>
        <w:rPr>
          <w:rFonts w:hint="eastAsia" w:ascii="宋体" w:hAnsi="宋体" w:eastAsia="宋体" w:cs="宋体"/>
          <w:b w:val="0"/>
          <w:bCs w:val="0"/>
          <w:lang w:val="en-US" w:eastAsia="zh-CN"/>
        </w:rPr>
        <w:t>5.1</w:t>
      </w:r>
      <w:r>
        <w:rPr>
          <w:rFonts w:hint="eastAsia" w:ascii="宋体" w:hAnsi="宋体" w:eastAsia="宋体" w:cs="宋体"/>
          <w:b w:val="0"/>
          <w:bCs w:val="0"/>
        </w:rPr>
        <w:t>防腐材料要求</w:t>
      </w:r>
      <w:bookmarkEnd w:id="15"/>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所</w:t>
      </w:r>
      <w:r>
        <w:rPr>
          <w:rFonts w:hint="eastAsia" w:ascii="宋体" w:hAnsi="宋体" w:eastAsia="宋体" w:cs="宋体"/>
          <w:sz w:val="24"/>
          <w:szCs w:val="24"/>
        </w:rPr>
        <w:t>选用树脂，其性能要求满足《GB8237 -2005纤维增强型料用液体不饱和聚酯树脂》、《GB50212-2002建筑防腐蚀工程施工及验收规范》、《GB50046-95工业建筑防腐蚀设计规范》的相关要求。</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玻璃鳞片符合《HG/T 2641-1994中碱玻璃鳞片》的规定，且规格为：片径0.7mm～2.0mm，径厚比不小于40。</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固化剂符合国家相关标准的规定，并与所选用的树脂相匹配。</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增强纤维材料选用非石蜡乳液型，且经表面处理的中碱或无碱玻璃纤维制作的玻纤布、粗纤毡或表面毡。且不得受潮或被非树脂类液体及粉状物固体污染。所选用的增强纤维材料同时符合国家相关标准的规定，厚度以0.2mm为宜，各类纤维布的经纬支纱密度以8×8为宜。</w:t>
      </w:r>
    </w:p>
    <w:p>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鳞片胶泥的性能应符合HG/T3797-2005《玻璃鳞片衬里胶泥》的规定，同时符合表</w:t>
      </w:r>
      <w:r>
        <w:rPr>
          <w:rFonts w:hint="eastAsia" w:ascii="宋体" w:hAnsi="宋体" w:eastAsia="宋体" w:cs="宋体"/>
          <w:sz w:val="24"/>
          <w:szCs w:val="24"/>
          <w:lang w:val="en-US" w:eastAsia="zh-CN"/>
        </w:rPr>
        <w:t>3</w:t>
      </w:r>
      <w:r>
        <w:rPr>
          <w:rFonts w:hint="eastAsia" w:ascii="宋体" w:hAnsi="宋体" w:eastAsia="宋体" w:cs="宋体"/>
          <w:sz w:val="24"/>
          <w:szCs w:val="24"/>
        </w:rPr>
        <w:t>的要求。</w:t>
      </w:r>
    </w:p>
    <w:p>
      <w:pPr>
        <w:pStyle w:val="5"/>
        <w:rPr>
          <w:rFonts w:hint="eastAsia" w:ascii="宋体" w:hAnsi="宋体" w:eastAsia="宋体" w:cs="宋体"/>
          <w:lang w:val="en-US" w:eastAsia="zh-CN"/>
        </w:rPr>
      </w:pPr>
      <w:bookmarkStart w:id="16" w:name="_Toc3861"/>
      <w:r>
        <w:rPr>
          <w:rFonts w:hint="eastAsia" w:ascii="宋体" w:hAnsi="宋体" w:eastAsia="宋体" w:cs="宋体"/>
          <w:b w:val="0"/>
          <w:bCs w:val="0"/>
          <w:lang w:val="en-US" w:eastAsia="zh-CN"/>
        </w:rPr>
        <w:t>5.2防腐技术参数</w:t>
      </w:r>
      <w:bookmarkEnd w:id="16"/>
    </w:p>
    <w:p>
      <w:pPr>
        <w:pStyle w:val="6"/>
        <w:keepNext w:val="0"/>
        <w:keepLines w:val="0"/>
        <w:pageBreakBefore w:val="0"/>
        <w:widowControl w:val="0"/>
        <w:kinsoku/>
        <w:wordWrap/>
        <w:overflowPunct/>
        <w:topLinePunct w:val="0"/>
        <w:autoSpaceDE/>
        <w:autoSpaceDN/>
        <w:bidi w:val="0"/>
        <w:adjustRightInd w:val="0"/>
        <w:snapToGrid w:val="0"/>
        <w:spacing w:before="157" w:beforeLines="50"/>
        <w:jc w:val="center"/>
        <w:textAlignment w:val="auto"/>
        <w:outlineLvl w:val="9"/>
        <w:rPr>
          <w:rFonts w:hint="eastAsia" w:ascii="宋体" w:hAnsi="宋体" w:eastAsia="宋体" w:cs="宋体"/>
          <w:lang w:val="en-US" w:eastAsia="zh-CN"/>
        </w:rPr>
      </w:pPr>
      <w:r>
        <w:rPr>
          <w:rFonts w:hint="eastAsia" w:ascii="宋体" w:hAnsi="宋体" w:eastAsia="宋体" w:cs="宋体"/>
          <w:b/>
          <w:szCs w:val="28"/>
          <w:lang w:val="en-US" w:eastAsia="zh-CN"/>
        </w:rPr>
        <w:t>表1 脱硫塔防腐技术参数及防腐方案</w:t>
      </w:r>
    </w:p>
    <w:tbl>
      <w:tblPr>
        <w:tblStyle w:val="8"/>
        <w:tblpPr w:leftFromText="180" w:rightFromText="180" w:vertAnchor="text" w:horzAnchor="page" w:tblpXSpec="center" w:tblpY="321"/>
        <w:tblOverlap w:val="never"/>
        <w:tblW w:w="9020" w:type="dxa"/>
        <w:jc w:val="center"/>
        <w:tblInd w:w="0" w:type="dxa"/>
        <w:tblLayout w:type="fixed"/>
        <w:tblCellMar>
          <w:top w:w="0" w:type="dxa"/>
          <w:left w:w="108" w:type="dxa"/>
          <w:bottom w:w="0" w:type="dxa"/>
          <w:right w:w="108" w:type="dxa"/>
        </w:tblCellMar>
      </w:tblPr>
      <w:tblGrid>
        <w:gridCol w:w="622"/>
        <w:gridCol w:w="1189"/>
        <w:gridCol w:w="1405"/>
        <w:gridCol w:w="2775"/>
        <w:gridCol w:w="2174"/>
        <w:gridCol w:w="855"/>
      </w:tblGrid>
      <w:tr>
        <w:tblPrEx>
          <w:tblLayout w:type="fixed"/>
          <w:tblCellMar>
            <w:top w:w="0" w:type="dxa"/>
            <w:left w:w="108" w:type="dxa"/>
            <w:bottom w:w="0" w:type="dxa"/>
            <w:right w:w="108" w:type="dxa"/>
          </w:tblCellMar>
        </w:tblPrEx>
        <w:trPr>
          <w:trHeight w:val="698"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color w:val="000000"/>
                <w:kern w:val="0"/>
                <w:sz w:val="18"/>
                <w:szCs w:val="18"/>
                <w:highlight w:val="none"/>
              </w:rPr>
            </w:pPr>
            <w:r>
              <w:rPr>
                <w:rFonts w:hint="eastAsia" w:ascii="宋体" w:hAnsi="宋体" w:eastAsia="宋体" w:cs="宋体"/>
                <w:b/>
                <w:bCs/>
                <w:color w:val="000000"/>
                <w:kern w:val="0"/>
                <w:sz w:val="18"/>
                <w:szCs w:val="18"/>
                <w:highlight w:val="none"/>
              </w:rPr>
              <w:t>名称</w:t>
            </w:r>
          </w:p>
        </w:tc>
        <w:tc>
          <w:tcPr>
            <w:tcW w:w="2594"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color w:val="000000"/>
                <w:kern w:val="0"/>
                <w:sz w:val="18"/>
                <w:szCs w:val="18"/>
                <w:highlight w:val="none"/>
              </w:rPr>
            </w:pPr>
            <w:r>
              <w:rPr>
                <w:rFonts w:hint="eastAsia" w:ascii="宋体" w:hAnsi="宋体" w:eastAsia="宋体" w:cs="宋体"/>
                <w:b/>
                <w:bCs/>
                <w:color w:val="000000"/>
                <w:kern w:val="0"/>
                <w:sz w:val="18"/>
                <w:szCs w:val="18"/>
                <w:highlight w:val="none"/>
              </w:rPr>
              <w:t>范围</w:t>
            </w:r>
          </w:p>
        </w:tc>
        <w:tc>
          <w:tcPr>
            <w:tcW w:w="277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color w:val="000000"/>
                <w:kern w:val="0"/>
                <w:sz w:val="18"/>
                <w:szCs w:val="18"/>
                <w:highlight w:val="none"/>
              </w:rPr>
            </w:pPr>
            <w:r>
              <w:rPr>
                <w:rFonts w:hint="eastAsia" w:ascii="宋体" w:hAnsi="宋体" w:eastAsia="宋体" w:cs="宋体"/>
                <w:b/>
                <w:bCs/>
                <w:color w:val="000000"/>
                <w:kern w:val="0"/>
                <w:sz w:val="18"/>
                <w:szCs w:val="18"/>
                <w:highlight w:val="none"/>
              </w:rPr>
              <w:t>介质</w:t>
            </w:r>
          </w:p>
        </w:tc>
        <w:tc>
          <w:tcPr>
            <w:tcW w:w="2174"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color w:val="000000"/>
                <w:kern w:val="0"/>
                <w:sz w:val="18"/>
                <w:szCs w:val="18"/>
                <w:highlight w:val="none"/>
              </w:rPr>
            </w:pPr>
            <w:r>
              <w:rPr>
                <w:rFonts w:hint="eastAsia" w:ascii="宋体" w:hAnsi="宋体" w:eastAsia="宋体" w:cs="宋体"/>
                <w:b/>
                <w:bCs/>
                <w:color w:val="000000"/>
                <w:kern w:val="0"/>
                <w:sz w:val="18"/>
                <w:szCs w:val="18"/>
                <w:highlight w:val="none"/>
              </w:rPr>
              <w:t>防腐方案</w:t>
            </w:r>
          </w:p>
        </w:tc>
        <w:tc>
          <w:tcPr>
            <w:tcW w:w="85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color w:val="000000"/>
                <w:kern w:val="0"/>
                <w:sz w:val="18"/>
                <w:szCs w:val="18"/>
                <w:highlight w:val="none"/>
              </w:rPr>
            </w:pPr>
            <w:r>
              <w:rPr>
                <w:rFonts w:hint="eastAsia" w:ascii="宋体" w:hAnsi="宋体" w:eastAsia="宋体" w:cs="宋体"/>
                <w:b/>
                <w:bCs/>
                <w:color w:val="000000"/>
                <w:kern w:val="0"/>
                <w:sz w:val="18"/>
                <w:szCs w:val="18"/>
                <w:highlight w:val="none"/>
              </w:rPr>
              <w:t>防腐面积/m2</w:t>
            </w:r>
          </w:p>
        </w:tc>
      </w:tr>
      <w:tr>
        <w:tblPrEx>
          <w:tblLayout w:type="fixed"/>
          <w:tblCellMar>
            <w:top w:w="0" w:type="dxa"/>
            <w:left w:w="108" w:type="dxa"/>
            <w:bottom w:w="0" w:type="dxa"/>
            <w:right w:w="108" w:type="dxa"/>
          </w:tblCellMar>
        </w:tblPrEx>
        <w:trPr>
          <w:trHeight w:val="375" w:hRule="atLeast"/>
          <w:jc w:val="center"/>
        </w:trPr>
        <w:tc>
          <w:tcPr>
            <w:tcW w:w="62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浓缩段</w:t>
            </w:r>
          </w:p>
        </w:tc>
        <w:tc>
          <w:tcPr>
            <w:tcW w:w="1189"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底板上表面到</w:t>
            </w:r>
            <w:r>
              <w:rPr>
                <w:rFonts w:hint="eastAsia" w:ascii="宋体" w:hAnsi="宋体" w:eastAsia="宋体" w:cs="宋体"/>
                <w:kern w:val="0"/>
                <w:sz w:val="18"/>
                <w:szCs w:val="18"/>
                <w:highlight w:val="none"/>
                <w:lang w:eastAsia="zh-CN"/>
              </w:rPr>
              <w:t>一级循环喷淋</w:t>
            </w:r>
            <w:r>
              <w:rPr>
                <w:rFonts w:hint="eastAsia" w:ascii="宋体" w:hAnsi="宋体" w:eastAsia="宋体" w:cs="宋体"/>
                <w:kern w:val="0"/>
                <w:sz w:val="18"/>
                <w:szCs w:val="18"/>
                <w:highlight w:val="none"/>
                <w:lang w:val="en-US" w:eastAsia="zh-CN"/>
              </w:rPr>
              <w:t>层</w:t>
            </w:r>
            <w:r>
              <w:rPr>
                <w:rFonts w:hint="eastAsia" w:ascii="宋体" w:hAnsi="宋体" w:eastAsia="宋体" w:cs="宋体"/>
                <w:kern w:val="0"/>
                <w:sz w:val="18"/>
                <w:szCs w:val="18"/>
                <w:highlight w:val="none"/>
              </w:rPr>
              <w:t>集液器支承梁上表面(0m~14.64m)</w:t>
            </w: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outlineLvl w:val="9"/>
              <w:rPr>
                <w:rFonts w:hint="eastAsia" w:ascii="宋体" w:hAnsi="宋体" w:eastAsia="宋体" w:cs="宋体"/>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脱硫塔底板上表面</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60～180℃，烟尘颗粒，夹带硫酸铵+亚硫酸铵溶液的高温烟气</w:t>
            </w:r>
            <w:r>
              <w:rPr>
                <w:rFonts w:hint="eastAsia" w:ascii="宋体" w:hAnsi="宋体" w:eastAsia="宋体" w:cs="宋体"/>
                <w:kern w:val="0"/>
                <w:sz w:val="18"/>
                <w:szCs w:val="18"/>
                <w:highlight w:val="none"/>
              </w:rPr>
              <w:t> </w:t>
            </w:r>
          </w:p>
        </w:tc>
        <w:tc>
          <w:tcPr>
            <w:tcW w:w="2174"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 xml:space="preserve">2道中温底漆+2道中温鳞片胶泥+ FRP增强层+中温耐磨层+ </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FRP增强层+</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中温耐磨层+1道中温面漆，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88</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18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outlineLvl w:val="9"/>
              <w:rPr>
                <w:rFonts w:hint="eastAsia" w:ascii="宋体" w:hAnsi="宋体" w:eastAsia="宋体" w:cs="宋体"/>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底板上表面到2.6米高的筒体范围</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60～70℃，PH5—7，含浓度较高的硫铵溶液、硫铵结晶体、及灰等</w:t>
            </w:r>
          </w:p>
        </w:tc>
        <w:tc>
          <w:tcPr>
            <w:tcW w:w="2174"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87</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18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outlineLvl w:val="9"/>
              <w:rPr>
                <w:rFonts w:hint="eastAsia" w:ascii="宋体" w:hAnsi="宋体" w:eastAsia="宋体" w:cs="宋体"/>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底板上2.6米至二级泵喷淋层向下2m之间的筒体范围</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2道高温底漆+2道高温鳞片胶泥+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高温耐磨层+1道高温面漆，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218</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18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outlineLvl w:val="9"/>
              <w:rPr>
                <w:rFonts w:hint="eastAsia" w:ascii="宋体" w:hAnsi="宋体" w:eastAsia="宋体" w:cs="宋体"/>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二级泵喷淋层与稀硫铵副线喷淋层之间筒体范围</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中温耐磨层+1道中温面漆，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61</w:t>
            </w:r>
          </w:p>
        </w:tc>
      </w:tr>
      <w:tr>
        <w:tblPrEx>
          <w:tblLayout w:type="fixed"/>
          <w:tblCellMar>
            <w:top w:w="0" w:type="dxa"/>
            <w:left w:w="108" w:type="dxa"/>
            <w:bottom w:w="0" w:type="dxa"/>
            <w:right w:w="108" w:type="dxa"/>
          </w:tblCellMar>
        </w:tblPrEx>
        <w:trPr>
          <w:trHeight w:val="1112" w:hRule="atLeast"/>
          <w:jc w:val="center"/>
        </w:trPr>
        <w:tc>
          <w:tcPr>
            <w:tcW w:w="6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18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outlineLvl w:val="9"/>
              <w:rPr>
                <w:rFonts w:hint="eastAsia" w:ascii="宋体" w:hAnsi="宋体" w:eastAsia="宋体" w:cs="宋体"/>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稀硫铵副线喷淋层向上2m范围内；</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tabs>
                <w:tab w:val="left" w:pos="506"/>
              </w:tabs>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lang w:eastAsia="zh-CN"/>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中温耐磨层（</w:t>
            </w:r>
            <w:r>
              <w:rPr>
                <w:rFonts w:hint="eastAsia" w:ascii="宋体" w:hAnsi="宋体" w:eastAsia="宋体" w:cs="宋体"/>
                <w:kern w:val="0"/>
                <w:sz w:val="18"/>
                <w:szCs w:val="18"/>
                <w:highlight w:val="none"/>
                <w:lang w:val="en-US" w:eastAsia="zh-CN"/>
              </w:rPr>
              <w:t>3</w:t>
            </w:r>
            <w:r>
              <w:rPr>
                <w:rFonts w:hint="eastAsia" w:ascii="宋体" w:hAnsi="宋体" w:eastAsia="宋体" w:cs="宋体"/>
                <w:kern w:val="0"/>
                <w:sz w:val="18"/>
                <w:szCs w:val="18"/>
                <w:highlight w:val="none"/>
              </w:rPr>
              <w:t>mm厚的SIC耐磨层）+1道面漆，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66</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18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outlineLvl w:val="9"/>
              <w:rPr>
                <w:rFonts w:hint="eastAsia" w:ascii="宋体" w:hAnsi="宋体" w:eastAsia="宋体" w:cs="宋体"/>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其它筒体部份</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 xml:space="preserve">50～60℃，PH5—8，；夹带微量硫酸铵+亚硫酸铵溶液的烟气 </w:t>
            </w:r>
            <w:r>
              <w:rPr>
                <w:rFonts w:hint="eastAsia" w:ascii="宋体" w:hAnsi="宋体" w:eastAsia="宋体" w:cs="宋体"/>
                <w:kern w:val="0"/>
                <w:sz w:val="18"/>
                <w:szCs w:val="18"/>
                <w:highlight w:val="none"/>
              </w:rPr>
              <w:t> </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2道中温底漆+2道中温鳞片胶泥+1道中温面涂，</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w:t>
            </w:r>
            <w:r>
              <w:rPr>
                <w:rFonts w:hint="eastAsia" w:ascii="宋体" w:hAnsi="宋体" w:eastAsia="宋体" w:cs="宋体"/>
                <w:kern w:val="0"/>
                <w:sz w:val="18"/>
                <w:szCs w:val="18"/>
                <w:highlight w:val="none"/>
                <w:lang w:eastAsia="zh-CN"/>
              </w:rPr>
              <w:t>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color w:val="FF0000"/>
                <w:kern w:val="0"/>
                <w:sz w:val="18"/>
                <w:szCs w:val="18"/>
                <w:highlight w:val="none"/>
              </w:rPr>
            </w:pPr>
            <w:r>
              <w:rPr>
                <w:rFonts w:hint="eastAsia" w:ascii="宋体" w:hAnsi="宋体" w:eastAsia="宋体" w:cs="宋体"/>
                <w:color w:val="auto"/>
                <w:kern w:val="0"/>
                <w:sz w:val="18"/>
                <w:szCs w:val="18"/>
                <w:highlight w:val="none"/>
              </w:rPr>
              <w:t>54</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18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ind w:left="0" w:right="0"/>
              <w:jc w:val="center"/>
              <w:textAlignment w:val="center"/>
              <w:outlineLvl w:val="9"/>
              <w:rPr>
                <w:rFonts w:hint="eastAsia" w:ascii="宋体" w:hAnsi="宋体" w:eastAsia="宋体" w:cs="宋体"/>
                <w:kern w:val="0"/>
                <w:sz w:val="18"/>
                <w:szCs w:val="18"/>
                <w:highlight w:val="none"/>
              </w:rPr>
            </w:pPr>
            <w:r>
              <w:rPr>
                <w:rFonts w:hint="eastAsia" w:ascii="宋体" w:hAnsi="宋体" w:eastAsia="宋体" w:cs="宋体"/>
                <w:i w:val="0"/>
                <w:color w:val="000000"/>
                <w:kern w:val="0"/>
                <w:sz w:val="18"/>
                <w:szCs w:val="18"/>
                <w:highlight w:val="none"/>
                <w:u w:val="none"/>
                <w:lang w:val="en-US" w:eastAsia="zh-CN" w:bidi="ar"/>
              </w:rPr>
              <w:t>分布器支承梁</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FRP+1道中温面漆，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316</w:t>
            </w:r>
          </w:p>
        </w:tc>
      </w:tr>
      <w:tr>
        <w:tblPrEx>
          <w:tblLayout w:type="fixed"/>
          <w:tblCellMar>
            <w:top w:w="0" w:type="dxa"/>
            <w:left w:w="108" w:type="dxa"/>
            <w:bottom w:w="0" w:type="dxa"/>
            <w:right w:w="108" w:type="dxa"/>
          </w:tblCellMar>
        </w:tblPrEx>
        <w:trPr>
          <w:trHeight w:val="744" w:hRule="atLeast"/>
          <w:jc w:val="center"/>
        </w:trPr>
        <w:tc>
          <w:tcPr>
            <w:tcW w:w="622" w:type="dxa"/>
            <w:vMerge w:val="restart"/>
            <w:tcBorders>
              <w:top w:val="nil"/>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吸收段</w:t>
            </w:r>
          </w:p>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p>
          <w:p>
            <w:pPr>
              <w:keepNext w:val="0"/>
              <w:keepLines w:val="0"/>
              <w:pageBreakBefore w:val="0"/>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p>
        </w:tc>
        <w:tc>
          <w:tcPr>
            <w:tcW w:w="1189" w:type="dxa"/>
            <w:vMerge w:val="restart"/>
            <w:tcBorders>
              <w:top w:val="nil"/>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eastAsia="zh-CN"/>
              </w:rPr>
              <w:t>一级循环</w:t>
            </w:r>
            <w:r>
              <w:rPr>
                <w:rFonts w:hint="eastAsia" w:ascii="宋体" w:hAnsi="宋体" w:eastAsia="宋体" w:cs="宋体"/>
                <w:kern w:val="0"/>
                <w:sz w:val="18"/>
                <w:szCs w:val="18"/>
                <w:highlight w:val="none"/>
                <w:lang w:val="en-US" w:eastAsia="zh-CN"/>
              </w:rPr>
              <w:t>A层</w:t>
            </w:r>
            <w:r>
              <w:rPr>
                <w:rFonts w:hint="eastAsia" w:ascii="宋体" w:hAnsi="宋体" w:eastAsia="宋体" w:cs="宋体"/>
                <w:kern w:val="0"/>
                <w:sz w:val="18"/>
                <w:szCs w:val="18"/>
                <w:highlight w:val="none"/>
              </w:rPr>
              <w:t>集液器支承梁上表面到</w:t>
            </w:r>
            <w:r>
              <w:rPr>
                <w:rFonts w:hint="eastAsia" w:ascii="宋体" w:hAnsi="宋体" w:eastAsia="宋体" w:cs="宋体"/>
                <w:kern w:val="0"/>
                <w:sz w:val="18"/>
                <w:szCs w:val="18"/>
                <w:highlight w:val="none"/>
                <w:lang w:eastAsia="zh-CN"/>
              </w:rPr>
              <w:t>一级循环</w:t>
            </w:r>
            <w:r>
              <w:rPr>
                <w:rFonts w:hint="eastAsia" w:ascii="宋体" w:hAnsi="宋体" w:eastAsia="宋体" w:cs="宋体"/>
                <w:kern w:val="0"/>
                <w:sz w:val="18"/>
                <w:szCs w:val="18"/>
                <w:highlight w:val="none"/>
                <w:lang w:val="en-US" w:eastAsia="zh-CN"/>
              </w:rPr>
              <w:t>D层</w:t>
            </w:r>
            <w:r>
              <w:rPr>
                <w:rFonts w:hint="eastAsia" w:ascii="宋体" w:hAnsi="宋体" w:eastAsia="宋体" w:cs="宋体"/>
                <w:kern w:val="0"/>
                <w:sz w:val="18"/>
                <w:szCs w:val="18"/>
                <w:highlight w:val="none"/>
              </w:rPr>
              <w:t>集液器支承梁上表面(14.6 4m~32.44m)</w:t>
            </w: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eastAsia="zh-CN"/>
              </w:rPr>
              <w:t>一级循环喷淋层</w:t>
            </w:r>
            <w:r>
              <w:rPr>
                <w:rFonts w:hint="eastAsia" w:ascii="宋体" w:hAnsi="宋体" w:eastAsia="宋体" w:cs="宋体"/>
                <w:kern w:val="0"/>
                <w:sz w:val="18"/>
                <w:szCs w:val="18"/>
                <w:highlight w:val="none"/>
                <w:lang w:val="en-US" w:eastAsia="zh-CN"/>
              </w:rPr>
              <w:t>A</w:t>
            </w:r>
            <w:r>
              <w:rPr>
                <w:rFonts w:hint="eastAsia" w:ascii="宋体" w:hAnsi="宋体" w:eastAsia="宋体" w:cs="宋体"/>
                <w:kern w:val="0"/>
                <w:sz w:val="18"/>
                <w:szCs w:val="18"/>
                <w:highlight w:val="none"/>
              </w:rPr>
              <w:t>下1到</w:t>
            </w:r>
            <w:r>
              <w:rPr>
                <w:rFonts w:hint="eastAsia" w:ascii="宋体" w:hAnsi="宋体" w:eastAsia="宋体" w:cs="宋体"/>
                <w:kern w:val="0"/>
                <w:sz w:val="18"/>
                <w:szCs w:val="18"/>
                <w:highlight w:val="none"/>
                <w:lang w:eastAsia="zh-CN"/>
              </w:rPr>
              <w:t>一级循环喷淋</w:t>
            </w:r>
            <w:r>
              <w:rPr>
                <w:rFonts w:hint="eastAsia" w:ascii="宋体" w:hAnsi="宋体" w:eastAsia="宋体" w:cs="宋体"/>
                <w:kern w:val="0"/>
                <w:sz w:val="18"/>
                <w:szCs w:val="18"/>
                <w:highlight w:val="none"/>
                <w:lang w:val="en-US" w:eastAsia="zh-CN"/>
              </w:rPr>
              <w:t>D</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中温耐磨层+1道面漆，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228</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p>
        </w:tc>
        <w:tc>
          <w:tcPr>
            <w:tcW w:w="1189" w:type="dxa"/>
            <w:vMerge w:val="continue"/>
            <w:tcBorders>
              <w:left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其它筒体部份</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2道中温底漆+2道中温鳞片胶泥+1道中温面涂，厚度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w:t>
            </w:r>
            <w:r>
              <w:rPr>
                <w:rFonts w:hint="eastAsia" w:ascii="宋体" w:hAnsi="宋体" w:eastAsia="宋体" w:cs="宋体"/>
                <w:kern w:val="0"/>
                <w:sz w:val="18"/>
                <w:szCs w:val="18"/>
                <w:highlight w:val="none"/>
                <w:lang w:eastAsia="zh-CN"/>
              </w:rPr>
              <w:t>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color w:val="FF0000"/>
                <w:kern w:val="0"/>
                <w:sz w:val="18"/>
                <w:szCs w:val="18"/>
                <w:highlight w:val="none"/>
              </w:rPr>
            </w:pPr>
            <w:r>
              <w:rPr>
                <w:rFonts w:hint="eastAsia" w:ascii="宋体" w:hAnsi="宋体" w:eastAsia="宋体" w:cs="宋体"/>
                <w:kern w:val="0"/>
                <w:sz w:val="18"/>
                <w:szCs w:val="18"/>
                <w:highlight w:val="none"/>
              </w:rPr>
              <w:t>370</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p>
        </w:tc>
        <w:tc>
          <w:tcPr>
            <w:tcW w:w="1189" w:type="dxa"/>
            <w:vMerge w:val="continue"/>
            <w:tcBorders>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分布器支承梁</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2道中温中温底漆+2道中温鳞片胶泥+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FRP增强层+1道中温面漆，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748</w:t>
            </w:r>
          </w:p>
        </w:tc>
      </w:tr>
      <w:tr>
        <w:tblPrEx>
          <w:tblLayout w:type="fixed"/>
          <w:tblCellMar>
            <w:top w:w="0" w:type="dxa"/>
            <w:left w:w="108" w:type="dxa"/>
            <w:bottom w:w="0" w:type="dxa"/>
            <w:right w:w="108" w:type="dxa"/>
          </w:tblCellMar>
        </w:tblPrEx>
        <w:trPr>
          <w:trHeight w:val="744" w:hRule="atLeast"/>
          <w:jc w:val="center"/>
        </w:trPr>
        <w:tc>
          <w:tcPr>
            <w:tcW w:w="622"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水洗段</w:t>
            </w:r>
          </w:p>
        </w:tc>
        <w:tc>
          <w:tcPr>
            <w:tcW w:w="1189" w:type="dxa"/>
            <w:vMerge w:val="restart"/>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集液器支承梁上表面到锥段大端处(32.44m~39.345m)</w:t>
            </w: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lang w:eastAsia="zh-CN"/>
              </w:rPr>
              <w:t>除雾器喷淋层</w:t>
            </w:r>
            <w:r>
              <w:rPr>
                <w:rFonts w:hint="eastAsia" w:ascii="宋体" w:hAnsi="宋体" w:eastAsia="宋体" w:cs="宋体"/>
                <w:kern w:val="0"/>
                <w:sz w:val="18"/>
                <w:szCs w:val="18"/>
                <w:highlight w:val="none"/>
              </w:rPr>
              <w:t>下1.6米范围内</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中温耐磨层+1道面漆，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55</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18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其它筒体部份</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2道中温底漆+2道中温鳞片胶泥+1道中温面涂，厚度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w:t>
            </w:r>
            <w:r>
              <w:rPr>
                <w:rFonts w:hint="eastAsia" w:ascii="宋体" w:hAnsi="宋体" w:eastAsia="宋体" w:cs="宋体"/>
                <w:kern w:val="0"/>
                <w:sz w:val="18"/>
                <w:szCs w:val="18"/>
                <w:highlight w:val="none"/>
                <w:lang w:eastAsia="zh-CN"/>
              </w:rPr>
              <w:t>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176</w:t>
            </w:r>
          </w:p>
        </w:tc>
      </w:tr>
      <w:tr>
        <w:tblPrEx>
          <w:tblLayout w:type="fixed"/>
          <w:tblCellMar>
            <w:top w:w="0" w:type="dxa"/>
            <w:left w:w="108" w:type="dxa"/>
            <w:bottom w:w="0" w:type="dxa"/>
            <w:right w:w="108" w:type="dxa"/>
          </w:tblCellMar>
        </w:tblPrEx>
        <w:trPr>
          <w:trHeight w:val="744" w:hRule="atLeast"/>
          <w:jc w:val="center"/>
        </w:trPr>
        <w:tc>
          <w:tcPr>
            <w:tcW w:w="622"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189" w:type="dxa"/>
            <w:vMerge w:val="continue"/>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分布器支承梁</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2道中温中温底漆+2道中温鳞片胶泥+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FRP增强层+1道中温面漆，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238</w:t>
            </w:r>
          </w:p>
        </w:tc>
      </w:tr>
      <w:tr>
        <w:tblPrEx>
          <w:tblLayout w:type="fixed"/>
          <w:tblCellMar>
            <w:top w:w="0" w:type="dxa"/>
            <w:left w:w="108" w:type="dxa"/>
            <w:bottom w:w="0" w:type="dxa"/>
            <w:right w:w="108" w:type="dxa"/>
          </w:tblCellMar>
        </w:tblPrEx>
        <w:trPr>
          <w:trHeight w:val="744" w:hRule="atLeast"/>
          <w:jc w:val="center"/>
        </w:trPr>
        <w:tc>
          <w:tcPr>
            <w:tcW w:w="622"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锥顶</w:t>
            </w:r>
          </w:p>
        </w:tc>
        <w:tc>
          <w:tcPr>
            <w:tcW w:w="1189"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(高度4.5m)</w:t>
            </w: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50～60℃，PH5—8，夹带微量硫酸铵+亚硫酸铵溶液的烟气</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2道底漆+2道中温鳞片胶泥+1道中温面涂，</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w:t>
            </w:r>
            <w:r>
              <w:rPr>
                <w:rFonts w:hint="eastAsia" w:ascii="宋体" w:hAnsi="宋体" w:eastAsia="宋体" w:cs="宋体"/>
                <w:kern w:val="0"/>
                <w:sz w:val="18"/>
                <w:szCs w:val="18"/>
                <w:highlight w:val="none"/>
                <w:lang w:eastAsia="zh-CN"/>
              </w:rPr>
              <w:t>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190</w:t>
            </w:r>
          </w:p>
        </w:tc>
      </w:tr>
      <w:tr>
        <w:tblPrEx>
          <w:tblLayout w:type="fixed"/>
          <w:tblCellMar>
            <w:top w:w="0" w:type="dxa"/>
            <w:left w:w="108" w:type="dxa"/>
            <w:bottom w:w="0" w:type="dxa"/>
            <w:right w:w="108" w:type="dxa"/>
          </w:tblCellMar>
        </w:tblPrEx>
        <w:trPr>
          <w:trHeight w:val="1112" w:hRule="atLeast"/>
          <w:jc w:val="center"/>
        </w:trPr>
        <w:tc>
          <w:tcPr>
            <w:tcW w:w="622"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塔烟气进口</w:t>
            </w:r>
          </w:p>
        </w:tc>
        <w:tc>
          <w:tcPr>
            <w:tcW w:w="1189"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(除内衬合金外)到膨胀节</w:t>
            </w: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tabs>
                <w:tab w:val="center" w:pos="1279"/>
              </w:tabs>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lang w:eastAsia="zh-CN"/>
              </w:rPr>
            </w:pPr>
            <w:r>
              <w:rPr>
                <w:rFonts w:hint="eastAsia" w:ascii="宋体" w:hAnsi="宋体" w:eastAsia="宋体" w:cs="宋体"/>
                <w:kern w:val="0"/>
                <w:sz w:val="18"/>
                <w:szCs w:val="18"/>
                <w:highlight w:val="none"/>
              </w:rPr>
              <w:t>高温烟气180</w:t>
            </w:r>
            <w:r>
              <w:rPr>
                <w:rFonts w:hint="eastAsia" w:ascii="宋体" w:hAnsi="宋体" w:eastAsia="宋体" w:cs="宋体"/>
                <w:kern w:val="0"/>
                <w:sz w:val="18"/>
                <w:szCs w:val="18"/>
                <w:highlight w:val="none"/>
                <w:lang w:eastAsia="zh-CN"/>
              </w:rPr>
              <w:t>℃</w:t>
            </w:r>
            <w:r>
              <w:rPr>
                <w:rFonts w:hint="eastAsia" w:ascii="宋体" w:hAnsi="宋体" w:eastAsia="宋体" w:cs="宋体"/>
                <w:kern w:val="0"/>
                <w:sz w:val="18"/>
                <w:szCs w:val="18"/>
                <w:highlight w:val="none"/>
                <w:lang w:eastAsia="zh-CN"/>
              </w:rPr>
              <w:tab/>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2道高温底漆+2道高温鳞片胶泥+1道高温面涂，厚度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w:t>
            </w:r>
            <w:r>
              <w:rPr>
                <w:rFonts w:hint="eastAsia" w:ascii="宋体" w:hAnsi="宋体" w:eastAsia="宋体" w:cs="宋体"/>
                <w:kern w:val="0"/>
                <w:sz w:val="18"/>
                <w:szCs w:val="18"/>
                <w:highlight w:val="none"/>
                <w:lang w:eastAsia="zh-CN"/>
              </w:rPr>
              <w:t>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lang w:val="en-US" w:eastAsia="zh-CN"/>
              </w:rPr>
            </w:pPr>
            <w:r>
              <w:rPr>
                <w:rFonts w:hint="eastAsia" w:ascii="宋体" w:hAnsi="宋体" w:eastAsia="宋体" w:cs="宋体"/>
                <w:kern w:val="0"/>
                <w:sz w:val="18"/>
                <w:szCs w:val="18"/>
                <w:highlight w:val="none"/>
                <w:lang w:val="en-US" w:eastAsia="zh-CN"/>
              </w:rPr>
              <w:t>90</w:t>
            </w:r>
          </w:p>
        </w:tc>
      </w:tr>
      <w:tr>
        <w:tblPrEx>
          <w:tblLayout w:type="fixed"/>
          <w:tblCellMar>
            <w:top w:w="0" w:type="dxa"/>
            <w:left w:w="108" w:type="dxa"/>
            <w:bottom w:w="0" w:type="dxa"/>
            <w:right w:w="108" w:type="dxa"/>
          </w:tblCellMar>
        </w:tblPrEx>
        <w:trPr>
          <w:trHeight w:val="744" w:hRule="atLeast"/>
          <w:jc w:val="center"/>
        </w:trPr>
        <w:tc>
          <w:tcPr>
            <w:tcW w:w="622" w:type="dxa"/>
            <w:tcBorders>
              <w:top w:val="nil"/>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其它</w:t>
            </w:r>
          </w:p>
        </w:tc>
        <w:tc>
          <w:tcPr>
            <w:tcW w:w="1189"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所有管口及其它塔内支承座</w:t>
            </w:r>
          </w:p>
        </w:tc>
        <w:tc>
          <w:tcPr>
            <w:tcW w:w="1405" w:type="dxa"/>
            <w:tcBorders>
              <w:top w:val="single" w:color="auto" w:sz="4" w:space="0"/>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　</w:t>
            </w:r>
          </w:p>
        </w:tc>
        <w:tc>
          <w:tcPr>
            <w:tcW w:w="277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left"/>
              <w:textAlignment w:val="auto"/>
              <w:outlineLvl w:val="9"/>
              <w:rPr>
                <w:rFonts w:hint="eastAsia" w:ascii="宋体" w:hAnsi="宋体" w:eastAsia="宋体" w:cs="宋体"/>
                <w:kern w:val="0"/>
                <w:sz w:val="18"/>
                <w:szCs w:val="18"/>
                <w:highlight w:val="none"/>
              </w:rPr>
            </w:pPr>
            <w:r>
              <w:rPr>
                <w:rFonts w:hint="eastAsia" w:ascii="宋体" w:hAnsi="宋体" w:eastAsia="宋体" w:cs="宋体"/>
                <w:sz w:val="18"/>
                <w:szCs w:val="18"/>
                <w:highlight w:val="none"/>
              </w:rPr>
              <w:t>50～100℃，PH5—8，喷淋液（硫铵溶液，有一定含固量）、净烟气含有少量硫酸铵、亚硫酸铵和氨</w:t>
            </w:r>
          </w:p>
        </w:tc>
        <w:tc>
          <w:tcPr>
            <w:tcW w:w="2174"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2道中温底漆+2道中温鳞片胶泥+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FRP增强层+</w:t>
            </w:r>
            <w:r>
              <w:rPr>
                <w:rFonts w:hint="eastAsia" w:ascii="宋体" w:hAnsi="宋体" w:eastAsia="宋体" w:cs="宋体"/>
                <w:kern w:val="0"/>
                <w:sz w:val="18"/>
                <w:szCs w:val="18"/>
                <w:highlight w:val="none"/>
                <w:lang w:val="en-US" w:eastAsia="zh-CN"/>
              </w:rPr>
              <w:t>3mm厚</w:t>
            </w:r>
            <w:r>
              <w:rPr>
                <w:rFonts w:hint="eastAsia" w:ascii="宋体" w:hAnsi="宋体" w:eastAsia="宋体" w:cs="宋体"/>
                <w:kern w:val="0"/>
                <w:sz w:val="18"/>
                <w:szCs w:val="18"/>
                <w:highlight w:val="none"/>
              </w:rPr>
              <w:t>中温耐磨层+1道中温面漆，</w:t>
            </w:r>
            <w:r>
              <w:rPr>
                <w:rFonts w:hint="eastAsia" w:ascii="宋体" w:hAnsi="宋体" w:eastAsia="宋体" w:cs="宋体"/>
                <w:kern w:val="0"/>
                <w:sz w:val="18"/>
                <w:szCs w:val="18"/>
                <w:highlight w:val="none"/>
                <w:lang w:eastAsia="zh-CN"/>
              </w:rPr>
              <w:t>鳞片</w:t>
            </w:r>
            <w:r>
              <w:rPr>
                <w:rFonts w:hint="eastAsia" w:ascii="宋体" w:hAnsi="宋体" w:eastAsia="宋体" w:cs="宋体"/>
                <w:kern w:val="0"/>
                <w:sz w:val="18"/>
                <w:szCs w:val="18"/>
                <w:highlight w:val="none"/>
              </w:rPr>
              <w:t>厚</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mm以上。</w:t>
            </w:r>
          </w:p>
        </w:tc>
        <w:tc>
          <w:tcPr>
            <w:tcW w:w="855" w:type="dxa"/>
            <w:tcBorders>
              <w:top w:val="nil"/>
              <w:left w:val="nil"/>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20</w:t>
            </w:r>
          </w:p>
        </w:tc>
      </w:tr>
      <w:tr>
        <w:tblPrEx>
          <w:tblLayout w:type="fixed"/>
          <w:tblCellMar>
            <w:top w:w="0" w:type="dxa"/>
            <w:left w:w="108" w:type="dxa"/>
            <w:bottom w:w="0" w:type="dxa"/>
            <w:right w:w="108" w:type="dxa"/>
          </w:tblCellMar>
        </w:tblPrEx>
        <w:trPr>
          <w:trHeight w:val="744" w:hRule="atLeast"/>
          <w:jc w:val="center"/>
        </w:trPr>
        <w:tc>
          <w:tcPr>
            <w:tcW w:w="622"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textAlignment w:val="auto"/>
              <w:outlineLvl w:val="9"/>
              <w:rPr>
                <w:rFonts w:hint="eastAsia" w:ascii="宋体" w:hAnsi="宋体" w:eastAsia="宋体" w:cs="宋体"/>
                <w:b/>
                <w:bCs/>
                <w:kern w:val="0"/>
                <w:sz w:val="18"/>
                <w:szCs w:val="18"/>
                <w:highlight w:val="none"/>
              </w:rPr>
            </w:pPr>
            <w:r>
              <w:rPr>
                <w:rFonts w:hint="eastAsia" w:ascii="宋体" w:hAnsi="宋体" w:eastAsia="宋体" w:cs="宋体"/>
                <w:b/>
                <w:bCs/>
                <w:kern w:val="0"/>
                <w:sz w:val="18"/>
                <w:szCs w:val="18"/>
                <w:highlight w:val="none"/>
              </w:rPr>
              <w:t>小计</w:t>
            </w:r>
          </w:p>
        </w:tc>
        <w:tc>
          <w:tcPr>
            <w:tcW w:w="8398"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color w:val="FF0000"/>
                <w:sz w:val="18"/>
                <w:szCs w:val="18"/>
                <w:highlight w:val="none"/>
                <w:lang w:val="en-US" w:eastAsia="zh-CN"/>
              </w:rPr>
            </w:pPr>
            <w:r>
              <w:rPr>
                <w:rFonts w:hint="eastAsia" w:ascii="宋体" w:hAnsi="宋体" w:eastAsia="宋体" w:cs="宋体"/>
                <w:sz w:val="18"/>
                <w:szCs w:val="18"/>
                <w:highlight w:val="none"/>
                <w:lang w:eastAsia="zh-CN"/>
              </w:rPr>
              <w:t>吸收塔防腐总面积：</w:t>
            </w:r>
            <w:r>
              <w:rPr>
                <w:rFonts w:hint="eastAsia" w:ascii="宋体" w:hAnsi="宋体" w:eastAsia="宋体" w:cs="宋体"/>
                <w:sz w:val="18"/>
                <w:szCs w:val="18"/>
                <w:highlight w:val="none"/>
                <w:lang w:val="en-US" w:eastAsia="zh-CN"/>
              </w:rPr>
              <w:t>3960</w:t>
            </w:r>
            <w:r>
              <w:rPr>
                <w:rFonts w:hint="eastAsia" w:ascii="宋体" w:hAnsi="宋体" w:eastAsia="宋体" w:cs="宋体"/>
                <w:i w:val="0"/>
                <w:color w:val="000000"/>
                <w:kern w:val="0"/>
                <w:sz w:val="18"/>
                <w:szCs w:val="18"/>
                <w:u w:val="none"/>
                <w:lang w:val="en-US" w:eastAsia="zh-CN" w:bidi="ar"/>
              </w:rPr>
              <w:t>㎡(12台)</w:t>
            </w:r>
          </w:p>
        </w:tc>
      </w:tr>
    </w:tbl>
    <w:p>
      <w:pPr>
        <w:pStyle w:val="6"/>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outlineLvl w:val="9"/>
        <w:rPr>
          <w:rFonts w:hint="eastAsia" w:ascii="宋体" w:hAnsi="宋体" w:eastAsia="宋体" w:cs="宋体"/>
          <w:bCs/>
          <w:lang w:val="en-US" w:eastAsia="zh-CN"/>
        </w:rPr>
      </w:pPr>
      <w:r>
        <w:rPr>
          <w:rFonts w:hint="eastAsia" w:ascii="宋体" w:hAnsi="宋体" w:eastAsia="宋体" w:cs="宋体"/>
          <w:b w:val="0"/>
          <w:bCs/>
          <w:szCs w:val="28"/>
          <w:lang w:val="en-US" w:eastAsia="zh-CN"/>
        </w:rPr>
        <w:t>表2 循环槽防腐技术参数及防腐方案</w:t>
      </w:r>
    </w:p>
    <w:tbl>
      <w:tblPr>
        <w:tblStyle w:val="8"/>
        <w:tblW w:w="8780" w:type="dxa"/>
        <w:jc w:val="center"/>
        <w:tblInd w:w="-22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65"/>
        <w:gridCol w:w="2332"/>
        <w:gridCol w:w="1784"/>
        <w:gridCol w:w="2088"/>
        <w:gridCol w:w="14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19" w:hRule="atLeast"/>
          <w:jc w:val="center"/>
        </w:trPr>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color w:val="000000"/>
                <w:kern w:val="0"/>
                <w:sz w:val="18"/>
                <w:szCs w:val="18"/>
              </w:rPr>
              <w:t>名称</w:t>
            </w:r>
          </w:p>
        </w:tc>
        <w:tc>
          <w:tcPr>
            <w:tcW w:w="2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color w:val="000000"/>
                <w:kern w:val="0"/>
                <w:sz w:val="18"/>
                <w:szCs w:val="18"/>
              </w:rPr>
              <w:t>范围</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color w:val="000000"/>
                <w:kern w:val="0"/>
                <w:sz w:val="18"/>
                <w:szCs w:val="18"/>
              </w:rPr>
              <w:t>介质</w:t>
            </w:r>
          </w:p>
        </w:tc>
        <w:tc>
          <w:tcPr>
            <w:tcW w:w="2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color w:val="000000"/>
                <w:kern w:val="0"/>
                <w:sz w:val="18"/>
                <w:szCs w:val="18"/>
              </w:rPr>
              <w:t>防腐方案</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leftChars="0" w:right="0" w:firstLine="0" w:firstLineChars="0"/>
              <w:jc w:val="center"/>
              <w:textAlignment w:val="auto"/>
              <w:outlineLvl w:val="9"/>
              <w:rPr>
                <w:rFonts w:hint="eastAsia" w:ascii="宋体" w:hAnsi="宋体" w:eastAsia="宋体" w:cs="宋体"/>
                <w:b/>
                <w:bCs/>
                <w:i w:val="0"/>
                <w:color w:val="000000"/>
                <w:kern w:val="0"/>
                <w:sz w:val="18"/>
                <w:szCs w:val="18"/>
                <w:u w:val="none"/>
                <w:lang w:val="en-US" w:eastAsia="zh-CN" w:bidi="ar"/>
              </w:rPr>
            </w:pPr>
            <w:r>
              <w:rPr>
                <w:rFonts w:hint="eastAsia" w:ascii="宋体" w:hAnsi="宋体" w:eastAsia="宋体" w:cs="宋体"/>
                <w:b/>
                <w:bCs/>
                <w:color w:val="000000"/>
                <w:kern w:val="0"/>
                <w:sz w:val="18"/>
                <w:szCs w:val="18"/>
              </w:rPr>
              <w:t>防腐面积/m2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19" w:hRule="atLeast"/>
          <w:jc w:val="center"/>
        </w:trPr>
        <w:tc>
          <w:tcPr>
            <w:tcW w:w="116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循环槽</w:t>
            </w:r>
          </w:p>
        </w:tc>
        <w:tc>
          <w:tcPr>
            <w:tcW w:w="2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底板</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50～60℃，PH5—8，硫酸铵+亚硫酸铵溶液，底部有压缩空气冲击</w:t>
            </w:r>
          </w:p>
        </w:tc>
        <w:tc>
          <w:tcPr>
            <w:tcW w:w="208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2道中温底漆+2道中温鳞片胶泥+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i w:val="0"/>
                <w:color w:val="000000"/>
                <w:kern w:val="0"/>
                <w:sz w:val="18"/>
                <w:szCs w:val="18"/>
                <w:highlight w:val="none"/>
                <w:u w:val="none"/>
                <w:lang w:val="en-US" w:eastAsia="zh-CN" w:bidi="ar"/>
              </w:rPr>
              <w:t>FRP增强层+中温耐磨层+1道面漆，鳞片厚度6mm以上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19"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底板向上1.0m筒体范围</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50～60℃，PH5—8，硫酸铵+亚硫酸铵溶液，底部有压缩空气冲击 </w:t>
            </w:r>
          </w:p>
        </w:tc>
        <w:tc>
          <w:tcPr>
            <w:tcW w:w="208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both"/>
              <w:rPr>
                <w:rFonts w:hint="eastAsia" w:ascii="宋体" w:hAnsi="宋体" w:eastAsia="宋体" w:cs="宋体"/>
                <w:i w:val="0"/>
                <w:color w:val="000000"/>
                <w:sz w:val="18"/>
                <w:szCs w:val="18"/>
                <w:u w:val="none"/>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19"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离底板1.0m到顶板下表面之间筒体</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60～70℃，PH5—7，硫酸铵+亚硫酸铵溶液+氨</w:t>
            </w:r>
          </w:p>
        </w:tc>
        <w:tc>
          <w:tcPr>
            <w:tcW w:w="2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2道中温底漆+2道中温鳞片胶泥+1道中温面涂，鳞片厚度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w:t>
            </w:r>
            <w:r>
              <w:rPr>
                <w:rFonts w:hint="eastAsia" w:ascii="宋体" w:hAnsi="宋体" w:eastAsia="宋体" w:cs="宋体"/>
                <w:kern w:val="0"/>
                <w:sz w:val="18"/>
                <w:szCs w:val="18"/>
                <w:highlight w:val="none"/>
                <w:lang w:eastAsia="zh-CN"/>
              </w:rPr>
              <w:t>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19"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顶板下表面</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60～70℃，PH5—7，含浓度较高的硫铵溶液、硫铵结晶体、及灰等</w:t>
            </w:r>
          </w:p>
        </w:tc>
        <w:tc>
          <w:tcPr>
            <w:tcW w:w="2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2道中温底漆+2道中温鳞片胶泥+1道中温面涂，鳞片厚度</w:t>
            </w:r>
            <w:r>
              <w:rPr>
                <w:rFonts w:hint="eastAsia" w:ascii="宋体" w:hAnsi="宋体" w:eastAsia="宋体" w:cs="宋体"/>
                <w:kern w:val="0"/>
                <w:sz w:val="18"/>
                <w:szCs w:val="18"/>
                <w:highlight w:val="none"/>
                <w:lang w:val="en-US" w:eastAsia="zh-CN"/>
              </w:rPr>
              <w:t>6</w:t>
            </w:r>
            <w:r>
              <w:rPr>
                <w:rFonts w:hint="eastAsia" w:ascii="宋体" w:hAnsi="宋体" w:eastAsia="宋体" w:cs="宋体"/>
                <w:kern w:val="0"/>
                <w:sz w:val="18"/>
                <w:szCs w:val="18"/>
                <w:highlight w:val="none"/>
              </w:rPr>
              <w:t>mm</w:t>
            </w:r>
            <w:r>
              <w:rPr>
                <w:rFonts w:hint="eastAsia" w:ascii="宋体" w:hAnsi="宋体" w:eastAsia="宋体" w:cs="宋体"/>
                <w:kern w:val="0"/>
                <w:sz w:val="18"/>
                <w:szCs w:val="18"/>
                <w:highlight w:val="none"/>
                <w:lang w:eastAsia="zh-CN"/>
              </w:rPr>
              <w:t>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828"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管口</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50～100℃，PH5—8，喷淋液（硫铵溶液，有一定含固量）、净烟气含有少量硫酸铵、亚硫酸铵和氨</w:t>
            </w:r>
          </w:p>
        </w:tc>
        <w:tc>
          <w:tcPr>
            <w:tcW w:w="2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2道中温底漆+2道中温鳞片胶泥+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i w:val="0"/>
                <w:color w:val="000000"/>
                <w:kern w:val="0"/>
                <w:sz w:val="18"/>
                <w:szCs w:val="18"/>
                <w:highlight w:val="none"/>
                <w:u w:val="none"/>
                <w:lang w:val="en-US" w:eastAsia="zh-CN" w:bidi="ar"/>
              </w:rPr>
              <w:t>FRP增强层+中温耐磨层+1道中温面漆，鳞片厚度6mm以上。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19" w:hRule="atLeast"/>
          <w:jc w:val="center"/>
        </w:trPr>
        <w:tc>
          <w:tcPr>
            <w:tcW w:w="116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suppressLineNumbers w:val="0"/>
              <w:spacing w:before="0" w:beforeAutospacing="0" w:after="0" w:afterAutospacing="0"/>
              <w:ind w:left="0" w:right="0"/>
              <w:jc w:val="center"/>
              <w:rPr>
                <w:rFonts w:hint="eastAsia" w:ascii="宋体" w:hAnsi="宋体" w:eastAsia="宋体" w:cs="宋体"/>
                <w:i w:val="0"/>
                <w:color w:val="000000"/>
                <w:sz w:val="18"/>
                <w:szCs w:val="18"/>
                <w:u w:val="none"/>
              </w:rPr>
            </w:pPr>
          </w:p>
        </w:tc>
        <w:tc>
          <w:tcPr>
            <w:tcW w:w="23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氧化段分布器支承梁、气液混合器环板等</w:t>
            </w:r>
          </w:p>
        </w:tc>
        <w:tc>
          <w:tcPr>
            <w:tcW w:w="17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60～70℃，PH5—7，硫酸铵+亚硫酸铵溶液+氨</w:t>
            </w:r>
          </w:p>
        </w:tc>
        <w:tc>
          <w:tcPr>
            <w:tcW w:w="20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both"/>
              <w:textAlignment w:val="center"/>
              <w:rPr>
                <w:rFonts w:hint="eastAsia" w:ascii="宋体" w:hAnsi="宋体" w:eastAsia="宋体" w:cs="宋体"/>
                <w:i w:val="0"/>
                <w:color w:val="000000"/>
                <w:sz w:val="18"/>
                <w:szCs w:val="18"/>
                <w:highlight w:val="none"/>
                <w:u w:val="none"/>
              </w:rPr>
            </w:pPr>
            <w:r>
              <w:rPr>
                <w:rFonts w:hint="eastAsia" w:ascii="宋体" w:hAnsi="宋体" w:eastAsia="宋体" w:cs="宋体"/>
                <w:i w:val="0"/>
                <w:color w:val="000000"/>
                <w:kern w:val="0"/>
                <w:sz w:val="18"/>
                <w:szCs w:val="18"/>
                <w:highlight w:val="none"/>
                <w:u w:val="none"/>
                <w:lang w:val="en-US" w:eastAsia="zh-CN" w:bidi="ar"/>
              </w:rPr>
              <w:t>2道底漆+2道中温鳞片胶泥+</w:t>
            </w:r>
            <w:r>
              <w:rPr>
                <w:rFonts w:hint="eastAsia" w:ascii="宋体" w:hAnsi="宋体" w:eastAsia="宋体" w:cs="宋体"/>
                <w:kern w:val="0"/>
                <w:sz w:val="18"/>
                <w:szCs w:val="18"/>
                <w:highlight w:val="none"/>
                <w:lang w:val="en-US" w:eastAsia="zh-CN"/>
              </w:rPr>
              <w:t>3mm厚</w:t>
            </w:r>
            <w:r>
              <w:rPr>
                <w:rFonts w:hint="eastAsia" w:ascii="宋体" w:hAnsi="宋体" w:eastAsia="宋体" w:cs="宋体"/>
                <w:i w:val="0"/>
                <w:color w:val="000000"/>
                <w:kern w:val="0"/>
                <w:sz w:val="18"/>
                <w:szCs w:val="18"/>
                <w:highlight w:val="none"/>
                <w:u w:val="none"/>
                <w:lang w:val="en-US" w:eastAsia="zh-CN" w:bidi="ar"/>
              </w:rPr>
              <w:t>FRP增强层+1道中温面漆，鳞片厚度6mm以上。</w:t>
            </w:r>
          </w:p>
        </w:tc>
        <w:tc>
          <w:tcPr>
            <w:tcW w:w="14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30" w:hRule="atLeast"/>
          <w:jc w:val="center"/>
        </w:trPr>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i w:val="0"/>
                <w:color w:val="000000"/>
                <w:sz w:val="18"/>
                <w:szCs w:val="18"/>
                <w:u w:val="none"/>
              </w:rPr>
            </w:pPr>
            <w:r>
              <w:rPr>
                <w:rFonts w:hint="eastAsia" w:ascii="宋体" w:hAnsi="宋体" w:eastAsia="宋体" w:cs="宋体"/>
                <w:b/>
                <w:i w:val="0"/>
                <w:color w:val="000000"/>
                <w:kern w:val="0"/>
                <w:sz w:val="18"/>
                <w:szCs w:val="18"/>
                <w:u w:val="none"/>
                <w:lang w:val="en-US" w:eastAsia="zh-CN" w:bidi="ar"/>
              </w:rPr>
              <w:t>小计</w:t>
            </w:r>
          </w:p>
        </w:tc>
        <w:tc>
          <w:tcPr>
            <w:tcW w:w="761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color w:val="000000"/>
                <w:sz w:val="18"/>
                <w:szCs w:val="18"/>
                <w:u w:val="none"/>
              </w:rPr>
            </w:pPr>
            <w:r>
              <w:rPr>
                <w:rFonts w:hint="eastAsia" w:ascii="宋体" w:hAnsi="宋体" w:eastAsia="宋体" w:cs="宋体"/>
                <w:sz w:val="18"/>
                <w:szCs w:val="18"/>
                <w:highlight w:val="none"/>
                <w:lang w:eastAsia="zh-CN"/>
              </w:rPr>
              <w:t>循环槽防腐总面积：</w:t>
            </w:r>
            <w:r>
              <w:rPr>
                <w:rFonts w:hint="eastAsia" w:ascii="宋体" w:hAnsi="宋体" w:eastAsia="宋体" w:cs="宋体"/>
                <w:sz w:val="18"/>
                <w:szCs w:val="18"/>
                <w:highlight w:val="none"/>
                <w:lang w:val="en-US" w:eastAsia="zh-CN"/>
              </w:rPr>
              <w:t>1168.8</w:t>
            </w:r>
            <w:r>
              <w:rPr>
                <w:rFonts w:hint="eastAsia" w:ascii="宋体" w:hAnsi="宋体" w:eastAsia="宋体" w:cs="宋体"/>
                <w:i w:val="0"/>
                <w:color w:val="000000"/>
                <w:kern w:val="0"/>
                <w:sz w:val="18"/>
                <w:szCs w:val="18"/>
                <w:u w:val="none"/>
                <w:lang w:val="en-US" w:eastAsia="zh-CN" w:bidi="ar"/>
              </w:rPr>
              <w:t>㎡(12台)</w:t>
            </w:r>
          </w:p>
        </w:tc>
      </w:tr>
    </w:tbl>
    <w:p>
      <w:pPr>
        <w:pStyle w:val="6"/>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outlineLvl w:val="9"/>
        <w:rPr>
          <w:rFonts w:hint="eastAsia" w:ascii="宋体" w:hAnsi="宋体" w:eastAsia="宋体" w:cs="宋体"/>
          <w:b/>
          <w:szCs w:val="28"/>
          <w:lang w:val="en-US" w:eastAsia="zh-CN"/>
        </w:rPr>
      </w:pPr>
      <w:r>
        <w:rPr>
          <w:rFonts w:hint="eastAsia" w:ascii="宋体" w:hAnsi="宋体" w:eastAsia="宋体" w:cs="宋体"/>
          <w:b/>
          <w:szCs w:val="28"/>
          <w:lang w:val="en-US" w:eastAsia="zh-CN"/>
        </w:rPr>
        <w:t>表3 鳞片胶泥表现要求及施工性能要求</w:t>
      </w:r>
    </w:p>
    <w:tbl>
      <w:tblPr>
        <w:tblStyle w:val="8"/>
        <w:tblW w:w="90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073"/>
        <w:gridCol w:w="2568"/>
        <w:gridCol w:w="646"/>
        <w:gridCol w:w="1287"/>
        <w:gridCol w:w="2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序号</w:t>
            </w:r>
          </w:p>
        </w:tc>
        <w:tc>
          <w:tcPr>
            <w:tcW w:w="107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检测项目</w:t>
            </w:r>
          </w:p>
        </w:tc>
        <w:tc>
          <w:tcPr>
            <w:tcW w:w="256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合格指标</w:t>
            </w:r>
          </w:p>
        </w:tc>
        <w:tc>
          <w:tcPr>
            <w:tcW w:w="64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序号</w:t>
            </w:r>
          </w:p>
        </w:tc>
        <w:tc>
          <w:tcPr>
            <w:tcW w:w="128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检测项目</w:t>
            </w:r>
          </w:p>
        </w:tc>
        <w:tc>
          <w:tcPr>
            <w:tcW w:w="2782"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合格指标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w:t>
            </w:r>
          </w:p>
        </w:tc>
        <w:tc>
          <w:tcPr>
            <w:tcW w:w="107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表观检测</w:t>
            </w:r>
          </w:p>
        </w:tc>
        <w:tc>
          <w:tcPr>
            <w:tcW w:w="256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无固态物料聚集，无杂质</w:t>
            </w:r>
          </w:p>
        </w:tc>
        <w:tc>
          <w:tcPr>
            <w:tcW w:w="64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4</w:t>
            </w:r>
          </w:p>
        </w:tc>
        <w:tc>
          <w:tcPr>
            <w:tcW w:w="128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堆体积变形</w:t>
            </w:r>
          </w:p>
        </w:tc>
        <w:tc>
          <w:tcPr>
            <w:tcW w:w="2782"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10s内高度下降10mm～20mm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2</w:t>
            </w:r>
          </w:p>
        </w:tc>
        <w:tc>
          <w:tcPr>
            <w:tcW w:w="107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匀态性</w:t>
            </w:r>
          </w:p>
        </w:tc>
        <w:tc>
          <w:tcPr>
            <w:tcW w:w="256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60min内无树脂液分层</w:t>
            </w:r>
          </w:p>
        </w:tc>
        <w:tc>
          <w:tcPr>
            <w:tcW w:w="64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5</w:t>
            </w:r>
          </w:p>
        </w:tc>
        <w:tc>
          <w:tcPr>
            <w:tcW w:w="128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流挂性</w:t>
            </w:r>
          </w:p>
        </w:tc>
        <w:tc>
          <w:tcPr>
            <w:tcW w:w="2782"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60min内无流淌形变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3</w:t>
            </w:r>
          </w:p>
        </w:tc>
        <w:tc>
          <w:tcPr>
            <w:tcW w:w="107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表干时间</w:t>
            </w:r>
          </w:p>
        </w:tc>
        <w:tc>
          <w:tcPr>
            <w:tcW w:w="256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45min±15min</w:t>
            </w:r>
          </w:p>
        </w:tc>
        <w:tc>
          <w:tcPr>
            <w:tcW w:w="646"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6</w:t>
            </w:r>
          </w:p>
        </w:tc>
        <w:tc>
          <w:tcPr>
            <w:tcW w:w="128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鳞片含量</w:t>
            </w:r>
          </w:p>
        </w:tc>
        <w:tc>
          <w:tcPr>
            <w:tcW w:w="2782"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≥30％</w:t>
            </w:r>
          </w:p>
        </w:tc>
      </w:tr>
    </w:tbl>
    <w:p>
      <w:pPr>
        <w:spacing w:line="440" w:lineRule="atLeast"/>
        <w:jc w:val="center"/>
        <w:outlineLvl w:val="2"/>
        <w:rPr>
          <w:rFonts w:hint="eastAsia" w:ascii="宋体" w:hAnsi="宋体" w:eastAsia="宋体" w:cs="宋体"/>
          <w:b/>
          <w:kern w:val="2"/>
          <w:sz w:val="21"/>
          <w:szCs w:val="28"/>
          <w:lang w:val="en-US" w:eastAsia="zh-CN" w:bidi="ar-SA"/>
        </w:rPr>
      </w:pPr>
      <w:r>
        <w:rPr>
          <w:rFonts w:hint="eastAsia" w:ascii="宋体" w:hAnsi="宋体" w:eastAsia="宋体" w:cs="宋体"/>
          <w:b/>
          <w:kern w:val="2"/>
          <w:sz w:val="21"/>
          <w:szCs w:val="28"/>
          <w:lang w:val="en-US" w:eastAsia="zh-CN" w:bidi="ar-SA"/>
        </w:rPr>
        <w:t>表4  鳞片胶泥制成品物理性能</w:t>
      </w:r>
    </w:p>
    <w:tbl>
      <w:tblPr>
        <w:tblStyle w:val="8"/>
        <w:tblW w:w="90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2389"/>
        <w:gridCol w:w="2193"/>
        <w:gridCol w:w="3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序号</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21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项目</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单位</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b/>
                <w:bCs/>
                <w:sz w:val="18"/>
                <w:szCs w:val="18"/>
              </w:rPr>
            </w:pPr>
            <w:r>
              <w:rPr>
                <w:rFonts w:hint="eastAsia" w:ascii="宋体" w:hAnsi="宋体" w:eastAsia="宋体" w:cs="宋体"/>
                <w:b/>
                <w:bCs/>
                <w:sz w:val="18"/>
                <w:szCs w:val="18"/>
              </w:rPr>
              <w:t>乙烯基酯型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抗拉强度</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MPa</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2</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抗弯强度</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MPa</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3</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抗压强度</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MPa</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4</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冲击强度</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J/cm</w:t>
            </w:r>
            <w:r>
              <w:rPr>
                <w:rFonts w:hint="eastAsia" w:ascii="宋体" w:hAnsi="宋体" w:eastAsia="宋体" w:cs="宋体"/>
                <w:sz w:val="18"/>
                <w:szCs w:val="18"/>
                <w:vertAlign w:val="superscript"/>
              </w:rPr>
              <w:t>2</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≥0.41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5</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密度</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g/cm</w:t>
            </w:r>
            <w:r>
              <w:rPr>
                <w:rFonts w:hint="eastAsia" w:ascii="宋体" w:hAnsi="宋体" w:eastAsia="宋体" w:cs="宋体"/>
                <w:sz w:val="18"/>
                <w:szCs w:val="18"/>
                <w:vertAlign w:val="superscript"/>
              </w:rPr>
              <w:t>3</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6</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树脂含量</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55～65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7</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不可溶分含量</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8</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空隙率</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9</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巴氏硬度</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10</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线膨胀系数</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K</w:t>
            </w:r>
            <w:r>
              <w:rPr>
                <w:rFonts w:hint="eastAsia" w:ascii="宋体" w:hAnsi="宋体" w:eastAsia="宋体" w:cs="宋体"/>
                <w:sz w:val="18"/>
                <w:szCs w:val="18"/>
                <w:vertAlign w:val="superscript"/>
              </w:rPr>
              <w:t>-1</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≤1.04×10</w:t>
            </w:r>
            <w:r>
              <w:rPr>
                <w:rFonts w:hint="eastAsia" w:ascii="宋体" w:hAnsi="宋体" w:eastAsia="宋体" w:cs="宋体"/>
                <w:sz w:val="18"/>
                <w:szCs w:val="18"/>
                <w:vertAlign w:val="superscript"/>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11</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粘结强度（MPa）</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MPa</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5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12</w:t>
            </w:r>
          </w:p>
        </w:tc>
        <w:tc>
          <w:tcPr>
            <w:tcW w:w="2389"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抗渗性能（MPa）</w:t>
            </w:r>
          </w:p>
        </w:tc>
        <w:tc>
          <w:tcPr>
            <w:tcW w:w="219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MPa</w:t>
            </w:r>
          </w:p>
        </w:tc>
        <w:tc>
          <w:tcPr>
            <w:tcW w:w="3263"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440" w:lineRule="atLeast"/>
              <w:ind w:left="0" w:right="0"/>
              <w:jc w:val="center"/>
              <w:textAlignment w:val="auto"/>
              <w:outlineLvl w:val="9"/>
              <w:rPr>
                <w:rFonts w:hint="eastAsia" w:ascii="宋体" w:hAnsi="宋体" w:eastAsia="宋体" w:cs="宋体"/>
                <w:sz w:val="18"/>
                <w:szCs w:val="18"/>
              </w:rPr>
            </w:pPr>
            <w:r>
              <w:rPr>
                <w:rFonts w:hint="eastAsia" w:ascii="宋体" w:hAnsi="宋体" w:eastAsia="宋体" w:cs="宋体"/>
                <w:sz w:val="18"/>
                <w:szCs w:val="18"/>
              </w:rPr>
              <w:t>≥1.5</w:t>
            </w:r>
          </w:p>
        </w:tc>
      </w:tr>
    </w:tbl>
    <w:p>
      <w:pPr>
        <w:pStyle w:val="5"/>
        <w:rPr>
          <w:rFonts w:hint="eastAsia" w:ascii="宋体" w:hAnsi="宋体" w:eastAsia="宋体" w:cs="宋体"/>
          <w:b w:val="0"/>
          <w:bCs w:val="0"/>
          <w:lang w:val="en-US" w:eastAsia="zh-CN"/>
        </w:rPr>
      </w:pPr>
      <w:bookmarkStart w:id="17" w:name="_Toc6121"/>
      <w:r>
        <w:rPr>
          <w:rFonts w:hint="eastAsia" w:ascii="宋体" w:hAnsi="宋体" w:eastAsia="宋体" w:cs="宋体"/>
          <w:b w:val="0"/>
          <w:bCs w:val="0"/>
          <w:lang w:val="en-US" w:eastAsia="zh-CN"/>
        </w:rPr>
        <w:t>5.3凝胶试验</w:t>
      </w:r>
      <w:bookmarkEnd w:id="1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玻璃钢管道连接安装前必须对所用粘结材料树脂胶进行凝胶试验，确定其在特定温度、湿度和需要的凝胶时间情况下的树脂、促进剂、固化剂的配比(方)，原因在于粘结用树脂胶的凝胶时间因环境温度、湿度和树脂中加入的促进剂、固化剂比例的不同而不同，当需要的凝胶时间确定后，在不同的温度、湿度条件下，树脂胶有不同的树脂、促进剂、固化剂配比。</w:t>
      </w:r>
    </w:p>
    <w:p>
      <w:pPr>
        <w:pStyle w:val="5"/>
        <w:rPr>
          <w:rFonts w:hint="eastAsia" w:ascii="宋体" w:hAnsi="宋体" w:eastAsia="宋体" w:cs="宋体"/>
          <w:b w:val="0"/>
          <w:bCs w:val="0"/>
          <w:lang w:val="en-US" w:eastAsia="zh-CN"/>
        </w:rPr>
      </w:pPr>
      <w:bookmarkStart w:id="18" w:name="_Toc27491"/>
      <w:r>
        <w:rPr>
          <w:rFonts w:hint="eastAsia" w:ascii="宋体" w:hAnsi="宋体" w:eastAsia="宋体" w:cs="宋体"/>
          <w:b w:val="0"/>
          <w:bCs w:val="0"/>
          <w:lang w:val="en-US" w:eastAsia="zh-CN"/>
        </w:rPr>
        <w:t>5.4原材料配比</w:t>
      </w:r>
      <w:bookmarkEnd w:id="1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粘接材料在配置前，施工人员应根据当地的气温条件进行凝胶实验，确定树脂与引发剂、促进剂与触变剂的配比。凝胶时间控制在20-40分钟，以整个工作完成后30-60分钟固化为好。</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配置时，应先用秤称量或量杯准确量取材脂方加入钻盐用作促进剂，加入量约为树脂重量的1-4％，搅拌均匀。</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845" w:leftChars="0"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在樹脂将要使用时再加入过氧化甲乙酮用作引发剂，加入量约为树脂重量的1-4％同时为了防止树脂提前固化，应按需分多次配制。</w:t>
      </w:r>
    </w:p>
    <w:p>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845" w:hanging="425"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触变剂的用量根据操作要求的粘度而定，对大口径玻璃钢管粘接而言，降低树脂胶的流动性尤为重要。一般加入促进剂的树脂混合后，加入5％—6％重量的触变剂，触变剂可能吸收促进剂，使凝胶时间延长，这时可加入几滴二甲基苯胶。</w:t>
      </w:r>
    </w:p>
    <w:p>
      <w:pPr>
        <w:pStyle w:val="4"/>
        <w:numPr>
          <w:ilvl w:val="0"/>
          <w:numId w:val="1"/>
        </w:numPr>
        <w:rPr>
          <w:rFonts w:hint="eastAsia" w:ascii="宋体" w:hAnsi="宋体" w:eastAsia="宋体" w:cs="宋体"/>
          <w:sz w:val="32"/>
          <w:szCs w:val="32"/>
        </w:rPr>
      </w:pPr>
      <w:bookmarkStart w:id="19" w:name="_Toc17155"/>
      <w:r>
        <w:rPr>
          <w:rFonts w:hint="eastAsia" w:ascii="宋体" w:hAnsi="宋体" w:eastAsia="宋体" w:cs="宋体"/>
          <w:sz w:val="32"/>
          <w:szCs w:val="32"/>
        </w:rPr>
        <w:t>质量要求</w:t>
      </w:r>
      <w:bookmarkEnd w:id="19"/>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6.1第一步喷砂除锈，基体表面处理必须符合《HGJ229-1991工业设备、管道防腐蚀工程施工及验收规范》，除锈等级达到GB8923-98中的Sa2.5级，表面粗糙度为60-100μm；喷砂后进行清扫，采用真空方法充分除去灰尘、铁锈、氧化皮等杂质，喷砂除锈所采用的砂铁矿砂（非纯铁），粒径在0.5-1.5mm。</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6.2基体如需实施分步喷砂作业时，在已涂覆底漆未固化前，不得对邻近区域基体表面实施喷砂作业。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6.3底漆涂刷必须符合《HG/T2640-2004玻璃鳞片衬里施工技术条件》中的相关规定，底涂、第一道鳞片、第二道鳞片、面涂均有色差。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6.4施工料配制必须符合《HG/T2640-2004玻璃鳞片衬里施工技术条件》中的相关规定。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6.5第一道鳞片衬里涂抹及滚压必须符合《HG/T2640-2004玻璃鳞片衬里施工技术条件》中的相关规定，底涂、第一道鳞片、第二道鳞片、面涂均有色差。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6.6衬里中间修补必须符合《HG/T2640-2004玻璃鳞片衬里施工技术条件》中的相关规定。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6.7第二道鳞片衬里涂抹及滚压必须符合《HG/T2640-2004玻璃鳞片衬里施工技术条件》中的相关规定, 底涂、第一道鳞片、第二道鳞片、面涂均有色差。</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6.8衬里修补必须符合《HG/T2640-2004玻璃鳞片衬里施工技术条件》中的相关规定，且修补率应小于1%。</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6.9耐磨层、局部纤维增强必须符合《HG/T2640-2004玻璃鳞片衬里施工技术条件》中的相关规定，烟道气进口部分和喷淋区也须考虑。</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6.10设备接管防腐蚀衬里施工必须符合《HG/T2640-2004玻璃鳞片衬里施工技术条件》中的相关规定。</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6.11面漆涂刷必须符合《HG/T2640-2004玻璃鳞片衬里施工技术条件》中的相关规定。 </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6.12鳞片衬里施工完成后的固化养护期不得少于7d。固化养护期内不得在衬里表面进行任何施工作业或行走踏踩。</w:t>
      </w:r>
    </w:p>
    <w:p>
      <w:pPr>
        <w:pStyle w:val="4"/>
        <w:numPr>
          <w:ilvl w:val="0"/>
          <w:numId w:val="1"/>
        </w:numPr>
        <w:rPr>
          <w:rFonts w:hint="eastAsia" w:ascii="宋体" w:hAnsi="宋体" w:eastAsia="宋体" w:cs="宋体"/>
          <w:sz w:val="32"/>
          <w:szCs w:val="32"/>
        </w:rPr>
      </w:pPr>
      <w:bookmarkStart w:id="20" w:name="_Toc12842"/>
      <w:r>
        <w:rPr>
          <w:rFonts w:hint="eastAsia" w:ascii="宋体" w:hAnsi="宋体" w:eastAsia="宋体" w:cs="宋体"/>
          <w:sz w:val="32"/>
          <w:szCs w:val="32"/>
        </w:rPr>
        <w:t>安全健康环保要求</w:t>
      </w:r>
      <w:bookmarkEnd w:id="20"/>
    </w:p>
    <w:p>
      <w:pPr>
        <w:keepNext w:val="0"/>
        <w:keepLines w:val="0"/>
        <w:pageBreakBefore w:val="0"/>
        <w:widowControl w:val="0"/>
        <w:kinsoku/>
        <w:wordWrap/>
        <w:overflowPunct/>
        <w:topLinePunct w:val="0"/>
        <w:autoSpaceDE/>
        <w:autoSpaceDN/>
        <w:bidi w:val="0"/>
        <w:adjustRightInd/>
        <w:snapToGrid/>
        <w:spacing w:line="360" w:lineRule="auto"/>
        <w:ind w:left="2" w:leftChars="1" w:firstLine="480" w:firstLineChars="200"/>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乙方必须保证施工期间遵照甲方现场安全、文明施工及环境保护的要求。如乙方现场安全、文明施工措施不能满足甲方现场健康、安全、保卫、环境管理要求，甲方将按照现有相关安全、保卫、生产、环保、环境文件及制度执行，严重时甲方有权责令其停工或退场。</w:t>
      </w:r>
    </w:p>
    <w:p>
      <w:pPr>
        <w:rPr>
          <w:rFonts w:hint="eastAsia" w:ascii="宋体" w:hAnsi="宋体" w:eastAsia="宋体" w:cs="宋体"/>
        </w:rPr>
      </w:pPr>
    </w:p>
    <w:p>
      <w:pPr>
        <w:pStyle w:val="4"/>
        <w:numPr>
          <w:ilvl w:val="0"/>
          <w:numId w:val="1"/>
        </w:numPr>
        <w:rPr>
          <w:rFonts w:hint="eastAsia" w:ascii="宋体" w:hAnsi="宋体" w:eastAsia="宋体" w:cs="宋体"/>
          <w:sz w:val="32"/>
          <w:szCs w:val="32"/>
        </w:rPr>
      </w:pPr>
      <w:bookmarkStart w:id="21" w:name="_Toc32268"/>
      <w:r>
        <w:rPr>
          <w:rFonts w:hint="eastAsia" w:ascii="宋体" w:hAnsi="宋体" w:eastAsia="宋体" w:cs="宋体"/>
          <w:sz w:val="32"/>
          <w:szCs w:val="32"/>
        </w:rPr>
        <w:t>现场管理要求</w:t>
      </w:r>
      <w:bookmarkEnd w:id="21"/>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8.1乙方施工临水、临电接入点经甲方审批，指定具体位置，乙方负责引入，施工完毕后，临时设施应立即拆除，所发生费用由乙方承担。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8.2因施工需要，乙方必须在指定的区域内搭建临时围挡，所发生费用由乙方承担。</w:t>
      </w:r>
    </w:p>
    <w:p>
      <w:pPr>
        <w:keepNext w:val="0"/>
        <w:keepLines w:val="0"/>
        <w:pageBreakBefore w:val="0"/>
        <w:widowControl w:val="0"/>
        <w:kinsoku/>
        <w:wordWrap/>
        <w:overflowPunct/>
        <w:topLinePunct w:val="0"/>
        <w:autoSpaceDE/>
        <w:autoSpaceDN/>
        <w:bidi w:val="0"/>
        <w:adjustRightInd/>
        <w:snapToGrid/>
        <w:spacing w:line="360" w:lineRule="auto"/>
        <w:ind w:firstLine="0" w:firstLineChars="0"/>
        <w:textAlignment w:val="auto"/>
        <w:outlineLvl w:val="2"/>
        <w:rPr>
          <w:rFonts w:hint="eastAsia" w:ascii="宋体" w:hAnsi="宋体" w:eastAsia="宋体" w:cs="宋体"/>
        </w:rPr>
      </w:pPr>
      <w:r>
        <w:rPr>
          <w:rFonts w:hint="eastAsia" w:ascii="宋体" w:hAnsi="宋体" w:eastAsia="宋体" w:cs="宋体"/>
          <w:sz w:val="24"/>
          <w:szCs w:val="24"/>
          <w:lang w:val="en-US" w:eastAsia="zh-CN"/>
        </w:rPr>
        <w:t>8.3已完工工程经甲方、乙方验收合格后，移交给甲方。</w:t>
      </w:r>
    </w:p>
    <w:p>
      <w:pPr>
        <w:pStyle w:val="4"/>
        <w:numPr>
          <w:ilvl w:val="0"/>
          <w:numId w:val="1"/>
        </w:numPr>
        <w:rPr>
          <w:rFonts w:hint="eastAsia" w:ascii="宋体" w:hAnsi="宋体" w:eastAsia="宋体" w:cs="宋体"/>
          <w:sz w:val="32"/>
          <w:szCs w:val="32"/>
        </w:rPr>
      </w:pPr>
      <w:bookmarkStart w:id="22" w:name="_Toc7183"/>
      <w:r>
        <w:rPr>
          <w:rFonts w:hint="eastAsia" w:ascii="宋体" w:hAnsi="宋体" w:eastAsia="宋体" w:cs="宋体"/>
          <w:sz w:val="32"/>
          <w:szCs w:val="32"/>
        </w:rPr>
        <w:t>过程管控及验收</w:t>
      </w:r>
      <w:bookmarkEnd w:id="22"/>
    </w:p>
    <w:p>
      <w:pPr>
        <w:pStyle w:val="5"/>
        <w:rPr>
          <w:rFonts w:hint="eastAsia" w:ascii="宋体" w:hAnsi="宋体" w:eastAsia="宋体" w:cs="宋体"/>
          <w:b w:val="0"/>
          <w:bCs w:val="0"/>
        </w:rPr>
      </w:pPr>
      <w:bookmarkStart w:id="23" w:name="_Toc5115"/>
      <w:r>
        <w:rPr>
          <w:rFonts w:hint="eastAsia" w:ascii="宋体" w:hAnsi="宋体" w:eastAsia="宋体" w:cs="宋体"/>
          <w:b w:val="0"/>
          <w:bCs w:val="0"/>
          <w:lang w:val="en-US" w:eastAsia="zh-CN"/>
        </w:rPr>
        <w:t>9.1</w:t>
      </w:r>
      <w:r>
        <w:rPr>
          <w:rFonts w:hint="eastAsia" w:ascii="宋体" w:hAnsi="宋体" w:eastAsia="宋体" w:cs="宋体"/>
          <w:b w:val="0"/>
          <w:bCs w:val="0"/>
        </w:rPr>
        <w:t>过程管控要求</w:t>
      </w:r>
      <w:bookmarkEnd w:id="2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鳞片衬里施工质量检测须按施工工序进行，检验工序、要求及方法见表5</w:t>
      </w:r>
    </w:p>
    <w:p>
      <w:pPr>
        <w:spacing w:line="360" w:lineRule="auto"/>
        <w:jc w:val="center"/>
        <w:outlineLvl w:val="2"/>
        <w:rPr>
          <w:rFonts w:hint="eastAsia" w:ascii="宋体" w:hAnsi="宋体" w:eastAsia="宋体" w:cs="宋体"/>
          <w:sz w:val="24"/>
        </w:rPr>
      </w:pPr>
      <w:r>
        <w:rPr>
          <w:rFonts w:hint="eastAsia" w:ascii="宋体" w:hAnsi="宋体" w:eastAsia="宋体" w:cs="宋体"/>
          <w:b/>
          <w:bCs/>
          <w:sz w:val="21"/>
          <w:szCs w:val="21"/>
        </w:rPr>
        <w:t>表</w:t>
      </w:r>
      <w:r>
        <w:rPr>
          <w:rFonts w:hint="eastAsia" w:ascii="宋体" w:hAnsi="宋体" w:eastAsia="宋体" w:cs="宋体"/>
          <w:b/>
          <w:bCs/>
          <w:sz w:val="21"/>
          <w:szCs w:val="21"/>
          <w:lang w:val="en-US" w:eastAsia="zh-CN"/>
        </w:rPr>
        <w:t>5</w:t>
      </w:r>
      <w:r>
        <w:rPr>
          <w:rFonts w:hint="eastAsia" w:ascii="宋体" w:hAnsi="宋体" w:eastAsia="宋体" w:cs="宋体"/>
          <w:b/>
          <w:bCs/>
          <w:sz w:val="21"/>
          <w:szCs w:val="21"/>
        </w:rPr>
        <w:t xml:space="preserve">  鳞片衬里施工质量检测表</w:t>
      </w:r>
    </w:p>
    <w:tbl>
      <w:tblPr>
        <w:tblStyle w:val="8"/>
        <w:tblW w:w="966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337"/>
        <w:gridCol w:w="2674"/>
        <w:gridCol w:w="3238"/>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86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序号</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工序</w:t>
            </w:r>
          </w:p>
        </w:tc>
        <w:tc>
          <w:tcPr>
            <w:tcW w:w="267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项目</w:t>
            </w:r>
          </w:p>
        </w:tc>
        <w:tc>
          <w:tcPr>
            <w:tcW w:w="323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要求</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3" w:hRule="atLeast"/>
        </w:trPr>
        <w:tc>
          <w:tcPr>
            <w:tcW w:w="86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1</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表面处理</w:t>
            </w:r>
          </w:p>
        </w:tc>
        <w:tc>
          <w:tcPr>
            <w:tcW w:w="267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lang w:eastAsia="zh-CN"/>
              </w:rPr>
            </w:pPr>
            <w:r>
              <w:rPr>
                <w:rFonts w:hint="eastAsia" w:ascii="宋体" w:hAnsi="宋体" w:eastAsia="宋体" w:cs="宋体"/>
                <w:sz w:val="18"/>
                <w:szCs w:val="18"/>
                <w:lang w:eastAsia="zh-CN"/>
              </w:rPr>
              <w:t>喷砂除锈</w:t>
            </w:r>
          </w:p>
        </w:tc>
        <w:tc>
          <w:tcPr>
            <w:tcW w:w="323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除锈等级达到GB8923-98中的Sa</w:t>
            </w:r>
            <w:r>
              <w:rPr>
                <w:rFonts w:hint="eastAsia" w:ascii="宋体" w:hAnsi="宋体" w:eastAsia="宋体" w:cs="宋体"/>
                <w:sz w:val="18"/>
                <w:szCs w:val="18"/>
                <w:lang w:val="en-US" w:eastAsia="zh-CN"/>
              </w:rPr>
              <w:t>2</w:t>
            </w:r>
            <w:r>
              <w:rPr>
                <w:rFonts w:hint="eastAsia" w:ascii="宋体" w:hAnsi="宋体" w:eastAsia="宋体" w:cs="宋体"/>
                <w:sz w:val="18"/>
                <w:szCs w:val="18"/>
                <w:lang w:eastAsia="zh-CN"/>
              </w:rPr>
              <w:t>.</w:t>
            </w:r>
            <w:r>
              <w:rPr>
                <w:rFonts w:hint="eastAsia" w:ascii="宋体" w:hAnsi="宋体" w:eastAsia="宋体" w:cs="宋体"/>
                <w:sz w:val="18"/>
                <w:szCs w:val="18"/>
              </w:rPr>
              <w:t>5级，表面粗糙度为</w:t>
            </w:r>
            <w:r>
              <w:rPr>
                <w:rFonts w:hint="eastAsia" w:ascii="宋体" w:hAnsi="宋体" w:eastAsia="宋体" w:cs="宋体"/>
                <w:sz w:val="18"/>
                <w:szCs w:val="18"/>
                <w:highlight w:val="none"/>
              </w:rPr>
              <w:t>60-100</w:t>
            </w:r>
            <w:r>
              <w:rPr>
                <w:rFonts w:hint="eastAsia" w:ascii="宋体" w:hAnsi="宋体" w:eastAsia="宋体" w:cs="宋体"/>
                <w:sz w:val="18"/>
                <w:szCs w:val="18"/>
              </w:rPr>
              <w:t>μm</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03" w:hRule="atLeast"/>
        </w:trPr>
        <w:tc>
          <w:tcPr>
            <w:tcW w:w="86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2</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底漆</w:t>
            </w:r>
          </w:p>
        </w:tc>
        <w:tc>
          <w:tcPr>
            <w:tcW w:w="267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底漆配制</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涂刷质量</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涂刷次数</w:t>
            </w:r>
          </w:p>
        </w:tc>
        <w:tc>
          <w:tcPr>
            <w:tcW w:w="323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均匀无漏涂、杂物、流淌痕</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highlight w:val="none"/>
              </w:rPr>
              <w:t>两道底漆相互垂直涂刷（只需涂一道的除外）</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 w:hRule="atLeast"/>
        </w:trPr>
        <w:tc>
          <w:tcPr>
            <w:tcW w:w="86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3</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鳞片衬里</w:t>
            </w:r>
          </w:p>
        </w:tc>
        <w:tc>
          <w:tcPr>
            <w:tcW w:w="267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施工料配制</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施工厚度检测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针孔检测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衬层表观质量</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表面夹杂物、流淌痕</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局部固化不足</w:t>
            </w:r>
          </w:p>
        </w:tc>
        <w:tc>
          <w:tcPr>
            <w:tcW w:w="323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每道衬层厚度为1mm×道数，偏差为-0.2mm</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衬层检测起始电压6000V，每道衬层检测电压增幅6000V</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衬里表面致密均匀无漏滚、漏涂</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衬层表面无夹杂物、流淌痕</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衬层表面无局部固化不足</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测厚仪</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电火花检测仪</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触手检测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 w:hRule="atLeast"/>
        </w:trPr>
        <w:tc>
          <w:tcPr>
            <w:tcW w:w="86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4</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修补</w:t>
            </w:r>
          </w:p>
        </w:tc>
        <w:tc>
          <w:tcPr>
            <w:tcW w:w="267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端面与基体的打磨夹角</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修补后检测</w:t>
            </w:r>
          </w:p>
        </w:tc>
        <w:tc>
          <w:tcPr>
            <w:tcW w:w="323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夹角15゜～25゜</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同序号3的内容</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角尺测定</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同序号3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80" w:hRule="atLeast"/>
        </w:trPr>
        <w:tc>
          <w:tcPr>
            <w:tcW w:w="86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5</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局部纤维补强</w:t>
            </w:r>
          </w:p>
        </w:tc>
        <w:tc>
          <w:tcPr>
            <w:tcW w:w="267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涂衬工序</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涂衬区域</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外观质量</w:t>
            </w:r>
          </w:p>
        </w:tc>
        <w:tc>
          <w:tcPr>
            <w:tcW w:w="323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无缺胶、毛边、气泡及流淌痕</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同序号3</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3" w:hRule="atLeast"/>
        </w:trPr>
        <w:tc>
          <w:tcPr>
            <w:tcW w:w="86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lang w:eastAsia="zh-CN"/>
              </w:rPr>
            </w:pPr>
            <w:r>
              <w:rPr>
                <w:rFonts w:hint="eastAsia" w:ascii="宋体" w:hAnsi="宋体" w:eastAsia="宋体" w:cs="宋体"/>
                <w:sz w:val="18"/>
                <w:szCs w:val="18"/>
                <w:lang w:val="en-US" w:eastAsia="zh-CN"/>
              </w:rPr>
              <w:t>6</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面漆</w:t>
            </w:r>
          </w:p>
        </w:tc>
        <w:tc>
          <w:tcPr>
            <w:tcW w:w="267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面漆配制</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涂刷质量</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涂刷次数</w:t>
            </w:r>
          </w:p>
        </w:tc>
        <w:tc>
          <w:tcPr>
            <w:tcW w:w="323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均匀无漏涂、杂物、流淌痕</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highlight w:val="none"/>
              </w:rPr>
              <w:t>两道面漆（有FRP增强部位）相互垂直涂刷（只需涂一道的除外）</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3" w:hRule="atLeast"/>
        </w:trPr>
        <w:tc>
          <w:tcPr>
            <w:tcW w:w="86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7</w:t>
            </w:r>
          </w:p>
        </w:tc>
        <w:tc>
          <w:tcPr>
            <w:tcW w:w="133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FRP加强层</w:t>
            </w:r>
          </w:p>
        </w:tc>
        <w:tc>
          <w:tcPr>
            <w:tcW w:w="2674"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涂衬工序</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涂衬区域</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外观质量</w:t>
            </w:r>
          </w:p>
        </w:tc>
        <w:tc>
          <w:tcPr>
            <w:tcW w:w="3238"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highlight w:val="none"/>
              </w:rPr>
            </w:pPr>
            <w:r>
              <w:rPr>
                <w:rFonts w:hint="eastAsia" w:ascii="宋体" w:hAnsi="宋体" w:eastAsia="宋体" w:cs="宋体"/>
                <w:sz w:val="18"/>
                <w:szCs w:val="18"/>
              </w:rPr>
              <w:t>无缺胶、毛边、气泡及流淌痕</w:t>
            </w:r>
          </w:p>
        </w:tc>
        <w:tc>
          <w:tcPr>
            <w:tcW w:w="1547" w:type="dxa"/>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同序号3</w:t>
            </w:r>
          </w:p>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jc w:val="center"/>
              <w:textAlignment w:val="auto"/>
              <w:outlineLvl w:val="2"/>
              <w:rPr>
                <w:rFonts w:hint="eastAsia" w:ascii="宋体" w:hAnsi="宋体" w:eastAsia="宋体" w:cs="宋体"/>
                <w:sz w:val="18"/>
                <w:szCs w:val="18"/>
              </w:rPr>
            </w:pPr>
            <w:r>
              <w:rPr>
                <w:rFonts w:hint="eastAsia" w:ascii="宋体" w:hAnsi="宋体" w:eastAsia="宋体" w:cs="宋体"/>
                <w:sz w:val="18"/>
                <w:szCs w:val="18"/>
              </w:rPr>
              <w:t>目测</w:t>
            </w:r>
          </w:p>
        </w:tc>
      </w:tr>
    </w:tbl>
    <w:p>
      <w:pPr>
        <w:pStyle w:val="5"/>
        <w:rPr>
          <w:rFonts w:hint="eastAsia" w:ascii="宋体" w:hAnsi="宋体" w:eastAsia="宋体" w:cs="宋体"/>
          <w:b w:val="0"/>
          <w:bCs w:val="0"/>
          <w:lang w:val="en-US" w:eastAsia="zh-CN"/>
        </w:rPr>
      </w:pPr>
      <w:bookmarkStart w:id="24" w:name="_Toc29064"/>
      <w:r>
        <w:rPr>
          <w:rFonts w:hint="eastAsia" w:ascii="宋体" w:hAnsi="宋体" w:eastAsia="宋体" w:cs="宋体"/>
          <w:b w:val="0"/>
          <w:bCs w:val="0"/>
          <w:lang w:val="en-US" w:eastAsia="zh-CN"/>
        </w:rPr>
        <w:t>9.2防腐</w:t>
      </w:r>
      <w:r>
        <w:rPr>
          <w:rFonts w:hint="eastAsia" w:ascii="宋体" w:hAnsi="宋体" w:eastAsia="宋体" w:cs="宋体"/>
          <w:b w:val="0"/>
          <w:bCs w:val="0"/>
        </w:rPr>
        <w:t>验收标准</w:t>
      </w:r>
      <w:bookmarkEnd w:id="24"/>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首先通过目测方法检玻璃片胶泥外观:要求防席层表面整体均匀、平整，无漏涂，无特別明显的不均匀状况</w:t>
      </w:r>
      <w:r>
        <w:rPr>
          <w:rFonts w:hint="eastAsia" w:ascii="宋体" w:hAnsi="宋体" w:eastAsia="宋体" w:cs="宋体"/>
          <w:sz w:val="24"/>
          <w:szCs w:val="24"/>
          <w:lang w:eastAsia="zh-CN"/>
        </w:rPr>
        <w:t>。</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锤击检</w:t>
      </w:r>
      <w:r>
        <w:rPr>
          <w:rFonts w:hint="eastAsia" w:ascii="宋体" w:hAnsi="宋体" w:eastAsia="宋体" w:cs="宋体"/>
          <w:sz w:val="24"/>
          <w:szCs w:val="24"/>
          <w:lang w:val="en-US" w:eastAsia="zh-CN"/>
        </w:rPr>
        <w:t>查</w:t>
      </w:r>
      <w:r>
        <w:rPr>
          <w:rFonts w:hint="eastAsia" w:ascii="宋体" w:hAnsi="宋体" w:eastAsia="宋体" w:cs="宋体"/>
          <w:sz w:val="24"/>
          <w:szCs w:val="24"/>
        </w:rPr>
        <w:t>:用木锤轻击涂层表面，任意取点测试，不应有不正常声音。</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硬度:常用巴柯尔硬度来检测，</w:t>
      </w:r>
      <w:r>
        <w:rPr>
          <w:rFonts w:hint="eastAsia" w:ascii="宋体" w:hAnsi="宋体" w:eastAsia="宋体" w:cs="宋体"/>
          <w:sz w:val="24"/>
          <w:szCs w:val="24"/>
          <w:lang w:val="en-US" w:eastAsia="zh-CN"/>
        </w:rPr>
        <w:t>一</w:t>
      </w:r>
      <w:r>
        <w:rPr>
          <w:rFonts w:hint="eastAsia" w:ascii="宋体" w:hAnsi="宋体" w:eastAsia="宋体" w:cs="宋体"/>
          <w:sz w:val="24"/>
          <w:szCs w:val="24"/>
        </w:rPr>
        <w:t>般要求表面的硬度值不低于材料性能指标提供值的90％。</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玻璃鳞片防腐</w:t>
      </w:r>
      <w:r>
        <w:rPr>
          <w:rFonts w:hint="eastAsia" w:ascii="宋体" w:hAnsi="宋体" w:eastAsia="宋体" w:cs="宋体"/>
          <w:sz w:val="24"/>
          <w:szCs w:val="24"/>
        </w:rPr>
        <w:t>层厚度检測:通过电磁厚仪进行厚度检测，根据设计厚度要求进行检测，每平方米测3个点，要求达到衬里设计厚度的要求，当厚度达不到要求时再涂抹一层鳞片胶泥，达到设计厚度的要求，并通过厚度检测合格后为止。</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电火花检测针孔测试:通过电火花检测仪对防腐层进行100％全面针孔检测，当发现存在针孔时要进行修补直至通过电火花检测合格为止</w:t>
      </w:r>
      <w:r>
        <w:rPr>
          <w:rFonts w:hint="eastAsia" w:ascii="宋体" w:hAnsi="宋体" w:eastAsia="宋体" w:cs="宋体"/>
          <w:sz w:val="24"/>
          <w:szCs w:val="24"/>
          <w:lang w:eastAsia="zh-CN"/>
        </w:rPr>
        <w:t>。</w:t>
      </w:r>
      <w:r>
        <w:rPr>
          <w:rFonts w:hint="eastAsia" w:ascii="宋体" w:hAnsi="宋体" w:eastAsia="宋体" w:cs="宋体"/>
          <w:sz w:val="24"/>
          <w:szCs w:val="24"/>
        </w:rPr>
        <w:t>修补过程为:表面处理(通过打磨来完成，即对不合格部位打磨至底层</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鳞片</w:t>
      </w:r>
      <w:r>
        <w:rPr>
          <w:rFonts w:hint="eastAsia" w:ascii="宋体" w:hAnsi="宋体" w:eastAsia="宋体" w:cs="宋体"/>
          <w:sz w:val="24"/>
          <w:szCs w:val="24"/>
        </w:rPr>
        <w:t>胶泥涂抹</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检测</w:t>
      </w:r>
      <w:r>
        <w:rPr>
          <w:rFonts w:hint="eastAsia" w:ascii="宋体" w:hAnsi="宋体" w:eastAsia="宋体" w:cs="宋体"/>
          <w:sz w:val="24"/>
          <w:szCs w:val="24"/>
        </w:rPr>
        <w:t>。电火花检测的电压为</w:t>
      </w:r>
      <w:r>
        <w:rPr>
          <w:rFonts w:hint="eastAsia" w:ascii="宋体" w:hAnsi="宋体" w:eastAsia="宋体" w:cs="宋体"/>
          <w:sz w:val="24"/>
          <w:szCs w:val="24"/>
          <w:lang w:val="en-US" w:eastAsia="zh-CN"/>
        </w:rPr>
        <w:t>6</w:t>
      </w:r>
      <w:r>
        <w:rPr>
          <w:rFonts w:hint="eastAsia" w:ascii="宋体" w:hAnsi="宋体" w:eastAsia="宋体" w:cs="宋体"/>
          <w:sz w:val="24"/>
          <w:szCs w:val="24"/>
        </w:rPr>
        <w:t>000V。(每増加1mm检测电压增加3000V)</w:t>
      </w:r>
    </w:p>
    <w:p>
      <w:pPr>
        <w:pStyle w:val="5"/>
        <w:rPr>
          <w:rFonts w:hint="eastAsia" w:ascii="宋体" w:hAnsi="宋体" w:eastAsia="宋体" w:cs="宋体"/>
          <w:b w:val="0"/>
          <w:bCs w:val="0"/>
          <w:lang w:val="en-US" w:eastAsia="zh-CN"/>
        </w:rPr>
      </w:pPr>
      <w:bookmarkStart w:id="25" w:name="_Toc5983"/>
      <w:r>
        <w:rPr>
          <w:rFonts w:hint="eastAsia" w:ascii="宋体" w:hAnsi="宋体" w:eastAsia="宋体" w:cs="宋体"/>
          <w:b w:val="0"/>
          <w:bCs w:val="0"/>
          <w:lang w:val="en-US" w:eastAsia="zh-CN"/>
        </w:rPr>
        <w:t>9.3玻璃钢管线粘接验收标准</w:t>
      </w:r>
      <w:bookmarkEnd w:id="25"/>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外观检查</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DN300mm以下的管道粘接宽度≥200mm，公称直径300≤DN≤500的管道粘接宽度为L=DN-100mm。管道</w:t>
      </w:r>
      <w:r>
        <w:rPr>
          <w:rFonts w:hint="eastAsia" w:ascii="宋体" w:hAnsi="宋体" w:eastAsia="宋体" w:cs="宋体"/>
          <w:sz w:val="24"/>
          <w:szCs w:val="24"/>
          <w:lang w:eastAsia="zh-CN"/>
        </w:rPr>
        <w:t>漏点粘接完毕后，外观平滑，没有气泡鼓包的地方，没有毛边，</w:t>
      </w:r>
      <w:r>
        <w:rPr>
          <w:rFonts w:hint="eastAsia" w:ascii="宋体" w:hAnsi="宋体" w:eastAsia="宋体" w:cs="宋体"/>
          <w:sz w:val="24"/>
          <w:szCs w:val="24"/>
          <w:lang w:val="en-US" w:eastAsia="zh-CN"/>
        </w:rPr>
        <w:t>敲击接头表面不应发出空响声，缠绕层应密实。树脂胶不得出现不固化或有塑性的情况；</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val="en-US"/>
        </w:rPr>
        <w:drawing>
          <wp:anchor distT="0" distB="0" distL="114300" distR="114300" simplePos="0" relativeHeight="251666432" behindDoc="1" locked="1" layoutInCell="1" allowOverlap="1">
            <wp:simplePos x="0" y="0"/>
            <wp:positionH relativeFrom="column">
              <wp:posOffset>3975100</wp:posOffset>
            </wp:positionH>
            <wp:positionV relativeFrom="paragraph">
              <wp:posOffset>9448800</wp:posOffset>
            </wp:positionV>
            <wp:extent cx="838200" cy="825500"/>
            <wp:effectExtent l="0" t="0" r="0" b="12700"/>
            <wp:wrapNone/>
            <wp:docPr id="2" name="图片 11" descr="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66"/>
                    <pic:cNvPicPr>
                      <a:picLocks noChangeAspect="1"/>
                    </pic:cNvPicPr>
                  </pic:nvPicPr>
                  <pic:blipFill>
                    <a:blip r:embed="rId4"/>
                    <a:stretch>
                      <a:fillRect/>
                    </a:stretch>
                  </pic:blipFill>
                  <pic:spPr>
                    <a:xfrm>
                      <a:off x="0" y="0"/>
                      <a:ext cx="838200" cy="825500"/>
                    </a:xfrm>
                    <a:prstGeom prst="rect">
                      <a:avLst/>
                    </a:prstGeom>
                    <a:noFill/>
                    <a:ln w="9525">
                      <a:noFill/>
                    </a:ln>
                  </pic:spPr>
                </pic:pic>
              </a:graphicData>
            </a:graphic>
          </wp:anchor>
        </w:drawing>
      </w:r>
      <w:r>
        <w:rPr>
          <w:rFonts w:hint="eastAsia" w:ascii="宋体" w:hAnsi="宋体" w:eastAsia="宋体" w:cs="宋体"/>
          <w:sz w:val="24"/>
          <w:szCs w:val="24"/>
          <w:lang w:eastAsia="zh-CN"/>
        </w:rPr>
        <w:t>固化完毕后，漏点位置管道硬度要大于或等于原管道硬度；</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lang w:val="en-US" w:eastAsia="zh-CN"/>
        </w:rPr>
      </w:pPr>
      <w:r>
        <w:rPr>
          <w:rFonts w:hint="eastAsia" w:ascii="宋体" w:hAnsi="宋体" w:eastAsia="宋体" w:cs="宋体"/>
          <w:sz w:val="24"/>
          <w:szCs w:val="24"/>
          <w:lang w:val="en-US" w:eastAsia="zh-CN"/>
        </w:rPr>
        <w:t>粘接完毕完全固化后进行打压试验，打压至管道工作压力，观察30分钟，以压力不降、无渗漏为合格</w:t>
      </w:r>
      <w:r>
        <w:rPr>
          <w:rFonts w:hint="eastAsia" w:ascii="宋体" w:hAnsi="宋体" w:eastAsia="宋体" w:cs="宋体"/>
          <w:sz w:val="24"/>
          <w:szCs w:val="24"/>
        </w:rPr>
        <w:t>。如发现有漏点，泄压后对漏点进行修补，修补合格</w:t>
      </w:r>
      <w:r>
        <w:rPr>
          <w:rFonts w:hint="eastAsia" w:ascii="宋体" w:hAnsi="宋体" w:eastAsia="宋体" w:cs="宋体"/>
          <w:sz w:val="24"/>
          <w:szCs w:val="24"/>
          <w:lang w:eastAsia="zh-CN"/>
        </w:rPr>
        <w:t>固化完毕</w:t>
      </w:r>
      <w:r>
        <w:rPr>
          <w:rFonts w:hint="eastAsia" w:ascii="宋体" w:hAnsi="宋体" w:eastAsia="宋体" w:cs="宋体"/>
          <w:sz w:val="24"/>
          <w:szCs w:val="24"/>
        </w:rPr>
        <w:t>后，再次进行试压，</w:t>
      </w:r>
      <w:r>
        <w:rPr>
          <w:rFonts w:hint="eastAsia" w:ascii="宋体" w:hAnsi="宋体" w:eastAsia="宋体" w:cs="宋体"/>
          <w:sz w:val="24"/>
          <w:szCs w:val="24"/>
          <w:lang w:eastAsia="zh-CN"/>
        </w:rPr>
        <w:t>如试压两次不合格，对施工单位进行考核。</w:t>
      </w:r>
      <w:r>
        <w:rPr>
          <w:rFonts w:hint="eastAsia" w:ascii="宋体" w:hAnsi="宋体" w:eastAsia="宋体" w:cs="宋体"/>
          <w:sz w:val="24"/>
          <w:szCs w:val="24"/>
          <w:lang w:val="en-US" w:eastAsia="zh-CN"/>
        </w:rPr>
        <w:t>因施工方工艺、技术原因造成打压不合格，同一位置粘接费用不重复计算。</w:t>
      </w:r>
    </w:p>
    <w:p>
      <w:pPr>
        <w:pStyle w:val="4"/>
        <w:numPr>
          <w:ilvl w:val="0"/>
          <w:numId w:val="1"/>
        </w:numPr>
        <w:rPr>
          <w:rFonts w:hint="eastAsia" w:ascii="宋体" w:hAnsi="宋体" w:eastAsia="宋体" w:cs="宋体"/>
          <w:sz w:val="32"/>
          <w:szCs w:val="32"/>
        </w:rPr>
      </w:pPr>
      <w:bookmarkStart w:id="26" w:name="_Toc32530"/>
      <w:r>
        <w:rPr>
          <w:rFonts w:hint="eastAsia" w:ascii="宋体" w:hAnsi="宋体" w:eastAsia="宋体" w:cs="宋体"/>
          <w:sz w:val="32"/>
          <w:szCs w:val="32"/>
        </w:rPr>
        <w:t>人员要求</w:t>
      </w:r>
      <w:bookmarkEnd w:id="26"/>
    </w:p>
    <w:p>
      <w:pPr>
        <w:pStyle w:val="5"/>
        <w:rPr>
          <w:rFonts w:hint="eastAsia" w:ascii="宋体" w:hAnsi="宋体" w:eastAsia="宋体" w:cs="宋体"/>
          <w:b w:val="0"/>
          <w:bCs w:val="0"/>
          <w:lang w:val="en-US" w:eastAsia="zh-CN"/>
        </w:rPr>
      </w:pPr>
      <w:bookmarkStart w:id="27" w:name="_Toc15939"/>
      <w:r>
        <w:rPr>
          <w:rFonts w:hint="eastAsia" w:ascii="宋体" w:hAnsi="宋体" w:eastAsia="宋体" w:cs="宋体"/>
          <w:b w:val="0"/>
          <w:bCs w:val="0"/>
          <w:lang w:val="en-US" w:eastAsia="zh-CN"/>
        </w:rPr>
        <w:t>10.1施工组织</w:t>
      </w:r>
      <w:bookmarkEnd w:id="27"/>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施工时间安排合理，不影响装置计划开车时间，保证安全施工、文明施工措施合理。</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施工组织机构设置全面，质量安全管理体系健全，安全事故应急预案完善，劳动力配备合理。</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施工方案重点、难点突出，措施有针对性，施工组织科学合理。对</w:t>
      </w:r>
      <w:r>
        <w:rPr>
          <w:rFonts w:hint="eastAsia" w:ascii="宋体" w:hAnsi="宋体" w:eastAsia="宋体" w:cs="宋体"/>
          <w:sz w:val="24"/>
          <w:szCs w:val="24"/>
          <w:lang w:eastAsia="zh-CN"/>
        </w:rPr>
        <w:t>施工</w:t>
      </w:r>
      <w:r>
        <w:rPr>
          <w:rFonts w:hint="eastAsia" w:ascii="宋体" w:hAnsi="宋体" w:eastAsia="宋体" w:cs="宋体"/>
          <w:sz w:val="24"/>
          <w:szCs w:val="24"/>
        </w:rPr>
        <w:t>难度大的设备及管道制定针对性的方案措施。</w:t>
      </w:r>
    </w:p>
    <w:p>
      <w:pPr>
        <w:keepNext w:val="0"/>
        <w:keepLines w:val="0"/>
        <w:pageBreakBefore w:val="0"/>
        <w:widowControl w:val="0"/>
        <w:numPr>
          <w:ilvl w:val="0"/>
          <w:numId w:val="11"/>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乙方完成的工程必须符合本项目的健康、安全、保卫、环境政策和其它管理程序。乙方负责管理现场施工作业人员必须遵守甲方现场相关规定。</w:t>
      </w:r>
    </w:p>
    <w:p>
      <w:pPr>
        <w:pStyle w:val="5"/>
        <w:rPr>
          <w:rFonts w:hint="eastAsia" w:ascii="宋体" w:hAnsi="宋体" w:eastAsia="宋体" w:cs="宋体"/>
          <w:b w:val="0"/>
          <w:bCs w:val="0"/>
          <w:lang w:val="en-US" w:eastAsia="zh-CN"/>
        </w:rPr>
      </w:pPr>
      <w:bookmarkStart w:id="28" w:name="_Toc22533"/>
      <w:r>
        <w:rPr>
          <w:rFonts w:hint="eastAsia" w:ascii="宋体" w:hAnsi="宋体" w:eastAsia="宋体" w:cs="宋体"/>
          <w:b w:val="0"/>
          <w:bCs w:val="0"/>
          <w:lang w:val="en-US" w:eastAsia="zh-CN"/>
        </w:rPr>
        <w:t>10.2人员配备情况</w:t>
      </w:r>
      <w:bookmarkEnd w:id="28"/>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乙方</w:t>
      </w:r>
      <w:r>
        <w:rPr>
          <w:rFonts w:hint="eastAsia" w:ascii="宋体" w:hAnsi="宋体" w:eastAsia="宋体" w:cs="宋体"/>
          <w:sz w:val="24"/>
          <w:szCs w:val="24"/>
          <w:lang w:eastAsia="zh-CN"/>
        </w:rPr>
        <w:t>施工人员数量必须满足甲方施工进度的要求。</w:t>
      </w:r>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施工人员必须持有相关专业从业证书</w:t>
      </w:r>
      <w:r>
        <w:rPr>
          <w:rFonts w:hint="eastAsia" w:ascii="宋体" w:hAnsi="宋体" w:eastAsia="宋体" w:cs="宋体"/>
          <w:sz w:val="24"/>
          <w:szCs w:val="24"/>
        </w:rPr>
        <w:t>。</w:t>
      </w:r>
    </w:p>
    <w:p>
      <w:pPr>
        <w:keepNext w:val="0"/>
        <w:keepLines w:val="0"/>
        <w:pageBreakBefore w:val="0"/>
        <w:widowControl w:val="0"/>
        <w:numPr>
          <w:ilvl w:val="0"/>
          <w:numId w:val="12"/>
        </w:numPr>
        <w:kinsoku/>
        <w:wordWrap/>
        <w:overflowPunct/>
        <w:topLinePunct w:val="0"/>
        <w:autoSpaceDE/>
        <w:autoSpaceDN/>
        <w:bidi w:val="0"/>
        <w:adjustRightInd/>
        <w:snapToGrid/>
        <w:spacing w:line="360" w:lineRule="auto"/>
        <w:ind w:left="845" w:leftChars="0" w:hanging="425" w:firstLineChars="0"/>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甲方将对乙方配置的人员进行不定期抽查，如发现不符合本协议规定的，每人每次视情况将扣除200-500元。</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金山简仿宋">
    <w:altName w:val="Times New Roman"/>
    <w:panose1 w:val="00000000000000000000"/>
    <w:charset w:val="00"/>
    <w:family w:val="auto"/>
    <w:pitch w:val="default"/>
    <w:sig w:usb0="00000000" w:usb1="00000000" w:usb2="00000000" w:usb3="00000000" w:csb0="00040001" w:csb1="00000000"/>
  </w:font>
  <w:font w:name="方正小标宋简体">
    <w:altName w:val="Arial Unicode MS"/>
    <w:panose1 w:val="02010601030101010101"/>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华文中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B65DE1"/>
    <w:multiLevelType w:val="singleLevel"/>
    <w:tmpl w:val="8DB65DE1"/>
    <w:lvl w:ilvl="0" w:tentative="0">
      <w:start w:val="1"/>
      <w:numFmt w:val="decimal"/>
      <w:lvlText w:val="%1)"/>
      <w:lvlJc w:val="left"/>
      <w:pPr>
        <w:ind w:left="425" w:hanging="425"/>
      </w:pPr>
      <w:rPr>
        <w:rFonts w:hint="default"/>
      </w:rPr>
    </w:lvl>
  </w:abstractNum>
  <w:abstractNum w:abstractNumId="1">
    <w:nsid w:val="9347AB1B"/>
    <w:multiLevelType w:val="singleLevel"/>
    <w:tmpl w:val="9347AB1B"/>
    <w:lvl w:ilvl="0" w:tentative="0">
      <w:start w:val="1"/>
      <w:numFmt w:val="decimal"/>
      <w:lvlText w:val="%1)"/>
      <w:lvlJc w:val="left"/>
      <w:pPr>
        <w:ind w:left="425" w:hanging="425"/>
      </w:pPr>
      <w:rPr>
        <w:rFonts w:hint="default"/>
      </w:rPr>
    </w:lvl>
  </w:abstractNum>
  <w:abstractNum w:abstractNumId="2">
    <w:nsid w:val="997F8DC9"/>
    <w:multiLevelType w:val="singleLevel"/>
    <w:tmpl w:val="997F8DC9"/>
    <w:lvl w:ilvl="0" w:tentative="0">
      <w:start w:val="1"/>
      <w:numFmt w:val="decimal"/>
      <w:lvlText w:val="%1)"/>
      <w:lvlJc w:val="left"/>
      <w:pPr>
        <w:ind w:left="425" w:hanging="425"/>
      </w:pPr>
      <w:rPr>
        <w:rFonts w:hint="default"/>
      </w:rPr>
    </w:lvl>
  </w:abstractNum>
  <w:abstractNum w:abstractNumId="3">
    <w:nsid w:val="9FCD484D"/>
    <w:multiLevelType w:val="singleLevel"/>
    <w:tmpl w:val="9FCD484D"/>
    <w:lvl w:ilvl="0" w:tentative="0">
      <w:start w:val="1"/>
      <w:numFmt w:val="decimal"/>
      <w:lvlText w:val="%1)"/>
      <w:lvlJc w:val="left"/>
      <w:pPr>
        <w:ind w:left="425" w:hanging="425"/>
      </w:pPr>
      <w:rPr>
        <w:rFonts w:hint="default"/>
      </w:rPr>
    </w:lvl>
  </w:abstractNum>
  <w:abstractNum w:abstractNumId="4">
    <w:nsid w:val="AD461D91"/>
    <w:multiLevelType w:val="singleLevel"/>
    <w:tmpl w:val="AD461D91"/>
    <w:lvl w:ilvl="0" w:tentative="0">
      <w:start w:val="1"/>
      <w:numFmt w:val="decimal"/>
      <w:lvlText w:val="%1)"/>
      <w:lvlJc w:val="left"/>
      <w:pPr>
        <w:ind w:left="425" w:hanging="425"/>
      </w:pPr>
      <w:rPr>
        <w:rFonts w:hint="default"/>
      </w:rPr>
    </w:lvl>
  </w:abstractNum>
  <w:abstractNum w:abstractNumId="5">
    <w:nsid w:val="DDE03539"/>
    <w:multiLevelType w:val="singleLevel"/>
    <w:tmpl w:val="DDE03539"/>
    <w:lvl w:ilvl="0" w:tentative="0">
      <w:start w:val="1"/>
      <w:numFmt w:val="decimal"/>
      <w:lvlText w:val="%1)"/>
      <w:lvlJc w:val="left"/>
      <w:pPr>
        <w:ind w:left="425" w:hanging="425"/>
      </w:pPr>
      <w:rPr>
        <w:rFonts w:hint="default"/>
      </w:rPr>
    </w:lvl>
  </w:abstractNum>
  <w:abstractNum w:abstractNumId="6">
    <w:nsid w:val="E5F12F68"/>
    <w:multiLevelType w:val="singleLevel"/>
    <w:tmpl w:val="E5F12F68"/>
    <w:lvl w:ilvl="0" w:tentative="0">
      <w:start w:val="1"/>
      <w:numFmt w:val="decimal"/>
      <w:lvlText w:val="%1)"/>
      <w:lvlJc w:val="left"/>
      <w:pPr>
        <w:ind w:left="425" w:hanging="425"/>
      </w:pPr>
      <w:rPr>
        <w:rFonts w:hint="default"/>
      </w:rPr>
    </w:lvl>
  </w:abstractNum>
  <w:abstractNum w:abstractNumId="7">
    <w:nsid w:val="06DC4ACB"/>
    <w:multiLevelType w:val="singleLevel"/>
    <w:tmpl w:val="06DC4ACB"/>
    <w:lvl w:ilvl="0" w:tentative="0">
      <w:start w:val="1"/>
      <w:numFmt w:val="decimal"/>
      <w:lvlText w:val="%1)"/>
      <w:lvlJc w:val="left"/>
      <w:pPr>
        <w:ind w:left="425" w:hanging="425"/>
      </w:pPr>
      <w:rPr>
        <w:rFonts w:hint="default"/>
      </w:rPr>
    </w:lvl>
  </w:abstractNum>
  <w:abstractNum w:abstractNumId="8">
    <w:nsid w:val="113E3E14"/>
    <w:multiLevelType w:val="multilevel"/>
    <w:tmpl w:val="113E3E1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34CECB"/>
    <w:multiLevelType w:val="singleLevel"/>
    <w:tmpl w:val="2534CECB"/>
    <w:lvl w:ilvl="0" w:tentative="0">
      <w:start w:val="1"/>
      <w:numFmt w:val="decimal"/>
      <w:lvlText w:val="%1)"/>
      <w:lvlJc w:val="left"/>
      <w:pPr>
        <w:ind w:left="425" w:hanging="425"/>
      </w:pPr>
      <w:rPr>
        <w:rFonts w:hint="default"/>
      </w:rPr>
    </w:lvl>
  </w:abstractNum>
  <w:abstractNum w:abstractNumId="10">
    <w:nsid w:val="33B228C7"/>
    <w:multiLevelType w:val="singleLevel"/>
    <w:tmpl w:val="33B228C7"/>
    <w:lvl w:ilvl="0" w:tentative="0">
      <w:start w:val="1"/>
      <w:numFmt w:val="decimal"/>
      <w:lvlText w:val="%1)"/>
      <w:lvlJc w:val="left"/>
      <w:pPr>
        <w:ind w:left="425" w:hanging="425"/>
      </w:pPr>
      <w:rPr>
        <w:rFonts w:hint="default"/>
      </w:rPr>
    </w:lvl>
  </w:abstractNum>
  <w:abstractNum w:abstractNumId="11">
    <w:nsid w:val="3B3E7DAF"/>
    <w:multiLevelType w:val="singleLevel"/>
    <w:tmpl w:val="3B3E7DAF"/>
    <w:lvl w:ilvl="0" w:tentative="0">
      <w:start w:val="1"/>
      <w:numFmt w:val="decimal"/>
      <w:lvlText w:val="%1)"/>
      <w:lvlJc w:val="left"/>
      <w:pPr>
        <w:ind w:left="425" w:hanging="425"/>
      </w:pPr>
      <w:rPr>
        <w:rFonts w:hint="default"/>
      </w:rPr>
    </w:lvl>
  </w:abstractNum>
  <w:num w:numId="1">
    <w:abstractNumId w:val="8"/>
  </w:num>
  <w:num w:numId="2">
    <w:abstractNumId w:val="6"/>
  </w:num>
  <w:num w:numId="3">
    <w:abstractNumId w:val="4"/>
  </w:num>
  <w:num w:numId="4">
    <w:abstractNumId w:val="11"/>
  </w:num>
  <w:num w:numId="5">
    <w:abstractNumId w:val="10"/>
  </w:num>
  <w:num w:numId="6">
    <w:abstractNumId w:val="5"/>
  </w:num>
  <w:num w:numId="7">
    <w:abstractNumId w:val="3"/>
  </w:num>
  <w:num w:numId="8">
    <w:abstractNumId w:val="1"/>
  </w:num>
  <w:num w:numId="9">
    <w:abstractNumId w:val="0"/>
  </w:num>
  <w:num w:numId="10">
    <w:abstractNumId w:val="7"/>
  </w:num>
  <w:num w:numId="11">
    <w:abstractNumId w:val="9"/>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E0577B"/>
    <w:rsid w:val="05E057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widowControl w:val="0"/>
      <w:spacing w:before="340" w:after="330" w:line="576" w:lineRule="auto"/>
      <w:outlineLvl w:val="0"/>
    </w:pPr>
    <w:rPr>
      <w:b/>
      <w:bCs/>
      <w:kern w:val="44"/>
      <w:sz w:val="44"/>
      <w:szCs w:val="44"/>
    </w:rPr>
  </w:style>
  <w:style w:type="paragraph" w:styleId="5">
    <w:name w:val="heading 2"/>
    <w:basedOn w:val="1"/>
    <w:next w:val="1"/>
    <w:qFormat/>
    <w:uiPriority w:val="0"/>
    <w:pPr>
      <w:keepNext/>
      <w:keepLines/>
      <w:widowControl w:val="0"/>
      <w:spacing w:before="260" w:after="260" w:line="412" w:lineRule="auto"/>
      <w:outlineLvl w:val="1"/>
    </w:pPr>
    <w:rPr>
      <w:rFonts w:ascii="Arial" w:hAnsi="Arial" w:eastAsia="黑体"/>
      <w:b/>
      <w:bCs/>
      <w:sz w:val="32"/>
      <w:szCs w:val="32"/>
    </w:rPr>
  </w:style>
  <w:style w:type="character" w:default="1" w:styleId="7">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customStyle="1" w:styleId="2">
    <w:name w:val="表格文字"/>
    <w:basedOn w:val="3"/>
    <w:next w:val="1"/>
    <w:qFormat/>
    <w:uiPriority w:val="0"/>
    <w:pPr>
      <w:adjustRightInd w:val="0"/>
      <w:spacing w:line="420" w:lineRule="atLeast"/>
      <w:jc w:val="left"/>
      <w:textAlignment w:val="baseline"/>
    </w:pPr>
    <w:rPr>
      <w:kern w:val="0"/>
      <w:szCs w:val="20"/>
    </w:rPr>
  </w:style>
  <w:style w:type="paragraph" w:styleId="3">
    <w:name w:val="Plain Text"/>
    <w:basedOn w:val="1"/>
    <w:qFormat/>
    <w:uiPriority w:val="0"/>
    <w:rPr>
      <w:rFonts w:ascii="宋体"/>
      <w:szCs w:val="20"/>
    </w:rPr>
  </w:style>
  <w:style w:type="paragraph" w:styleId="6">
    <w:name w:val="Normal Indent"/>
    <w:basedOn w:val="1"/>
    <w:qFormat/>
    <w:uiPriority w:val="0"/>
    <w:pPr>
      <w:ind w:firstLine="420"/>
    </w:pPr>
    <w:rPr>
      <w:rFonts w:ascii="金山简仿宋" w:hAnsi="Courier New"/>
      <w:sz w:val="28"/>
      <w:szCs w:val="20"/>
    </w:rPr>
  </w:style>
  <w:style w:type="paragraph" w:customStyle="1" w:styleId="9">
    <w:name w:val="WPSOffice手动目录 1"/>
    <w:qFormat/>
    <w:uiPriority w:val="0"/>
    <w:pPr>
      <w:ind w:leftChars="0"/>
    </w:pPr>
    <w:rPr>
      <w:rFonts w:ascii="Times New Roman" w:hAnsi="Times New Roman" w:eastAsia="宋体" w:cs="Times New Roman"/>
      <w:sz w:val="20"/>
      <w:szCs w:val="20"/>
    </w:rPr>
  </w:style>
  <w:style w:type="paragraph" w:customStyle="1" w:styleId="10">
    <w:name w:val="WPSOffice手动目录 2"/>
    <w:qFormat/>
    <w:uiPriority w:val="0"/>
    <w:pPr>
      <w:ind w:leftChars="200"/>
    </w:pPr>
    <w:rPr>
      <w:rFonts w:ascii="Times New Roman" w:hAnsi="Times New Roman" w:eastAsia="宋体" w:cs="Times New Roman"/>
      <w:sz w:val="20"/>
      <w:szCs w:val="20"/>
    </w:rPr>
  </w:style>
  <w:style w:type="paragraph" w:styleId="11">
    <w:name w:val="List Paragraph"/>
    <w:basedOn w:val="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fd6e659-74d8-47eb-9c1f-27452cb7eeda}"/>
        <w:style w:val=""/>
        <w:category>
          <w:name w:val="常规"/>
          <w:gallery w:val="placeholder"/>
        </w:category>
        <w:types>
          <w:type w:val="bbPlcHdr"/>
        </w:types>
        <w:behaviors>
          <w:behavior w:val="content"/>
        </w:behaviors>
        <w:description w:val=""/>
        <w:guid w:val="{8fd6e659-74d8-47eb-9c1f-27452cb7eeda}"/>
      </w:docPartPr>
      <w:docPartBody>
        <w:p>
          <w:r>
            <w:rPr>
              <w:color w:val="808080"/>
            </w:rPr>
            <w:t>单击此处输入文字。</w:t>
          </w:r>
        </w:p>
      </w:docPartBody>
    </w:docPart>
    <w:docPart>
      <w:docPartPr>
        <w:name w:val="{883d4d88-674a-42ef-bc67-509896223815}"/>
        <w:style w:val=""/>
        <w:category>
          <w:name w:val="常规"/>
          <w:gallery w:val="placeholder"/>
        </w:category>
        <w:types>
          <w:type w:val="bbPlcHdr"/>
        </w:types>
        <w:behaviors>
          <w:behavior w:val="content"/>
        </w:behaviors>
        <w:description w:val=""/>
        <w:guid w:val="{883d4d88-674a-42ef-bc67-509896223815}"/>
      </w:docPartPr>
      <w:docPartBody>
        <w:p>
          <w:r>
            <w:rPr>
              <w:color w:val="808080"/>
            </w:rPr>
            <w:t>单击此处输入文字。</w:t>
          </w:r>
        </w:p>
      </w:docPartBody>
    </w:docPart>
    <w:docPart>
      <w:docPartPr>
        <w:name w:val="{597a7e45-5a3f-4148-8e9f-9d97b96bb15a}"/>
        <w:style w:val=""/>
        <w:category>
          <w:name w:val="常规"/>
          <w:gallery w:val="placeholder"/>
        </w:category>
        <w:types>
          <w:type w:val="bbPlcHdr"/>
        </w:types>
        <w:behaviors>
          <w:behavior w:val="content"/>
        </w:behaviors>
        <w:description w:val=""/>
        <w:guid w:val="{597a7e45-5a3f-4148-8e9f-9d97b96bb15a}"/>
      </w:docPartPr>
      <w:docPartBody>
        <w:p>
          <w:r>
            <w:rPr>
              <w:color w:val="808080"/>
            </w:rPr>
            <w:t>单击此处输入文字。</w:t>
          </w:r>
        </w:p>
      </w:docPartBody>
    </w:docPart>
    <w:docPart>
      <w:docPartPr>
        <w:name w:val="{18c5baf5-5eef-480a-a42a-7a638907ee1f}"/>
        <w:style w:val=""/>
        <w:category>
          <w:name w:val="常规"/>
          <w:gallery w:val="placeholder"/>
        </w:category>
        <w:types>
          <w:type w:val="bbPlcHdr"/>
        </w:types>
        <w:behaviors>
          <w:behavior w:val="content"/>
        </w:behaviors>
        <w:description w:val=""/>
        <w:guid w:val="{18c5baf5-5eef-480a-a42a-7a638907ee1f}"/>
      </w:docPartPr>
      <w:docPartBody>
        <w:p>
          <w:r>
            <w:rPr>
              <w:color w:val="808080"/>
            </w:rPr>
            <w:t>单击此处输入文字。</w:t>
          </w:r>
        </w:p>
      </w:docPartBody>
    </w:docPart>
    <w:docPart>
      <w:docPartPr>
        <w:name w:val="{cc8be1cb-550c-4420-aa2b-e06b037e042d}"/>
        <w:style w:val=""/>
        <w:category>
          <w:name w:val="常规"/>
          <w:gallery w:val="placeholder"/>
        </w:category>
        <w:types>
          <w:type w:val="bbPlcHdr"/>
        </w:types>
        <w:behaviors>
          <w:behavior w:val="content"/>
        </w:behaviors>
        <w:description w:val=""/>
        <w:guid w:val="{cc8be1cb-550c-4420-aa2b-e06b037e042d}"/>
      </w:docPartPr>
      <w:docPartBody>
        <w:p>
          <w:r>
            <w:rPr>
              <w:color w:val="808080"/>
            </w:rPr>
            <w:t>单击此处输入文字。</w:t>
          </w:r>
        </w:p>
      </w:docPartBody>
    </w:docPart>
    <w:docPart>
      <w:docPartPr>
        <w:name w:val="{ec795e7b-8761-4d63-a450-55a94a134df1}"/>
        <w:style w:val=""/>
        <w:category>
          <w:name w:val="常规"/>
          <w:gallery w:val="placeholder"/>
        </w:category>
        <w:types>
          <w:type w:val="bbPlcHdr"/>
        </w:types>
        <w:behaviors>
          <w:behavior w:val="content"/>
        </w:behaviors>
        <w:description w:val=""/>
        <w:guid w:val="{ec795e7b-8761-4d63-a450-55a94a134df1}"/>
      </w:docPartPr>
      <w:docPartBody>
        <w:p>
          <w:r>
            <w:rPr>
              <w:color w:val="808080"/>
            </w:rPr>
            <w:t>单击此处输入文字。</w:t>
          </w:r>
        </w:p>
      </w:docPartBody>
    </w:docPart>
    <w:docPart>
      <w:docPartPr>
        <w:name w:val="{8035d6b6-2e1f-4425-bd7c-db2c010500ca}"/>
        <w:style w:val=""/>
        <w:category>
          <w:name w:val="常规"/>
          <w:gallery w:val="placeholder"/>
        </w:category>
        <w:types>
          <w:type w:val="bbPlcHdr"/>
        </w:types>
        <w:behaviors>
          <w:behavior w:val="content"/>
        </w:behaviors>
        <w:description w:val=""/>
        <w:guid w:val="{8035d6b6-2e1f-4425-bd7c-db2c010500ca}"/>
      </w:docPartPr>
      <w:docPartBody>
        <w:p>
          <w:r>
            <w:rPr>
              <w:color w:val="808080"/>
            </w:rPr>
            <w:t>单击此处输入文字。</w:t>
          </w:r>
        </w:p>
      </w:docPartBody>
    </w:docPart>
    <w:docPart>
      <w:docPartPr>
        <w:name w:val="{8971c930-64e4-425d-9d27-f022d6cd76cb}"/>
        <w:style w:val=""/>
        <w:category>
          <w:name w:val="常规"/>
          <w:gallery w:val="placeholder"/>
        </w:category>
        <w:types>
          <w:type w:val="bbPlcHdr"/>
        </w:types>
        <w:behaviors>
          <w:behavior w:val="content"/>
        </w:behaviors>
        <w:description w:val=""/>
        <w:guid w:val="{8971c930-64e4-425d-9d27-f022d6cd76cb}"/>
      </w:docPartPr>
      <w:docPartBody>
        <w:p>
          <w:r>
            <w:rPr>
              <w:color w:val="808080"/>
            </w:rPr>
            <w:t>单击此处输入文字。</w:t>
          </w:r>
        </w:p>
      </w:docPartBody>
    </w:docPart>
    <w:docPart>
      <w:docPartPr>
        <w:name w:val="{3ea786ef-49d1-4375-af7b-68c3eefdcca2}"/>
        <w:style w:val=""/>
        <w:category>
          <w:name w:val="常规"/>
          <w:gallery w:val="placeholder"/>
        </w:category>
        <w:types>
          <w:type w:val="bbPlcHdr"/>
        </w:types>
        <w:behaviors>
          <w:behavior w:val="content"/>
        </w:behaviors>
        <w:description w:val=""/>
        <w:guid w:val="{3ea786ef-49d1-4375-af7b-68c3eefdcca2}"/>
      </w:docPartPr>
      <w:docPartBody>
        <w:p>
          <w:r>
            <w:rPr>
              <w:color w:val="808080"/>
            </w:rPr>
            <w:t>单击此处输入文字。</w:t>
          </w:r>
        </w:p>
      </w:docPartBody>
    </w:docPart>
    <w:docPart>
      <w:docPartPr>
        <w:name w:val="{bdcd0e08-ab14-4057-bc1e-2431441dc9ce}"/>
        <w:style w:val=""/>
        <w:category>
          <w:name w:val="常规"/>
          <w:gallery w:val="placeholder"/>
        </w:category>
        <w:types>
          <w:type w:val="bbPlcHdr"/>
        </w:types>
        <w:behaviors>
          <w:behavior w:val="content"/>
        </w:behaviors>
        <w:description w:val=""/>
        <w:guid w:val="{bdcd0e08-ab14-4057-bc1e-2431441dc9ce}"/>
      </w:docPartPr>
      <w:docPartBody>
        <w:p>
          <w:r>
            <w:rPr>
              <w:color w:val="808080"/>
            </w:rPr>
            <w:t>单击此处输入文字。</w:t>
          </w:r>
        </w:p>
      </w:docPartBody>
    </w:docPart>
    <w:docPart>
      <w:docPartPr>
        <w:name w:val="{fb339adf-3dd9-463e-a368-b7cb7b1fde6f}"/>
        <w:style w:val=""/>
        <w:category>
          <w:name w:val="常规"/>
          <w:gallery w:val="placeholder"/>
        </w:category>
        <w:types>
          <w:type w:val="bbPlcHdr"/>
        </w:types>
        <w:behaviors>
          <w:behavior w:val="content"/>
        </w:behaviors>
        <w:description w:val=""/>
        <w:guid w:val="{fb339adf-3dd9-463e-a368-b7cb7b1fde6f}"/>
      </w:docPartPr>
      <w:docPartBody>
        <w:p>
          <w:r>
            <w:rPr>
              <w:color w:val="808080"/>
            </w:rPr>
            <w:t>单击此处输入文字。</w:t>
          </w:r>
        </w:p>
      </w:docPartBody>
    </w:docPart>
    <w:docPart>
      <w:docPartPr>
        <w:name w:val="{7b58973f-c99d-422a-8dd8-21c1b476a031}"/>
        <w:style w:val=""/>
        <w:category>
          <w:name w:val="常规"/>
          <w:gallery w:val="placeholder"/>
        </w:category>
        <w:types>
          <w:type w:val="bbPlcHdr"/>
        </w:types>
        <w:behaviors>
          <w:behavior w:val="content"/>
        </w:behaviors>
        <w:description w:val=""/>
        <w:guid w:val="{7b58973f-c99d-422a-8dd8-21c1b476a031}"/>
      </w:docPartPr>
      <w:docPartBody>
        <w:p>
          <w:r>
            <w:rPr>
              <w:color w:val="808080"/>
            </w:rPr>
            <w:t>单击此处输入文字。</w:t>
          </w:r>
        </w:p>
      </w:docPartBody>
    </w:docPart>
    <w:docPart>
      <w:docPartPr>
        <w:name w:val="{6adffddf-9d0e-4bef-b8fb-5f062620611e}"/>
        <w:style w:val=""/>
        <w:category>
          <w:name w:val="常规"/>
          <w:gallery w:val="placeholder"/>
        </w:category>
        <w:types>
          <w:type w:val="bbPlcHdr"/>
        </w:types>
        <w:behaviors>
          <w:behavior w:val="content"/>
        </w:behaviors>
        <w:description w:val=""/>
        <w:guid w:val="{6adffddf-9d0e-4bef-b8fb-5f062620611e}"/>
      </w:docPartPr>
      <w:docPartBody>
        <w:p>
          <w:r>
            <w:rPr>
              <w:color w:val="808080"/>
            </w:rPr>
            <w:t>单击此处输入文字。</w:t>
          </w:r>
        </w:p>
      </w:docPartBody>
    </w:docPart>
    <w:docPart>
      <w:docPartPr>
        <w:name w:val="{6cae2c6b-eace-4766-895c-6a726af08e41}"/>
        <w:style w:val=""/>
        <w:category>
          <w:name w:val="常规"/>
          <w:gallery w:val="placeholder"/>
        </w:category>
        <w:types>
          <w:type w:val="bbPlcHdr"/>
        </w:types>
        <w:behaviors>
          <w:behavior w:val="content"/>
        </w:behaviors>
        <w:description w:val=""/>
        <w:guid w:val="{6cae2c6b-eace-4766-895c-6a726af08e41}"/>
      </w:docPartPr>
      <w:docPartBody>
        <w:p>
          <w:r>
            <w:rPr>
              <w:color w:val="808080"/>
            </w:rPr>
            <w:t>单击此处输入文字。</w:t>
          </w:r>
        </w:p>
      </w:docPartBody>
    </w:docPart>
    <w:docPart>
      <w:docPartPr>
        <w:name w:val="{06b0f1de-8bba-40ab-834c-59dd9b51faff}"/>
        <w:style w:val=""/>
        <w:category>
          <w:name w:val="常规"/>
          <w:gallery w:val="placeholder"/>
        </w:category>
        <w:types>
          <w:type w:val="bbPlcHdr"/>
        </w:types>
        <w:behaviors>
          <w:behavior w:val="content"/>
        </w:behaviors>
        <w:description w:val=""/>
        <w:guid w:val="{06b0f1de-8bba-40ab-834c-59dd9b51faff}"/>
      </w:docPartPr>
      <w:docPartBody>
        <w:p>
          <w:r>
            <w:rPr>
              <w:color w:val="808080"/>
            </w:rPr>
            <w:t>单击此处输入文字。</w:t>
          </w:r>
        </w:p>
      </w:docPartBody>
    </w:docPart>
    <w:docPart>
      <w:docPartPr>
        <w:name w:val="{b05ba3a5-e08b-4cd9-be5d-649472dbbc54}"/>
        <w:style w:val=""/>
        <w:category>
          <w:name w:val="常规"/>
          <w:gallery w:val="placeholder"/>
        </w:category>
        <w:types>
          <w:type w:val="bbPlcHdr"/>
        </w:types>
        <w:behaviors>
          <w:behavior w:val="content"/>
        </w:behaviors>
        <w:description w:val=""/>
        <w:guid w:val="{b05ba3a5-e08b-4cd9-be5d-649472dbbc54}"/>
      </w:docPartPr>
      <w:docPartBody>
        <w:p>
          <w:r>
            <w:rPr>
              <w:color w:val="808080"/>
            </w:rPr>
            <w:t>单击此处输入文字。</w:t>
          </w:r>
        </w:p>
      </w:docPartBody>
    </w:docPart>
    <w:docPart>
      <w:docPartPr>
        <w:name w:val="{0fb50e13-e073-4900-a539-d02715ba3591}"/>
        <w:style w:val=""/>
        <w:category>
          <w:name w:val="常规"/>
          <w:gallery w:val="placeholder"/>
        </w:category>
        <w:types>
          <w:type w:val="bbPlcHdr"/>
        </w:types>
        <w:behaviors>
          <w:behavior w:val="content"/>
        </w:behaviors>
        <w:description w:val=""/>
        <w:guid w:val="{0fb50e13-e073-4900-a539-d02715ba3591}"/>
      </w:docPartPr>
      <w:docPartBody>
        <w:p>
          <w:r>
            <w:rPr>
              <w:color w:val="808080"/>
            </w:rPr>
            <w:t>单击此处输入文字。</w:t>
          </w:r>
        </w:p>
      </w:docPartBody>
    </w:docPart>
    <w:docPart>
      <w:docPartPr>
        <w:name w:val="{229f94b8-f43a-4ebe-aca6-2fd64af3b7dd}"/>
        <w:style w:val=""/>
        <w:category>
          <w:name w:val="常规"/>
          <w:gallery w:val="placeholder"/>
        </w:category>
        <w:types>
          <w:type w:val="bbPlcHdr"/>
        </w:types>
        <w:behaviors>
          <w:behavior w:val="content"/>
        </w:behaviors>
        <w:description w:val=""/>
        <w:guid w:val="{229f94b8-f43a-4ebe-aca6-2fd64af3b7dd}"/>
      </w:docPartPr>
      <w:docPartBody>
        <w:p>
          <w:r>
            <w:rPr>
              <w:color w:val="808080"/>
            </w:rPr>
            <w:t>单击此处输入文字。</w:t>
          </w:r>
        </w:p>
      </w:docPartBody>
    </w:docPart>
    <w:docPart>
      <w:docPartPr>
        <w:name w:val="{45ac9837-0919-4e61-a082-d50c69908cd9}"/>
        <w:style w:val=""/>
        <w:category>
          <w:name w:val="常规"/>
          <w:gallery w:val="placeholder"/>
        </w:category>
        <w:types>
          <w:type w:val="bbPlcHdr"/>
        </w:types>
        <w:behaviors>
          <w:behavior w:val="content"/>
        </w:behaviors>
        <w:description w:val=""/>
        <w:guid w:val="{45ac9837-0919-4e61-a082-d50c69908cd9}"/>
      </w:docPartPr>
      <w:docPartBody>
        <w:p>
          <w:r>
            <w:rPr>
              <w:color w:val="808080"/>
            </w:rPr>
            <w:t>单击此处输入文字。</w:t>
          </w:r>
        </w:p>
      </w:docPartBody>
    </w:docPart>
    <w:docPart>
      <w:docPartPr>
        <w:name w:val="{11527f06-d9a9-40e2-addc-9562f2465ffc}"/>
        <w:style w:val=""/>
        <w:category>
          <w:name w:val="常规"/>
          <w:gallery w:val="placeholder"/>
        </w:category>
        <w:types>
          <w:type w:val="bbPlcHdr"/>
        </w:types>
        <w:behaviors>
          <w:behavior w:val="content"/>
        </w:behaviors>
        <w:description w:val=""/>
        <w:guid w:val="{11527f06-d9a9-40e2-addc-9562f2465ffc}"/>
      </w:docPartPr>
      <w:docPartBody>
        <w:p>
          <w:r>
            <w:rPr>
              <w:color w:val="808080"/>
            </w:rPr>
            <w:t>单击此处输入文字。</w:t>
          </w:r>
        </w:p>
      </w:docPartBody>
    </w:docPart>
    <w:docPart>
      <w:docPartPr>
        <w:name w:val="{60ab6547-a668-422a-bbab-3b54f5e8dbce}"/>
        <w:style w:val=""/>
        <w:category>
          <w:name w:val="常规"/>
          <w:gallery w:val="placeholder"/>
        </w:category>
        <w:types>
          <w:type w:val="bbPlcHdr"/>
        </w:types>
        <w:behaviors>
          <w:behavior w:val="content"/>
        </w:behaviors>
        <w:description w:val=""/>
        <w:guid w:val="{60ab6547-a668-422a-bbab-3b54f5e8dbce}"/>
      </w:docPartPr>
      <w:docPartBody>
        <w:p>
          <w:r>
            <w:rPr>
              <w:color w:val="808080"/>
            </w:rPr>
            <w:t>单击此处输入文字。</w:t>
          </w:r>
        </w:p>
      </w:docPartBody>
    </w:docPart>
    <w:docPart>
      <w:docPartPr>
        <w:name w:val="{bbeea1fd-7c62-4283-8819-0b1793689e91}"/>
        <w:style w:val=""/>
        <w:category>
          <w:name w:val="常规"/>
          <w:gallery w:val="placeholder"/>
        </w:category>
        <w:types>
          <w:type w:val="bbPlcHdr"/>
        </w:types>
        <w:behaviors>
          <w:behavior w:val="content"/>
        </w:behaviors>
        <w:description w:val=""/>
        <w:guid w:val="{bbeea1fd-7c62-4283-8819-0b1793689e91}"/>
      </w:docPartPr>
      <w:docPartBody>
        <w:p>
          <w:r>
            <w:rPr>
              <w:color w:val="808080"/>
            </w:rPr>
            <w:t>单击此处输入文字。</w:t>
          </w:r>
        </w:p>
      </w:docPartBody>
    </w:docPart>
    <w:docPart>
      <w:docPartPr>
        <w:name w:val="{ecf93944-f400-4224-afb4-f6d7437ede76}"/>
        <w:style w:val=""/>
        <w:category>
          <w:name w:val="常规"/>
          <w:gallery w:val="placeholder"/>
        </w:category>
        <w:types>
          <w:type w:val="bbPlcHdr"/>
        </w:types>
        <w:behaviors>
          <w:behavior w:val="content"/>
        </w:behaviors>
        <w:description w:val=""/>
        <w:guid w:val="{ecf93944-f400-4224-afb4-f6d7437ede76}"/>
      </w:docPartPr>
      <w:docPartBody>
        <w:p>
          <w:r>
            <w:rPr>
              <w:color w:val="808080"/>
            </w:rPr>
            <w:t>单击此处输入文字。</w:t>
          </w:r>
        </w:p>
      </w:docPartBody>
    </w:docPart>
    <w:docPart>
      <w:docPartPr>
        <w:name w:val="{1932d2b0-9930-40dd-aeeb-1a991016445a}"/>
        <w:style w:val=""/>
        <w:category>
          <w:name w:val="常规"/>
          <w:gallery w:val="placeholder"/>
        </w:category>
        <w:types>
          <w:type w:val="bbPlcHdr"/>
        </w:types>
        <w:behaviors>
          <w:behavior w:val="content"/>
        </w:behaviors>
        <w:description w:val=""/>
        <w:guid w:val="{1932d2b0-9930-40dd-aeeb-1a991016445a}"/>
      </w:docPartPr>
      <w:docPartBody>
        <w:p>
          <w:r>
            <w:rPr>
              <w:color w:val="808080"/>
            </w:rPr>
            <w:t>单击此处输入文字。</w:t>
          </w:r>
        </w:p>
      </w:docPartBody>
    </w:docPart>
    <w:docPart>
      <w:docPartPr>
        <w:name w:val="{ad589ecf-765d-44ac-bc02-ab772dd7e39c}"/>
        <w:style w:val=""/>
        <w:category>
          <w:name w:val="常规"/>
          <w:gallery w:val="placeholder"/>
        </w:category>
        <w:types>
          <w:type w:val="bbPlcHdr"/>
        </w:types>
        <w:behaviors>
          <w:behavior w:val="content"/>
        </w:behaviors>
        <w:description w:val=""/>
        <w:guid w:val="{ad589ecf-765d-44ac-bc02-ab772dd7e39c}"/>
      </w:docPartPr>
      <w:docPartBody>
        <w:p>
          <w:r>
            <w:rPr>
              <w:color w:val="808080"/>
            </w:rPr>
            <w:t>单击此处输入文字。</w:t>
          </w:r>
        </w:p>
      </w:docPartBody>
    </w:docPart>
    <w:docPart>
      <w:docPartPr>
        <w:name w:val="{176c77b9-3ad5-4070-ae14-9b74ac994f69}"/>
        <w:style w:val=""/>
        <w:category>
          <w:name w:val="常规"/>
          <w:gallery w:val="placeholder"/>
        </w:category>
        <w:types>
          <w:type w:val="bbPlcHdr"/>
        </w:types>
        <w:behaviors>
          <w:behavior w:val="content"/>
        </w:behaviors>
        <w:description w:val=""/>
        <w:guid w:val="{176c77b9-3ad5-4070-ae14-9b74ac994f69}"/>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2019-10-08T01:01:00Z</dcterms:created>
  <dc:creator>中国神华国际工程有限公司:胡耀宇</dc:creator>
  <cp:lastModifiedBy>中国神华国际工程有限公司:胡耀宇</cp:lastModifiedBy>
  <dcterms:modified xsi:type="dcterms:W3CDTF">2019-10-08T01:10:24Z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