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公告附件：</w:t>
      </w:r>
    </w:p>
    <w:p>
      <w:pPr>
        <w:pStyle w:val="2"/>
        <w:jc w:val="center"/>
        <w:rPr>
          <w:rFonts w:hint="eastAsia" w:ascii="Times New Roman" w:hAnsi="Times New Roman" w:cs="Times New Roman" w:eastAsiaTheme="minorEastAsia"/>
          <w:sz w:val="21"/>
          <w:szCs w:val="21"/>
          <w:lang w:eastAsia="zh-CN"/>
        </w:rPr>
      </w:pPr>
      <w:bookmarkStart w:id="0" w:name="_Toc4504"/>
      <w:r>
        <w:rPr>
          <w:rFonts w:hint="eastAsia" w:ascii="Times New Roman" w:hAnsi="Times New Roman" w:cs="Times New Roman" w:eastAsiaTheme="minorEastAsia"/>
          <w:sz w:val="21"/>
          <w:szCs w:val="21"/>
          <w:lang w:val="en-US" w:eastAsia="zh-CN"/>
        </w:rPr>
        <w:t>第一包：</w:t>
      </w:r>
      <w:r>
        <w:rPr>
          <w:rFonts w:hint="eastAsia" w:ascii="Times New Roman" w:hAnsi="Times New Roman" w:cs="Times New Roman" w:eastAsiaTheme="minorEastAsia"/>
          <w:sz w:val="21"/>
          <w:szCs w:val="21"/>
          <w:lang w:eastAsia="zh-CN"/>
        </w:rPr>
        <w:t>尿素招标技术要求</w:t>
      </w:r>
      <w:bookmarkEnd w:id="0"/>
    </w:p>
    <w:p>
      <w:pPr>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1.项目简述</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我公司计划采购</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u w:val="single"/>
          <w:lang w:val="en-US" w:eastAsia="zh-CN"/>
        </w:rPr>
        <w:t>尿素</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rPr>
        <w:t>材料</w:t>
      </w:r>
      <w:r>
        <w:rPr>
          <w:rFonts w:hint="eastAsia" w:ascii="仿宋_GB2312" w:hAnsi="仿宋_GB2312" w:eastAsia="仿宋_GB2312" w:cs="仿宋_GB2312"/>
          <w:bCs/>
          <w:sz w:val="21"/>
          <w:szCs w:val="21"/>
          <w:lang w:val="en-US" w:eastAsia="zh-CN"/>
        </w:rPr>
        <w:t>1</w:t>
      </w:r>
      <w:r>
        <w:rPr>
          <w:rFonts w:hint="eastAsia" w:ascii="仿宋_GB2312" w:hAnsi="仿宋_GB2312" w:eastAsia="仿宋_GB2312" w:cs="仿宋_GB2312"/>
          <w:bCs/>
          <w:sz w:val="21"/>
          <w:szCs w:val="21"/>
        </w:rPr>
        <w:t>项，用于</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z w:val="21"/>
          <w:szCs w:val="21"/>
          <w:u w:val="single"/>
          <w:lang w:eastAsia="zh-CN"/>
        </w:rPr>
        <w:t>矸石发电公司</w:t>
      </w:r>
      <w:r>
        <w:rPr>
          <w:rFonts w:hint="eastAsia" w:ascii="仿宋_GB2312" w:hAnsi="仿宋_GB2312" w:eastAsia="仿宋_GB2312" w:cs="仿宋_GB2312"/>
          <w:bCs/>
          <w:sz w:val="21"/>
          <w:szCs w:val="21"/>
        </w:rPr>
        <w:t>单位的</w:t>
      </w:r>
      <w:r>
        <w:rPr>
          <w:rFonts w:hint="eastAsia" w:ascii="仿宋_GB2312" w:hAnsi="仿宋_GB2312" w:eastAsia="仿宋_GB2312" w:cs="仿宋_GB2312"/>
          <w:bCs/>
          <w:sz w:val="21"/>
          <w:szCs w:val="21"/>
          <w:u w:val="single"/>
          <w:lang w:eastAsia="zh-CN"/>
        </w:rPr>
        <w:t>脱硝用尿素</w:t>
      </w:r>
      <w:r>
        <w:rPr>
          <w:rFonts w:hint="eastAsia" w:ascii="仿宋_GB2312" w:hAnsi="仿宋_GB2312" w:eastAsia="仿宋_GB2312" w:cs="仿宋_GB2312"/>
          <w:bCs/>
          <w:sz w:val="21"/>
          <w:szCs w:val="21"/>
        </w:rPr>
        <w:t>项目，投标方需提供全新的符合使用要求的材料。</w:t>
      </w:r>
    </w:p>
    <w:p>
      <w:pPr>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rPr>
        <w:t>2.总则</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2.1本技术规范的使用范围，适用于</w:t>
      </w:r>
      <w:r>
        <w:rPr>
          <w:rFonts w:hint="eastAsia" w:ascii="仿宋_GB2312" w:hAnsi="仿宋_GB2312" w:eastAsia="仿宋_GB2312" w:cs="仿宋_GB2312"/>
          <w:bCs/>
          <w:sz w:val="21"/>
          <w:szCs w:val="21"/>
          <w:u w:val="single"/>
          <w:lang w:eastAsia="zh-CN"/>
        </w:rPr>
        <w:t>矸石发电公司</w:t>
      </w:r>
      <w:r>
        <w:rPr>
          <w:rFonts w:hint="eastAsia" w:ascii="仿宋_GB2312" w:hAnsi="仿宋_GB2312" w:eastAsia="仿宋_GB2312" w:cs="仿宋_GB2312"/>
          <w:bCs/>
          <w:sz w:val="21"/>
          <w:szCs w:val="21"/>
        </w:rPr>
        <w:t>单位的</w:t>
      </w:r>
      <w:r>
        <w:rPr>
          <w:rFonts w:hint="eastAsia" w:ascii="仿宋_GB2312" w:hAnsi="仿宋_GB2312" w:eastAsia="仿宋_GB2312" w:cs="仿宋_GB2312"/>
          <w:bCs/>
          <w:sz w:val="21"/>
          <w:szCs w:val="21"/>
          <w:u w:val="single"/>
          <w:lang w:eastAsia="zh-CN"/>
        </w:rPr>
        <w:t>脱硝用尿素</w:t>
      </w:r>
      <w:r>
        <w:rPr>
          <w:rFonts w:hint="eastAsia" w:ascii="仿宋_GB2312" w:hAnsi="仿宋_GB2312" w:eastAsia="仿宋_GB2312" w:cs="仿宋_GB2312"/>
          <w:bCs/>
          <w:sz w:val="21"/>
          <w:szCs w:val="21"/>
        </w:rPr>
        <w:t>项目材料的订货招标。</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lang w:val="en-US" w:eastAsia="zh-CN"/>
        </w:rPr>
        <w:t>3</w:t>
      </w:r>
      <w:r>
        <w:rPr>
          <w:rFonts w:hint="eastAsia" w:ascii="仿宋_GB2312" w:hAnsi="仿宋_GB2312" w:eastAsia="仿宋_GB2312" w:cs="仿宋_GB2312"/>
          <w:b/>
          <w:sz w:val="21"/>
          <w:szCs w:val="21"/>
        </w:rPr>
        <w:t>.气候条件</w:t>
      </w:r>
    </w:p>
    <w:p>
      <w:pPr>
        <w:spacing w:line="360" w:lineRule="auto"/>
        <w:ind w:firstLine="570"/>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年平均温度5.3～7.6℃，最高气温达39.4℃，最低气温为-34℃，属大陆性气候，冬季时间长且寒冷，夏季短且酷热，白天与夜间的温差较大。年降水量为231～459.5mm，年蒸发量为1824.7～2896.1mm，海拔高度：1300m，春季风沙大，最大风速23m/s。</w:t>
      </w:r>
    </w:p>
    <w:p>
      <w:pPr>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lang w:val="en-US" w:eastAsia="zh-CN"/>
        </w:rPr>
        <w:t>4</w:t>
      </w:r>
      <w:r>
        <w:rPr>
          <w:rFonts w:hint="eastAsia" w:ascii="仿宋_GB2312" w:hAnsi="仿宋_GB2312" w:eastAsia="仿宋_GB2312" w:cs="仿宋_GB2312"/>
          <w:b/>
          <w:sz w:val="21"/>
          <w:szCs w:val="21"/>
        </w:rPr>
        <w:t>.工作环境</w:t>
      </w:r>
    </w:p>
    <w:p>
      <w:pPr>
        <w:spacing w:line="360" w:lineRule="auto"/>
        <w:ind w:firstLine="570"/>
        <w:rPr>
          <w:rFonts w:hint="eastAsia" w:ascii="仿宋_GB2312" w:hAnsi="仿宋_GB2312" w:eastAsia="仿宋_GB2312" w:cs="仿宋_GB2312"/>
          <w:bCs/>
          <w:sz w:val="21"/>
          <w:szCs w:val="21"/>
          <w:lang w:eastAsia="zh-CN"/>
        </w:rPr>
      </w:pPr>
      <w:r>
        <w:rPr>
          <w:rFonts w:hint="eastAsia" w:ascii="仿宋_GB2312" w:hAnsi="仿宋_GB2312" w:eastAsia="仿宋_GB2312" w:cs="仿宋_GB2312"/>
          <w:bCs/>
          <w:sz w:val="21"/>
          <w:szCs w:val="21"/>
        </w:rPr>
        <w:t>标的物在</w:t>
      </w:r>
      <w:r>
        <w:rPr>
          <w:rFonts w:hint="eastAsia" w:ascii="仿宋_GB2312" w:hAnsi="仿宋_GB2312" w:eastAsia="仿宋_GB2312" w:cs="仿宋_GB2312"/>
          <w:bCs/>
          <w:sz w:val="21"/>
          <w:szCs w:val="21"/>
          <w:lang w:eastAsia="zh-CN"/>
        </w:rPr>
        <w:t>矸石发电公司存放</w:t>
      </w:r>
      <w:r>
        <w:rPr>
          <w:rFonts w:hint="eastAsia" w:ascii="仿宋_GB2312" w:hAnsi="仿宋_GB2312" w:eastAsia="仿宋_GB2312" w:cs="仿宋_GB2312"/>
          <w:bCs/>
          <w:sz w:val="21"/>
          <w:szCs w:val="21"/>
          <w:u w:val="single"/>
          <w:lang w:eastAsia="zh-CN"/>
        </w:rPr>
        <w:t>脱硝用尿素</w:t>
      </w:r>
      <w:r>
        <w:rPr>
          <w:rFonts w:hint="eastAsia" w:ascii="仿宋_GB2312" w:hAnsi="仿宋_GB2312" w:eastAsia="仿宋_GB2312" w:cs="仿宋_GB2312"/>
          <w:bCs/>
          <w:sz w:val="21"/>
          <w:szCs w:val="21"/>
          <w:u w:val="none"/>
          <w:lang w:eastAsia="zh-CN"/>
        </w:rPr>
        <w:t>的</w:t>
      </w:r>
      <w:r>
        <w:rPr>
          <w:rFonts w:hint="eastAsia" w:ascii="仿宋_GB2312" w:hAnsi="仿宋_GB2312" w:eastAsia="仿宋_GB2312" w:cs="仿宋_GB2312"/>
          <w:bCs/>
          <w:sz w:val="21"/>
          <w:szCs w:val="21"/>
        </w:rPr>
        <w:t>现场使用</w:t>
      </w:r>
      <w:r>
        <w:rPr>
          <w:rFonts w:hint="eastAsia" w:ascii="仿宋_GB2312" w:hAnsi="仿宋_GB2312" w:eastAsia="仿宋_GB2312" w:cs="仿宋_GB2312"/>
          <w:bCs/>
          <w:sz w:val="21"/>
          <w:szCs w:val="21"/>
          <w:lang w:eastAsia="zh-CN"/>
        </w:rPr>
        <w:t>。</w:t>
      </w:r>
    </w:p>
    <w:p>
      <w:pPr>
        <w:numPr>
          <w:ilvl w:val="0"/>
          <w:numId w:val="0"/>
        </w:numPr>
        <w:autoSpaceDE w:val="0"/>
        <w:autoSpaceDN w:val="0"/>
        <w:adjustRightInd w:val="0"/>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lang w:val="en-US" w:eastAsia="zh-CN"/>
        </w:rPr>
        <w:t>5.</w:t>
      </w:r>
      <w:r>
        <w:rPr>
          <w:rFonts w:hint="eastAsia" w:ascii="仿宋_GB2312" w:hAnsi="仿宋_GB2312" w:eastAsia="仿宋_GB2312" w:cs="仿宋_GB2312"/>
          <w:b/>
          <w:sz w:val="21"/>
          <w:szCs w:val="21"/>
        </w:rPr>
        <w:t>技术要求</w:t>
      </w:r>
    </w:p>
    <w:p>
      <w:pPr>
        <w:autoSpaceDE w:val="0"/>
        <w:autoSpaceDN w:val="0"/>
        <w:adjustRightInd w:val="0"/>
        <w:spacing w:line="360" w:lineRule="auto"/>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lang w:val="en-US" w:eastAsia="zh-CN"/>
        </w:rPr>
        <w:t>5</w:t>
      </w:r>
      <w:r>
        <w:rPr>
          <w:rFonts w:hint="eastAsia" w:ascii="仿宋_GB2312" w:hAnsi="仿宋_GB2312" w:eastAsia="仿宋_GB2312" w:cs="仿宋_GB2312"/>
          <w:bCs/>
          <w:sz w:val="21"/>
          <w:szCs w:val="21"/>
        </w:rPr>
        <w:t>.1材料名称和数量</w:t>
      </w:r>
    </w:p>
    <w:tbl>
      <w:tblPr>
        <w:tblStyle w:val="4"/>
        <w:tblpPr w:leftFromText="180" w:rightFromText="180" w:vertAnchor="text" w:horzAnchor="margin" w:tblpXSpec="center" w:tblpY="153"/>
        <w:tblW w:w="9995" w:type="dxa"/>
        <w:jc w:val="center"/>
        <w:tblInd w:w="0" w:type="dxa"/>
        <w:tblLayout w:type="fixed"/>
        <w:tblCellMar>
          <w:top w:w="0" w:type="dxa"/>
          <w:left w:w="108" w:type="dxa"/>
          <w:bottom w:w="0" w:type="dxa"/>
          <w:right w:w="108" w:type="dxa"/>
        </w:tblCellMar>
      </w:tblPr>
      <w:tblGrid>
        <w:gridCol w:w="750"/>
        <w:gridCol w:w="1183"/>
        <w:gridCol w:w="1921"/>
        <w:gridCol w:w="567"/>
        <w:gridCol w:w="843"/>
        <w:gridCol w:w="1875"/>
        <w:gridCol w:w="1665"/>
        <w:gridCol w:w="1191"/>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序号</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货物名称</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规格型号</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单位</w:t>
            </w:r>
          </w:p>
        </w:tc>
        <w:tc>
          <w:tcPr>
            <w:tcW w:w="8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数量</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交货期</w:t>
            </w:r>
          </w:p>
        </w:tc>
        <w:tc>
          <w:tcPr>
            <w:tcW w:w="16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交货地点</w:t>
            </w:r>
          </w:p>
        </w:tc>
        <w:tc>
          <w:tcPr>
            <w:tcW w:w="11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备注</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1</w:t>
            </w:r>
          </w:p>
        </w:tc>
        <w:tc>
          <w:tcPr>
            <w:tcW w:w="118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lang w:eastAsia="zh-CN"/>
              </w:rPr>
            </w:pPr>
            <w:r>
              <w:rPr>
                <w:rFonts w:hint="eastAsia" w:ascii="仿宋_GB2312" w:hAnsi="仿宋_GB2312" w:eastAsia="仿宋_GB2312" w:cs="仿宋_GB2312"/>
                <w:bCs/>
                <w:sz w:val="21"/>
                <w:szCs w:val="21"/>
                <w:lang w:val="en-US" w:eastAsia="zh-CN"/>
              </w:rPr>
              <w:t>尿素</w:t>
            </w:r>
          </w:p>
        </w:tc>
        <w:tc>
          <w:tcPr>
            <w:tcW w:w="19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 w:val="0"/>
                <w:bCs w:val="0"/>
                <w:i w:val="0"/>
                <w:color w:val="000000"/>
                <w:kern w:val="0"/>
                <w:sz w:val="21"/>
                <w:szCs w:val="21"/>
                <w:u w:val="none"/>
                <w:lang w:val="en-US" w:eastAsia="zh-CN" w:bidi="ar"/>
              </w:rPr>
              <w:t>尿素\50kg/袋</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吨</w:t>
            </w:r>
          </w:p>
        </w:tc>
        <w:tc>
          <w:tcPr>
            <w:tcW w:w="8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3000</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lang w:val="en-US" w:eastAsia="zh-CN"/>
              </w:rPr>
            </w:pPr>
            <w:r>
              <w:rPr>
                <w:rFonts w:hint="eastAsia" w:ascii="仿宋_GB2312" w:hAnsi="仿宋_GB2312" w:eastAsia="仿宋_GB2312" w:cs="仿宋_GB2312"/>
                <w:bCs/>
                <w:sz w:val="21"/>
                <w:szCs w:val="21"/>
                <w:lang w:val="en-US" w:eastAsia="zh-CN"/>
              </w:rPr>
              <w:t>合同签订后60日内开始供货</w:t>
            </w:r>
          </w:p>
        </w:tc>
        <w:tc>
          <w:tcPr>
            <w:tcW w:w="16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Cs/>
                <w:sz w:val="21"/>
                <w:szCs w:val="21"/>
                <w:lang w:eastAsia="zh-CN"/>
              </w:rPr>
            </w:pPr>
            <w:r>
              <w:rPr>
                <w:rFonts w:hint="eastAsia" w:ascii="仿宋_GB2312" w:hAnsi="仿宋_GB2312" w:eastAsia="仿宋_GB2312" w:cs="仿宋_GB2312"/>
                <w:bCs/>
                <w:sz w:val="21"/>
                <w:szCs w:val="21"/>
                <w:lang w:val="en-US" w:eastAsia="zh-CN"/>
              </w:rPr>
              <w:t>矸石发电公司化学脱硫部</w:t>
            </w:r>
          </w:p>
        </w:tc>
        <w:tc>
          <w:tcPr>
            <w:tcW w:w="1191" w:type="dxa"/>
            <w:tcBorders>
              <w:top w:val="single" w:color="auto" w:sz="4" w:space="0"/>
              <w:left w:val="single" w:color="auto" w:sz="4" w:space="0"/>
              <w:bottom w:val="single" w:color="auto" w:sz="4" w:space="0"/>
              <w:right w:val="single" w:color="auto" w:sz="4" w:space="0"/>
            </w:tcBorders>
            <w:vAlign w:val="center"/>
          </w:tcPr>
          <w:p>
            <w:pPr>
              <w:jc w:val="both"/>
              <w:rPr>
                <w:rFonts w:hint="eastAsia" w:ascii="仿宋_GB2312" w:hAnsi="仿宋_GB2312" w:eastAsia="仿宋_GB2312" w:cs="仿宋_GB2312"/>
                <w:bCs/>
                <w:sz w:val="21"/>
                <w:szCs w:val="21"/>
                <w:lang w:eastAsia="zh-CN"/>
              </w:rPr>
            </w:pPr>
            <w:r>
              <w:rPr>
                <w:rFonts w:hint="eastAsia" w:ascii="仿宋_GB2312" w:hAnsi="仿宋_GB2312" w:eastAsia="仿宋_GB2312" w:cs="仿宋_GB2312"/>
                <w:bCs/>
                <w:sz w:val="21"/>
                <w:szCs w:val="21"/>
                <w:lang w:eastAsia="zh-CN"/>
              </w:rPr>
              <w:t>含运费和装卸费</w:t>
            </w:r>
          </w:p>
        </w:tc>
      </w:tr>
    </w:tbl>
    <w:p>
      <w:pPr>
        <w:spacing w:after="67" w:line="283" w:lineRule="auto"/>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5.2要求提供产品的技术指标必须满足以下条件：</w:t>
      </w:r>
    </w:p>
    <w:tbl>
      <w:tblPr>
        <w:tblStyle w:val="4"/>
        <w:tblW w:w="9540" w:type="dxa"/>
        <w:jc w:val="center"/>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31"/>
        <w:gridCol w:w="987"/>
        <w:gridCol w:w="4006"/>
        <w:gridCol w:w="824"/>
        <w:gridCol w:w="690"/>
        <w:gridCol w:w="230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140" w:hRule="atLeast"/>
          <w:jc w:val="center"/>
        </w:trPr>
        <w:tc>
          <w:tcPr>
            <w:tcW w:w="731" w:type="dxa"/>
            <w:vAlign w:val="center"/>
          </w:tcPr>
          <w:p>
            <w:pPr>
              <w:snapToGrid w:val="0"/>
              <w:spacing w:before="50" w:after="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987" w:type="dxa"/>
            <w:vAlign w:val="center"/>
          </w:tcPr>
          <w:p>
            <w:pPr>
              <w:snapToGrid w:val="0"/>
              <w:spacing w:before="50" w:after="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名称</w:t>
            </w:r>
          </w:p>
        </w:tc>
        <w:tc>
          <w:tcPr>
            <w:tcW w:w="4006" w:type="dxa"/>
            <w:vAlign w:val="center"/>
          </w:tcPr>
          <w:p>
            <w:pPr>
              <w:snapToGrid w:val="0"/>
              <w:spacing w:before="50" w:after="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品牌型号及主要参数</w:t>
            </w:r>
          </w:p>
        </w:tc>
        <w:tc>
          <w:tcPr>
            <w:tcW w:w="824" w:type="dxa"/>
            <w:vAlign w:val="center"/>
          </w:tcPr>
          <w:p>
            <w:pPr>
              <w:snapToGrid w:val="0"/>
              <w:spacing w:before="50" w:after="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单位</w:t>
            </w:r>
          </w:p>
        </w:tc>
        <w:tc>
          <w:tcPr>
            <w:tcW w:w="690" w:type="dxa"/>
            <w:vAlign w:val="center"/>
          </w:tcPr>
          <w:p>
            <w:pPr>
              <w:snapToGrid w:val="0"/>
              <w:spacing w:before="50" w:after="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数量</w:t>
            </w:r>
          </w:p>
        </w:tc>
        <w:tc>
          <w:tcPr>
            <w:tcW w:w="2302" w:type="dxa"/>
            <w:vAlign w:val="top"/>
          </w:tcPr>
          <w:p>
            <w:pPr>
              <w:snapToGrid w:val="0"/>
              <w:spacing w:before="50" w:after="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677" w:hRule="atLeast"/>
          <w:jc w:val="center"/>
        </w:trPr>
        <w:tc>
          <w:tcPr>
            <w:tcW w:w="731" w:type="dxa"/>
            <w:vAlign w:val="center"/>
          </w:tcPr>
          <w:p>
            <w:pPr>
              <w:snapToGrid w:val="0"/>
              <w:spacing w:before="50" w:after="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987" w:type="dxa"/>
            <w:vAlign w:val="center"/>
          </w:tcPr>
          <w:p>
            <w:pPr>
              <w:snapToGrid w:val="0"/>
              <w:spacing w:before="50" w:after="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袋装尿素</w:t>
            </w:r>
          </w:p>
        </w:tc>
        <w:tc>
          <w:tcPr>
            <w:tcW w:w="4006" w:type="dxa"/>
            <w:vAlign w:val="center"/>
          </w:tcPr>
          <w:p>
            <w:pPr>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w w:val="95"/>
                <w:kern w:val="0"/>
                <w:sz w:val="21"/>
                <w:szCs w:val="21"/>
              </w:rPr>
              <w:t>总氮（N）(以干基计)</w:t>
            </w:r>
            <w:r>
              <w:rPr>
                <w:rFonts w:hint="eastAsia" w:ascii="仿宋_GB2312" w:hAnsi="仿宋_GB2312" w:eastAsia="仿宋_GB2312" w:cs="仿宋_GB2312"/>
                <w:sz w:val="21"/>
                <w:szCs w:val="21"/>
              </w:rPr>
              <w:t>≥</w:t>
            </w:r>
            <w:r>
              <w:rPr>
                <w:rFonts w:hint="eastAsia" w:ascii="仿宋_GB2312" w:hAnsi="仿宋_GB2312" w:eastAsia="仿宋_GB2312" w:cs="仿宋_GB2312"/>
                <w:kern w:val="0"/>
                <w:sz w:val="21"/>
                <w:szCs w:val="21"/>
              </w:rPr>
              <w:t>46.3%</w:t>
            </w:r>
            <w:r>
              <w:rPr>
                <w:rFonts w:hint="eastAsia" w:ascii="仿宋_GB2312" w:hAnsi="仿宋_GB2312" w:eastAsia="仿宋_GB2312" w:cs="仿宋_GB2312"/>
                <w:kern w:val="0"/>
                <w:sz w:val="21"/>
                <w:szCs w:val="21"/>
                <w:lang w:eastAsia="zh-CN"/>
              </w:rPr>
              <w:t>，</w:t>
            </w:r>
            <w:r>
              <w:rPr>
                <w:rFonts w:hint="eastAsia" w:ascii="仿宋_GB2312" w:hAnsi="仿宋_GB2312" w:eastAsia="仿宋_GB2312" w:cs="仿宋_GB2312"/>
                <w:sz w:val="21"/>
                <w:szCs w:val="21"/>
              </w:rPr>
              <w:t>50Kg</w:t>
            </w:r>
            <w:r>
              <w:rPr>
                <w:rFonts w:hint="eastAsia" w:ascii="仿宋_GB2312" w:hAnsi="仿宋_GB2312" w:eastAsia="仿宋_GB2312" w:cs="仿宋_GB2312"/>
                <w:w w:val="95"/>
                <w:kern w:val="0"/>
                <w:sz w:val="21"/>
                <w:szCs w:val="21"/>
              </w:rPr>
              <w:t>/袋</w:t>
            </w:r>
          </w:p>
        </w:tc>
        <w:tc>
          <w:tcPr>
            <w:tcW w:w="824" w:type="dxa"/>
            <w:vAlign w:val="center"/>
          </w:tcPr>
          <w:p>
            <w:pPr>
              <w:snapToGrid w:val="0"/>
              <w:spacing w:before="50" w:after="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吨</w:t>
            </w:r>
          </w:p>
        </w:tc>
        <w:tc>
          <w:tcPr>
            <w:tcW w:w="690" w:type="dxa"/>
            <w:vAlign w:val="center"/>
          </w:tcPr>
          <w:p>
            <w:pPr>
              <w:snapToGrid w:val="0"/>
              <w:spacing w:before="50" w:after="50"/>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1500</w:t>
            </w:r>
          </w:p>
        </w:tc>
        <w:tc>
          <w:tcPr>
            <w:tcW w:w="2302" w:type="dxa"/>
            <w:vAlign w:val="top"/>
          </w:tcPr>
          <w:p>
            <w:pPr>
              <w:snapToGrid w:val="0"/>
              <w:spacing w:before="50" w:after="5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1、执行《尿素》GB 2440-2001技术参数规定；2、提供的尿素应为天燃气合成生产的尿素。</w:t>
            </w:r>
          </w:p>
        </w:tc>
      </w:tr>
    </w:tbl>
    <w:p>
      <w:pPr>
        <w:tabs>
          <w:tab w:val="left" w:pos="1260"/>
        </w:tabs>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5.3</w:t>
      </w:r>
      <w:r>
        <w:rPr>
          <w:rFonts w:hint="eastAsia" w:ascii="仿宋_GB2312" w:hAnsi="仿宋_GB2312" w:eastAsia="仿宋_GB2312" w:cs="仿宋_GB2312"/>
          <w:sz w:val="21"/>
          <w:szCs w:val="21"/>
        </w:rPr>
        <w:t>投标人要详细描述</w:t>
      </w:r>
      <w:r>
        <w:rPr>
          <w:rFonts w:hint="eastAsia" w:ascii="仿宋_GB2312" w:hAnsi="仿宋_GB2312" w:eastAsia="仿宋_GB2312" w:cs="仿宋_GB2312"/>
          <w:sz w:val="21"/>
          <w:szCs w:val="21"/>
          <w:u w:val="single"/>
          <w:lang w:eastAsia="zh-CN"/>
        </w:rPr>
        <w:t>尿素</w:t>
      </w:r>
      <w:r>
        <w:rPr>
          <w:rFonts w:hint="eastAsia" w:ascii="仿宋_GB2312" w:hAnsi="仿宋_GB2312" w:eastAsia="仿宋_GB2312" w:cs="仿宋_GB2312"/>
          <w:sz w:val="21"/>
          <w:szCs w:val="21"/>
        </w:rPr>
        <w:t>的组成成分、注意事项等内容。</w:t>
      </w:r>
    </w:p>
    <w:p>
      <w:pPr>
        <w:tabs>
          <w:tab w:val="left" w:pos="1260"/>
        </w:tabs>
        <w:spacing w:line="360" w:lineRule="auto"/>
        <w:rPr>
          <w:rFonts w:hint="eastAsia" w:ascii="仿宋_GB2312" w:hAnsi="仿宋_GB2312" w:eastAsia="仿宋_GB2312" w:cs="仿宋_GB2312"/>
          <w:b w:val="0"/>
          <w:bCs/>
          <w:sz w:val="21"/>
          <w:szCs w:val="21"/>
        </w:rPr>
      </w:pPr>
      <w:r>
        <w:rPr>
          <w:rFonts w:hint="eastAsia" w:ascii="仿宋_GB2312" w:hAnsi="仿宋_GB2312" w:eastAsia="仿宋_GB2312" w:cs="仿宋_GB2312"/>
          <w:sz w:val="21"/>
          <w:szCs w:val="21"/>
          <w:lang w:val="en-US" w:eastAsia="zh-CN"/>
        </w:rPr>
        <w:t>5.4</w:t>
      </w:r>
      <w:r>
        <w:rPr>
          <w:rFonts w:hint="eastAsia" w:ascii="仿宋_GB2312" w:hAnsi="仿宋_GB2312" w:eastAsia="仿宋_GB2312" w:cs="仿宋_GB2312"/>
          <w:sz w:val="21"/>
          <w:szCs w:val="21"/>
          <w:u w:val="single"/>
          <w:lang w:eastAsia="zh-CN"/>
        </w:rPr>
        <w:t>尿素</w:t>
      </w:r>
      <w:r>
        <w:rPr>
          <w:rFonts w:hint="eastAsia" w:ascii="仿宋_GB2312" w:hAnsi="仿宋_GB2312" w:eastAsia="仿宋_GB2312" w:cs="仿宋_GB2312"/>
          <w:sz w:val="21"/>
          <w:szCs w:val="21"/>
        </w:rPr>
        <w:t>无毒无害、无污染、无腐蚀性、不可燃烧并且可以生物降解、对土壤、植被和地下水没有伤害，不会造成二次污染。</w:t>
      </w:r>
    </w:p>
    <w:p>
      <w:pPr>
        <w:tabs>
          <w:tab w:val="left" w:pos="1260"/>
        </w:tabs>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5.5</w:t>
      </w:r>
      <w:r>
        <w:rPr>
          <w:rFonts w:hint="eastAsia" w:ascii="仿宋_GB2312" w:hAnsi="仿宋_GB2312" w:eastAsia="仿宋_GB2312" w:cs="仿宋_GB2312"/>
          <w:sz w:val="21"/>
          <w:szCs w:val="21"/>
        </w:rPr>
        <w:t>技术要求与供货商所执行的标准发生矛盾时，按较高标准执行。</w:t>
      </w:r>
    </w:p>
    <w:p>
      <w:pPr>
        <w:autoSpaceDE w:val="0"/>
        <w:autoSpaceDN w:val="0"/>
        <w:adjustRightInd w:val="0"/>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b/>
          <w:sz w:val="21"/>
          <w:szCs w:val="21"/>
          <w:lang w:val="en-US" w:eastAsia="zh-CN"/>
        </w:rPr>
        <w:t>6</w:t>
      </w:r>
      <w:r>
        <w:rPr>
          <w:rFonts w:hint="eastAsia" w:ascii="仿宋_GB2312" w:hAnsi="仿宋_GB2312" w:eastAsia="仿宋_GB2312" w:cs="仿宋_GB2312"/>
          <w:b/>
          <w:sz w:val="21"/>
          <w:szCs w:val="21"/>
        </w:rPr>
        <w:t>.供货范围</w:t>
      </w:r>
    </w:p>
    <w:p>
      <w:pPr>
        <w:spacing w:line="360" w:lineRule="auto"/>
        <w:ind w:firstLine="420" w:firstLineChars="200"/>
        <w:rPr>
          <w:rFonts w:hint="eastAsia" w:ascii="仿宋_GB2312" w:hAnsi="仿宋_GB2312" w:eastAsia="仿宋_GB2312" w:cs="仿宋_GB2312"/>
          <w:color w:val="FF0000"/>
          <w:sz w:val="21"/>
          <w:szCs w:val="21"/>
        </w:rPr>
      </w:pPr>
      <w:r>
        <w:rPr>
          <w:rFonts w:hint="eastAsia" w:ascii="仿宋_GB2312" w:hAnsi="仿宋_GB2312" w:eastAsia="仿宋_GB2312" w:cs="仿宋_GB2312"/>
          <w:sz w:val="21"/>
          <w:szCs w:val="21"/>
        </w:rPr>
        <w:t>符合规范、质量合格、满足本招标各项技术要求的</w:t>
      </w:r>
      <w:r>
        <w:rPr>
          <w:rFonts w:hint="eastAsia" w:ascii="仿宋_GB2312" w:hAnsi="仿宋_GB2312" w:eastAsia="仿宋_GB2312" w:cs="仿宋_GB2312"/>
          <w:sz w:val="21"/>
          <w:szCs w:val="21"/>
          <w:u w:val="none"/>
          <w:lang w:eastAsia="zh-CN"/>
        </w:rPr>
        <w:t>合格产品</w:t>
      </w:r>
      <w:r>
        <w:rPr>
          <w:rFonts w:hint="eastAsia" w:ascii="仿宋_GB2312" w:hAnsi="仿宋_GB2312" w:eastAsia="仿宋_GB2312" w:cs="仿宋_GB2312"/>
          <w:sz w:val="21"/>
          <w:szCs w:val="21"/>
        </w:rPr>
        <w:t>。按照招标人需求供货（或分批供货），投标人负责将标的物运输到招标人指定地点</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标的物</w:t>
      </w:r>
      <w:r>
        <w:rPr>
          <w:rFonts w:hint="eastAsia" w:ascii="仿宋_GB2312" w:hAnsi="仿宋_GB2312" w:eastAsia="仿宋_GB2312" w:cs="仿宋_GB2312"/>
          <w:sz w:val="21"/>
          <w:szCs w:val="21"/>
          <w:lang w:eastAsia="zh-CN"/>
        </w:rPr>
        <w:t>所含的运费、装卸费等一切费用由中标人承担。</w:t>
      </w:r>
    </w:p>
    <w:p>
      <w:pPr>
        <w:autoSpaceDE w:val="0"/>
        <w:autoSpaceDN w:val="0"/>
        <w:adjustRightInd w:val="0"/>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lang w:val="en-US" w:eastAsia="zh-CN"/>
        </w:rPr>
        <w:t>7</w:t>
      </w:r>
      <w:r>
        <w:rPr>
          <w:rFonts w:hint="eastAsia" w:ascii="仿宋_GB2312" w:hAnsi="仿宋_GB2312" w:eastAsia="仿宋_GB2312" w:cs="仿宋_GB2312"/>
          <w:b/>
          <w:sz w:val="21"/>
          <w:szCs w:val="21"/>
        </w:rPr>
        <w:t>.质量保证</w:t>
      </w:r>
    </w:p>
    <w:p>
      <w:pPr>
        <w:spacing w:line="360" w:lineRule="auto"/>
        <w:ind w:firstLine="420" w:firstLineChars="200"/>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验收合格后，从验收之日起开始质保期，质保期为半年，在质保期内，投标人确保未经验证合格的产品不得交付给招标人使用。如因货物品质不合格，投标人必须在招标人要求的时间内予以更换，更换过程中产生的所有费用由中标人承担：投标人未能在招标人要求的时间内提供合格的产品，由此对招标人造成的一切损失由投标人承担。投标人需要将使用后的尿素空袋进行回收，回收过程中产生的一切后果由投标人承担。</w:t>
      </w:r>
    </w:p>
    <w:p>
      <w:pPr>
        <w:autoSpaceDE w:val="0"/>
        <w:autoSpaceDN w:val="0"/>
        <w:adjustRightInd w:val="0"/>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lang w:val="en-US" w:eastAsia="zh-CN"/>
        </w:rPr>
        <w:t>8</w:t>
      </w:r>
      <w:r>
        <w:rPr>
          <w:rFonts w:hint="eastAsia" w:ascii="仿宋_GB2312" w:hAnsi="仿宋_GB2312" w:eastAsia="仿宋_GB2312" w:cs="仿宋_GB2312"/>
          <w:b/>
          <w:sz w:val="21"/>
          <w:szCs w:val="21"/>
        </w:rPr>
        <w:t>.考核、验收、结算方式</w:t>
      </w:r>
    </w:p>
    <w:p>
      <w:pPr>
        <w:spacing w:line="360" w:lineRule="auto"/>
        <w:ind w:firstLine="210" w:firstLineChars="1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w:t>
      </w:r>
      <w:r>
        <w:rPr>
          <w:rFonts w:hint="eastAsia" w:ascii="仿宋_GB2312" w:hAnsi="仿宋_GB2312" w:eastAsia="仿宋_GB2312" w:cs="仿宋_GB2312"/>
          <w:sz w:val="21"/>
          <w:szCs w:val="21"/>
          <w:lang w:val="en-US" w:eastAsia="zh-CN"/>
        </w:rPr>
        <w:t>8</w:t>
      </w:r>
      <w:r>
        <w:rPr>
          <w:rFonts w:hint="eastAsia" w:ascii="仿宋_GB2312" w:hAnsi="仿宋_GB2312" w:eastAsia="仿宋_GB2312" w:cs="仿宋_GB2312"/>
          <w:sz w:val="21"/>
          <w:szCs w:val="21"/>
        </w:rPr>
        <w:t>.1招标</w:t>
      </w:r>
      <w:r>
        <w:rPr>
          <w:rFonts w:hint="eastAsia" w:ascii="仿宋_GB2312" w:hAnsi="仿宋_GB2312" w:eastAsia="仿宋_GB2312" w:cs="仿宋_GB2312"/>
          <w:sz w:val="21"/>
          <w:szCs w:val="21"/>
          <w:lang w:eastAsia="zh-CN"/>
        </w:rPr>
        <w:t>人</w:t>
      </w:r>
      <w:r>
        <w:rPr>
          <w:rFonts w:hint="eastAsia" w:ascii="仿宋_GB2312" w:hAnsi="仿宋_GB2312" w:eastAsia="仿宋_GB2312" w:cs="仿宋_GB2312"/>
          <w:sz w:val="21"/>
          <w:szCs w:val="21"/>
        </w:rPr>
        <w:t>对</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u w:val="single"/>
          <w:lang w:val="en-US" w:eastAsia="zh-CN"/>
        </w:rPr>
        <w:t>脱硝用尿素</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使用效果考核验收。</w:t>
      </w:r>
    </w:p>
    <w:p>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lang w:val="en-US" w:eastAsia="zh-CN"/>
        </w:rPr>
        <w:t>8</w:t>
      </w:r>
      <w:r>
        <w:rPr>
          <w:rFonts w:hint="eastAsia" w:ascii="仿宋_GB2312" w:hAnsi="仿宋_GB2312" w:eastAsia="仿宋_GB2312" w:cs="仿宋_GB2312"/>
          <w:sz w:val="21"/>
          <w:szCs w:val="21"/>
        </w:rPr>
        <w:t>.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w:t>
      </w:r>
    </w:p>
    <w:p>
      <w:pPr>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w:t>
      </w:r>
      <w:r>
        <w:rPr>
          <w:rFonts w:hint="eastAsia" w:ascii="仿宋_GB2312" w:hAnsi="仿宋_GB2312" w:eastAsia="仿宋_GB2312" w:cs="仿宋_GB2312"/>
          <w:sz w:val="21"/>
          <w:szCs w:val="21"/>
          <w:lang w:val="en-US" w:eastAsia="zh-CN"/>
        </w:rPr>
        <w:t>8</w:t>
      </w:r>
      <w:r>
        <w:rPr>
          <w:rFonts w:hint="eastAsia" w:ascii="仿宋_GB2312" w:hAnsi="仿宋_GB2312" w:eastAsia="仿宋_GB2312" w:cs="仿宋_GB2312"/>
          <w:sz w:val="21"/>
          <w:szCs w:val="21"/>
        </w:rPr>
        <w:t>.3验收标准</w:t>
      </w:r>
    </w:p>
    <w:p>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验收标准为合同规定要求和相关标准，国家标准、规范以及国际标准和双方认可的其它标准。</w:t>
      </w:r>
    </w:p>
    <w:p>
      <w:pPr>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w:t>
      </w:r>
      <w:r>
        <w:rPr>
          <w:rFonts w:hint="eastAsia" w:ascii="仿宋_GB2312" w:hAnsi="仿宋_GB2312" w:eastAsia="仿宋_GB2312" w:cs="仿宋_GB2312"/>
          <w:sz w:val="21"/>
          <w:szCs w:val="21"/>
          <w:lang w:val="en-US" w:eastAsia="zh-CN"/>
        </w:rPr>
        <w:t>8</w:t>
      </w:r>
      <w:r>
        <w:rPr>
          <w:rFonts w:hint="eastAsia" w:ascii="仿宋_GB2312" w:hAnsi="仿宋_GB2312" w:eastAsia="仿宋_GB2312" w:cs="仿宋_GB2312"/>
          <w:sz w:val="21"/>
          <w:szCs w:val="21"/>
        </w:rPr>
        <w:t xml:space="preserve">.4 </w:t>
      </w:r>
      <w:r>
        <w:rPr>
          <w:rFonts w:hint="eastAsia" w:ascii="仿宋_GB2312" w:hAnsi="仿宋_GB2312" w:eastAsia="仿宋_GB2312" w:cs="仿宋_GB2312"/>
          <w:bCs/>
          <w:sz w:val="21"/>
          <w:szCs w:val="21"/>
        </w:rPr>
        <w:t>合同有效期及</w:t>
      </w:r>
      <w:r>
        <w:rPr>
          <w:rFonts w:hint="eastAsia" w:ascii="仿宋_GB2312" w:hAnsi="仿宋_GB2312" w:eastAsia="仿宋_GB2312" w:cs="仿宋_GB2312"/>
          <w:sz w:val="21"/>
          <w:szCs w:val="21"/>
        </w:rPr>
        <w:t>结算方式</w:t>
      </w:r>
    </w:p>
    <w:p>
      <w:pPr>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bCs/>
          <w:sz w:val="21"/>
          <w:szCs w:val="21"/>
        </w:rPr>
        <w:t xml:space="preserve">   </w:t>
      </w:r>
      <w:r>
        <w:rPr>
          <w:rFonts w:hint="eastAsia" w:ascii="仿宋_GB2312" w:hAnsi="仿宋_GB2312" w:eastAsia="仿宋_GB2312" w:cs="仿宋_GB2312"/>
          <w:bCs/>
          <w:sz w:val="21"/>
          <w:szCs w:val="21"/>
          <w:lang w:val="en-US" w:eastAsia="zh-CN"/>
        </w:rPr>
        <w:t xml:space="preserve"> </w:t>
      </w:r>
      <w:r>
        <w:rPr>
          <w:rFonts w:hint="eastAsia" w:ascii="仿宋_GB2312" w:hAnsi="仿宋_GB2312" w:eastAsia="仿宋_GB2312" w:cs="仿宋_GB2312"/>
          <w:bCs/>
          <w:sz w:val="21"/>
          <w:szCs w:val="21"/>
        </w:rPr>
        <w:t>合同有效期为自合同签订之日起总量使用完毕，合同自然终止。</w:t>
      </w:r>
    </w:p>
    <w:p>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供货：按照招标人需求分批供货。</w:t>
      </w:r>
    </w:p>
    <w:p>
      <w:pPr>
        <w:spacing w:line="360" w:lineRule="auto"/>
        <w:ind w:firstLine="420" w:firstLineChars="200"/>
        <w:rPr>
          <w:rFonts w:hint="eastAsia" w:ascii="仿宋_GB2312" w:hAnsi="仿宋_GB2312" w:eastAsia="仿宋_GB2312" w:cs="仿宋_GB2312"/>
          <w:sz w:val="21"/>
          <w:szCs w:val="21"/>
        </w:rPr>
      </w:pPr>
      <w:bookmarkStart w:id="1" w:name="OLE_LINK1"/>
      <w:r>
        <w:rPr>
          <w:rFonts w:hint="eastAsia" w:ascii="仿宋_GB2312" w:hAnsi="仿宋_GB2312" w:eastAsia="仿宋_GB2312" w:cs="仿宋_GB2312"/>
          <w:sz w:val="21"/>
          <w:szCs w:val="21"/>
        </w:rPr>
        <w:t>结算：</w:t>
      </w:r>
      <w:r>
        <w:rPr>
          <w:rFonts w:hint="eastAsia" w:ascii="仿宋_GB2312" w:hAnsi="仿宋_GB2312" w:eastAsia="仿宋_GB2312" w:cs="仿宋_GB2312"/>
          <w:color w:val="auto"/>
          <w:sz w:val="21"/>
          <w:szCs w:val="21"/>
          <w:lang w:eastAsia="zh-CN"/>
        </w:rPr>
        <w:t>费用结算按月或季度分批结算</w:t>
      </w:r>
      <w:r>
        <w:rPr>
          <w:rFonts w:hint="eastAsia" w:ascii="仿宋_GB2312" w:hAnsi="仿宋_GB2312" w:eastAsia="仿宋_GB2312" w:cs="仿宋_GB2312"/>
          <w:sz w:val="21"/>
          <w:szCs w:val="21"/>
        </w:rPr>
        <w:t>。</w:t>
      </w:r>
    </w:p>
    <w:bookmarkEnd w:id="1"/>
    <w:p>
      <w:pPr>
        <w:autoSpaceDE w:val="0"/>
        <w:autoSpaceDN w:val="0"/>
        <w:adjustRightInd w:val="0"/>
        <w:spacing w:line="360" w:lineRule="auto"/>
        <w:rPr>
          <w:rFonts w:hint="eastAsia" w:ascii="仿宋_GB2312" w:hAnsi="仿宋_GB2312" w:eastAsia="仿宋_GB2312" w:cs="仿宋_GB2312"/>
          <w:b/>
          <w:sz w:val="21"/>
          <w:szCs w:val="21"/>
        </w:rPr>
      </w:pPr>
      <w:r>
        <w:rPr>
          <w:rFonts w:hint="eastAsia" w:ascii="仿宋_GB2312" w:hAnsi="仿宋_GB2312" w:eastAsia="仿宋_GB2312" w:cs="仿宋_GB2312"/>
          <w:b/>
          <w:sz w:val="21"/>
          <w:szCs w:val="21"/>
          <w:lang w:val="en-US" w:eastAsia="zh-CN"/>
        </w:rPr>
        <w:t>9</w:t>
      </w:r>
      <w:r>
        <w:rPr>
          <w:rFonts w:hint="eastAsia" w:ascii="仿宋_GB2312" w:hAnsi="仿宋_GB2312" w:eastAsia="仿宋_GB2312" w:cs="仿宋_GB2312"/>
          <w:b/>
          <w:sz w:val="21"/>
          <w:szCs w:val="21"/>
        </w:rPr>
        <w:t>.售后支持</w:t>
      </w:r>
    </w:p>
    <w:p>
      <w:pPr>
        <w:spacing w:line="360" w:lineRule="auto"/>
        <w:ind w:firstLine="420" w:firstLineChars="20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要求投标人在使用前在招标人现场进行培训、指导，并根据招标人要求不定期对产品使用效果进行跟踪，发现不足，及时采取补救措施，严格保证招标要求的各项技术指标。</w:t>
      </w:r>
    </w:p>
    <w:p>
      <w:pPr>
        <w:rPr>
          <w:rFonts w:hint="eastAsia" w:ascii="Times New Roman" w:hAnsi="Times New Roman" w:cs="Times New Roman" w:eastAsiaTheme="minorEastAsia"/>
          <w:sz w:val="21"/>
          <w:szCs w:val="21"/>
          <w:lang w:eastAsia="zh-CN"/>
        </w:rPr>
      </w:pPr>
      <w:r>
        <w:rPr>
          <w:rFonts w:hint="eastAsia" w:ascii="仿宋_GB2312" w:hAnsi="仿宋_GB2312" w:eastAsia="仿宋_GB2312" w:cs="仿宋_GB2312"/>
          <w:b/>
          <w:bCs/>
          <w:sz w:val="28"/>
          <w:szCs w:val="28"/>
          <w:lang w:eastAsia="zh-CN" w:bidi="ar-SA"/>
        </w:rPr>
        <w:br w:type="page"/>
      </w:r>
    </w:p>
    <w:p>
      <w:pPr>
        <w:pStyle w:val="2"/>
        <w:jc w:val="center"/>
        <w:rPr>
          <w:rFonts w:hint="eastAsia" w:ascii="Times New Roman" w:hAnsi="Times New Roman" w:cs="Times New Roman" w:eastAsiaTheme="minorEastAsia"/>
          <w:sz w:val="21"/>
          <w:szCs w:val="21"/>
          <w:lang w:eastAsia="zh-CN"/>
        </w:rPr>
      </w:pPr>
      <w:bookmarkStart w:id="2" w:name="_Toc6242"/>
      <w:r>
        <w:rPr>
          <w:rFonts w:hint="eastAsia" w:ascii="Times New Roman" w:hAnsi="Times New Roman" w:cs="Times New Roman" w:eastAsiaTheme="minorEastAsia"/>
          <w:sz w:val="21"/>
          <w:szCs w:val="21"/>
          <w:lang w:eastAsia="zh-CN"/>
        </w:rPr>
        <w:t>第</w:t>
      </w:r>
      <w:r>
        <w:rPr>
          <w:rFonts w:hint="eastAsia" w:cs="Times New Roman" w:eastAsiaTheme="minorEastAsia"/>
          <w:sz w:val="21"/>
          <w:szCs w:val="21"/>
          <w:lang w:eastAsia="zh-CN"/>
        </w:rPr>
        <w:t>二</w:t>
      </w:r>
      <w:r>
        <w:rPr>
          <w:rFonts w:hint="eastAsia" w:ascii="Times New Roman" w:hAnsi="Times New Roman" w:cs="Times New Roman" w:eastAsiaTheme="minorEastAsia"/>
          <w:sz w:val="21"/>
          <w:szCs w:val="21"/>
          <w:lang w:eastAsia="zh-CN"/>
        </w:rPr>
        <w:t>包：</w:t>
      </w:r>
      <w:r>
        <w:rPr>
          <w:rFonts w:hint="eastAsia" w:ascii="Times New Roman" w:hAnsi="Times New Roman" w:cs="Times New Roman" w:eastAsiaTheme="minorEastAsia"/>
          <w:sz w:val="21"/>
          <w:szCs w:val="21"/>
          <w:lang w:val="en-US" w:eastAsia="zh-CN"/>
        </w:rPr>
        <w:t>移动变电站国产配件</w:t>
      </w:r>
      <w:r>
        <w:rPr>
          <w:rFonts w:hint="eastAsia" w:ascii="Times New Roman" w:hAnsi="Times New Roman" w:cs="Times New Roman" w:eastAsiaTheme="minorEastAsia"/>
          <w:sz w:val="21"/>
          <w:szCs w:val="21"/>
          <w:lang w:eastAsia="zh-CN"/>
        </w:rPr>
        <w:t>技术要求</w:t>
      </w:r>
      <w:bookmarkEnd w:id="2"/>
    </w:p>
    <w:p>
      <w:pPr>
        <w:tabs>
          <w:tab w:val="left" w:pos="360"/>
          <w:tab w:val="left" w:pos="540"/>
        </w:tabs>
        <w:jc w:val="left"/>
        <w:rPr>
          <w:rFonts w:hint="eastAsia" w:ascii="仿宋" w:hAnsi="仿宋" w:eastAsia="仿宋" w:cs="仿宋"/>
          <w:b/>
          <w:bCs/>
          <w:sz w:val="21"/>
          <w:szCs w:val="21"/>
          <w:lang w:eastAsia="zh-CN"/>
        </w:rPr>
      </w:pPr>
      <w:r>
        <w:rPr>
          <w:rFonts w:hint="eastAsia" w:ascii="仿宋" w:hAnsi="仿宋" w:eastAsia="仿宋" w:cs="仿宋"/>
          <w:b/>
          <w:bCs/>
          <w:sz w:val="21"/>
          <w:szCs w:val="21"/>
          <w:lang w:val="en-US" w:eastAsia="zh-CN"/>
        </w:rPr>
        <w:t>1.</w:t>
      </w:r>
      <w:r>
        <w:rPr>
          <w:rFonts w:hint="eastAsia" w:ascii="仿宋" w:hAnsi="仿宋" w:eastAsia="仿宋" w:cs="仿宋"/>
          <w:b/>
          <w:bCs/>
          <w:sz w:val="21"/>
          <w:szCs w:val="21"/>
          <w:lang w:eastAsia="zh-CN"/>
        </w:rPr>
        <w:t>项目简介：</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买受方购置的移动变电站国产化电气配件，将用于黑岱沟露天煤矿采掘场供配电系统中6.3KV橡套电缆的连接制作。</w:t>
      </w:r>
    </w:p>
    <w:p>
      <w:pPr>
        <w:tabs>
          <w:tab w:val="left" w:pos="360"/>
          <w:tab w:val="left" w:pos="540"/>
        </w:tabs>
        <w:jc w:val="left"/>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2.供货明细</w:t>
      </w:r>
    </w:p>
    <w:p>
      <w:pPr>
        <w:tabs>
          <w:tab w:val="left" w:pos="360"/>
          <w:tab w:val="left" w:pos="540"/>
        </w:tabs>
        <w:jc w:val="left"/>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 xml:space="preserve">  </w:t>
      </w:r>
    </w:p>
    <w:tbl>
      <w:tblPr>
        <w:tblStyle w:val="4"/>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04"/>
        <w:gridCol w:w="1067"/>
        <w:gridCol w:w="5683"/>
        <w:gridCol w:w="578"/>
        <w:gridCol w:w="553"/>
        <w:gridCol w:w="11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序号</w:t>
            </w:r>
          </w:p>
        </w:tc>
        <w:tc>
          <w:tcPr>
            <w:tcW w:w="1067"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采购编码</w:t>
            </w:r>
          </w:p>
        </w:tc>
        <w:tc>
          <w:tcPr>
            <w:tcW w:w="5683"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采购编码描述</w:t>
            </w:r>
          </w:p>
        </w:tc>
        <w:tc>
          <w:tcPr>
            <w:tcW w:w="578"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单位</w:t>
            </w:r>
          </w:p>
        </w:tc>
        <w:tc>
          <w:tcPr>
            <w:tcW w:w="553"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数量</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需求部门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10775487</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耦合器相线\50402142 400A\35/6.3kV-5000kVA\国产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120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11422891</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耦合器托架固定件\BJS 290×256×40mm\6300kVA\国产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10753217</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整流线路板\50403211 Ⅱ型\35/6.3kV-5000kVA\国产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10768790</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电缆头总成\50402192 400A\35/6.3kV-5000kVA\国产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280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10770152</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相线插头插座\400A 90-120mm电缆用\5000kVA\国产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11170562</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分线箱耦合器支架\SHA/175cm/75cm\6300kVA\国产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11425920</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电缆连接插头\JB-400A\6300kVA\国产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10728784</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偶合器总成\400A\35/6.3kV-6300kVA\国产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10769482</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监测插头\56000108\35/6.3kV-6300kVA\国产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11261582</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电缆头接头\JB-(70-120)m2\35/6.3kV-6300kVA\国产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10748552</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拖拽电缆支架\SHC-MYPTJ 四路线供电\6300kVA\国产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12</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10774250</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绝缘套管\400A\35/6.3kV-6300kVA\国产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13</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11261589</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电缆分支箱\BJA-6.3kV/400A\35/6.3kV-6300kVA\国产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套</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10768896</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电缆进线喇叭咀\50-120\35/6.3kV-6300kVA\国产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280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15</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10768798</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电缆头防尘盖\56000119\35/6.3kV-6300kVA\国产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16</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10774253</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绝缘套管\80GYX01.775.002 座 8kV\6300kVA\国产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17</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11193513</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耦合器总成专用工具\80DLT01.371.001\国产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把</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11421367</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防尘盖防水垫\80DLT.375.002\35/6.3kV-6300kVA\国产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19</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11191903</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接地插座\50DLT01.570.002\SHC400A 8000V\国产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10753218</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整流线路板\50403698 Ⅰ型\35/6.3kV-5000kVA\国产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21</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10748451</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拉紧螺栓\56000101\35/6.3kV-6300kVA\国产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22</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10769493</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监测连接器\JS-3\35/6.3kV-6300kVA\国产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23</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11261584</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电缆头密封接头\JB-(50-70)m2\35/6.3kV-6300kVA\国产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24</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10769487</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监测绝缘瓷套管\50400103\35/6.3kV-5000kVA\国产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25</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11078861</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监测插座\50DLT01.570.001\35/6.3kV-6300kVA\国产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150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26</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11185202</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接地插头\50DLT01.570.002\SHC400A/8000V\国产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27</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11191899</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耦合器防尘盖\50GY201.313.002\35/6.3kV-6300kVA</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28</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11261583</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电缆头夹紧接头防水头\70-120m2\35/6.3kV-6300kVA\国产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29</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11261586</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分支箱母线\BJD-6.3kV/400A\35/6.3kV-6300kVA\国产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30</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11425837</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监测插座连线总成\JS-3\6300kVA\国产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套</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31</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11425838</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电缆连接插座\JZ-400A\6300kVA\国产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32</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11043609</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10kV电缆冷缩终端头\NSY 70-120mm2</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33</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11425836</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接地插座连线总成\JN-6\6300kVA\国产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套</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34</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10749692</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接地连接器\JN-6\35/6.3kV-6300kVA\国产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件</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9" w:hRule="atLeast"/>
        </w:trPr>
        <w:tc>
          <w:tcPr>
            <w:tcW w:w="6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35</w:t>
            </w:r>
          </w:p>
        </w:tc>
        <w:tc>
          <w:tcPr>
            <w:tcW w:w="10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11423102</w:t>
            </w:r>
          </w:p>
        </w:tc>
        <w:tc>
          <w:tcPr>
            <w:tcW w:w="56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耦合器插座连接线总成\6.3-10kV/400A\6300kVA\国产</w:t>
            </w:r>
          </w:p>
        </w:tc>
        <w:tc>
          <w:tcPr>
            <w:tcW w:w="5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套</w:t>
            </w: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30</w:t>
            </w:r>
          </w:p>
        </w:tc>
        <w:tc>
          <w:tcPr>
            <w:tcW w:w="118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黑矿供电队</w:t>
            </w:r>
          </w:p>
        </w:tc>
      </w:tr>
    </w:tbl>
    <w:p>
      <w:pPr>
        <w:tabs>
          <w:tab w:val="left" w:pos="360"/>
          <w:tab w:val="left" w:pos="540"/>
        </w:tabs>
        <w:jc w:val="left"/>
        <w:rPr>
          <w:rFonts w:hint="eastAsia" w:ascii="仿宋" w:hAnsi="仿宋" w:eastAsia="仿宋" w:cs="仿宋"/>
          <w:sz w:val="21"/>
          <w:szCs w:val="21"/>
          <w:lang w:val="en-US" w:eastAsia="zh-CN"/>
        </w:rPr>
      </w:pPr>
    </w:p>
    <w:p>
      <w:pPr>
        <w:tabs>
          <w:tab w:val="left" w:pos="360"/>
          <w:tab w:val="left" w:pos="540"/>
        </w:tabs>
        <w:jc w:val="left"/>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3.使用环境条件</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3.1海拔高度：1300m </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3.2最大风速：35 m/s          </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3.3环境温度：最高﹢39.4℃，最低－34℃，年平均5.3-7.6℃</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3.4相对湿度：日平均不大于95℅，月平均不大于90℅</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3.5地震烈度：8度</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3.6安装地点：户外</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3.7工作环境</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所有配件、总成均使用在露天煤矿的剥离现场6.3KV供电系统中，经受夏季高温、冬季寒冷的考验，在拖拽过程中要承受一定的机械拉力和掌子面滚落石块的工作环境，存在一定的氧化、硫化的腐蚀性。</w:t>
      </w:r>
    </w:p>
    <w:p>
      <w:pPr>
        <w:tabs>
          <w:tab w:val="left" w:pos="360"/>
          <w:tab w:val="left" w:pos="540"/>
        </w:tabs>
        <w:jc w:val="left"/>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4.技术要求</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耦合器、电缆头总成，插头、接头完全符合如下技术要求。</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4.1 配套电缆形式</w:t>
      </w:r>
    </w:p>
    <w:p>
      <w:pPr>
        <w:numPr>
          <w:ilvl w:val="2"/>
          <w:numId w:val="1"/>
        </w:numPr>
        <w:tabs>
          <w:tab w:val="left" w:pos="540"/>
          <w:tab w:val="left" w:pos="2160"/>
          <w:tab w:val="clear" w:pos="720"/>
        </w:tabs>
        <w:spacing w:line="360" w:lineRule="auto"/>
        <w:ind w:left="2160" w:hanging="5126"/>
        <w:rPr>
          <w:rFonts w:hint="eastAsia" w:ascii="仿宋" w:hAnsi="仿宋" w:eastAsia="仿宋" w:cs="仿宋"/>
          <w:color w:val="000000"/>
          <w:sz w:val="21"/>
          <w:szCs w:val="21"/>
        </w:rPr>
      </w:pPr>
      <w:r>
        <w:rPr>
          <w:rFonts w:hint="eastAsia" w:ascii="仿宋" w:hAnsi="仿宋" w:eastAsia="仿宋" w:cs="仿宋"/>
          <w:sz w:val="21"/>
          <w:szCs w:val="21"/>
        </w:rPr>
        <w:drawing>
          <wp:anchor distT="0" distB="0" distL="114300" distR="114300" simplePos="0" relativeHeight="251659264" behindDoc="1" locked="0" layoutInCell="1" allowOverlap="1">
            <wp:simplePos x="0" y="0"/>
            <wp:positionH relativeFrom="column">
              <wp:posOffset>338455</wp:posOffset>
            </wp:positionH>
            <wp:positionV relativeFrom="paragraph">
              <wp:posOffset>0</wp:posOffset>
            </wp:positionV>
            <wp:extent cx="4114800" cy="2505075"/>
            <wp:effectExtent l="0" t="0" r="0" b="9525"/>
            <wp:wrapTight wrapText="bothSides">
              <wp:wrapPolygon>
                <wp:start x="0" y="0"/>
                <wp:lineTo x="0" y="21419"/>
                <wp:lineTo x="21520" y="21419"/>
                <wp:lineTo x="21520" y="0"/>
                <wp:lineTo x="0" y="0"/>
              </wp:wrapPolygon>
            </wp:wrapTight>
            <wp:docPr id="2" name="图片 2" descr="ntscgw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ntscgwou"/>
                    <pic:cNvPicPr>
                      <a:picLocks noChangeAspect="1"/>
                    </pic:cNvPicPr>
                  </pic:nvPicPr>
                  <pic:blipFill>
                    <a:blip r:embed="rId4">
                      <a:lum bright="-89996" contrast="96000"/>
                    </a:blip>
                    <a:stretch>
                      <a:fillRect/>
                    </a:stretch>
                  </pic:blipFill>
                  <pic:spPr>
                    <a:xfrm>
                      <a:off x="0" y="0"/>
                      <a:ext cx="4114800" cy="2505075"/>
                    </a:xfrm>
                    <a:prstGeom prst="rect">
                      <a:avLst/>
                    </a:prstGeom>
                    <a:noFill/>
                    <a:ln w="9525">
                      <a:noFill/>
                    </a:ln>
                  </pic:spPr>
                </pic:pic>
              </a:graphicData>
            </a:graphic>
          </wp:anchor>
        </w:drawing>
      </w:r>
    </w:p>
    <w:p>
      <w:pPr>
        <w:spacing w:line="360" w:lineRule="auto"/>
        <w:jc w:val="center"/>
        <w:rPr>
          <w:rFonts w:hint="eastAsia" w:ascii="仿宋" w:hAnsi="仿宋" w:eastAsia="仿宋" w:cs="仿宋"/>
          <w:color w:val="000000"/>
          <w:sz w:val="21"/>
          <w:szCs w:val="21"/>
        </w:rPr>
      </w:pPr>
      <w:r>
        <w:rPr>
          <w:rFonts w:hint="eastAsia" w:ascii="仿宋" w:hAnsi="仿宋" w:eastAsia="仿宋" w:cs="仿宋"/>
          <w:sz w:val="21"/>
          <w:szCs w:val="21"/>
          <w:bdr w:val="single" w:color="auto" w:sz="4" w:space="0"/>
        </w:rPr>
        <w:drawing>
          <wp:inline distT="0" distB="0" distL="114300" distR="114300">
            <wp:extent cx="4113530" cy="2503170"/>
            <wp:effectExtent l="0" t="0" r="1270" b="11430"/>
            <wp:docPr id="5" name="图片 1" descr="ntscgw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ntscgwou"/>
                    <pic:cNvPicPr>
                      <a:picLocks noChangeAspect="1"/>
                    </pic:cNvPicPr>
                  </pic:nvPicPr>
                  <pic:blipFill>
                    <a:blip r:embed="rId4">
                      <a:lum bright="-89996" contrast="96000"/>
                    </a:blip>
                    <a:stretch>
                      <a:fillRect/>
                    </a:stretch>
                  </pic:blipFill>
                  <pic:spPr>
                    <a:xfrm>
                      <a:off x="0" y="0"/>
                      <a:ext cx="4113530" cy="2503170"/>
                    </a:xfrm>
                    <a:prstGeom prst="rect">
                      <a:avLst/>
                    </a:prstGeom>
                    <a:noFill/>
                    <a:ln w="9525">
                      <a:noFill/>
                    </a:ln>
                  </pic:spPr>
                </pic:pic>
              </a:graphicData>
            </a:graphic>
          </wp:inline>
        </w:drawing>
      </w:r>
    </w:p>
    <w:p>
      <w:pPr>
        <w:spacing w:line="360" w:lineRule="auto"/>
        <w:ind w:firstLine="630" w:firstLineChars="300"/>
        <w:rPr>
          <w:rFonts w:hint="eastAsia" w:ascii="仿宋" w:hAnsi="仿宋" w:eastAsia="仿宋" w:cs="仿宋"/>
          <w:color w:val="000000"/>
          <w:sz w:val="21"/>
          <w:szCs w:val="21"/>
        </w:rPr>
      </w:pPr>
      <w:r>
        <w:rPr>
          <w:rFonts w:hint="eastAsia" w:ascii="仿宋" w:hAnsi="仿宋" w:eastAsia="仿宋" w:cs="仿宋"/>
          <w:color w:val="000000"/>
          <w:sz w:val="21"/>
          <w:szCs w:val="21"/>
        </w:rPr>
        <w:t>1 动力线芯导体；2 导体屏蔽；3 绝缘；4 绝缘屏蔽；5接地线芯导体；</w:t>
      </w:r>
    </w:p>
    <w:p>
      <w:pPr>
        <w:spacing w:line="360" w:lineRule="auto"/>
        <w:ind w:firstLine="630" w:firstLineChars="300"/>
        <w:rPr>
          <w:rFonts w:hint="eastAsia" w:ascii="仿宋" w:hAnsi="仿宋" w:eastAsia="仿宋" w:cs="仿宋"/>
          <w:color w:val="000000"/>
          <w:sz w:val="21"/>
          <w:szCs w:val="21"/>
        </w:rPr>
      </w:pPr>
      <w:r>
        <w:rPr>
          <w:rFonts w:hint="eastAsia" w:ascii="仿宋" w:hAnsi="仿宋" w:eastAsia="仿宋" w:cs="仿宋"/>
          <w:color w:val="000000"/>
          <w:sz w:val="21"/>
          <w:szCs w:val="21"/>
        </w:rPr>
        <w:t>6 接地线芯屏蔽；7 内护套；  8 高强度编织层；    9 外护套</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4.2配套电缆规格：按供货明细表提供</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4.3电缆芯数：6芯</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4.4额定电压：8KV</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4.5额定电流：400A</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4.6电缆耦合器结构说明:耦合器为三件套形式。</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4.7电缆耦合器保证电缆截面在3×120 mm2 +3×35mm2和3x35 mm2+3x10 mm2之间时能够牢靠地夹紧，保证其阴阳结合的导电体的接触面载流量大于400A。</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4.8电缆耦合器采用铝合金外壳，防护等级不低于IP56。</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4.9所有导电体为铜制，导电接触零件都镀银。</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4.10电缆进线接合面处密封可靠、防水，保证在水中浸泡能够正常工作，不会漏电，并确保电缆夹紧，符合矿用标准。</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4.12导体绝缘套管的直流耐压不得低于15KV。</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4.13耦合器形式为插座式结构，与黑岱沟露天矿在用的形式一致，连接严密，内部各连接触头为3相线、2地线、1监测线，配合误差小于0.05%。</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4.14密封器件抗氧化、抗硫化，老化性能良好。</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4.15绝缘良好，在规范规定的直流耐压下，泄露电流小于10μ，直流耐压不得低于15KV。</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4.16插头、插座表面光滑无毛刺，插头与插座配合紧密，无尖端放电。</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4.17插头、插座带电连接体导电性能良好，接触面不小于额定电流要求，且具有一定的抗剪、抗拉强度。</w:t>
      </w:r>
    </w:p>
    <w:p>
      <w:pPr>
        <w:numPr>
          <w:ilvl w:val="0"/>
          <w:numId w:val="0"/>
        </w:numPr>
        <w:tabs>
          <w:tab w:val="left" w:pos="1540"/>
        </w:tabs>
        <w:spacing w:line="360" w:lineRule="auto"/>
        <w:ind w:firstLine="48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4.18插头、插座以及连接后，能够在500A 5分钟内作用下插头插座不过热、不变色。</w:t>
      </w:r>
    </w:p>
    <w:p>
      <w:pPr>
        <w:tabs>
          <w:tab w:val="left" w:pos="360"/>
          <w:tab w:val="left" w:pos="540"/>
        </w:tabs>
        <w:jc w:val="left"/>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5.工期、交货要求</w:t>
      </w:r>
    </w:p>
    <w:p>
      <w:pPr>
        <w:numPr>
          <w:ilvl w:val="0"/>
          <w:numId w:val="0"/>
        </w:numPr>
        <w:tabs>
          <w:tab w:val="left" w:pos="1540"/>
        </w:tabs>
        <w:spacing w:line="360" w:lineRule="auto"/>
        <w:ind w:firstLine="630" w:firstLineChars="3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5.1总成、配件于合同签订后3个月内到货。</w:t>
      </w:r>
    </w:p>
    <w:p>
      <w:pPr>
        <w:numPr>
          <w:ilvl w:val="0"/>
          <w:numId w:val="0"/>
        </w:numPr>
        <w:tabs>
          <w:tab w:val="left" w:pos="1540"/>
        </w:tabs>
        <w:spacing w:line="360" w:lineRule="auto"/>
        <w:ind w:firstLine="630" w:firstLineChars="3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5.2交货地点为黑岱沟供应站维修分库。</w:t>
      </w:r>
    </w:p>
    <w:p>
      <w:pPr>
        <w:tabs>
          <w:tab w:val="left" w:pos="360"/>
          <w:tab w:val="left" w:pos="540"/>
        </w:tabs>
        <w:jc w:val="left"/>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6.质量保证</w:t>
      </w:r>
    </w:p>
    <w:p>
      <w:pPr>
        <w:numPr>
          <w:ilvl w:val="0"/>
          <w:numId w:val="0"/>
        </w:numPr>
        <w:tabs>
          <w:tab w:val="left" w:pos="1540"/>
        </w:tabs>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6.1买受方领用后进行安装测试鉴定，出现安装尺寸、绝缘耐压、密封度不符合实际与技术要求不符，出卖方无条件接受退货或更换。</w:t>
      </w:r>
    </w:p>
    <w:p>
      <w:pPr>
        <w:numPr>
          <w:ilvl w:val="0"/>
          <w:numId w:val="0"/>
        </w:numPr>
        <w:tabs>
          <w:tab w:val="left" w:pos="1540"/>
        </w:tabs>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6.2买受方从使用之日起运行15日后，未发生故障（买受方原因除外），买受方接受货物，出具报告结算。否则出卖方无条件接受退货或更换。</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6.3配件自交货之日起质量保质期为半年，在质量保证期内，因配件质量不合格造成供电系统故障或故障扩大，出卖方无条件进行赔偿。</w:t>
      </w:r>
    </w:p>
    <w:p>
      <w:pPr>
        <w:tabs>
          <w:tab w:val="left" w:pos="360"/>
          <w:tab w:val="left" w:pos="540"/>
        </w:tabs>
        <w:jc w:val="left"/>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7.验收标准</w:t>
      </w:r>
    </w:p>
    <w:p>
      <w:pPr>
        <w:numPr>
          <w:ilvl w:val="0"/>
          <w:numId w:val="0"/>
        </w:numPr>
        <w:tabs>
          <w:tab w:val="left" w:pos="1540"/>
        </w:tabs>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按照本附件第5条技术要求验收。</w:t>
      </w:r>
    </w:p>
    <w:p>
      <w:pPr>
        <w:tabs>
          <w:tab w:val="left" w:pos="360"/>
          <w:tab w:val="left" w:pos="540"/>
        </w:tabs>
        <w:jc w:val="left"/>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8.装车运输</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8.1因配件包装、装车不当造成损坏、丢失由出卖方负责。</w:t>
      </w:r>
    </w:p>
    <w:p>
      <w:pPr>
        <w:numPr>
          <w:ilvl w:val="0"/>
          <w:numId w:val="0"/>
        </w:numPr>
        <w:tabs>
          <w:tab w:val="left" w:pos="1540"/>
        </w:tabs>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8.2买受方负责对所安装的配件、总成使用情况进行跟踪。</w:t>
      </w:r>
    </w:p>
    <w:p>
      <w:pPr>
        <w:spacing w:line="360" w:lineRule="auto"/>
        <w:rPr>
          <w:rFonts w:hint="eastAsia" w:ascii="仿宋" w:hAnsi="仿宋" w:eastAsia="仿宋" w:cs="仿宋"/>
          <w:b/>
          <w:sz w:val="21"/>
          <w:szCs w:val="21"/>
        </w:rPr>
      </w:pPr>
      <w:r>
        <w:rPr>
          <w:rFonts w:hint="eastAsia" w:ascii="仿宋" w:hAnsi="仿宋" w:eastAsia="仿宋" w:cs="仿宋"/>
          <w:b/>
          <w:sz w:val="21"/>
          <w:szCs w:val="21"/>
          <w:lang w:val="en-US" w:eastAsia="zh-CN"/>
        </w:rPr>
        <w:t>9</w:t>
      </w:r>
      <w:r>
        <w:rPr>
          <w:rFonts w:hint="eastAsia" w:ascii="仿宋" w:hAnsi="仿宋" w:eastAsia="仿宋" w:cs="仿宋"/>
          <w:b/>
          <w:sz w:val="21"/>
          <w:szCs w:val="21"/>
        </w:rPr>
        <w:t>.付款方式</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bCs/>
          <w:sz w:val="21"/>
          <w:szCs w:val="21"/>
        </w:rPr>
        <w:t>验收合格后支付采购总费用</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90</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%款项，质保期满无任何质量问题后支付采购剩余10%款项</w:t>
      </w:r>
      <w:r>
        <w:rPr>
          <w:rFonts w:hint="eastAsia" w:ascii="仿宋" w:hAnsi="仿宋" w:eastAsia="仿宋" w:cs="仿宋"/>
          <w:sz w:val="21"/>
          <w:szCs w:val="21"/>
          <w:lang w:eastAsia="zh-CN"/>
        </w:rPr>
        <w:t>。</w:t>
      </w:r>
    </w:p>
    <w:p>
      <w:pPr>
        <w:rPr>
          <w:rFonts w:hint="eastAsia"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eastAsia="zh-CN"/>
        </w:rPr>
        <w:br w:type="page"/>
      </w:r>
    </w:p>
    <w:p>
      <w:pPr>
        <w:pStyle w:val="2"/>
        <w:jc w:val="center"/>
        <w:rPr>
          <w:rFonts w:hint="eastAsia" w:ascii="Times New Roman" w:hAnsi="Times New Roman" w:cs="Times New Roman" w:eastAsiaTheme="minorEastAsia"/>
          <w:sz w:val="21"/>
          <w:szCs w:val="21"/>
          <w:lang w:eastAsia="zh-CN"/>
        </w:rPr>
      </w:pPr>
      <w:bookmarkStart w:id="3" w:name="_Toc12349"/>
      <w:r>
        <w:rPr>
          <w:rFonts w:hint="eastAsia" w:ascii="Times New Roman" w:hAnsi="Times New Roman" w:cs="Times New Roman" w:eastAsiaTheme="minorEastAsia"/>
          <w:sz w:val="21"/>
          <w:szCs w:val="21"/>
          <w:lang w:eastAsia="zh-CN"/>
        </w:rPr>
        <w:t>第</w:t>
      </w:r>
      <w:r>
        <w:rPr>
          <w:rFonts w:hint="eastAsia" w:cs="Times New Roman" w:eastAsiaTheme="minorEastAsia"/>
          <w:sz w:val="21"/>
          <w:szCs w:val="21"/>
          <w:lang w:eastAsia="zh-CN"/>
        </w:rPr>
        <w:t>三</w:t>
      </w:r>
      <w:r>
        <w:rPr>
          <w:rFonts w:hint="eastAsia" w:ascii="Times New Roman" w:hAnsi="Times New Roman" w:cs="Times New Roman" w:eastAsiaTheme="minorEastAsia"/>
          <w:sz w:val="21"/>
          <w:szCs w:val="21"/>
          <w:lang w:eastAsia="zh-CN"/>
        </w:rPr>
        <w:t>包：</w:t>
      </w:r>
      <w:r>
        <w:rPr>
          <w:rFonts w:hint="eastAsia" w:ascii="Times New Roman" w:hAnsi="Times New Roman" w:cs="Times New Roman" w:eastAsiaTheme="minorEastAsia"/>
          <w:sz w:val="21"/>
          <w:szCs w:val="21"/>
          <w:lang w:val="en-US" w:eastAsia="zh-CN"/>
        </w:rPr>
        <w:t>设备维修中心工程轮胎</w:t>
      </w:r>
      <w:r>
        <w:rPr>
          <w:rFonts w:hint="eastAsia" w:ascii="Times New Roman" w:hAnsi="Times New Roman" w:cs="Times New Roman" w:eastAsiaTheme="minorEastAsia"/>
          <w:sz w:val="21"/>
          <w:szCs w:val="21"/>
          <w:lang w:eastAsia="zh-CN"/>
        </w:rPr>
        <w:t>技术要求</w:t>
      </w:r>
      <w:bookmarkEnd w:id="3"/>
    </w:p>
    <w:p>
      <w:pPr>
        <w:spacing w:line="360" w:lineRule="auto"/>
        <w:jc w:val="left"/>
        <w:rPr>
          <w:rFonts w:hint="eastAsia" w:ascii="永中仿宋" w:eastAsia="永中仿宋" w:cs="楷体_GB2312"/>
          <w:b/>
          <w:bCs/>
          <w:sz w:val="24"/>
          <w:szCs w:val="24"/>
          <w:lang w:bidi="ar-SA"/>
        </w:rPr>
      </w:pPr>
      <w:r>
        <w:rPr>
          <w:rFonts w:hint="eastAsia" w:ascii="永中仿宋" w:hAnsi="Calibri" w:eastAsia="永中仿宋" w:cs="楷体_GB2312"/>
          <w:b/>
          <w:bCs/>
          <w:sz w:val="24"/>
          <w:szCs w:val="24"/>
          <w:lang w:val="en-US" w:eastAsia="zh-CN" w:bidi="ar-SA"/>
        </w:rPr>
        <w:t>1.</w:t>
      </w:r>
      <w:r>
        <w:rPr>
          <w:rFonts w:hint="eastAsia" w:ascii="永中仿宋" w:hAnsi="Calibri" w:eastAsia="永中仿宋" w:cs="楷体_GB2312"/>
          <w:b/>
          <w:bCs/>
          <w:sz w:val="24"/>
          <w:szCs w:val="24"/>
          <w:lang w:eastAsia="zh-CN" w:bidi="ar-SA"/>
        </w:rPr>
        <w:t>、</w:t>
      </w:r>
      <w:r>
        <w:rPr>
          <w:rFonts w:hint="eastAsia" w:ascii="永中仿宋" w:hAnsi="Calibri" w:eastAsia="永中仿宋" w:cs="楷体_GB2312"/>
          <w:b/>
          <w:bCs/>
          <w:sz w:val="24"/>
          <w:szCs w:val="24"/>
          <w:lang w:bidi="ar-SA"/>
        </w:rPr>
        <w:t>使用条件</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1.</w:t>
      </w:r>
      <w:r>
        <w:rPr>
          <w:rFonts w:hint="eastAsia" w:ascii="永中仿宋" w:hAnsi="Calibri" w:eastAsia="永中仿宋" w:cs="楷体_GB2312"/>
          <w:sz w:val="24"/>
          <w:szCs w:val="24"/>
          <w:lang w:bidi="ar-SA"/>
        </w:rPr>
        <w:t>1、设备用途及工作制度</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用于露天煤矿道路洒落的碎石及铲窝周围碎石清理作业，每天3班作业，每班8小时。</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2.</w:t>
      </w:r>
      <w:r>
        <w:rPr>
          <w:rFonts w:hint="eastAsia" w:ascii="永中仿宋" w:hAnsi="Calibri" w:eastAsia="永中仿宋" w:cs="楷体_GB2312"/>
          <w:sz w:val="24"/>
          <w:szCs w:val="24"/>
          <w:lang w:bidi="ar-SA"/>
        </w:rPr>
        <w:t>2、气候条件及工作环境</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 xml:space="preserve">（1）海拔高度：1000～1300m；最大风速23m/s；年降水量为231～459.5mm，年蒸发量为1824.7～2896.1mm；年平均温度5.3～7.6℃，最高气温达39.4℃，最低气温为-34℃，属大陆性气候，冬季时间长且寒冷，夏季短且酷热，白天与夜间的温差较大。 </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 xml:space="preserve">（2）道路干线为矿山等级砂石路；支线和临时道路多为碎石泥土混和、表面凸凹不平、多尘或泥泞的非等级道路。 </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3.</w:t>
      </w:r>
      <w:r>
        <w:rPr>
          <w:rFonts w:hint="eastAsia" w:ascii="永中仿宋" w:hAnsi="Calibri" w:eastAsia="永中仿宋" w:cs="楷体_GB2312"/>
          <w:sz w:val="24"/>
          <w:szCs w:val="24"/>
          <w:lang w:bidi="ar-SA"/>
        </w:rPr>
        <w:t>3、地质条件与物料性质</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（1）岩石性质为砂岩及泥岩，抗压强度38.93～50.8MPa，抗剪强度36.78～46.19MPa。</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（2）岩石容重 2.40t/m3；</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（3）岩石松散容重 1.7t/m3（松散系数1.40）。</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（4）原煤容重 1.53t/ m3；</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（5）原煤松散容重 1.10-1.133t/ m3（松散系数1.35）。</w:t>
      </w:r>
    </w:p>
    <w:p>
      <w:pPr>
        <w:spacing w:line="360" w:lineRule="auto"/>
        <w:jc w:val="left"/>
        <w:rPr>
          <w:rFonts w:hint="eastAsia" w:ascii="永中仿宋" w:eastAsia="永中仿宋" w:cs="楷体_GB2312"/>
          <w:b/>
          <w:bCs/>
          <w:sz w:val="24"/>
          <w:szCs w:val="24"/>
          <w:lang w:bidi="ar-SA"/>
        </w:rPr>
      </w:pPr>
      <w:r>
        <w:rPr>
          <w:rFonts w:hint="eastAsia" w:ascii="永中仿宋" w:hAnsi="Calibri" w:eastAsia="永中仿宋" w:cs="楷体_GB2312"/>
          <w:b/>
          <w:bCs/>
          <w:sz w:val="24"/>
          <w:szCs w:val="24"/>
          <w:lang w:val="en-US" w:eastAsia="zh-CN" w:bidi="ar-SA"/>
        </w:rPr>
        <w:t>2.</w:t>
      </w:r>
      <w:r>
        <w:rPr>
          <w:rFonts w:hint="eastAsia" w:ascii="永中仿宋" w:hAnsi="Calibri" w:eastAsia="永中仿宋" w:cs="楷体_GB2312"/>
          <w:b/>
          <w:bCs/>
          <w:sz w:val="24"/>
          <w:szCs w:val="24"/>
          <w:lang w:eastAsia="zh-CN" w:bidi="ar-SA"/>
        </w:rPr>
        <w:t>、</w:t>
      </w:r>
      <w:r>
        <w:rPr>
          <w:rFonts w:hint="eastAsia" w:ascii="永中仿宋" w:hAnsi="Calibri" w:eastAsia="永中仿宋" w:cs="楷体_GB2312"/>
          <w:b/>
          <w:bCs/>
          <w:sz w:val="24"/>
          <w:szCs w:val="24"/>
          <w:lang w:bidi="ar-SA"/>
        </w:rPr>
        <w:t>技术规格</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*2.</w:t>
      </w:r>
      <w:r>
        <w:rPr>
          <w:rFonts w:hint="eastAsia" w:ascii="永中仿宋" w:hAnsi="Calibri" w:eastAsia="永中仿宋" w:cs="楷体_GB2312"/>
          <w:sz w:val="24"/>
          <w:szCs w:val="24"/>
          <w:lang w:bidi="ar-SA"/>
        </w:rPr>
        <w:t>1、规格型号、数量和相关参数要求</w:t>
      </w:r>
    </w:p>
    <w:tbl>
      <w:tblPr>
        <w:tblStyle w:val="4"/>
        <w:tblW w:w="96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0"/>
        <w:gridCol w:w="1081"/>
        <w:gridCol w:w="2090"/>
        <w:gridCol w:w="772"/>
        <w:gridCol w:w="972"/>
        <w:gridCol w:w="42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1081"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采购编码</w:t>
            </w:r>
          </w:p>
        </w:tc>
        <w:tc>
          <w:tcPr>
            <w:tcW w:w="2090"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采购编码描述</w:t>
            </w:r>
          </w:p>
        </w:tc>
        <w:tc>
          <w:tcPr>
            <w:tcW w:w="772"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单位</w:t>
            </w:r>
          </w:p>
        </w:tc>
        <w:tc>
          <w:tcPr>
            <w:tcW w:w="972"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数量</w:t>
            </w:r>
          </w:p>
        </w:tc>
        <w:tc>
          <w:tcPr>
            <w:tcW w:w="4273" w:type="dxa"/>
            <w:tcBorders>
              <w:top w:val="single" w:color="000000" w:sz="4" w:space="0"/>
              <w:left w:val="single" w:color="000000" w:sz="4" w:space="0"/>
              <w:bottom w:val="single" w:color="000000" w:sz="4" w:space="0"/>
              <w:right w:val="single" w:color="000000" w:sz="4" w:space="0"/>
            </w:tcBorders>
            <w:shd w:val="clear" w:color="auto" w:fill="DDDDDD"/>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需求部门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w:t>
            </w:r>
          </w:p>
        </w:tc>
        <w:tc>
          <w:tcPr>
            <w:tcW w:w="1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11171368</w:t>
            </w:r>
          </w:p>
        </w:tc>
        <w:tc>
          <w:tcPr>
            <w:tcW w:w="20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轮胎\18.00R25</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条</w:t>
            </w:r>
          </w:p>
        </w:tc>
        <w:tc>
          <w:tcPr>
            <w:tcW w:w="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10.000</w:t>
            </w:r>
          </w:p>
        </w:tc>
        <w:tc>
          <w:tcPr>
            <w:tcW w:w="42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准能公司-设备维修中心-轮胎维修车间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w:t>
            </w:r>
          </w:p>
        </w:tc>
        <w:tc>
          <w:tcPr>
            <w:tcW w:w="1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11206656</w:t>
            </w:r>
          </w:p>
        </w:tc>
        <w:tc>
          <w:tcPr>
            <w:tcW w:w="20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轮胎\29.5R29</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条</w:t>
            </w:r>
          </w:p>
        </w:tc>
        <w:tc>
          <w:tcPr>
            <w:tcW w:w="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15.000</w:t>
            </w:r>
          </w:p>
        </w:tc>
        <w:tc>
          <w:tcPr>
            <w:tcW w:w="42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准能公司-设备维修中心-轮胎维修车间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w:t>
            </w:r>
          </w:p>
        </w:tc>
        <w:tc>
          <w:tcPr>
            <w:tcW w:w="1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10784458</w:t>
            </w:r>
          </w:p>
        </w:tc>
        <w:tc>
          <w:tcPr>
            <w:tcW w:w="20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轮胎\35/65R33</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条</w:t>
            </w:r>
          </w:p>
        </w:tc>
        <w:tc>
          <w:tcPr>
            <w:tcW w:w="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15.000</w:t>
            </w:r>
          </w:p>
        </w:tc>
        <w:tc>
          <w:tcPr>
            <w:tcW w:w="42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准能公司-设备维修中心-轮胎维修车间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w:t>
            </w:r>
          </w:p>
        </w:tc>
        <w:tc>
          <w:tcPr>
            <w:tcW w:w="1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10784471</w:t>
            </w:r>
          </w:p>
        </w:tc>
        <w:tc>
          <w:tcPr>
            <w:tcW w:w="20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轮胎\45/65R45</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条</w:t>
            </w:r>
          </w:p>
        </w:tc>
        <w:tc>
          <w:tcPr>
            <w:tcW w:w="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4.000</w:t>
            </w:r>
          </w:p>
        </w:tc>
        <w:tc>
          <w:tcPr>
            <w:tcW w:w="42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准能公司-设备维修中心-轮胎维修车间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w:t>
            </w:r>
          </w:p>
        </w:tc>
        <w:tc>
          <w:tcPr>
            <w:tcW w:w="1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10784470</w:t>
            </w:r>
          </w:p>
        </w:tc>
        <w:tc>
          <w:tcPr>
            <w:tcW w:w="20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轮胎\45/65R39</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条</w:t>
            </w:r>
          </w:p>
        </w:tc>
        <w:tc>
          <w:tcPr>
            <w:tcW w:w="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12.000</w:t>
            </w:r>
          </w:p>
        </w:tc>
        <w:tc>
          <w:tcPr>
            <w:tcW w:w="42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准能公司-设备维修中心-轮胎维修车间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6</w:t>
            </w:r>
          </w:p>
        </w:tc>
        <w:tc>
          <w:tcPr>
            <w:tcW w:w="1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11104803</w:t>
            </w:r>
          </w:p>
        </w:tc>
        <w:tc>
          <w:tcPr>
            <w:tcW w:w="20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轮胎\35/65R33</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条</w:t>
            </w:r>
          </w:p>
        </w:tc>
        <w:tc>
          <w:tcPr>
            <w:tcW w:w="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20.000</w:t>
            </w:r>
          </w:p>
        </w:tc>
        <w:tc>
          <w:tcPr>
            <w:tcW w:w="42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哈尔乌素分公司-设备维修中心-轮胎车间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righ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7</w:t>
            </w:r>
          </w:p>
        </w:tc>
        <w:tc>
          <w:tcPr>
            <w:tcW w:w="1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10784430</w:t>
            </w:r>
          </w:p>
        </w:tc>
        <w:tc>
          <w:tcPr>
            <w:tcW w:w="20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轮胎\20.5-25</w:t>
            </w: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条</w:t>
            </w:r>
          </w:p>
        </w:tc>
        <w:tc>
          <w:tcPr>
            <w:tcW w:w="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4.000</w:t>
            </w:r>
          </w:p>
        </w:tc>
        <w:tc>
          <w:tcPr>
            <w:tcW w:w="42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哈尔乌素分公司-设备维修中心-轮胎车间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4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default" w:ascii="Arial" w:hAnsi="Arial" w:cs="Arial"/>
                <w:i w:val="0"/>
                <w:color w:val="000000"/>
                <w:sz w:val="20"/>
                <w:szCs w:val="20"/>
                <w:u w:val="none"/>
              </w:rPr>
            </w:pPr>
          </w:p>
        </w:tc>
        <w:tc>
          <w:tcPr>
            <w:tcW w:w="108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default" w:ascii="Arial" w:hAnsi="Arial" w:cs="Arial"/>
                <w:i w:val="0"/>
                <w:color w:val="000000"/>
                <w:sz w:val="20"/>
                <w:szCs w:val="20"/>
                <w:u w:val="none"/>
              </w:rPr>
            </w:pPr>
          </w:p>
        </w:tc>
        <w:tc>
          <w:tcPr>
            <w:tcW w:w="20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default" w:ascii="Arial" w:hAnsi="Arial" w:cs="Arial"/>
                <w:i w:val="0"/>
                <w:color w:val="000000"/>
                <w:sz w:val="20"/>
                <w:szCs w:val="20"/>
                <w:u w:val="none"/>
              </w:rPr>
            </w:pPr>
          </w:p>
        </w:tc>
        <w:tc>
          <w:tcPr>
            <w:tcW w:w="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default" w:ascii="Arial" w:hAnsi="Arial" w:cs="Arial"/>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default" w:ascii="Arial" w:hAnsi="Arial" w:cs="Arial"/>
                <w:i w:val="0"/>
                <w:color w:val="000000"/>
                <w:sz w:val="20"/>
                <w:szCs w:val="20"/>
                <w:u w:val="none"/>
              </w:rPr>
            </w:pPr>
          </w:p>
        </w:tc>
        <w:tc>
          <w:tcPr>
            <w:tcW w:w="42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bottom"/>
          </w:tcPr>
          <w:p>
            <w:pPr>
              <w:rPr>
                <w:rFonts w:hint="default" w:ascii="Arial" w:hAnsi="Arial" w:cs="Arial"/>
                <w:i w:val="0"/>
                <w:color w:val="000000"/>
                <w:sz w:val="20"/>
                <w:szCs w:val="20"/>
                <w:u w:val="none"/>
              </w:rPr>
            </w:pPr>
          </w:p>
        </w:tc>
      </w:tr>
    </w:tbl>
    <w:p>
      <w:pPr>
        <w:spacing w:line="360" w:lineRule="auto"/>
        <w:ind w:firstLine="482" w:firstLineChars="200"/>
        <w:jc w:val="left"/>
        <w:rPr>
          <w:rFonts w:hint="eastAsia" w:ascii="永中仿宋" w:eastAsia="永中仿宋" w:cs="楷体_GB2312"/>
          <w:b/>
          <w:bCs/>
          <w:color w:val="FF0000"/>
          <w:sz w:val="24"/>
          <w:szCs w:val="24"/>
          <w:lang w:val="en-US" w:eastAsia="zh-CN" w:bidi="ar-SA"/>
        </w:rPr>
      </w:pPr>
      <w:r>
        <w:rPr>
          <w:rFonts w:hint="eastAsia" w:ascii="永中仿宋" w:hAnsi="Calibri" w:eastAsia="永中仿宋" w:cs="楷体_GB2312"/>
          <w:b/>
          <w:bCs/>
          <w:color w:val="FF0000"/>
          <w:sz w:val="24"/>
          <w:szCs w:val="24"/>
          <w:lang w:val="en-US" w:eastAsia="zh-CN" w:bidi="ar-SA"/>
        </w:rPr>
        <w:t>本次采购轮胎均为进口品牌轮胎，供应商在报价时需报出进口轮胎品牌及原产地，轮胎到货后需提供原产地证明和清报关单据。</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Calibri"/>
          <w:sz w:val="24"/>
          <w:szCs w:val="24"/>
          <w:lang w:bidi="ar-SA"/>
        </w:rPr>
        <w:t>*</w:t>
      </w:r>
      <w:r>
        <w:rPr>
          <w:rFonts w:hint="eastAsia" w:ascii="永中仿宋" w:hAnsi="Calibri" w:eastAsia="永中仿宋" w:cs="Calibri"/>
          <w:sz w:val="24"/>
          <w:szCs w:val="24"/>
          <w:lang w:val="en-US" w:eastAsia="zh-CN" w:bidi="ar-SA"/>
        </w:rPr>
        <w:t>2.</w:t>
      </w:r>
      <w:r>
        <w:rPr>
          <w:rFonts w:hint="eastAsia" w:ascii="永中仿宋" w:hAnsi="Calibri" w:eastAsia="永中仿宋" w:cs="楷体_GB2312"/>
          <w:sz w:val="24"/>
          <w:szCs w:val="24"/>
          <w:lang w:bidi="ar-SA"/>
        </w:rPr>
        <w:t>2、技术要求</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上述轮胎必须按照相应规格型号，适用于所对应车型、用户当地气候和矿山道路条件。</w:t>
      </w:r>
    </w:p>
    <w:p>
      <w:pPr>
        <w:numPr>
          <w:ilvl w:val="0"/>
          <w:numId w:val="0"/>
        </w:numPr>
        <w:tabs>
          <w:tab w:val="left" w:pos="0"/>
        </w:tabs>
        <w:spacing w:line="360" w:lineRule="auto"/>
        <w:jc w:val="left"/>
        <w:rPr>
          <w:rFonts w:hint="eastAsia" w:ascii="永中仿宋" w:eastAsia="永中仿宋" w:cs="楷体_GB2312"/>
          <w:b/>
          <w:bCs/>
          <w:sz w:val="24"/>
          <w:szCs w:val="24"/>
          <w:lang w:bidi="ar-SA"/>
        </w:rPr>
      </w:pPr>
      <w:r>
        <w:rPr>
          <w:rFonts w:hint="eastAsia" w:ascii="永中仿宋" w:hAnsi="Calibri" w:eastAsia="永中仿宋" w:cs="楷体_GB2312"/>
          <w:b/>
          <w:bCs/>
          <w:sz w:val="24"/>
          <w:szCs w:val="24"/>
          <w:lang w:val="en-US" w:eastAsia="zh-CN" w:bidi="ar-SA"/>
        </w:rPr>
        <w:t>3.</w:t>
      </w:r>
      <w:r>
        <w:rPr>
          <w:rFonts w:hint="eastAsia" w:ascii="永中仿宋" w:hAnsi="Calibri" w:eastAsia="永中仿宋" w:cs="楷体_GB2312"/>
          <w:b/>
          <w:bCs/>
          <w:sz w:val="24"/>
          <w:szCs w:val="24"/>
          <w:lang w:eastAsia="zh-CN" w:bidi="ar-SA"/>
        </w:rPr>
        <w:t>、</w:t>
      </w:r>
      <w:r>
        <w:rPr>
          <w:rFonts w:hint="eastAsia" w:ascii="永中仿宋" w:hAnsi="Calibri" w:eastAsia="永中仿宋" w:cs="楷体_GB2312"/>
          <w:b/>
          <w:bCs/>
          <w:sz w:val="24"/>
          <w:szCs w:val="24"/>
          <w:lang w:bidi="ar-SA"/>
        </w:rPr>
        <w:t>技术资料及交付时间</w:t>
      </w:r>
    </w:p>
    <w:p>
      <w:pPr>
        <w:spacing w:line="360" w:lineRule="auto"/>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 xml:space="preserve">    </w:t>
      </w:r>
      <w:r>
        <w:rPr>
          <w:rFonts w:hint="eastAsia" w:ascii="永中仿宋" w:hAnsi="Calibri" w:eastAsia="永中仿宋" w:cs="楷体_GB2312"/>
          <w:sz w:val="24"/>
          <w:szCs w:val="24"/>
          <w:lang w:val="en-US" w:eastAsia="zh-CN" w:bidi="ar-SA"/>
        </w:rPr>
        <w:t>3.</w:t>
      </w:r>
      <w:r>
        <w:rPr>
          <w:rFonts w:hint="eastAsia" w:ascii="永中仿宋" w:hAnsi="Calibri" w:eastAsia="永中仿宋" w:cs="楷体_GB2312"/>
          <w:sz w:val="24"/>
          <w:szCs w:val="24"/>
          <w:lang w:bidi="ar-SA"/>
        </w:rPr>
        <w:t>1、卖方必须提供下表所列中、英文技术资料(但不限于此)，并按下表要求时间交货。</w:t>
      </w:r>
    </w:p>
    <w:tbl>
      <w:tblPr>
        <w:tblStyle w:val="4"/>
        <w:tblW w:w="8346" w:type="dxa"/>
        <w:tblInd w:w="20" w:type="dxa"/>
        <w:tblLayout w:type="fixed"/>
        <w:tblCellMar>
          <w:top w:w="0" w:type="dxa"/>
          <w:left w:w="0" w:type="dxa"/>
          <w:bottom w:w="0" w:type="dxa"/>
          <w:right w:w="0" w:type="dxa"/>
        </w:tblCellMar>
      </w:tblPr>
      <w:tblGrid>
        <w:gridCol w:w="656"/>
        <w:gridCol w:w="2944"/>
        <w:gridCol w:w="2771"/>
        <w:gridCol w:w="1975"/>
      </w:tblGrid>
      <w:tr>
        <w:tblPrEx>
          <w:tblLayout w:type="fixed"/>
          <w:tblCellMar>
            <w:top w:w="0" w:type="dxa"/>
            <w:left w:w="0" w:type="dxa"/>
            <w:bottom w:w="0" w:type="dxa"/>
            <w:right w:w="0" w:type="dxa"/>
          </w:tblCellMar>
        </w:tblPrEx>
        <w:trPr>
          <w:trHeight w:val="570" w:hRule="atLeast"/>
        </w:trPr>
        <w:tc>
          <w:tcPr>
            <w:tcW w:w="656"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序号</w:t>
            </w:r>
          </w:p>
        </w:tc>
        <w:tc>
          <w:tcPr>
            <w:tcW w:w="2944"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名    称</w:t>
            </w:r>
          </w:p>
        </w:tc>
        <w:tc>
          <w:tcPr>
            <w:tcW w:w="2771"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数量</w:t>
            </w:r>
          </w:p>
        </w:tc>
        <w:tc>
          <w:tcPr>
            <w:tcW w:w="1975"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要求交货时间</w:t>
            </w:r>
          </w:p>
        </w:tc>
      </w:tr>
      <w:tr>
        <w:tblPrEx>
          <w:tblLayout w:type="fixed"/>
          <w:tblCellMar>
            <w:top w:w="0" w:type="dxa"/>
            <w:left w:w="0" w:type="dxa"/>
            <w:bottom w:w="0" w:type="dxa"/>
            <w:right w:w="0" w:type="dxa"/>
          </w:tblCellMar>
        </w:tblPrEx>
        <w:trPr>
          <w:trHeight w:val="300" w:hRule="atLeast"/>
        </w:trPr>
        <w:tc>
          <w:tcPr>
            <w:tcW w:w="656"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bottom"/>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1</w:t>
            </w:r>
          </w:p>
        </w:tc>
        <w:tc>
          <w:tcPr>
            <w:tcW w:w="2944" w:type="dxa"/>
            <w:tcBorders>
              <w:top w:val="single" w:color="auto" w:sz="4" w:space="0"/>
              <w:left w:val="nil"/>
              <w:bottom w:val="single" w:color="auto" w:sz="4" w:space="0"/>
              <w:right w:val="single" w:color="auto" w:sz="4" w:space="0"/>
            </w:tcBorders>
            <w:tcMar>
              <w:top w:w="20" w:type="dxa"/>
              <w:left w:w="20" w:type="dxa"/>
              <w:right w:w="20" w:type="dxa"/>
            </w:tcMar>
            <w:vAlign w:val="bottom"/>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安装说明书</w:t>
            </w:r>
          </w:p>
        </w:tc>
        <w:tc>
          <w:tcPr>
            <w:tcW w:w="2771" w:type="dxa"/>
            <w:tcBorders>
              <w:top w:val="nil"/>
              <w:left w:val="nil"/>
              <w:bottom w:val="single" w:color="auto" w:sz="4" w:space="0"/>
              <w:right w:val="single" w:color="auto" w:sz="4" w:space="0"/>
            </w:tcBorders>
            <w:tcMar>
              <w:top w:w="20" w:type="dxa"/>
              <w:left w:w="20" w:type="dxa"/>
              <w:right w:w="20" w:type="dxa"/>
            </w:tcMar>
            <w:vAlign w:val="bottom"/>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中文2套，英文2套</w:t>
            </w:r>
          </w:p>
        </w:tc>
        <w:tc>
          <w:tcPr>
            <w:tcW w:w="1975" w:type="dxa"/>
            <w:tcBorders>
              <w:top w:val="nil"/>
              <w:left w:val="nil"/>
              <w:bottom w:val="single" w:color="auto" w:sz="4" w:space="0"/>
              <w:right w:val="single" w:color="auto" w:sz="4" w:space="0"/>
            </w:tcBorders>
            <w:tcMar>
              <w:top w:w="20" w:type="dxa"/>
              <w:left w:w="20" w:type="dxa"/>
              <w:right w:w="20" w:type="dxa"/>
            </w:tcMar>
            <w:vAlign w:val="bottom"/>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随轮胎</w:t>
            </w:r>
          </w:p>
        </w:tc>
      </w:tr>
      <w:tr>
        <w:tblPrEx>
          <w:tblLayout w:type="fixed"/>
          <w:tblCellMar>
            <w:top w:w="0" w:type="dxa"/>
            <w:left w:w="0" w:type="dxa"/>
            <w:bottom w:w="0" w:type="dxa"/>
            <w:right w:w="0" w:type="dxa"/>
          </w:tblCellMar>
        </w:tblPrEx>
        <w:trPr>
          <w:trHeight w:val="301" w:hRule="atLeast"/>
        </w:trPr>
        <w:tc>
          <w:tcPr>
            <w:tcW w:w="656" w:type="dxa"/>
            <w:tcBorders>
              <w:top w:val="single" w:color="auto" w:sz="4" w:space="0"/>
              <w:left w:val="single" w:color="auto" w:sz="4" w:space="0"/>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2</w:t>
            </w:r>
          </w:p>
        </w:tc>
        <w:tc>
          <w:tcPr>
            <w:tcW w:w="2944"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基础资料（包括基本参数等）</w:t>
            </w:r>
          </w:p>
        </w:tc>
        <w:tc>
          <w:tcPr>
            <w:tcW w:w="2771"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中文2套，英文2套</w:t>
            </w:r>
          </w:p>
        </w:tc>
        <w:tc>
          <w:tcPr>
            <w:tcW w:w="1975" w:type="dxa"/>
            <w:tcBorders>
              <w:top w:val="single" w:color="auto" w:sz="4" w:space="0"/>
              <w:left w:val="nil"/>
              <w:bottom w:val="single" w:color="auto" w:sz="4" w:space="0"/>
              <w:right w:val="single" w:color="auto" w:sz="4" w:space="0"/>
            </w:tcBorders>
            <w:tcMar>
              <w:top w:w="20" w:type="dxa"/>
              <w:left w:w="20" w:type="dxa"/>
              <w:right w:w="20" w:type="dxa"/>
            </w:tcMar>
            <w:vAlign w:val="center"/>
          </w:tcPr>
          <w:p>
            <w:pPr>
              <w:widowControl/>
              <w:spacing w:line="36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随轮胎</w:t>
            </w:r>
          </w:p>
        </w:tc>
      </w:tr>
    </w:tbl>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2、上述技术资料要求一并提供电子版本。</w:t>
      </w:r>
    </w:p>
    <w:p>
      <w:pPr>
        <w:spacing w:line="360" w:lineRule="auto"/>
        <w:jc w:val="left"/>
        <w:rPr>
          <w:rFonts w:hint="eastAsia" w:ascii="永中仿宋" w:eastAsia="永中仿宋" w:cs="楷体_GB2312"/>
          <w:b/>
          <w:bCs/>
          <w:sz w:val="24"/>
          <w:szCs w:val="24"/>
          <w:lang w:bidi="ar-SA"/>
        </w:rPr>
      </w:pPr>
      <w:r>
        <w:rPr>
          <w:rFonts w:hint="eastAsia" w:ascii="永中仿宋" w:hAnsi="Calibri" w:eastAsia="永中仿宋" w:cs="楷体_GB2312"/>
          <w:b/>
          <w:bCs/>
          <w:sz w:val="24"/>
          <w:szCs w:val="24"/>
          <w:lang w:val="en-US" w:eastAsia="zh-CN" w:bidi="ar-SA"/>
        </w:rPr>
        <w:t>4</w:t>
      </w:r>
      <w:r>
        <w:rPr>
          <w:rFonts w:hint="eastAsia" w:ascii="永中仿宋" w:hAnsi="Calibri" w:eastAsia="永中仿宋" w:cs="楷体_GB2312"/>
          <w:b/>
          <w:bCs/>
          <w:sz w:val="24"/>
          <w:szCs w:val="24"/>
          <w:lang w:eastAsia="zh-CN" w:bidi="ar-SA"/>
        </w:rPr>
        <w:t>、</w:t>
      </w:r>
      <w:r>
        <w:rPr>
          <w:rFonts w:hint="eastAsia" w:ascii="永中仿宋" w:hAnsi="Calibri" w:eastAsia="永中仿宋" w:cs="楷体_GB2312"/>
          <w:b/>
          <w:bCs/>
          <w:sz w:val="24"/>
          <w:szCs w:val="24"/>
          <w:lang w:bidi="ar-SA"/>
        </w:rPr>
        <w:t>质量保证</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w:t>
      </w:r>
      <w:r>
        <w:rPr>
          <w:rFonts w:hint="eastAsia" w:ascii="永中仿宋" w:hAnsi="Calibri" w:eastAsia="永中仿宋" w:cs="楷体_GB2312"/>
          <w:sz w:val="24"/>
          <w:szCs w:val="24"/>
          <w:lang w:val="en-US" w:eastAsia="zh-CN" w:bidi="ar-SA"/>
        </w:rPr>
        <w:t>4.</w:t>
      </w:r>
      <w:r>
        <w:rPr>
          <w:rFonts w:hint="eastAsia" w:ascii="永中仿宋" w:hAnsi="Calibri" w:eastAsia="永中仿宋" w:cs="楷体_GB2312"/>
          <w:sz w:val="24"/>
          <w:szCs w:val="24"/>
          <w:lang w:bidi="ar-SA"/>
        </w:rPr>
        <w:t>1、卖方轮胎抵达目的港后，如发现质量、规格或数量与合同规定不符，买方应立即书面通知卖方，卖方有权派遣其技术人员检查相关货物并进行赔偿。</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w:t>
      </w:r>
      <w:r>
        <w:rPr>
          <w:rFonts w:hint="eastAsia" w:ascii="永中仿宋" w:hAnsi="Calibri" w:eastAsia="永中仿宋" w:cs="楷体_GB2312"/>
          <w:sz w:val="24"/>
          <w:szCs w:val="24"/>
          <w:lang w:val="en-US" w:eastAsia="zh-CN" w:bidi="ar-SA"/>
        </w:rPr>
        <w:t>4.</w:t>
      </w:r>
      <w:r>
        <w:rPr>
          <w:rFonts w:hint="eastAsia" w:ascii="永中仿宋" w:hAnsi="Calibri" w:eastAsia="永中仿宋" w:cs="楷体_GB2312"/>
          <w:sz w:val="24"/>
          <w:szCs w:val="24"/>
          <w:lang w:bidi="ar-SA"/>
        </w:rPr>
        <w:t>2、各型号轮胎要求正常使用寿命</w:t>
      </w:r>
    </w:p>
    <w:p>
      <w:pPr>
        <w:spacing w:line="360" w:lineRule="auto"/>
        <w:ind w:firstLine="640"/>
        <w:jc w:val="left"/>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 xml:space="preserve"> 要求卖方提供的各规格型号轮胎在正常使用的条件下应至少达到以下使用寿命（以小时数为主要参考指标，无小时数则以公里数为主要参考指标），若使用寿命未达到要求，卖方应做出相应补偿。</w:t>
      </w:r>
    </w:p>
    <w:tbl>
      <w:tblPr>
        <w:tblStyle w:val="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363"/>
        <w:gridCol w:w="1738"/>
        <w:gridCol w:w="3223"/>
        <w:gridCol w:w="1335"/>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blHeader/>
        </w:trPr>
        <w:tc>
          <w:tcPr>
            <w:tcW w:w="733" w:type="dxa"/>
            <w:vMerge w:val="restart"/>
            <w:vAlign w:val="center"/>
          </w:tcPr>
          <w:p>
            <w:pPr>
              <w:spacing w:line="240" w:lineRule="auto"/>
              <w:jc w:val="left"/>
              <w:rPr>
                <w:rFonts w:hint="eastAsia" w:ascii="永中仿宋" w:eastAsia="永中仿宋" w:cs="Calibri"/>
                <w:sz w:val="24"/>
                <w:szCs w:val="24"/>
                <w:lang w:bidi="ar-SA"/>
              </w:rPr>
            </w:pPr>
            <w:r>
              <w:rPr>
                <w:rFonts w:hint="eastAsia" w:ascii="永中仿宋" w:hAnsi="Calibri" w:eastAsia="永中仿宋" w:cs="Calibri"/>
                <w:sz w:val="24"/>
                <w:szCs w:val="24"/>
                <w:lang w:bidi="ar-SA"/>
              </w:rPr>
              <w:t>包号</w:t>
            </w:r>
          </w:p>
        </w:tc>
        <w:tc>
          <w:tcPr>
            <w:tcW w:w="1363" w:type="dxa"/>
            <w:vMerge w:val="restart"/>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物资名称</w:t>
            </w:r>
          </w:p>
        </w:tc>
        <w:tc>
          <w:tcPr>
            <w:tcW w:w="1738" w:type="dxa"/>
            <w:vMerge w:val="restart"/>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规格型号</w:t>
            </w:r>
          </w:p>
        </w:tc>
        <w:tc>
          <w:tcPr>
            <w:tcW w:w="3223" w:type="dxa"/>
            <w:vMerge w:val="restart"/>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所属设备</w:t>
            </w:r>
          </w:p>
        </w:tc>
        <w:tc>
          <w:tcPr>
            <w:tcW w:w="2411" w:type="dxa"/>
            <w:gridSpan w:val="2"/>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最低寿命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blHeader/>
        </w:trPr>
        <w:tc>
          <w:tcPr>
            <w:tcW w:w="733" w:type="dxa"/>
            <w:vMerge w:val="continue"/>
            <w:vAlign w:val="center"/>
          </w:tcPr>
          <w:p>
            <w:pPr>
              <w:spacing w:line="240" w:lineRule="auto"/>
              <w:rPr>
                <w:sz w:val="24"/>
                <w:szCs w:val="24"/>
              </w:rPr>
            </w:pPr>
          </w:p>
        </w:tc>
        <w:tc>
          <w:tcPr>
            <w:tcW w:w="1363" w:type="dxa"/>
            <w:vMerge w:val="continue"/>
            <w:vAlign w:val="center"/>
          </w:tcPr>
          <w:p>
            <w:pPr>
              <w:spacing w:line="240" w:lineRule="auto"/>
              <w:rPr>
                <w:sz w:val="24"/>
                <w:szCs w:val="24"/>
              </w:rPr>
            </w:pPr>
          </w:p>
        </w:tc>
        <w:tc>
          <w:tcPr>
            <w:tcW w:w="1738" w:type="dxa"/>
            <w:vMerge w:val="continue"/>
            <w:vAlign w:val="center"/>
          </w:tcPr>
          <w:p>
            <w:pPr>
              <w:spacing w:line="240" w:lineRule="auto"/>
              <w:rPr>
                <w:sz w:val="24"/>
                <w:szCs w:val="24"/>
              </w:rPr>
            </w:pPr>
          </w:p>
        </w:tc>
        <w:tc>
          <w:tcPr>
            <w:tcW w:w="3223" w:type="dxa"/>
            <w:vMerge w:val="continue"/>
            <w:vAlign w:val="center"/>
          </w:tcPr>
          <w:p>
            <w:pPr>
              <w:spacing w:line="240" w:lineRule="auto"/>
              <w:rPr>
                <w:sz w:val="24"/>
                <w:szCs w:val="24"/>
              </w:rPr>
            </w:pPr>
          </w:p>
        </w:tc>
        <w:tc>
          <w:tcPr>
            <w:tcW w:w="1335" w:type="dxa"/>
            <w:vAlign w:val="center"/>
          </w:tcPr>
          <w:p>
            <w:pPr>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小时</w:t>
            </w:r>
          </w:p>
        </w:tc>
        <w:tc>
          <w:tcPr>
            <w:tcW w:w="1076" w:type="dxa"/>
            <w:vAlign w:val="center"/>
          </w:tcPr>
          <w:p>
            <w:pPr>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733" w:type="dxa"/>
            <w:vAlign w:val="center"/>
          </w:tcPr>
          <w:p>
            <w:pPr>
              <w:widowControl/>
              <w:spacing w:line="240" w:lineRule="auto"/>
              <w:jc w:val="center"/>
              <w:rPr>
                <w:rFonts w:hint="eastAsia" w:ascii="永中仿宋" w:eastAsia="永中仿宋" w:cs="Calibri"/>
                <w:sz w:val="24"/>
                <w:szCs w:val="24"/>
                <w:lang w:eastAsia="zh-CN" w:bidi="ar-SA"/>
              </w:rPr>
            </w:pPr>
            <w:r>
              <w:rPr>
                <w:rFonts w:hint="eastAsia" w:ascii="永中仿宋" w:hAnsi="Calibri" w:eastAsia="永中仿宋" w:cs="Calibri"/>
                <w:sz w:val="24"/>
                <w:szCs w:val="24"/>
                <w:lang w:val="en-US" w:eastAsia="zh-CN" w:bidi="ar-SA"/>
              </w:rPr>
              <w:t>1</w:t>
            </w:r>
          </w:p>
        </w:tc>
        <w:tc>
          <w:tcPr>
            <w:tcW w:w="1363"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轮胎</w:t>
            </w:r>
          </w:p>
        </w:tc>
        <w:tc>
          <w:tcPr>
            <w:tcW w:w="1738" w:type="dxa"/>
            <w:vAlign w:val="center"/>
          </w:tcPr>
          <w:p>
            <w:pPr>
              <w:widowControl/>
              <w:spacing w:line="240" w:lineRule="auto"/>
              <w:jc w:val="center"/>
              <w:rPr>
                <w:rFonts w:hint="eastAsia" w:ascii="永中仿宋" w:eastAsia="永中仿宋" w:cs="Calibri"/>
                <w:sz w:val="24"/>
                <w:szCs w:val="24"/>
                <w:lang w:bidi="ar-SA"/>
              </w:rPr>
            </w:pPr>
            <w:r>
              <w:rPr>
                <w:rFonts w:hint="default" w:ascii="Arial" w:hAnsi="Arial" w:eastAsia="宋体" w:cs="Arial"/>
                <w:i w:val="0"/>
                <w:color w:val="000000"/>
                <w:kern w:val="0"/>
                <w:sz w:val="20"/>
                <w:szCs w:val="20"/>
                <w:u w:val="none"/>
                <w:lang w:val="en-US" w:eastAsia="zh-CN" w:bidi="ar"/>
              </w:rPr>
              <w:t>18.00R25</w:t>
            </w:r>
          </w:p>
        </w:tc>
        <w:tc>
          <w:tcPr>
            <w:tcW w:w="3223"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val="en-US" w:eastAsia="zh-CN" w:bidi="ar-SA"/>
              </w:rPr>
              <w:t>16G平路机</w:t>
            </w:r>
          </w:p>
        </w:tc>
        <w:tc>
          <w:tcPr>
            <w:tcW w:w="1335"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val="en-US" w:eastAsia="zh-CN" w:bidi="ar-SA"/>
              </w:rPr>
              <w:t>5</w:t>
            </w:r>
            <w:r>
              <w:rPr>
                <w:rFonts w:hint="eastAsia" w:ascii="永中仿宋" w:hAnsi="Calibri" w:eastAsia="永中仿宋" w:cs="Calibri"/>
                <w:sz w:val="24"/>
                <w:szCs w:val="24"/>
                <w:lang w:bidi="ar-SA"/>
              </w:rPr>
              <w:t>000</w:t>
            </w:r>
          </w:p>
          <w:p>
            <w:pPr>
              <w:widowControl/>
              <w:spacing w:line="240" w:lineRule="auto"/>
              <w:jc w:val="center"/>
              <w:rPr>
                <w:rFonts w:hint="eastAsia" w:ascii="永中仿宋" w:eastAsia="永中仿宋" w:cs="Calibri"/>
                <w:sz w:val="24"/>
                <w:szCs w:val="24"/>
                <w:lang w:bidi="ar-SA"/>
              </w:rPr>
            </w:pPr>
          </w:p>
        </w:tc>
        <w:tc>
          <w:tcPr>
            <w:tcW w:w="1076"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733"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2</w:t>
            </w:r>
          </w:p>
        </w:tc>
        <w:tc>
          <w:tcPr>
            <w:tcW w:w="1363"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轮胎</w:t>
            </w:r>
          </w:p>
        </w:tc>
        <w:tc>
          <w:tcPr>
            <w:tcW w:w="1738"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29.5R29</w:t>
            </w:r>
          </w:p>
        </w:tc>
        <w:tc>
          <w:tcPr>
            <w:tcW w:w="3223"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24M平路机</w:t>
            </w:r>
          </w:p>
        </w:tc>
        <w:tc>
          <w:tcPr>
            <w:tcW w:w="1335"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val="en-US" w:eastAsia="zh-CN" w:bidi="ar-SA"/>
              </w:rPr>
              <w:t>5</w:t>
            </w:r>
            <w:r>
              <w:rPr>
                <w:rFonts w:hint="eastAsia" w:ascii="永中仿宋" w:hAnsi="Calibri" w:eastAsia="永中仿宋" w:cs="Calibri"/>
                <w:sz w:val="24"/>
                <w:szCs w:val="24"/>
                <w:lang w:bidi="ar-SA"/>
              </w:rPr>
              <w:t>000</w:t>
            </w:r>
          </w:p>
          <w:p>
            <w:pPr>
              <w:widowControl/>
              <w:spacing w:line="240" w:lineRule="auto"/>
              <w:jc w:val="center"/>
              <w:rPr>
                <w:rFonts w:hint="eastAsia" w:ascii="永中仿宋" w:eastAsia="永中仿宋" w:cs="Calibri"/>
                <w:sz w:val="24"/>
                <w:szCs w:val="24"/>
                <w:lang w:bidi="ar-SA"/>
              </w:rPr>
            </w:pPr>
          </w:p>
        </w:tc>
        <w:tc>
          <w:tcPr>
            <w:tcW w:w="1076"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733" w:type="dxa"/>
            <w:vAlign w:val="center"/>
          </w:tcPr>
          <w:p>
            <w:pPr>
              <w:widowControl/>
              <w:spacing w:line="240" w:lineRule="auto"/>
              <w:jc w:val="center"/>
              <w:rPr>
                <w:rFonts w:hint="eastAsia" w:ascii="永中仿宋" w:eastAsia="永中仿宋" w:cs="Calibri"/>
                <w:sz w:val="24"/>
                <w:szCs w:val="24"/>
                <w:lang w:eastAsia="zh-CN" w:bidi="ar-SA"/>
              </w:rPr>
            </w:pPr>
            <w:r>
              <w:rPr>
                <w:rFonts w:hint="eastAsia" w:ascii="永中仿宋" w:hAnsi="Calibri" w:eastAsia="永中仿宋" w:cs="Calibri"/>
                <w:sz w:val="24"/>
                <w:szCs w:val="24"/>
                <w:lang w:val="en-US" w:eastAsia="zh-CN" w:bidi="ar-SA"/>
              </w:rPr>
              <w:t>3</w:t>
            </w:r>
          </w:p>
        </w:tc>
        <w:tc>
          <w:tcPr>
            <w:tcW w:w="1363"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轮胎</w:t>
            </w:r>
          </w:p>
        </w:tc>
        <w:tc>
          <w:tcPr>
            <w:tcW w:w="1738"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35/65R33</w:t>
            </w:r>
          </w:p>
        </w:tc>
        <w:tc>
          <w:tcPr>
            <w:tcW w:w="3223" w:type="dxa"/>
            <w:vAlign w:val="center"/>
          </w:tcPr>
          <w:p>
            <w:pPr>
              <w:widowControl/>
              <w:spacing w:line="240" w:lineRule="auto"/>
              <w:jc w:val="center"/>
              <w:rPr>
                <w:rFonts w:hint="eastAsia" w:ascii="永中仿宋" w:eastAsia="永中仿宋" w:cs="Calibri"/>
                <w:sz w:val="24"/>
                <w:szCs w:val="24"/>
                <w:lang w:eastAsia="zh-CN" w:bidi="ar-SA"/>
              </w:rPr>
            </w:pPr>
            <w:r>
              <w:rPr>
                <w:rFonts w:hint="eastAsia" w:ascii="永中仿宋" w:hAnsi="Calibri" w:eastAsia="永中仿宋" w:cs="Calibri"/>
                <w:sz w:val="24"/>
                <w:szCs w:val="24"/>
                <w:lang w:bidi="ar-SA"/>
              </w:rPr>
              <w:t>34B、834H、WD600推土机、988B装载机</w:t>
            </w:r>
          </w:p>
        </w:tc>
        <w:tc>
          <w:tcPr>
            <w:tcW w:w="1335"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val="en-US" w:eastAsia="zh-CN" w:bidi="ar-SA"/>
              </w:rPr>
              <w:t>7</w:t>
            </w:r>
            <w:r>
              <w:rPr>
                <w:rFonts w:hint="eastAsia" w:ascii="永中仿宋" w:hAnsi="Calibri" w:eastAsia="永中仿宋" w:cs="Calibri"/>
                <w:sz w:val="24"/>
                <w:szCs w:val="24"/>
                <w:lang w:bidi="ar-SA"/>
              </w:rPr>
              <w:t>000</w:t>
            </w:r>
          </w:p>
          <w:p>
            <w:pPr>
              <w:widowControl/>
              <w:spacing w:line="240" w:lineRule="auto"/>
              <w:jc w:val="center"/>
              <w:rPr>
                <w:rFonts w:hint="eastAsia" w:ascii="永中仿宋" w:eastAsia="永中仿宋" w:cs="Calibri"/>
                <w:sz w:val="24"/>
                <w:szCs w:val="24"/>
                <w:lang w:bidi="ar-SA"/>
              </w:rPr>
            </w:pPr>
          </w:p>
        </w:tc>
        <w:tc>
          <w:tcPr>
            <w:tcW w:w="1076"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733"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val="en-US" w:eastAsia="zh-CN" w:bidi="ar-SA"/>
              </w:rPr>
              <w:t>4</w:t>
            </w:r>
          </w:p>
        </w:tc>
        <w:tc>
          <w:tcPr>
            <w:tcW w:w="1363"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轮胎</w:t>
            </w:r>
          </w:p>
        </w:tc>
        <w:tc>
          <w:tcPr>
            <w:tcW w:w="1738" w:type="dxa"/>
            <w:vAlign w:val="center"/>
          </w:tcPr>
          <w:p>
            <w:pPr>
              <w:widowControl/>
              <w:spacing w:line="240" w:lineRule="auto"/>
              <w:ind w:firstLine="200" w:firstLineChars="100"/>
              <w:jc w:val="both"/>
              <w:rPr>
                <w:rFonts w:hint="eastAsia" w:ascii="永中仿宋" w:eastAsia="永中仿宋" w:cs="Calibri"/>
                <w:sz w:val="24"/>
                <w:szCs w:val="24"/>
                <w:lang w:bidi="ar-SA"/>
              </w:rPr>
            </w:pPr>
            <w:r>
              <w:rPr>
                <w:rFonts w:hint="default" w:ascii="Arial" w:hAnsi="Arial" w:eastAsia="宋体" w:cs="Arial"/>
                <w:i w:val="0"/>
                <w:color w:val="000000"/>
                <w:kern w:val="0"/>
                <w:sz w:val="20"/>
                <w:szCs w:val="20"/>
                <w:u w:val="none"/>
                <w:lang w:val="en-US" w:eastAsia="zh-CN" w:bidi="ar"/>
              </w:rPr>
              <w:t>45/65R45</w:t>
            </w:r>
          </w:p>
        </w:tc>
        <w:tc>
          <w:tcPr>
            <w:tcW w:w="3223"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val="en-US" w:eastAsia="zh-CN" w:bidi="ar-SA"/>
              </w:rPr>
              <w:t>992前装机</w:t>
            </w:r>
          </w:p>
        </w:tc>
        <w:tc>
          <w:tcPr>
            <w:tcW w:w="1335"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val="en-US" w:eastAsia="zh-CN" w:bidi="ar-SA"/>
              </w:rPr>
              <w:t>8</w:t>
            </w:r>
            <w:r>
              <w:rPr>
                <w:rFonts w:hint="eastAsia" w:ascii="永中仿宋" w:hAnsi="Calibri" w:eastAsia="永中仿宋" w:cs="Calibri"/>
                <w:sz w:val="24"/>
                <w:szCs w:val="24"/>
                <w:lang w:bidi="ar-SA"/>
              </w:rPr>
              <w:t>000</w:t>
            </w:r>
          </w:p>
          <w:p>
            <w:pPr>
              <w:widowControl/>
              <w:spacing w:line="240" w:lineRule="auto"/>
              <w:jc w:val="center"/>
              <w:rPr>
                <w:rFonts w:hint="eastAsia" w:ascii="永中仿宋" w:eastAsia="永中仿宋" w:cs="Calibri"/>
                <w:sz w:val="24"/>
                <w:szCs w:val="24"/>
                <w:lang w:val="en-US" w:eastAsia="zh-CN" w:bidi="ar-SA"/>
              </w:rPr>
            </w:pPr>
          </w:p>
        </w:tc>
        <w:tc>
          <w:tcPr>
            <w:tcW w:w="1076"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733"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val="en-US" w:eastAsia="zh-CN" w:bidi="ar-SA"/>
              </w:rPr>
              <w:t>5</w:t>
            </w:r>
          </w:p>
        </w:tc>
        <w:tc>
          <w:tcPr>
            <w:tcW w:w="1363"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轮胎</w:t>
            </w:r>
          </w:p>
        </w:tc>
        <w:tc>
          <w:tcPr>
            <w:tcW w:w="1738"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45/65R39</w:t>
            </w:r>
          </w:p>
        </w:tc>
        <w:tc>
          <w:tcPr>
            <w:tcW w:w="3223"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val="en-US" w:eastAsia="zh-CN" w:bidi="ar-SA"/>
              </w:rPr>
              <w:t>844</w:t>
            </w:r>
            <w:r>
              <w:rPr>
                <w:rFonts w:hint="eastAsia" w:ascii="永中仿宋" w:hAnsi="Calibri" w:eastAsia="永中仿宋" w:cs="Calibri"/>
                <w:sz w:val="24"/>
                <w:szCs w:val="24"/>
                <w:lang w:eastAsia="zh-CN" w:bidi="ar-SA"/>
              </w:rPr>
              <w:t>推土机</w:t>
            </w:r>
          </w:p>
        </w:tc>
        <w:tc>
          <w:tcPr>
            <w:tcW w:w="1335"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val="en-US" w:eastAsia="zh-CN" w:bidi="ar-SA"/>
              </w:rPr>
              <w:t>8</w:t>
            </w:r>
            <w:r>
              <w:rPr>
                <w:rFonts w:hint="eastAsia" w:ascii="永中仿宋" w:hAnsi="Calibri" w:eastAsia="永中仿宋" w:cs="Calibri"/>
                <w:sz w:val="24"/>
                <w:szCs w:val="24"/>
                <w:lang w:bidi="ar-SA"/>
              </w:rPr>
              <w:t>000</w:t>
            </w:r>
          </w:p>
        </w:tc>
        <w:tc>
          <w:tcPr>
            <w:tcW w:w="1076"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733"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val="en-US" w:eastAsia="zh-CN" w:bidi="ar-SA"/>
              </w:rPr>
              <w:t>6</w:t>
            </w:r>
          </w:p>
        </w:tc>
        <w:tc>
          <w:tcPr>
            <w:tcW w:w="1363"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轮胎</w:t>
            </w:r>
          </w:p>
        </w:tc>
        <w:tc>
          <w:tcPr>
            <w:tcW w:w="1738"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35/65R33</w:t>
            </w:r>
          </w:p>
        </w:tc>
        <w:tc>
          <w:tcPr>
            <w:tcW w:w="3223"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bidi="ar-SA"/>
              </w:rPr>
              <w:t>34B、834H、WD600推土机、988B装载机</w:t>
            </w:r>
          </w:p>
        </w:tc>
        <w:tc>
          <w:tcPr>
            <w:tcW w:w="1335"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val="en-US" w:eastAsia="zh-CN" w:bidi="ar-SA"/>
              </w:rPr>
              <w:t>7</w:t>
            </w:r>
            <w:r>
              <w:rPr>
                <w:rFonts w:hint="eastAsia" w:ascii="永中仿宋" w:hAnsi="Calibri" w:eastAsia="永中仿宋" w:cs="Calibri"/>
                <w:sz w:val="24"/>
                <w:szCs w:val="24"/>
                <w:lang w:bidi="ar-SA"/>
              </w:rPr>
              <w:t>000</w:t>
            </w:r>
          </w:p>
          <w:p>
            <w:pPr>
              <w:widowControl/>
              <w:spacing w:line="240" w:lineRule="auto"/>
              <w:jc w:val="center"/>
              <w:rPr>
                <w:rFonts w:hint="eastAsia" w:ascii="永中仿宋" w:eastAsia="永中仿宋" w:cs="Calibri"/>
                <w:sz w:val="24"/>
                <w:szCs w:val="24"/>
                <w:lang w:val="en-US" w:eastAsia="zh-CN" w:bidi="ar-SA"/>
              </w:rPr>
            </w:pPr>
          </w:p>
        </w:tc>
        <w:tc>
          <w:tcPr>
            <w:tcW w:w="1076"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trPr>
        <w:tc>
          <w:tcPr>
            <w:tcW w:w="733"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val="en-US" w:eastAsia="zh-CN" w:bidi="ar-SA"/>
              </w:rPr>
              <w:t>7</w:t>
            </w:r>
          </w:p>
        </w:tc>
        <w:tc>
          <w:tcPr>
            <w:tcW w:w="1363"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轮胎</w:t>
            </w:r>
          </w:p>
        </w:tc>
        <w:tc>
          <w:tcPr>
            <w:tcW w:w="1738" w:type="dxa"/>
            <w:vAlign w:val="center"/>
          </w:tcPr>
          <w:p>
            <w:pPr>
              <w:widowControl/>
              <w:spacing w:line="240" w:lineRule="auto"/>
              <w:jc w:val="center"/>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20.5-25</w:t>
            </w:r>
          </w:p>
        </w:tc>
        <w:tc>
          <w:tcPr>
            <w:tcW w:w="3223"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val="en-US" w:eastAsia="zh-CN" w:bidi="ar-SA"/>
              </w:rPr>
              <w:t>平板车</w:t>
            </w:r>
          </w:p>
        </w:tc>
        <w:tc>
          <w:tcPr>
            <w:tcW w:w="1335" w:type="dxa"/>
            <w:vAlign w:val="center"/>
          </w:tcPr>
          <w:p>
            <w:pPr>
              <w:widowControl/>
              <w:spacing w:line="240" w:lineRule="auto"/>
              <w:jc w:val="center"/>
              <w:rPr>
                <w:rFonts w:hint="eastAsia" w:ascii="永中仿宋" w:eastAsia="永中仿宋" w:cs="Calibri"/>
                <w:sz w:val="24"/>
                <w:szCs w:val="24"/>
                <w:lang w:val="en-US" w:eastAsia="zh-CN" w:bidi="ar-SA"/>
              </w:rPr>
            </w:pPr>
            <w:r>
              <w:rPr>
                <w:rFonts w:hint="eastAsia" w:ascii="永中仿宋" w:hAnsi="Calibri" w:eastAsia="永中仿宋" w:cs="Calibri"/>
                <w:sz w:val="24"/>
                <w:szCs w:val="24"/>
                <w:lang w:val="en-US" w:eastAsia="zh-CN" w:bidi="ar-SA"/>
              </w:rPr>
              <w:t>5</w:t>
            </w:r>
            <w:r>
              <w:rPr>
                <w:rFonts w:hint="eastAsia" w:ascii="永中仿宋" w:hAnsi="Calibri" w:eastAsia="永中仿宋" w:cs="Calibri"/>
                <w:sz w:val="24"/>
                <w:szCs w:val="24"/>
                <w:lang w:bidi="ar-SA"/>
              </w:rPr>
              <w:t>000</w:t>
            </w:r>
          </w:p>
        </w:tc>
        <w:tc>
          <w:tcPr>
            <w:tcW w:w="1076" w:type="dxa"/>
            <w:vAlign w:val="center"/>
          </w:tcPr>
          <w:p>
            <w:pPr>
              <w:widowControl/>
              <w:spacing w:line="240" w:lineRule="auto"/>
              <w:jc w:val="center"/>
              <w:rPr>
                <w:rFonts w:hint="eastAsia" w:ascii="永中仿宋" w:eastAsia="永中仿宋" w:cs="Calibri"/>
                <w:sz w:val="24"/>
                <w:szCs w:val="24"/>
                <w:lang w:bidi="ar-SA"/>
              </w:rPr>
            </w:pPr>
            <w:r>
              <w:rPr>
                <w:rFonts w:hint="eastAsia" w:ascii="永中仿宋" w:hAnsi="Calibri" w:eastAsia="永中仿宋" w:cs="Calibri"/>
                <w:sz w:val="24"/>
                <w:szCs w:val="24"/>
                <w:lang w:bidi="ar-SA"/>
              </w:rPr>
              <w:t>——</w:t>
            </w:r>
          </w:p>
        </w:tc>
      </w:tr>
    </w:tbl>
    <w:p>
      <w:pPr>
        <w:spacing w:line="360" w:lineRule="auto"/>
        <w:jc w:val="left"/>
        <w:rPr>
          <w:rFonts w:hint="eastAsia" w:ascii="永中仿宋" w:eastAsia="永中仿宋" w:cs="楷体_GB2312"/>
          <w:b/>
          <w:bCs/>
          <w:sz w:val="24"/>
          <w:szCs w:val="24"/>
          <w:lang w:bidi="ar-SA"/>
        </w:rPr>
      </w:pPr>
      <w:r>
        <w:rPr>
          <w:rFonts w:hint="eastAsia" w:ascii="永中仿宋" w:hAnsi="Calibri" w:eastAsia="永中仿宋" w:cs="楷体_GB2312"/>
          <w:b/>
          <w:bCs/>
          <w:sz w:val="24"/>
          <w:szCs w:val="24"/>
          <w:lang w:val="en-US" w:eastAsia="zh-CN" w:bidi="ar-SA"/>
        </w:rPr>
        <w:t>5</w:t>
      </w:r>
      <w:r>
        <w:rPr>
          <w:rFonts w:hint="eastAsia" w:ascii="永中仿宋" w:hAnsi="Calibri" w:eastAsia="永中仿宋" w:cs="楷体_GB2312"/>
          <w:b/>
          <w:bCs/>
          <w:sz w:val="24"/>
          <w:szCs w:val="24"/>
          <w:lang w:eastAsia="zh-CN" w:bidi="ar-SA"/>
        </w:rPr>
        <w:t>、</w:t>
      </w:r>
      <w:r>
        <w:rPr>
          <w:rFonts w:hint="eastAsia" w:ascii="永中仿宋" w:hAnsi="Calibri" w:eastAsia="永中仿宋" w:cs="楷体_GB2312"/>
          <w:b/>
          <w:bCs/>
          <w:sz w:val="24"/>
          <w:szCs w:val="24"/>
          <w:lang w:bidi="ar-SA"/>
        </w:rPr>
        <w:t>鉴定验收</w:t>
      </w:r>
    </w:p>
    <w:p>
      <w:pPr>
        <w:spacing w:line="360" w:lineRule="auto"/>
        <w:ind w:firstLine="480" w:firstLineChars="200"/>
        <w:rPr>
          <w:rFonts w:hint="eastAsia" w:ascii="永中仿宋" w:eastAsia="永中仿宋" w:cs="楷体_GB2312"/>
          <w:sz w:val="24"/>
          <w:szCs w:val="24"/>
          <w:lang w:bidi="ar-SA"/>
        </w:rPr>
      </w:pPr>
      <w:r>
        <w:rPr>
          <w:rFonts w:hint="eastAsia" w:ascii="永中仿宋" w:hAnsi="Calibri" w:eastAsia="永中仿宋" w:cs="楷体_GB2312"/>
          <w:sz w:val="24"/>
          <w:szCs w:val="24"/>
          <w:lang w:bidi="ar-SA"/>
        </w:rPr>
        <w:t>验收标准为合同规定的要求和相关标准（规格型号、花纹、用途）、规范，双方认为达到合同规定的各项技术及考核指标，可以通过验收。</w:t>
      </w:r>
    </w:p>
    <w:p>
      <w:pPr>
        <w:spacing w:line="360" w:lineRule="auto"/>
        <w:ind w:firstLine="480" w:firstLineChars="200"/>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5.</w:t>
      </w:r>
      <w:r>
        <w:rPr>
          <w:rFonts w:hint="eastAsia" w:ascii="永中仿宋" w:hAnsi="Calibri" w:eastAsia="永中仿宋" w:cs="楷体_GB2312"/>
          <w:sz w:val="24"/>
          <w:szCs w:val="24"/>
          <w:lang w:bidi="ar-SA"/>
        </w:rPr>
        <w:t>1.轮胎整体无明显损伤。</w:t>
      </w:r>
    </w:p>
    <w:p>
      <w:pPr>
        <w:spacing w:line="360" w:lineRule="auto"/>
        <w:ind w:firstLine="480" w:firstLineChars="200"/>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5.</w:t>
      </w:r>
      <w:r>
        <w:rPr>
          <w:rFonts w:hint="eastAsia" w:ascii="永中仿宋" w:hAnsi="Calibri" w:eastAsia="永中仿宋" w:cs="楷体_GB2312"/>
          <w:sz w:val="24"/>
          <w:szCs w:val="24"/>
          <w:lang w:bidi="ar-SA"/>
        </w:rPr>
        <w:t>2.轮胎气密层光滑、平整、无气泡。</w:t>
      </w:r>
    </w:p>
    <w:p>
      <w:pPr>
        <w:spacing w:line="360" w:lineRule="auto"/>
        <w:ind w:firstLine="480" w:firstLineChars="200"/>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5.</w:t>
      </w:r>
      <w:r>
        <w:rPr>
          <w:rFonts w:hint="eastAsia" w:ascii="永中仿宋" w:hAnsi="Calibri" w:eastAsia="永中仿宋" w:cs="楷体_GB2312"/>
          <w:sz w:val="24"/>
          <w:szCs w:val="24"/>
          <w:lang w:bidi="ar-SA"/>
        </w:rPr>
        <w:t>3.胎侧、胎面无明细划痕、割伤、裂口等现象。</w:t>
      </w:r>
    </w:p>
    <w:p>
      <w:pPr>
        <w:spacing w:line="360" w:lineRule="auto"/>
        <w:ind w:firstLine="480" w:firstLineChars="200"/>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5.</w:t>
      </w:r>
      <w:r>
        <w:rPr>
          <w:rFonts w:hint="eastAsia" w:ascii="永中仿宋" w:hAnsi="Calibri" w:eastAsia="永中仿宋" w:cs="楷体_GB2312"/>
          <w:sz w:val="24"/>
          <w:szCs w:val="24"/>
          <w:lang w:bidi="ar-SA"/>
        </w:rPr>
        <w:t>4.轮胎胎口无损坏。</w:t>
      </w:r>
    </w:p>
    <w:p>
      <w:pPr>
        <w:spacing w:line="360" w:lineRule="auto"/>
        <w:ind w:firstLine="480" w:firstLineChars="200"/>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5.</w:t>
      </w:r>
      <w:r>
        <w:rPr>
          <w:rFonts w:hint="eastAsia" w:ascii="永中仿宋" w:hAnsi="Calibri" w:eastAsia="永中仿宋" w:cs="楷体_GB2312"/>
          <w:sz w:val="24"/>
          <w:szCs w:val="24"/>
          <w:lang w:bidi="ar-SA"/>
        </w:rPr>
        <w:t>5.从轮胎上机之日算起。在质量保证期内，由于制造原因的缺陷造成的损坏。</w:t>
      </w:r>
    </w:p>
    <w:p>
      <w:pPr>
        <w:spacing w:line="360" w:lineRule="auto"/>
        <w:ind w:firstLine="480" w:firstLineChars="200"/>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5.</w:t>
      </w:r>
      <w:r>
        <w:rPr>
          <w:rFonts w:hint="eastAsia" w:ascii="永中仿宋" w:hAnsi="Calibri" w:eastAsia="永中仿宋" w:cs="楷体_GB2312"/>
          <w:sz w:val="24"/>
          <w:szCs w:val="24"/>
          <w:lang w:bidi="ar-SA"/>
        </w:rPr>
        <w:t>6.检查轮胎的厂牌、型号、编号是否齐全，标识清楚。</w:t>
      </w:r>
    </w:p>
    <w:p>
      <w:pPr>
        <w:widowControl/>
        <w:spacing w:line="360" w:lineRule="auto"/>
        <w:ind w:firstLine="480" w:firstLineChars="200"/>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5.</w:t>
      </w:r>
      <w:r>
        <w:rPr>
          <w:rFonts w:hint="eastAsia" w:ascii="永中仿宋" w:hAnsi="Calibri" w:eastAsia="永中仿宋" w:cs="楷体_GB2312"/>
          <w:sz w:val="24"/>
          <w:szCs w:val="24"/>
          <w:lang w:bidi="ar-SA"/>
        </w:rPr>
        <w:t>7.轮胎第一次充气时，查看是否有鼓包等现象。</w:t>
      </w:r>
    </w:p>
    <w:p>
      <w:pPr>
        <w:snapToGrid w:val="0"/>
        <w:spacing w:line="360" w:lineRule="auto"/>
        <w:jc w:val="left"/>
        <w:rPr>
          <w:rFonts w:hint="eastAsia" w:ascii="仿宋" w:eastAsia="仿宋"/>
          <w:color w:val="000000"/>
          <w:sz w:val="24"/>
          <w:szCs w:val="24"/>
        </w:rPr>
      </w:pPr>
      <w:r>
        <w:rPr>
          <w:rFonts w:hint="eastAsia" w:ascii="仿宋" w:hAnsi="Calibri" w:eastAsia="仿宋"/>
          <w:b/>
          <w:bCs/>
          <w:color w:val="000000"/>
          <w:sz w:val="24"/>
          <w:szCs w:val="24"/>
          <w:lang w:val="en-US" w:eastAsia="zh-CN"/>
        </w:rPr>
        <w:t>6</w:t>
      </w:r>
      <w:r>
        <w:rPr>
          <w:rFonts w:hint="eastAsia" w:ascii="仿宋" w:hAnsi="Calibri" w:eastAsia="仿宋"/>
          <w:b/>
          <w:bCs/>
          <w:color w:val="000000"/>
          <w:sz w:val="24"/>
          <w:szCs w:val="24"/>
          <w:lang w:eastAsia="zh-CN"/>
        </w:rPr>
        <w:t>、</w:t>
      </w:r>
      <w:r>
        <w:rPr>
          <w:rFonts w:hint="eastAsia" w:ascii="仿宋" w:hAnsi="Calibri" w:eastAsia="仿宋"/>
          <w:b/>
          <w:bCs/>
          <w:color w:val="000000"/>
          <w:sz w:val="24"/>
          <w:szCs w:val="24"/>
        </w:rPr>
        <w:t>供货范围</w:t>
      </w:r>
    </w:p>
    <w:p>
      <w:pPr>
        <w:spacing w:line="360" w:lineRule="auto"/>
        <w:ind w:left="640" w:firstLine="0"/>
        <w:rPr>
          <w:rFonts w:hint="eastAsia" w:ascii="永中仿宋" w:eastAsia="永中仿宋" w:cs="楷体_GB2312"/>
          <w:sz w:val="24"/>
          <w:szCs w:val="24"/>
          <w:lang w:eastAsia="zh-CN" w:bidi="ar-SA"/>
        </w:rPr>
      </w:pPr>
      <w:r>
        <w:rPr>
          <w:rFonts w:hint="eastAsia" w:ascii="永中仿宋" w:hAnsi="Calibri" w:eastAsia="永中仿宋" w:cs="楷体_GB2312"/>
          <w:sz w:val="24"/>
          <w:szCs w:val="24"/>
          <w:lang w:val="en-US" w:eastAsia="zh-CN" w:bidi="ar-SA"/>
        </w:rPr>
        <w:t>1.</w:t>
      </w:r>
      <w:r>
        <w:rPr>
          <w:rFonts w:hint="eastAsia" w:ascii="永中仿宋" w:hAnsi="Calibri" w:eastAsia="永中仿宋" w:cs="楷体_GB2312"/>
          <w:sz w:val="24"/>
          <w:szCs w:val="24"/>
          <w:lang w:bidi="ar-SA"/>
        </w:rPr>
        <w:t>投标方提供完整的、全新的、符合制造标准的、满足本招标技术要求的</w:t>
      </w:r>
      <w:r>
        <w:rPr>
          <w:rFonts w:hint="eastAsia" w:ascii="永中仿宋" w:hAnsi="Calibri" w:eastAsia="永中仿宋" w:cs="楷体_GB2312"/>
          <w:sz w:val="24"/>
          <w:szCs w:val="24"/>
          <w:lang w:val="en-US" w:eastAsia="zh-CN" w:bidi="ar-SA"/>
        </w:rPr>
        <w:t>工程轮胎</w:t>
      </w:r>
      <w:r>
        <w:rPr>
          <w:rFonts w:hint="eastAsia" w:ascii="永中仿宋" w:hAnsi="Calibri" w:eastAsia="永中仿宋" w:cs="楷体_GB2312"/>
          <w:sz w:val="24"/>
          <w:szCs w:val="24"/>
          <w:lang w:eastAsia="zh-CN" w:bidi="ar-SA"/>
        </w:rPr>
        <w:t>（详见</w:t>
      </w:r>
      <w:r>
        <w:rPr>
          <w:rFonts w:hint="eastAsia" w:ascii="永中仿宋" w:hAnsi="Calibri" w:eastAsia="永中仿宋" w:cs="楷体_GB2312"/>
          <w:sz w:val="24"/>
          <w:szCs w:val="24"/>
          <w:lang w:val="en-US" w:eastAsia="zh-CN" w:bidi="ar-SA"/>
        </w:rPr>
        <w:t>1.货物需求一览表</w:t>
      </w:r>
      <w:r>
        <w:rPr>
          <w:rFonts w:hint="eastAsia" w:ascii="永中仿宋" w:hAnsi="Calibri" w:eastAsia="永中仿宋" w:cs="楷体_GB2312"/>
          <w:sz w:val="24"/>
          <w:szCs w:val="24"/>
          <w:lang w:eastAsia="zh-CN" w:bidi="ar-SA"/>
        </w:rPr>
        <w:t>）。</w:t>
      </w:r>
    </w:p>
    <w:p>
      <w:pPr>
        <w:spacing w:line="360" w:lineRule="auto"/>
        <w:ind w:left="640" w:firstLine="0"/>
        <w:rPr>
          <w:rFonts w:hint="eastAsia" w:ascii="永中仿宋" w:eastAsia="永中仿宋" w:cs="楷体_GB2312"/>
          <w:sz w:val="24"/>
          <w:szCs w:val="24"/>
          <w:lang w:eastAsia="zh-CN" w:bidi="ar-SA"/>
        </w:rPr>
      </w:pPr>
      <w:r>
        <w:rPr>
          <w:rFonts w:hint="eastAsia" w:ascii="永中仿宋" w:hAnsi="Calibri" w:eastAsia="永中仿宋" w:cs="楷体_GB2312"/>
          <w:sz w:val="24"/>
          <w:szCs w:val="24"/>
          <w:lang w:val="en-US" w:eastAsia="zh-CN" w:bidi="ar-SA"/>
        </w:rPr>
        <w:t>2.</w:t>
      </w:r>
      <w:r>
        <w:rPr>
          <w:rFonts w:hint="eastAsia" w:ascii="永中仿宋" w:hAnsi="Calibri" w:eastAsia="永中仿宋" w:cs="楷体_GB2312"/>
          <w:sz w:val="24"/>
          <w:szCs w:val="24"/>
          <w:lang w:bidi="ar-SA"/>
        </w:rPr>
        <w:t>交货时间</w:t>
      </w:r>
      <w:r>
        <w:rPr>
          <w:rFonts w:hint="eastAsia" w:ascii="永中仿宋" w:hAnsi="Calibri" w:eastAsia="永中仿宋" w:cs="楷体_GB2312"/>
          <w:sz w:val="24"/>
          <w:szCs w:val="24"/>
          <w:lang w:eastAsia="zh-CN" w:bidi="ar-SA"/>
        </w:rPr>
        <w:t>：合同签订后</w:t>
      </w:r>
      <w:r>
        <w:rPr>
          <w:rFonts w:hint="eastAsia" w:ascii="永中仿宋" w:hAnsi="Calibri" w:eastAsia="永中仿宋" w:cs="楷体_GB2312"/>
          <w:sz w:val="24"/>
          <w:szCs w:val="24"/>
          <w:lang w:val="en-US" w:eastAsia="zh-CN" w:bidi="ar-SA"/>
        </w:rPr>
        <w:t>90天内到货。</w:t>
      </w:r>
    </w:p>
    <w:p>
      <w:pPr>
        <w:spacing w:line="360" w:lineRule="auto"/>
        <w:ind w:left="640" w:firstLine="0"/>
        <w:rPr>
          <w:rFonts w:hint="eastAsia" w:ascii="永中仿宋" w:eastAsia="永中仿宋" w:cs="楷体_GB2312"/>
          <w:sz w:val="24"/>
          <w:szCs w:val="24"/>
          <w:lang w:bidi="ar-SA"/>
        </w:rPr>
      </w:pPr>
      <w:r>
        <w:rPr>
          <w:rFonts w:hint="eastAsia" w:ascii="永中仿宋" w:hAnsi="Calibri" w:eastAsia="永中仿宋" w:cs="楷体_GB2312"/>
          <w:sz w:val="24"/>
          <w:szCs w:val="24"/>
          <w:lang w:val="en-US" w:eastAsia="zh-CN" w:bidi="ar-SA"/>
        </w:rPr>
        <w:t>3.交货</w:t>
      </w:r>
      <w:r>
        <w:rPr>
          <w:rFonts w:hint="eastAsia" w:ascii="永中仿宋" w:hAnsi="Calibri" w:eastAsia="永中仿宋" w:cs="楷体_GB2312"/>
          <w:sz w:val="24"/>
          <w:szCs w:val="24"/>
          <w:lang w:bidi="ar-SA"/>
        </w:rPr>
        <w:t>地点：</w:t>
      </w:r>
      <w:r>
        <w:rPr>
          <w:rFonts w:hint="eastAsia" w:ascii="永中仿宋" w:hAnsi="Calibri" w:eastAsia="永中仿宋" w:cs="楷体_GB2312"/>
          <w:sz w:val="24"/>
          <w:szCs w:val="24"/>
          <w:lang w:eastAsia="zh-CN" w:bidi="ar-SA"/>
        </w:rPr>
        <w:t>物资供应中心仓库。</w:t>
      </w:r>
    </w:p>
    <w:p>
      <w:pPr>
        <w:snapToGrid w:val="0"/>
        <w:spacing w:line="360" w:lineRule="auto"/>
        <w:jc w:val="left"/>
        <w:rPr>
          <w:rFonts w:hint="eastAsia" w:ascii="仿宋" w:eastAsia="仿宋"/>
          <w:b/>
          <w:bCs/>
          <w:color w:val="000000"/>
          <w:sz w:val="24"/>
          <w:szCs w:val="24"/>
        </w:rPr>
      </w:pPr>
      <w:r>
        <w:rPr>
          <w:rFonts w:hint="eastAsia" w:ascii="仿宋" w:hAnsi="Calibri" w:eastAsia="仿宋"/>
          <w:b/>
          <w:bCs/>
          <w:color w:val="000000"/>
          <w:sz w:val="24"/>
          <w:szCs w:val="24"/>
          <w:lang w:val="en-US" w:eastAsia="zh-CN"/>
        </w:rPr>
        <w:t>7、</w:t>
      </w:r>
      <w:r>
        <w:rPr>
          <w:rFonts w:hint="eastAsia" w:ascii="仿宋" w:hAnsi="Calibri" w:eastAsia="仿宋"/>
          <w:b/>
          <w:bCs/>
          <w:color w:val="000000"/>
          <w:sz w:val="24"/>
          <w:szCs w:val="24"/>
        </w:rPr>
        <w:t>质量保证</w:t>
      </w:r>
    </w:p>
    <w:p>
      <w:pPr>
        <w:spacing w:line="360" w:lineRule="auto"/>
        <w:ind w:left="640" w:firstLine="0"/>
        <w:rPr>
          <w:rFonts w:ascii="宋体" w:hAnsi="宋体" w:cs="宋体"/>
          <w:sz w:val="24"/>
          <w:szCs w:val="24"/>
        </w:rPr>
      </w:pPr>
      <w:r>
        <w:rPr>
          <w:rFonts w:hint="eastAsia" w:ascii="永中仿宋" w:hAnsi="Calibri" w:eastAsia="永中仿宋" w:cs="楷体_GB2312"/>
          <w:sz w:val="24"/>
          <w:szCs w:val="24"/>
          <w:lang w:eastAsia="zh-CN" w:bidi="ar-SA"/>
        </w:rPr>
        <w:t>质量保证期限为12个月，日期从验收合格后双方签字之日算起</w:t>
      </w:r>
      <w:r>
        <w:rPr>
          <w:rFonts w:hint="eastAsia" w:ascii="宋体" w:hAnsi="宋体" w:cs="宋体"/>
          <w:bCs/>
          <w:color w:val="000000"/>
          <w:sz w:val="24"/>
          <w:szCs w:val="24"/>
        </w:rPr>
        <w:t>。</w:t>
      </w:r>
    </w:p>
    <w:p>
      <w:pPr>
        <w:spacing w:line="360" w:lineRule="auto"/>
        <w:rPr>
          <w:rFonts w:hint="eastAsia" w:ascii="仿宋" w:hAnsi="仿宋" w:eastAsia="仿宋" w:cs="仿宋"/>
          <w:b/>
          <w:sz w:val="21"/>
          <w:szCs w:val="21"/>
        </w:rPr>
      </w:pPr>
      <w:r>
        <w:rPr>
          <w:rFonts w:hint="eastAsia" w:ascii="仿宋" w:hAnsi="仿宋" w:eastAsia="仿宋" w:cs="仿宋"/>
          <w:b/>
          <w:sz w:val="21"/>
          <w:szCs w:val="21"/>
          <w:lang w:val="en-US" w:eastAsia="zh-CN"/>
        </w:rPr>
        <w:t>8</w:t>
      </w:r>
      <w:r>
        <w:rPr>
          <w:rFonts w:hint="eastAsia" w:ascii="仿宋" w:hAnsi="仿宋" w:eastAsia="仿宋" w:cs="仿宋"/>
          <w:b/>
          <w:sz w:val="21"/>
          <w:szCs w:val="21"/>
          <w:lang w:eastAsia="zh-CN"/>
        </w:rPr>
        <w:t>、</w:t>
      </w:r>
      <w:r>
        <w:rPr>
          <w:rFonts w:hint="eastAsia" w:ascii="仿宋" w:hAnsi="仿宋" w:eastAsia="仿宋" w:cs="仿宋"/>
          <w:b/>
          <w:sz w:val="21"/>
          <w:szCs w:val="21"/>
        </w:rPr>
        <w:t>付款方式</w:t>
      </w:r>
    </w:p>
    <w:p>
      <w:pPr>
        <w:spacing w:line="360" w:lineRule="auto"/>
        <w:ind w:firstLine="420" w:firstLineChars="200"/>
        <w:rPr>
          <w:rFonts w:hint="default" w:ascii="Times New Roman" w:hAnsi="Times New Roman" w:eastAsia="宋体" w:cs="Times New Roman"/>
        </w:rPr>
      </w:pPr>
      <w:r>
        <w:rPr>
          <w:rFonts w:hint="eastAsia" w:ascii="仿宋" w:hAnsi="仿宋" w:eastAsia="仿宋" w:cs="仿宋"/>
          <w:bCs/>
          <w:sz w:val="21"/>
          <w:szCs w:val="21"/>
        </w:rPr>
        <w:t>验收合格后支付采购总费用</w:t>
      </w:r>
      <w:r>
        <w:rPr>
          <w:rFonts w:hint="eastAsia" w:ascii="仿宋" w:hAnsi="仿宋" w:eastAsia="仿宋" w:cs="仿宋"/>
          <w:bCs/>
          <w:sz w:val="21"/>
          <w:szCs w:val="21"/>
          <w:u w:val="single"/>
        </w:rPr>
        <w:t xml:space="preserve"> </w:t>
      </w:r>
      <w:r>
        <w:rPr>
          <w:rFonts w:hint="eastAsia" w:ascii="仿宋" w:hAnsi="仿宋" w:eastAsia="仿宋" w:cs="仿宋"/>
          <w:bCs/>
          <w:sz w:val="21"/>
          <w:szCs w:val="21"/>
          <w:u w:val="single"/>
          <w:lang w:val="en-US" w:eastAsia="zh-CN"/>
        </w:rPr>
        <w:t>90</w:t>
      </w:r>
      <w:r>
        <w:rPr>
          <w:rFonts w:hint="eastAsia" w:ascii="仿宋" w:hAnsi="仿宋" w:eastAsia="仿宋" w:cs="仿宋"/>
          <w:bCs/>
          <w:sz w:val="21"/>
          <w:szCs w:val="21"/>
          <w:u w:val="single"/>
        </w:rPr>
        <w:t xml:space="preserve"> </w:t>
      </w:r>
      <w:r>
        <w:rPr>
          <w:rFonts w:hint="eastAsia" w:ascii="仿宋" w:hAnsi="仿宋" w:eastAsia="仿宋" w:cs="仿宋"/>
          <w:bCs/>
          <w:sz w:val="21"/>
          <w:szCs w:val="21"/>
        </w:rPr>
        <w:t>%款项，质保期满无任何质量问题后支付采购剩余10%款项</w:t>
      </w:r>
      <w:r>
        <w:rPr>
          <w:rFonts w:hint="default" w:ascii="Times New Roman" w:hAnsi="Times New Roman" w:eastAsia="宋体" w:cs="Times New Roman"/>
          <w:sz w:val="21"/>
          <w:szCs w:val="21"/>
          <w:lang w:eastAsia="zh-CN"/>
        </w:rPr>
        <w:t>。</w:t>
      </w:r>
    </w:p>
    <w:p>
      <w:pPr>
        <w:rPr>
          <w:rFonts w:hint="eastAsia"/>
          <w:lang w:val="en-US" w:eastAsia="zh-CN"/>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永中仿宋">
    <w:altName w:val="仿宋"/>
    <w:panose1 w:val="02010600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B38B3"/>
    <w:multiLevelType w:val="multilevel"/>
    <w:tmpl w:val="2DFB38B3"/>
    <w:lvl w:ilvl="0" w:tentative="0">
      <w:start w:val="5"/>
      <w:numFmt w:val="decimal"/>
      <w:lvlText w:val="%1."/>
      <w:lvlJc w:val="left"/>
      <w:pPr>
        <w:tabs>
          <w:tab w:val="left" w:pos="360"/>
        </w:tabs>
        <w:ind w:left="360" w:hanging="360"/>
      </w:pPr>
      <w:rPr>
        <w:rFonts w:ascii="Times New Roman" w:hAnsi="Times New Roman" w:eastAsia="Times New Roman" w:cs="Times New Roman"/>
        <w:color w:val="00FF00"/>
      </w:rPr>
    </w:lvl>
    <w:lvl w:ilvl="1" w:tentative="0">
      <w:start w:val="6"/>
      <w:numFmt w:val="decimal"/>
      <w:lvlText w:val="%1.%2)"/>
      <w:lvlJc w:val="left"/>
      <w:pPr>
        <w:tabs>
          <w:tab w:val="left" w:pos="1080"/>
        </w:tabs>
        <w:ind w:left="1080" w:hanging="360"/>
      </w:pPr>
      <w:rPr>
        <w:rFonts w:hint="default"/>
        <w:color w:val="00FF00"/>
      </w:rPr>
    </w:lvl>
    <w:lvl w:ilvl="2" w:tentative="0">
      <w:start w:val="1"/>
      <w:numFmt w:val="decimal"/>
      <w:lvlText w:val="%1.%2)%3."/>
      <w:lvlJc w:val="left"/>
      <w:pPr>
        <w:tabs>
          <w:tab w:val="left" w:pos="720"/>
        </w:tabs>
        <w:ind w:left="720" w:hanging="720"/>
      </w:pPr>
      <w:rPr>
        <w:rFonts w:hint="default"/>
        <w:color w:val="00FF00"/>
      </w:rPr>
    </w:lvl>
    <w:lvl w:ilvl="3" w:tentative="0">
      <w:start w:val="1"/>
      <w:numFmt w:val="decimal"/>
      <w:lvlText w:val="%1.%2)%3.%4."/>
      <w:lvlJc w:val="left"/>
      <w:pPr>
        <w:tabs>
          <w:tab w:val="left" w:pos="720"/>
        </w:tabs>
        <w:ind w:left="720" w:hanging="720"/>
      </w:pPr>
      <w:rPr>
        <w:rFonts w:hint="default"/>
        <w:color w:val="00FF00"/>
      </w:rPr>
    </w:lvl>
    <w:lvl w:ilvl="4" w:tentative="0">
      <w:start w:val="1"/>
      <w:numFmt w:val="decimal"/>
      <w:lvlText w:val="%1.%2)%3.%4.%5."/>
      <w:lvlJc w:val="left"/>
      <w:pPr>
        <w:tabs>
          <w:tab w:val="left" w:pos="3960"/>
        </w:tabs>
        <w:ind w:left="3960" w:hanging="1080"/>
      </w:pPr>
      <w:rPr>
        <w:rFonts w:hint="default"/>
        <w:color w:val="00FF00"/>
      </w:rPr>
    </w:lvl>
    <w:lvl w:ilvl="5" w:tentative="0">
      <w:start w:val="1"/>
      <w:numFmt w:val="decimal"/>
      <w:lvlText w:val="%1.%2)%3.%4.%5.%6."/>
      <w:lvlJc w:val="left"/>
      <w:pPr>
        <w:tabs>
          <w:tab w:val="left" w:pos="4680"/>
        </w:tabs>
        <w:ind w:left="4680" w:hanging="1080"/>
      </w:pPr>
      <w:rPr>
        <w:rFonts w:hint="default"/>
        <w:color w:val="00FF00"/>
      </w:rPr>
    </w:lvl>
    <w:lvl w:ilvl="6" w:tentative="0">
      <w:start w:val="1"/>
      <w:numFmt w:val="decimal"/>
      <w:lvlText w:val="%1.%2)%3.%4.%5.%6.%7."/>
      <w:lvlJc w:val="left"/>
      <w:pPr>
        <w:tabs>
          <w:tab w:val="left" w:pos="5760"/>
        </w:tabs>
        <w:ind w:left="5760" w:hanging="1440"/>
      </w:pPr>
      <w:rPr>
        <w:rFonts w:hint="default"/>
        <w:color w:val="00FF00"/>
      </w:rPr>
    </w:lvl>
    <w:lvl w:ilvl="7" w:tentative="0">
      <w:start w:val="1"/>
      <w:numFmt w:val="decimal"/>
      <w:lvlText w:val="%1.%2)%3.%4.%5.%6.%7.%8."/>
      <w:lvlJc w:val="left"/>
      <w:pPr>
        <w:tabs>
          <w:tab w:val="left" w:pos="6480"/>
        </w:tabs>
        <w:ind w:left="6480" w:hanging="1440"/>
      </w:pPr>
      <w:rPr>
        <w:rFonts w:hint="default"/>
        <w:color w:val="00FF00"/>
      </w:rPr>
    </w:lvl>
    <w:lvl w:ilvl="8" w:tentative="0">
      <w:start w:val="1"/>
      <w:numFmt w:val="decimal"/>
      <w:lvlText w:val="%1.%2)%3.%4.%5.%6.%7.%8.%9."/>
      <w:lvlJc w:val="left"/>
      <w:pPr>
        <w:tabs>
          <w:tab w:val="left" w:pos="7200"/>
        </w:tabs>
        <w:ind w:left="7200" w:hanging="1440"/>
      </w:pPr>
      <w:rPr>
        <w:rFonts w:hint="default"/>
        <w:color w:val="00FF0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BB1157"/>
    <w:rsid w:val="31BB1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2019-12-23T08:36:00Z</dcterms:created>
  <dc:creator>Administrator</dc:creator>
  <cp:lastModifiedBy>Administrator</cp:lastModifiedBy>
  <dcterms:modified xsi:type="dcterms:W3CDTF">2019-12-23T08:36:47Z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