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bookmarkStart w:id="6" w:name="_GoBack"/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紧凑型多业务边缘光传送平台招标技术规范书</w:t>
      </w:r>
    </w:p>
    <w:p>
      <w:pPr>
        <w:spacing w:line="360" w:lineRule="auto"/>
        <w:rPr>
          <w:rFonts w:ascii="宋体" w:cs="新宋体"/>
          <w:bCs/>
          <w:color w:val="auto"/>
          <w:sz w:val="21"/>
          <w:szCs w:val="21"/>
          <w:highlight w:val="none"/>
        </w:rPr>
      </w:pPr>
      <w:r>
        <w:rPr>
          <w:rFonts w:hint="eastAsia" w:ascii="宋体" w:cs="新宋体"/>
          <w:bCs/>
          <w:color w:val="auto"/>
          <w:sz w:val="21"/>
          <w:szCs w:val="21"/>
          <w:highlight w:val="none"/>
        </w:rPr>
        <w:t>1. 货物需求</w:t>
      </w:r>
    </w:p>
    <w:p>
      <w:pPr>
        <w:spacing w:line="360" w:lineRule="auto"/>
        <w:rPr>
          <w:rFonts w:ascii="宋体" w:cs="新宋体"/>
          <w:bCs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*</w:t>
      </w:r>
      <w:r>
        <w:rPr>
          <w:rFonts w:hint="eastAsia" w:ascii="宋体" w:cs="新宋体"/>
          <w:bCs/>
          <w:color w:val="auto"/>
          <w:sz w:val="21"/>
          <w:szCs w:val="21"/>
          <w:highlight w:val="none"/>
        </w:rPr>
        <w:t>1.1货物需求一览表</w:t>
      </w:r>
    </w:p>
    <w:tbl>
      <w:tblPr>
        <w:tblStyle w:val="4"/>
        <w:tblW w:w="9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4124"/>
        <w:gridCol w:w="992"/>
        <w:gridCol w:w="787"/>
        <w:gridCol w:w="2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798" w:type="dxa"/>
            <w:vAlign w:val="center"/>
          </w:tcPr>
          <w:p>
            <w:pPr>
              <w:spacing w:line="360" w:lineRule="auto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bookmarkStart w:id="0" w:name="OLE_LINK12" w:colFirst="4" w:colLast="4"/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124" w:type="dxa"/>
            <w:vAlign w:val="center"/>
          </w:tcPr>
          <w:p>
            <w:pPr>
              <w:spacing w:line="360" w:lineRule="auto"/>
              <w:jc w:val="center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bookmarkStart w:id="1" w:name="OLE_LINK10"/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货物名称</w:t>
            </w:r>
            <w:bookmarkEnd w:id="1"/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787" w:type="dxa"/>
            <w:vAlign w:val="center"/>
          </w:tcPr>
          <w:p>
            <w:pPr>
              <w:spacing w:line="360" w:lineRule="auto"/>
              <w:jc w:val="center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2399" w:type="dxa"/>
            <w:vAlign w:val="center"/>
          </w:tcPr>
          <w:p>
            <w:pPr>
              <w:spacing w:line="360" w:lineRule="auto"/>
              <w:jc w:val="center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98" w:type="dxa"/>
            <w:vAlign w:val="center"/>
          </w:tcPr>
          <w:p>
            <w:pPr>
              <w:spacing w:line="360" w:lineRule="auto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124" w:type="dxa"/>
            <w:vAlign w:val="center"/>
          </w:tcPr>
          <w:p>
            <w:pPr>
              <w:spacing w:line="360" w:lineRule="auto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紧凑型多业务边缘光传送平台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787" w:type="dxa"/>
            <w:vAlign w:val="center"/>
          </w:tcPr>
          <w:p>
            <w:pPr>
              <w:spacing w:line="360" w:lineRule="auto"/>
              <w:jc w:val="center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399" w:type="dxa"/>
            <w:vAlign w:val="center"/>
          </w:tcPr>
          <w:p>
            <w:pPr>
              <w:spacing w:line="360" w:lineRule="auto"/>
              <w:jc w:val="center"/>
              <w:rPr>
                <w:rFonts w:ascii="宋体" w:cs="新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满足</w:t>
            </w: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  <w:lang w:eastAsia="zh-CN"/>
              </w:rPr>
              <w:t>节</w:t>
            </w:r>
            <w:r>
              <w:rPr>
                <w:rFonts w:hint="eastAsia" w:ascii="宋体" w:cs="新宋体"/>
                <w:bCs/>
                <w:color w:val="auto"/>
                <w:sz w:val="21"/>
                <w:szCs w:val="21"/>
                <w:highlight w:val="none"/>
              </w:rPr>
              <w:t>功能需求</w:t>
            </w:r>
          </w:p>
        </w:tc>
      </w:tr>
      <w:bookmarkEnd w:id="0"/>
    </w:tbl>
    <w:p>
      <w:pPr>
        <w:spacing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注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/>
          <w:color w:val="auto"/>
          <w:sz w:val="21"/>
          <w:szCs w:val="21"/>
          <w:highlight w:val="none"/>
        </w:rPr>
        <w:t>所有设备的安装调试和线路布设由投标方负责施工，施工要求必须符合准能集团公司规定。</w:t>
      </w:r>
    </w:p>
    <w:p>
      <w:pPr>
        <w:numPr>
          <w:ilvl w:val="0"/>
          <w:numId w:val="1"/>
        </w:numPr>
        <w:spacing w:line="360" w:lineRule="auto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设备清单包括但不仅限于清单内容。应包括所有缆线、材料设施。在实际安装过程中，如发现不能够形成独立有效的系统，缺少的设备、材料、软件（数据库、中间件等）授权等,投标方应无偿补足或更换不低于本方案配置的设备及配件，使系统能够正常运行。</w:t>
      </w:r>
    </w:p>
    <w:p>
      <w:pPr>
        <w:spacing w:line="360" w:lineRule="auto"/>
        <w:rPr>
          <w:rFonts w:hint="eastAsia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（3）中标后投标方提供设备须经过现场功能测试，确定符合标*号的功能技术要求。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1.2交货时间:自合同签订之日起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</w:rPr>
        <w:t xml:space="preserve">   1   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个月内到达交货地点。</w:t>
      </w:r>
    </w:p>
    <w:p>
      <w:pPr>
        <w:spacing w:line="360" w:lineRule="auto"/>
        <w:ind w:firstLine="420" w:firstLineChars="200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交货地点：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</w:rPr>
        <w:t>内蒙古鄂尔多斯市准格尔旗薛家湾准能公司信息中心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2.设备使用条件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2.1使用环境</w:t>
      </w:r>
    </w:p>
    <w:p>
      <w:pPr>
        <w:adjustRightInd w:val="0"/>
        <w:spacing w:line="360" w:lineRule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2.1.1</w:t>
      </w:r>
      <w:bookmarkStart w:id="2" w:name="OLE_LINK21"/>
      <w:bookmarkStart w:id="3" w:name="OLE_LINK20"/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周围环境温度：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u w:val="single"/>
        </w:rPr>
        <w:t>0℃～+40℃</w:t>
      </w:r>
    </w:p>
    <w:p>
      <w:pPr>
        <w:adjustRightInd w:val="0"/>
        <w:spacing w:line="360" w:lineRule="auto"/>
        <w:rPr>
          <w:rFonts w:ascii="宋体" w:hAnsi="宋体" w:cs="宋体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2.1.2海拔高度：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u w:val="single"/>
        </w:rPr>
        <w:t>900～1400米</w:t>
      </w:r>
    </w:p>
    <w:p>
      <w:pPr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  <w:u w:val="single"/>
        </w:rPr>
      </w:pPr>
      <w:bookmarkStart w:id="4" w:name="OLE_LINK4"/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2.1.3</w:t>
      </w:r>
      <w:bookmarkEnd w:id="4"/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相对湿度：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</w:rPr>
        <w:t>10%～95%（非凝结）</w:t>
      </w:r>
    </w:p>
    <w:p>
      <w:pPr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2.1.4电源:-48V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</w:rPr>
        <w:t>+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20%</w:t>
      </w:r>
    </w:p>
    <w:p>
      <w:pPr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2.1.4信息中心、黑岱沟、哈尔乌素站点电源:-48V+20%</w:t>
      </w:r>
    </w:p>
    <w:p>
      <w:pPr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2.1.5矸电站点电源电压：AC 220V±15％</w:t>
      </w:r>
    </w:p>
    <w:bookmarkEnd w:id="2"/>
    <w:bookmarkEnd w:id="3"/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3技术要求</w:t>
      </w:r>
    </w:p>
    <w:p>
      <w:pPr>
        <w:spacing w:line="360" w:lineRule="auto"/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3.1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设备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技术要求</w:t>
      </w:r>
    </w:p>
    <w:p>
      <w:pPr>
        <w:tabs>
          <w:tab w:val="left" w:pos="707"/>
        </w:tabs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*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3.1.1 OTN设备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组网</w:t>
      </w:r>
    </w:p>
    <w:p>
      <w:pPr>
        <w:tabs>
          <w:tab w:val="left" w:pos="707"/>
        </w:tabs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本期项目涉及中心、黑岱沟、哈尔乌素、矸电4个站点，组网方式如图1。</w:t>
      </w:r>
    </w:p>
    <w:p>
      <w:pPr>
        <w:tabs>
          <w:tab w:val="left" w:pos="707"/>
        </w:tabs>
        <w:spacing w:line="360" w:lineRule="auto"/>
        <w:jc w:val="center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ascii="宋体" w:hAnsi="宋体" w:cs="宋体"/>
          <w:color w:val="auto"/>
          <w:sz w:val="21"/>
          <w:szCs w:val="21"/>
          <w:highlight w:val="none"/>
        </w:rPr>
        <w:drawing>
          <wp:inline distT="0" distB="0" distL="0" distR="0">
            <wp:extent cx="5317490" cy="3543300"/>
            <wp:effectExtent l="0" t="0" r="165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6239" cy="354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707"/>
        </w:tabs>
        <w:spacing w:line="360" w:lineRule="auto"/>
        <w:jc w:val="center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图1</w:t>
      </w:r>
    </w:p>
    <w:p>
      <w:pPr>
        <w:tabs>
          <w:tab w:val="left" w:pos="707"/>
        </w:tabs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其中中心机房、黑岱沟、哈尔乌素站点配置OTN设备组成环网，采用光线路侧自动切换保护，整环开通1波100G和4波10G，每站客户侧业务需求配置满足8个10GE业务的板卡（带满配10km光模块）、60端口GE板卡（带30个10km光模块和30个电模块），每个站点配套机柜、子架，要求光层、电层分别放在不同子架，要求满足本期配置基础上每站点至少10个空闲业务槽位。电源、主控，交叉板1+1保护。</w:t>
      </w:r>
    </w:p>
    <w:p>
      <w:pPr>
        <w:tabs>
          <w:tab w:val="left" w:pos="707"/>
        </w:tabs>
        <w:spacing w:line="360" w:lineRule="auto"/>
        <w:ind w:firstLine="420" w:firstLineChars="200"/>
        <w:rPr>
          <w:rFonts w:hint="eastAsia" w:eastAsia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矸电配置1台小型波分设备，与信息中心直连，实配1波10G波道承载，客户侧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业务满足2个622M 速率的接入和6个GE的业务配置。信息中心配置1波10G对矸电，对应客户侧业务与矸电相同。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矸电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交流OTN机盒：大于等于2U，提供大于等于6个单板槽位（机框配置包含除6个单板槽位外的双内置交流2pcs电源板和1pcs风机盒）。矸电光波长转换单板:8路任意速率业务汇聚波长转换板（单波分侧10G模块，满配2*622M-10KM模块和6*GE-10km模块）。</w:t>
      </w:r>
    </w:p>
    <w:p>
      <w:pPr>
        <w:tabs>
          <w:tab w:val="left" w:pos="707"/>
        </w:tabs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项目内容包括将现有2.5G传输设备业务割接到本期项目传输平台，投标设备支持插放100G线路板卡，相干100G支持硬件判决软件判决FEC。</w:t>
      </w:r>
    </w:p>
    <w:p>
      <w:pPr>
        <w:tabs>
          <w:tab w:val="left" w:pos="707"/>
        </w:tabs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环网上每个OTN光层和电层子架（直流供电）均支持大于等于14个业务槽位，每子架支持大于等于700 Gb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it/s ODUk(k=0，1，2，2e，3，4，flex)传输能力；必须满足700Gbit/s 分组业务电交叉能力及TDM业务交叉在同一子框内完成；子架支持交直流电源供电，每子架电源模块1+1热备。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3.1.2 投标设备具备工信部OTN设备入网证及入网检测报告。投标设备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须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支持主流SAN设备厂商认证，Brocade、EMC、IBM等，并同时提供Brocade、EMC、IBM认证证明材料。</w:t>
      </w:r>
    </w:p>
    <w:p>
      <w:pPr>
        <w:tabs>
          <w:tab w:val="left" w:pos="707"/>
        </w:tabs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*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3.1.3本次传输设备需为国产品牌，且主要设备（OTN、服务器）需为同一品牌。</w:t>
      </w:r>
    </w:p>
    <w:p>
      <w:pPr>
        <w:spacing w:line="360" w:lineRule="auto"/>
        <w:rPr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*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3.1.4 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lang w:val="en-US" w:eastAsia="zh-CN"/>
        </w:rPr>
        <w:t>本次招标OTN设备需与现有传输网设备互联互通，同时可实现统一网管。投标人应提供与现有传输设备兼容并可统一网管的承诺函（须加盖制造厂家公章）；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3.1.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 设备业务接入能力</w:t>
      </w:r>
    </w:p>
    <w:p>
      <w:pPr>
        <w:tabs>
          <w:tab w:val="left" w:pos="707"/>
        </w:tabs>
        <w:spacing w:line="360" w:lineRule="auto"/>
        <w:ind w:firstLine="560"/>
        <w:jc w:val="left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环网上的OTN设备应支持如下业务接入类型：STM-1/4/16/64/256;FE/GE/10GE/40GE/100GE;OTU-1/2/3/2e/4;FC100/ FC 200/ FC 400/ FC 800/ FC 1200/ FC 1600；HD-SDI,FICON,ESCON,DVB等</w:t>
      </w:r>
    </w:p>
    <w:p>
      <w:pPr>
        <w:tabs>
          <w:tab w:val="left" w:pos="707"/>
        </w:tabs>
        <w:spacing w:line="360" w:lineRule="auto"/>
        <w:ind w:firstLine="56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投标设备应支持通过监控通道透传同步以太和1588V2时钟信号，支持2路外时钟和2路外时间信号的输入和输出，保证在采用光纤线路保护组网情况仍然支持1588V2传送。</w:t>
      </w:r>
    </w:p>
    <w:p>
      <w:pPr>
        <w:tabs>
          <w:tab w:val="left" w:pos="707"/>
        </w:tabs>
        <w:spacing w:line="360" w:lineRule="auto"/>
        <w:ind w:firstLine="56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应同时支持带内DCN及带外DCN管理方式。采用带外DCN管理时应支持OSC监控信道和业务信道分离。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*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3.1.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设备易用性</w:t>
      </w:r>
    </w:p>
    <w:p>
      <w:pPr>
        <w:tabs>
          <w:tab w:val="left" w:pos="707"/>
        </w:tabs>
        <w:spacing w:line="360" w:lineRule="auto"/>
        <w:ind w:firstLine="56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投标设备支持任意业务板卡在同一业务子框内任意槽位混插。</w:t>
      </w:r>
    </w:p>
    <w:p>
      <w:pPr>
        <w:tabs>
          <w:tab w:val="left" w:pos="707"/>
        </w:tabs>
        <w:spacing w:line="360" w:lineRule="auto"/>
        <w:ind w:firstLine="56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投标设备光放大器内置可调光衰减器。</w:t>
      </w:r>
    </w:p>
    <w:p>
      <w:pPr>
        <w:tabs>
          <w:tab w:val="left" w:pos="707"/>
        </w:tabs>
        <w:spacing w:line="360" w:lineRule="auto"/>
        <w:ind w:firstLine="56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投标设备必须配置自动光功率管理特性，包括激光器自动开闭、光功率自动调整、通道增益锁定、链路状态穿通等。</w:t>
      </w:r>
    </w:p>
    <w:p>
      <w:pPr>
        <w:tabs>
          <w:tab w:val="left" w:pos="707"/>
        </w:tabs>
        <w:spacing w:line="360" w:lineRule="auto"/>
        <w:ind w:firstLine="56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投标设备系统容量的平滑扩容能力：支持无业务中断情况下实现每波由10G向100G平滑演进，可以扩展到4T以上容量。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3.1.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 保护能力</w:t>
      </w:r>
    </w:p>
    <w:p>
      <w:pPr>
        <w:tabs>
          <w:tab w:val="left" w:pos="707"/>
        </w:tabs>
        <w:spacing w:line="360" w:lineRule="auto"/>
        <w:ind w:firstLine="56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投标设备支持如下保护：光线路1+1保护、光通道1+1保护、ODUk SNCP保护、光波长共享环保护、ODUk共享环保护、客户侧1+1保护等。</w:t>
      </w:r>
    </w:p>
    <w:p>
      <w:pPr>
        <w:tabs>
          <w:tab w:val="left" w:pos="707"/>
        </w:tabs>
        <w:spacing w:line="360" w:lineRule="auto"/>
        <w:ind w:firstLine="56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投标设备应支持光层、电层ASON管理、保护。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3.2网管平台技术要求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*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3.2.1系统配置要求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网管系统支持C/S架构； 支持网络方式远程安装客户端 ，本期配置大于等于4个客户端授权license。支持windows、Solaris、SUSE Linux操作系统；支持SQL Server、Sybase、Oracle数据库。 网管系统支持中文操作界面。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*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3.2.2拓扑管理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支持统一网络管理平台，实现传送（MSTP及OTN）设备的统一管理。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支持物理拓扑图、通道视图、自定义视图；支持自动发现被管网元之间的连接关系；支持二层链路自动发现； 支持IP链路自动发现。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支持最大管理10000个等效网元或物理网元的能力；支持最大提供100个客户端并发访问能力。 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本期配置支持≥1000个等效网元管理能力。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3.2.3告警管理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支持定位告警到拓扑对象或告警对象；支持定位到发生故障的网元或者网元面板。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支持告警相关性分析的能力； 支持自定义告警相关性和动作；支持告警级别重定义和告警抑制。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支持告警闪断分析以减少重复告警的上报； 支持工程告警标识、闪断重复告警分析、频次分析；支持闪断间隔时间配置。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支持将相同对象上报的相同告警可以归并为一条告警显示； 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支持查看每条告警发生的历史记录。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支持同步网元的当前告警；支持全网告警同步；支持告警同步的设置。（网管启动时同步所有告警、通讯中断恢复后同步设备告警）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支持性能数据TopN分析功能；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支持多个对象多个性能指标在同一个窗口上显示；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支持采用折线图、柱图、图表的样式进行性能数据浏览；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支持采用HTML、CSV、TXT等多种格式进行性能数据保存。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支持通过设置性能告警阈值来监控性能数据功能；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支持设置性能监控对象的上限监控、下限监控、上限告警级别、下限告警级别、上限触发值、下限触发值、上限清除值、下限清除值；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支持当性能数据超过告警阈值时，将产生相应级别的告警；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支持性能告警级别自定义。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3.2.4 配置管理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支持手动和自动方式将性能数据备份到指定的存储介质；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支持自动转储可以根据不同周期天数以及数据库使用率进行转储。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支持设备端口流量、带宽利用率性能监控；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 支持XQoS(接口队列流量、接口CAR运行统计)、CBQoS(接口流策略、接口流分类匹配、接口流分类CAR)、HQoS(接口用户队列、QoS模版)性能监控。 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支持性能数据采集周期≤10分钟; 支持实时性能数据采集周期≤5S。 通过可视化的GUI界面定义QOS模板，批量下发到设备和相关接口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支持SDH业务路径视图管理, SDH路径管理, Ethernet路径管理, ATM路径管理, ，支持OTN业务端到端管理与业务级排障诊断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支持传送设备上PWE3业务、VPLS业务、Native Ethernet业务、L3VPN业务的可视化端到端发放与管理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支持传送PWE3业务、VPLS业务、Native Ethernet业务、L3VPN业务性能监控和故障诊断，支持的功能包括业务路径可视、视图化MAC地址查询、端到端业务性能监控、视图化网络级二层协议检测、视图化网络级环回检测、一键式业务诊断. 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支持全网时钟拓扑管理功能，进行1588和同步以太、SDH时钟/E1时钟管理， 实时监控时钟状态、跟踪关系、保护状态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支持传送分组业务性能监控和故障诊断，E2E业务配置、通断调测、性能调测、免仪表测试、性能统计、业务诊断、环回检测、业务路径可视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支持端到端单波10G/40G/100G OSNR在线图形化管理及监测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投标设备支持波长/子波长业务端到端管理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网络级分组业务保障组件提供网络健康检查，基于路径可视的智能排障，TopN典型告警自动定位，网络级告警关联功能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实现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配置备份功能，提供备份的配置文件列表；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实现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定时备份设备配置。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3.2.5网管安全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支持限制客户端只能从指定IP地址或者地址段访问，来自其它地址的访问将被拒绝；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支持用户一段时间无操作后自动锁屏或者登出，该时间长度应可以设置； 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支持查看网管的在线用户，以及对在线用户进行发送消息 ，查询其来自的IP地址，强制用户下线等操作；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支持分权分域管理，从操作集（可操作功能范围）以及管理域(可管理设备范围)两个维度来进行用户权限管理。 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3.2.6可靠性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支持周期性的数据库备份功能，通过备份策略指定备份的数据，备份周期， 备份路径，备份启动时间等； </w:t>
      </w:r>
    </w:p>
    <w:p>
      <w:pPr>
        <w:tabs>
          <w:tab w:val="left" w:pos="707"/>
        </w:tabs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支持网管应能对自身运行情况进行监控，包括各模块运行状态，对系统、数据库等资源占用情况，出现异常时，应能尝试自动修复并以告警通知到管理员。 </w:t>
      </w:r>
    </w:p>
    <w:p>
      <w:pPr>
        <w:spacing w:line="360" w:lineRule="auto"/>
        <w:rPr>
          <w:rFonts w:ascii="宋体" w:cs="新宋体"/>
          <w:bCs/>
          <w:color w:val="auto"/>
          <w:sz w:val="21"/>
          <w:szCs w:val="21"/>
          <w:highlight w:val="none"/>
        </w:rPr>
      </w:pPr>
      <w:r>
        <w:rPr>
          <w:rFonts w:hint="eastAsia" w:ascii="宋体" w:cs="新宋体"/>
          <w:bCs/>
          <w:color w:val="auto"/>
          <w:sz w:val="21"/>
          <w:szCs w:val="21"/>
          <w:highlight w:val="none"/>
        </w:rPr>
        <w:t>3.3一般要求</w:t>
      </w:r>
    </w:p>
    <w:p>
      <w:pPr>
        <w:spacing w:line="360" w:lineRule="auto"/>
        <w:ind w:firstLine="420" w:firstLineChars="200"/>
        <w:rPr>
          <w:rFonts w:asci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完整的、全新的、符合</w:t>
      </w: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制造标准的、满足本技术附件第1-3节各项条件及技术要求的标准配置。</w:t>
      </w:r>
    </w:p>
    <w:p>
      <w:pPr>
        <w:tabs>
          <w:tab w:val="left" w:pos="720"/>
          <w:tab w:val="left" w:pos="1335"/>
        </w:tabs>
        <w:spacing w:line="360" w:lineRule="auto"/>
        <w:rPr>
          <w:rFonts w:ascii="宋体"/>
          <w:bCs/>
          <w:color w:val="auto"/>
          <w:sz w:val="21"/>
          <w:szCs w:val="21"/>
          <w:highlight w:val="none"/>
        </w:rPr>
      </w:pPr>
      <w:r>
        <w:rPr>
          <w:rFonts w:hint="eastAsia" w:ascii="宋体"/>
          <w:bCs/>
          <w:color w:val="auto"/>
          <w:sz w:val="21"/>
          <w:szCs w:val="21"/>
          <w:highlight w:val="none"/>
        </w:rPr>
        <w:t>3.4.总体要求：</w:t>
      </w:r>
    </w:p>
    <w:p>
      <w:pPr>
        <w:tabs>
          <w:tab w:val="left" w:pos="720"/>
          <w:tab w:val="left" w:pos="1335"/>
        </w:tabs>
        <w:spacing w:line="360" w:lineRule="auto"/>
        <w:rPr>
          <w:rFonts w:hint="eastAsia" w:ascii="宋体" w:eastAsia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/>
          <w:bCs/>
          <w:color w:val="auto"/>
          <w:sz w:val="21"/>
          <w:szCs w:val="21"/>
          <w:highlight w:val="none"/>
        </w:rPr>
        <w:t>3.4.1.</w:t>
      </w: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要求本次采购设备所形成系统必须与我公司原有华为OSN2500传输系统兼容，与原有系统所购买授权整合，</w:t>
      </w: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需要投标方提供我公司原有传输系统接入新购网管软件授权，通过统一网管软件管理所有传输业务，</w:t>
      </w:r>
      <w:r>
        <w:rPr>
          <w:rFonts w:hint="eastAsia" w:ascii="宋体"/>
          <w:color w:val="auto"/>
          <w:kern w:val="0"/>
          <w:sz w:val="21"/>
          <w:szCs w:val="21"/>
          <w:highlight w:val="none"/>
          <w:lang w:eastAsia="zh-CN"/>
        </w:rPr>
        <w:t>中标后</w:t>
      </w: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提供授权证明。</w:t>
      </w:r>
    </w:p>
    <w:p>
      <w:pPr>
        <w:spacing w:line="360" w:lineRule="auto"/>
        <w:rPr>
          <w:rFonts w:asci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3.4.2投标方负责将设备运输到招标方指定的安装地点，运输费、倒装费、装卸费、安装费等由投标方承担。</w:t>
      </w:r>
    </w:p>
    <w:p>
      <w:pPr>
        <w:spacing w:line="360" w:lineRule="auto"/>
        <w:rPr>
          <w:rFonts w:asci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3.4.3设备安装调试涉及的一切工器具、辅助材料、交通工具等均由投标方提供。</w:t>
      </w:r>
    </w:p>
    <w:p>
      <w:pPr>
        <w:spacing w:line="360" w:lineRule="auto"/>
        <w:rPr>
          <w:rFonts w:asci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3.4.4所有投标方提供的设备安装调试均由投标方独立完成，投标方提供的设备自身具有的功能调试由投标方独立完成，其他集成商进行软件调试时由投标方配合。与施工有关的调查、作业等施工内容均由投标方独立完成。</w:t>
      </w:r>
    </w:p>
    <w:p>
      <w:pPr>
        <w:spacing w:line="360" w:lineRule="auto"/>
        <w:rPr>
          <w:rFonts w:asci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3.4.5安装、调试设备不能影响既有设备、线路的安全，如果因施工发生影响既有设备的障碍或事故，依据准能公司有关规定处理。</w:t>
      </w:r>
    </w:p>
    <w:p>
      <w:pPr>
        <w:spacing w:line="360" w:lineRule="auto"/>
        <w:rPr>
          <w:rFonts w:asci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3.4.6投标方在安装调试期间发生的一切其他安全事故均由投标方负责。</w:t>
      </w:r>
    </w:p>
    <w:p>
      <w:pPr>
        <w:spacing w:line="360" w:lineRule="auto"/>
        <w:rPr>
          <w:rFonts w:asci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3.4.7设备的所有配置必须满足并适应准能公司环境要求，与准能公司既有设备兼容。如在开通过程中发生任何相互影响或单方面受影响的情况，导致双方或单方设备不能正常运行，由投标方负责更换或改变设备配置直至开通、正常使用为止。</w:t>
      </w:r>
    </w:p>
    <w:p>
      <w:pPr>
        <w:spacing w:line="360" w:lineRule="auto"/>
        <w:rPr>
          <w:rFonts w:asci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3.4.8施工过程中，如果需要中断业务或临时停止既有系统运行，由投标方负责提前和准能公司办理请点手续，获得批准后方可施工。</w:t>
      </w:r>
    </w:p>
    <w:p>
      <w:pPr>
        <w:spacing w:line="360" w:lineRule="auto"/>
        <w:rPr>
          <w:rFonts w:ascii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/>
          <w:color w:val="auto"/>
          <w:kern w:val="0"/>
          <w:sz w:val="21"/>
          <w:szCs w:val="21"/>
          <w:highlight w:val="none"/>
        </w:rPr>
        <w:t>3.4.9施工完成后，如果不能形成正常运行的系统或系统功能有缺失，由投标方负责改变配置，直到系统能正常运行。</w:t>
      </w:r>
    </w:p>
    <w:p>
      <w:pPr>
        <w:spacing w:line="360" w:lineRule="auto"/>
        <w:rPr>
          <w:rFonts w:ascii="宋体" w:cs="新宋体"/>
          <w:bCs/>
          <w:color w:val="auto"/>
          <w:sz w:val="21"/>
          <w:szCs w:val="21"/>
          <w:highlight w:val="none"/>
        </w:rPr>
      </w:pPr>
      <w:r>
        <w:rPr>
          <w:rFonts w:hint="eastAsia" w:ascii="宋体" w:cs="新宋体"/>
          <w:bCs/>
          <w:color w:val="auto"/>
          <w:sz w:val="21"/>
          <w:szCs w:val="21"/>
          <w:highlight w:val="none"/>
        </w:rPr>
        <w:t>3.5设备必须满足国家及行业安全标准。</w:t>
      </w:r>
    </w:p>
    <w:p>
      <w:pPr>
        <w:spacing w:line="360" w:lineRule="auto"/>
        <w:rPr>
          <w:rFonts w:ascii="宋体" w:cs="新宋体"/>
          <w:bCs/>
          <w:color w:val="auto"/>
          <w:sz w:val="21"/>
          <w:szCs w:val="21"/>
          <w:highlight w:val="none"/>
        </w:rPr>
      </w:pPr>
      <w:r>
        <w:rPr>
          <w:rFonts w:hint="eastAsia" w:ascii="宋体" w:cs="新宋体"/>
          <w:bCs/>
          <w:color w:val="auto"/>
          <w:sz w:val="21"/>
          <w:szCs w:val="21"/>
          <w:highlight w:val="none"/>
        </w:rPr>
        <w:t>3.6设计和制造要求</w:t>
      </w:r>
    </w:p>
    <w:p>
      <w:pPr>
        <w:tabs>
          <w:tab w:val="left" w:pos="1335"/>
        </w:tabs>
        <w:spacing w:line="360" w:lineRule="auto"/>
        <w:ind w:firstLine="420" w:firstLineChars="20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在设计制造中，零部件尽量采用同一标准，尽可能提高零部件之间的互换性。零部件必须易于拆装，便于维修，脏物易聚集的地方必须易于清理。</w:t>
      </w:r>
    </w:p>
    <w:p>
      <w:pPr>
        <w:spacing w:line="360" w:lineRule="auto"/>
        <w:rPr>
          <w:rFonts w:ascii="宋体" w:cs="新宋体"/>
          <w:bCs/>
          <w:color w:val="auto"/>
          <w:sz w:val="21"/>
          <w:szCs w:val="21"/>
          <w:highlight w:val="none"/>
        </w:rPr>
      </w:pPr>
      <w:r>
        <w:rPr>
          <w:rFonts w:hint="eastAsia" w:ascii="宋体" w:cs="新宋体"/>
          <w:bCs/>
          <w:color w:val="auto"/>
          <w:sz w:val="21"/>
          <w:szCs w:val="21"/>
          <w:highlight w:val="none"/>
        </w:rPr>
        <w:t>3.7标牌</w:t>
      </w:r>
    </w:p>
    <w:p>
      <w:pPr>
        <w:tabs>
          <w:tab w:val="left" w:pos="1335"/>
        </w:tabs>
        <w:spacing w:line="360" w:lineRule="auto"/>
        <w:ind w:firstLine="420" w:firstLineChars="20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所有总成部件必须装有铭牌，铭牌应标有该总成件主要技术规格参数。配套的总成件铭牌要完好保留，便于察看。</w:t>
      </w:r>
    </w:p>
    <w:p>
      <w:pPr>
        <w:spacing w:line="360" w:lineRule="auto"/>
        <w:rPr>
          <w:rFonts w:ascii="宋体" w:cs="新宋体"/>
          <w:bCs/>
          <w:color w:val="auto"/>
          <w:sz w:val="21"/>
          <w:szCs w:val="21"/>
          <w:highlight w:val="none"/>
        </w:rPr>
      </w:pPr>
      <w:r>
        <w:rPr>
          <w:rFonts w:hint="eastAsia" w:ascii="宋体" w:cs="新宋体"/>
          <w:bCs/>
          <w:color w:val="auto"/>
          <w:sz w:val="21"/>
          <w:szCs w:val="21"/>
          <w:highlight w:val="none"/>
        </w:rPr>
        <w:t>4.供货范围</w:t>
      </w:r>
    </w:p>
    <w:p>
      <w:pPr>
        <w:spacing w:line="360" w:lineRule="auto"/>
        <w:ind w:left="1"/>
        <w:rPr>
          <w:rFonts w:ascii="宋体" w:hAnsi="宋体" w:cs="宋体"/>
          <w:color w:val="auto"/>
          <w:sz w:val="21"/>
          <w:szCs w:val="21"/>
          <w:highlight w:val="none"/>
        </w:rPr>
      </w:pPr>
      <w:bookmarkStart w:id="5" w:name="_Toc409594144"/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4.1供方的任务是在供需双方商定的时间内, 提供需方所需数量的设备和备件, 并保证符合本规范书的条文和需方书面提出的特殊要求 。</w:t>
      </w:r>
    </w:p>
    <w:p>
      <w:pPr>
        <w:spacing w:line="360" w:lineRule="auto"/>
        <w:ind w:left="1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4.1.1投标方应提供详细供货清单，清单中依次说明型号、数量、产地、生产厂家等内容。对于属于整套设备运行和施工所必需的部件，即使本合同未列出或数目不足，投标方仍须在执行合同时补足。</w:t>
      </w:r>
    </w:p>
    <w:p>
      <w:pPr>
        <w:snapToGrid w:val="0"/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4.1.2在安装及试运行期间损坏的部件、卡板投标方将无偿提供。</w:t>
      </w:r>
    </w:p>
    <w:p>
      <w:pPr>
        <w:adjustRightInd w:val="0"/>
        <w:snapToGrid w:val="0"/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4.2完整的、全新的、符合制造标准的、满足本招标技术附件第1-3项条件及技术要求的标准配置。其中包括组装、调试设备所必须的全部零件和材料。主要设备及材料如下（但不限于此；包含在本次报价内）：</w:t>
      </w:r>
    </w:p>
    <w:tbl>
      <w:tblPr>
        <w:tblStyle w:val="4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"/>
        <w:gridCol w:w="959"/>
        <w:gridCol w:w="1668"/>
        <w:gridCol w:w="5414"/>
        <w:gridCol w:w="759"/>
        <w:gridCol w:w="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441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货物名称</w:t>
            </w: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设备明细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配置要求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441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59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OTN设备1</w:t>
            </w:r>
          </w:p>
        </w:tc>
        <w:tc>
          <w:tcPr>
            <w:tcW w:w="1668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黑岱沟方向光层子架</w:t>
            </w: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OTN直流机箱（大于等于14个业务槽位），含电源板（1+1）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通用交叉及主控时钟处理板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光线路保护单元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40路合分波板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C波段光放板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哈尔乌素方向光层子架</w:t>
            </w: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OTN直流机箱（大于等于14个业务槽位），含电源板（1+1）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通用交叉及主控时钟处理板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光线路保护单元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40路合分波板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C波段光放板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信息中心电层子架</w:t>
            </w: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OTN直流机箱（大于等于14个业务槽位），含电源板（1+1）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通用交叉及主控时钟处理板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100Gbit/s线路业务处理板（带模块，波长可调）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4路10G统一线路业务处理板（带模块，波长为192.10、192.20、192.30、192.40）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4*10GE以太网处理板(满配10km光模块)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10*GE(SFP)以太网处理板(满配SFP-1000Base-T(RJ45)-100m电模块)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10*GE(SFP)以太网处理板(满配eSFP-1310nm-GE-10km光模块)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1波10G波道承载（包含10G光模块1块），2端口622M、6端口GE板卡客户侧业务接口能力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传输设备（矸电）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大于等于2U，提供大于等于6个单板槽位（机框配置包含除6个单板槽位外的双内置交流2pcs电源板和1pcs风机盒）。光波长转换单板:8路任意速率业务汇聚波长转换板（单波分侧10G模块，满配2*622M-10KM模块和6*GE-10km模块）及以上。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机柜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原厂标准机柜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业务操作终端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CPU I7-8700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硬盘 256G固态+1T机械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内存 DDR4 16G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显卡 GTX1060 6G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显示器 27寸曲面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网管软件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满足3.2条款功能要求。含4台终端及以上管理和业务终身授权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网管服务器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2CPU(8Core)*2.0GHz,64G,8*600G或以上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移动维护终端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CPU Intel 酷睿i7 6500U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硬盘 256G  SSD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内存 16G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显卡 NVIDIA Geforce 940MX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尺寸 13.3寸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交换机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24个千兆SFP，8个复用的千兆10/100/1000Base-T以太网端口Combo，4个万兆SFP+ 及以上，每台配置1个万兆单模模块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59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OTN设备2</w:t>
            </w:r>
          </w:p>
        </w:tc>
        <w:tc>
          <w:tcPr>
            <w:tcW w:w="1668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信息中心方向光层子架</w:t>
            </w: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OTN直流机箱（大于等于14个业务槽位），含电源板（1+1）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通用交叉及主控时钟处理板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光线路保护单元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40路合分波板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C波段光放板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哈尔乌素方向光层子架</w:t>
            </w: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OTN直流机箱（大于等于14个业务槽位），含电源板（1+1）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通用交叉及主控时钟处理板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光线路保护单元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40路合分波板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C波段光放板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黑岱沟电层子架</w:t>
            </w: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OTN直流机箱（大于等于14个业务槽位），含电源板（1+1）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通用交叉及主控时钟处理板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100Gbit/s线路业务处理板（带模块，波长可调）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4路10G统一线路业务处理板（带模块，波长为192.10、192.20、192.30、192.40）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4*10GE以太网处理板(满配10km光模块)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10*GE(SFP)以太网处理板(满配SFP-1000Base-T(RJ45)-100m)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10*GE(SFP)以太网处理板(满配eSFP-1310nm-GE-10km)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机柜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原厂标准机柜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业务操作终端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CPU I7-8700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硬盘 256G固态+1T机械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内存 DDR4 16G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显卡 GTX1060 6G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显示器 27寸曲面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交换机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24个千兆SFP，8个复用的千兆10/100/1000Base-T以太网端口Combo，4个万兆SFP+ 及以上，每台配置1个万兆单模模块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59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OTN设备3</w:t>
            </w:r>
          </w:p>
        </w:tc>
        <w:tc>
          <w:tcPr>
            <w:tcW w:w="1668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信息中心方向光层子架</w:t>
            </w: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OTN直流机箱（大于等于14个业务槽位），含电源板（1+1）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通用交叉及主控时钟处理板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光线路保护单元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40路合分波板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C波段光放板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黑岱沟方向光层子架</w:t>
            </w: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OTN直流机箱（大于等于14个业务槽位），含电源板（1+1）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通用交叉及主控时钟处理板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光线路保护单元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40路合分波板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C波段光放板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哈尔乌素电层子架</w:t>
            </w: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OTN直流机箱（大于等于14个业务槽位），含电源板（1+1）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通用交叉及主控时钟处理板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100Gbit/s线路业务处理板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4路10G统一线路业务处理板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4*10GE以太网处理板(满配10km光模块)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10*GE(SFP)以太网处理板(满配SFP-1000Base-T(RJ45)-100m)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414" w:type="dxa"/>
            <w:vAlign w:val="bottom"/>
          </w:tcPr>
          <w:p>
            <w:pPr>
              <w:spacing w:line="360" w:lineRule="auto"/>
              <w:outlineLvl w:val="0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10*GE(SFP)以太网处理板(满配eSFP-1310nm-GE-10km)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机柜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原厂标准机柜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业务操作终端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CPU I7-8700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硬盘 256G固态+1T机械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内存 DDR4 16G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显卡 GTX1060 6G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显示器 27寸曲面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44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59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8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交换机</w:t>
            </w:r>
          </w:p>
        </w:tc>
        <w:tc>
          <w:tcPr>
            <w:tcW w:w="541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24个千兆SFP，8个复用的千兆10/100/1000Base-T以太网端口Combo，4个万兆SFP+ 及以上</w:t>
            </w:r>
          </w:p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每台配置1个万兆单模模块</w:t>
            </w:r>
          </w:p>
        </w:tc>
        <w:tc>
          <w:tcPr>
            <w:tcW w:w="75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613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</w:tr>
    </w:tbl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5.工期</w:t>
      </w:r>
      <w:bookmarkEnd w:id="5"/>
    </w:p>
    <w:p>
      <w:pPr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5.1交货时间:自合同签订之日起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u w:val="single"/>
        </w:rPr>
        <w:t xml:space="preserve"> 1 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个月内到达交货地点。从改造开工之日起到改造系统调试结束，要求45天内完成如不能按期完工，每延误一天，招标方将扣除投标方工程总费用的0.5%。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6.技术服务及培训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6.1技术服务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投标方必须提供设备终身免费技术支持，如果发生系统性故障，必须保证当天内派技术人员到达现场提供全面的技术服务；如果发生局部性故障，现场维护人员无法解决，投标方须在当天内派出技术人员到达现场提供技术服务。定期派人到招标方现场对设备作全面检查，根据检查结果向招标方提出维修建议；免费提供改造、扩容后软件升级、更新（但不限于此）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6.1.1配件支持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投标方应说明投入运行后，招标方向投标方正常订购配件时，投标方能给招标方多大幅度的优惠。说明如果招标方遇有配件急需时，投标方如何给以最快的速度给予支持。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6.1.2维修支援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投标方应说明质保期满后，投标方在设备维修方面能给招标方什么样的支持。如招标方是否可得到投标方在专业维修点的帮助；对于招标方遇到的紧急故障需要投标方帮助处理时，投标方如何以最快的速度给予支持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6.1.3技术服务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在设备组装、调试、试运转以及整机质量保证内。投标方应派遣必要数量的有资格、有经验、有技术、健康、能胜任工作的技术人员到招标方现场从事技术服务工作，在正确安装维修、故障排除及操作使用等方面为招标方提供技术上的帮助和支持，以保证设备投入使用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投标方应根据上述要求详细列出技术服务人员的人数、专业类别、服务时间、工作内容。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6.1.4故障响应时间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 xml:space="preserve">保证招标方可以得到7×24小时技术支持响应，在设备出现故障的2小时内给予问题的解答，如必要，在故障发生的8小时内，派相关技术人员到达现场，承诺软件故障12小时解决，硬件故障的24小时解决。 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7.技术数据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7.1投标方必须随每台设备提供下表所列中文技术数据（但不限于此），并按下表要求时间交货。</w:t>
      </w:r>
    </w:p>
    <w:tbl>
      <w:tblPr>
        <w:tblStyle w:val="4"/>
        <w:tblW w:w="91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4292"/>
        <w:gridCol w:w="2020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名              称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交货时间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设备总布置图（包括安装尺寸等外型尺寸）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说明书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操作手册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维修手册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配件目录表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基础资料（包括出厂测试报告）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安装图纸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入网许可证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 xml:space="preserve"> 随机的技术资料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授权证明材料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合格证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各设备内部布线、布缆图表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设备/套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竣工时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13</w:t>
            </w:r>
          </w:p>
        </w:tc>
        <w:tc>
          <w:tcPr>
            <w:tcW w:w="4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系统布线、布缆、各插接件的连接图及配线表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1套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</w:rPr>
              <w:t>竣工时</w:t>
            </w:r>
          </w:p>
        </w:tc>
      </w:tr>
    </w:tbl>
    <w:p>
      <w:pPr>
        <w:spacing w:line="360" w:lineRule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7.1.1“安装图纸”要求包括与安装有关的所有工艺及技术标准。如现场表面防腐、高强度螺栓连接等技术标准。</w:t>
      </w:r>
    </w:p>
    <w:p>
      <w:pPr>
        <w:spacing w:line="360" w:lineRule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7.1.2“维修手册”和“配件目录”的内容不仅要包含投标方本公司生产的零部件，而且要包含外购零部件，外购部件供货商提供的资料投标方应全部提供给招标方。“配件目录”中的外购零部件应列出品牌、型号、原厂配件号、原厂订货号、厂家名称等信息。</w:t>
      </w:r>
    </w:p>
    <w:p>
      <w:pPr>
        <w:spacing w:line="360" w:lineRule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7.1.3“维修手册” 中要求详列有关检修方法及技术标准；详列设备的日常检点、保养制度及保养内容；详列各构件、电气系统等的定期安全检查项目与标准。</w:t>
      </w:r>
    </w:p>
    <w:p>
      <w:pPr>
        <w:spacing w:line="360" w:lineRule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7.1.4 由投标方交付的技术资料和图纸应是及时的和被招标方认可的，招标方有权针对于培训目的额外复制所提供的技术资料和图纸。</w:t>
      </w:r>
    </w:p>
    <w:p>
      <w:pPr>
        <w:tabs>
          <w:tab w:val="left" w:pos="720"/>
        </w:tabs>
        <w:spacing w:line="360" w:lineRule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7.2如果投标方交付的技术资料和图纸发现不完整，或在运输途中丢失或损坏，投标方在接到招标方索要不完整、丢失或损坏部分的技术资料和图纸的通知后30天内，将免费向招标方增补丢失或损坏部分的技术资料和图纸。</w:t>
      </w:r>
    </w:p>
    <w:p>
      <w:pPr>
        <w:tabs>
          <w:tab w:val="left" w:pos="720"/>
        </w:tabs>
        <w:spacing w:line="360" w:lineRule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7.3工期要求：设备到货后45天内完成设备的安装、调试等工作。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8.技术培训</w:t>
      </w:r>
    </w:p>
    <w:p>
      <w:pPr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投标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方在购货合同生效后要为招标方人员进行必要的现场技术培训，培训人数由招标方和使用方确定，培训内容包括设备日常维护及使用（设备的基本性能、工作原理、结构特点、组装工艺，调试过程、使用操作、故障排除、修理、维护等）。</w:t>
      </w:r>
    </w:p>
    <w:p>
      <w:pPr>
        <w:tabs>
          <w:tab w:val="left" w:pos="1000"/>
        </w:tabs>
        <w:spacing w:line="36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投标方需提供6人次的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培训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为内容的原厂技术培训，每次培训，培训费用包括在投标价格中。相关课程表如下：</w:t>
      </w:r>
    </w:p>
    <w:tbl>
      <w:tblPr>
        <w:tblStyle w:val="4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4776"/>
        <w:gridCol w:w="1214"/>
        <w:gridCol w:w="2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3" w:type="dxa"/>
          </w:tcPr>
          <w:p>
            <w:pPr>
              <w:tabs>
                <w:tab w:val="left" w:pos="1000"/>
              </w:tabs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培训形式</w:t>
            </w:r>
          </w:p>
        </w:tc>
        <w:tc>
          <w:tcPr>
            <w:tcW w:w="4776" w:type="dxa"/>
          </w:tcPr>
          <w:p>
            <w:pPr>
              <w:tabs>
                <w:tab w:val="left" w:pos="1000"/>
              </w:tabs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培训内容</w:t>
            </w:r>
          </w:p>
        </w:tc>
        <w:tc>
          <w:tcPr>
            <w:tcW w:w="1214" w:type="dxa"/>
          </w:tcPr>
          <w:p>
            <w:pPr>
              <w:tabs>
                <w:tab w:val="left" w:pos="1000"/>
              </w:tabs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培训人数</w:t>
            </w:r>
          </w:p>
        </w:tc>
        <w:tc>
          <w:tcPr>
            <w:tcW w:w="2121" w:type="dxa"/>
          </w:tcPr>
          <w:p>
            <w:pPr>
              <w:tabs>
                <w:tab w:val="left" w:pos="1000"/>
              </w:tabs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培训时长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3" w:type="dxa"/>
          </w:tcPr>
          <w:p>
            <w:pPr>
              <w:tabs>
                <w:tab w:val="left" w:pos="1000"/>
              </w:tabs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原厂培训</w:t>
            </w:r>
          </w:p>
        </w:tc>
        <w:tc>
          <w:tcPr>
            <w:tcW w:w="4776" w:type="dxa"/>
          </w:tcPr>
          <w:p>
            <w:pPr>
              <w:tabs>
                <w:tab w:val="left" w:pos="1000"/>
              </w:tabs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</w:rPr>
              <w:t>设备硬件以及架构特点、各单板工作原理、功能特点。ONT、SDH、分组传输原理机制，网管软件运行、管理与维护、业务开通、告警处理。</w:t>
            </w:r>
          </w:p>
        </w:tc>
        <w:tc>
          <w:tcPr>
            <w:tcW w:w="1214" w:type="dxa"/>
          </w:tcPr>
          <w:p>
            <w:pPr>
              <w:tabs>
                <w:tab w:val="left" w:pos="1000"/>
              </w:tabs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6人</w:t>
            </w:r>
          </w:p>
        </w:tc>
        <w:tc>
          <w:tcPr>
            <w:tcW w:w="2121" w:type="dxa"/>
          </w:tcPr>
          <w:p>
            <w:pPr>
              <w:tabs>
                <w:tab w:val="left" w:pos="1000"/>
              </w:tabs>
              <w:spacing w:line="360" w:lineRule="auto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不少于15天</w:t>
            </w:r>
          </w:p>
        </w:tc>
      </w:tr>
    </w:tbl>
    <w:p>
      <w:pPr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培训目标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：参与培训人员能够熟练掌握以下知识：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WDM、SDH等OTN传输相关原理。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各单板性能，支路单元与线路单元的业务承载、工作方式、保护模式。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板块间、站点间的互联方式，波分设备的整个工作流程。光纤连接、组网、告警性能、时钟性能、保护功能、网管功能、远程维护功能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波分设备日常维护的注意事项和基本操作。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故障定位的方法和通过一些典型的故障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案例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来阐述常用故障定位的方法应用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9.设备安装及性能测试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9.1安装说明：由厂家负责设备安装、电缆铺设、基础施工及调试工作，安装时和使用方联系，确定最终安装方案。</w:t>
      </w:r>
    </w:p>
    <w:p>
      <w:pPr>
        <w:spacing w:line="360" w:lineRule="auto"/>
        <w:rPr>
          <w:rFonts w:ascii="宋体" w:hAnsi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9.2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设备到货后，所有设备的调试工作由投标方独立完成，并记录试验数据，投标方在测试完毕后把完整的测试记录交与招标方，测试过程中必须有招标方人员全程参与。</w:t>
      </w:r>
    </w:p>
    <w:p>
      <w:pPr>
        <w:spacing w:line="360" w:lineRule="auto"/>
        <w:rPr>
          <w:rFonts w:ascii="宋体" w:hAnsi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/>
          <w:color w:val="auto"/>
          <w:sz w:val="21"/>
          <w:szCs w:val="21"/>
          <w:highlight w:val="none"/>
        </w:rPr>
        <w:t>*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10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.质量保证</w:t>
      </w:r>
    </w:p>
    <w:p>
      <w:pPr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此次所提供的设备质量保证期为整机原厂1年，延保4年（原厂），生产厂家质保年限超出质保期限，以生产厂家质保为准，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投标方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须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提供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OTN设备的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原厂售后服务承诺函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（五年）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，质保金在验收满1年且无质量问题后返还。质量保证期从设备安装调试考核验收合格双方签字之日算起。在质量保证期内，设备因非人为损坏，而由设备本身所引起的故障，由投标方提供免费的零配件和调试、维修服务并负相应的责任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</w:rPr>
        <w:t>。</w:t>
      </w:r>
    </w:p>
    <w:bookmarkEnd w:id="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A94EAA"/>
    <w:multiLevelType w:val="singleLevel"/>
    <w:tmpl w:val="B2A94EAA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BBC95FB"/>
    <w:multiLevelType w:val="singleLevel"/>
    <w:tmpl w:val="2BBC95F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B3DE2"/>
    <w:rsid w:val="2EFB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2019-12-23T08:52:00Z</dcterms:created>
  <dc:creator>Administrator</dc:creator>
  <cp:lastModifiedBy>Administrator</cp:lastModifiedBy>
  <dcterms:modified xsi:type="dcterms:W3CDTF">2019-12-23T08:53:08Z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