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r>
        <w:rPr>
          <w:rFonts w:hint="default" w:ascii="Times New Roman" w:hAnsi="Times New Roman" w:cs="Times New Roman" w:eastAsiaTheme="minorEastAsia"/>
          <w:color w:val="auto"/>
          <w:sz w:val="32"/>
          <w:szCs w:val="32"/>
          <w:highlight w:val="none"/>
          <w:u w:val="none" w:color="auto"/>
        </w:rPr>
        <w:t>供货要求</w:t>
      </w:r>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rPr>
          <w:rFonts w:hint="default" w:ascii="Times New Roman" w:hAnsi="Times New Roman" w:cs="Times New Roman" w:eastAsiaTheme="minorEastAsia"/>
          <w:b/>
          <w:bCs/>
          <w:color w:val="auto"/>
          <w:kern w:val="2"/>
          <w:sz w:val="24"/>
          <w:szCs w:val="24"/>
          <w:highlight w:val="none"/>
          <w:lang w:val="en-US" w:eastAsia="zh-CN" w:bidi="ar-SA"/>
        </w:rPr>
      </w:pPr>
      <w:r>
        <w:rPr>
          <w:rFonts w:hint="default" w:ascii="Times New Roman" w:hAnsi="Times New Roman" w:cs="Times New Roman" w:eastAsiaTheme="minorEastAsia"/>
          <w:b/>
          <w:bCs/>
          <w:color w:val="auto"/>
          <w:kern w:val="2"/>
          <w:sz w:val="24"/>
          <w:szCs w:val="24"/>
          <w:highlight w:val="none"/>
          <w:lang w:val="en-US" w:eastAsia="zh-CN" w:bidi="ar-SA"/>
        </w:rPr>
        <w:br w:type="page"/>
      </w:r>
    </w:p>
    <w:p>
      <w:pPr>
        <w:pStyle w:val="2"/>
        <w:jc w:val="center"/>
        <w:rPr>
          <w:rFonts w:hint="eastAsia" w:ascii="仿宋" w:hAnsi="仿宋" w:eastAsia="仿宋" w:cs="仿宋"/>
          <w:b/>
          <w:bCs/>
          <w:color w:val="auto"/>
          <w:sz w:val="21"/>
          <w:szCs w:val="21"/>
          <w:lang w:eastAsia="zh-CN"/>
        </w:rPr>
      </w:pPr>
      <w:bookmarkStart w:id="0" w:name="_Toc10212"/>
      <w:r>
        <w:rPr>
          <w:rFonts w:hint="eastAsia" w:ascii="仿宋" w:hAnsi="仿宋" w:eastAsia="仿宋" w:cs="仿宋"/>
          <w:b/>
          <w:bCs/>
          <w:color w:val="auto"/>
          <w:sz w:val="21"/>
          <w:szCs w:val="21"/>
          <w:lang w:eastAsia="zh-CN"/>
        </w:rPr>
        <w:t>第一包：准能WK电铲制动器备件</w:t>
      </w:r>
      <w:bookmarkEnd w:id="0"/>
    </w:p>
    <w:p>
      <w:pPr>
        <w:spacing w:line="360" w:lineRule="auto"/>
        <w:rPr>
          <w:rFonts w:hint="eastAsia" w:ascii="仿宋" w:hAnsi="仿宋" w:eastAsia="仿宋" w:cs="仿宋"/>
          <w:b/>
          <w:sz w:val="21"/>
          <w:szCs w:val="21"/>
        </w:rPr>
      </w:pPr>
      <w:r>
        <w:rPr>
          <w:rFonts w:hint="eastAsia" w:ascii="仿宋" w:hAnsi="仿宋" w:eastAsia="仿宋" w:cs="仿宋"/>
          <w:b/>
          <w:sz w:val="21"/>
          <w:szCs w:val="21"/>
        </w:rPr>
        <w:t>1.项目简述</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我公司计划购置</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WK电铲</w:t>
      </w:r>
      <w:r>
        <w:rPr>
          <w:rFonts w:hint="eastAsia" w:ascii="仿宋" w:hAnsi="仿宋" w:eastAsia="仿宋" w:cs="仿宋"/>
          <w:bCs/>
          <w:sz w:val="21"/>
          <w:szCs w:val="21"/>
        </w:rPr>
        <w:t>设备的配件</w:t>
      </w:r>
      <w:r>
        <w:rPr>
          <w:rFonts w:hint="eastAsia" w:ascii="仿宋" w:hAnsi="仿宋" w:eastAsia="仿宋" w:cs="仿宋"/>
          <w:bCs/>
          <w:sz w:val="21"/>
          <w:szCs w:val="21"/>
          <w:lang w:val="en-US" w:eastAsia="zh-CN"/>
        </w:rPr>
        <w:t>共计15项117</w:t>
      </w:r>
      <w:r>
        <w:rPr>
          <w:rFonts w:hint="eastAsia" w:ascii="仿宋" w:hAnsi="仿宋" w:eastAsia="仿宋" w:cs="仿宋"/>
          <w:bCs/>
          <w:sz w:val="21"/>
          <w:szCs w:val="21"/>
        </w:rPr>
        <w:t>件，</w:t>
      </w:r>
      <w:r>
        <w:rPr>
          <w:rFonts w:hint="eastAsia" w:ascii="仿宋" w:hAnsi="仿宋" w:eastAsia="仿宋" w:cs="仿宋"/>
          <w:bCs/>
          <w:sz w:val="21"/>
          <w:szCs w:val="21"/>
          <w:lang w:val="en-US" w:eastAsia="zh-CN"/>
        </w:rPr>
        <w:t>设备</w:t>
      </w:r>
      <w:r>
        <w:rPr>
          <w:rFonts w:hint="eastAsia" w:ascii="仿宋" w:hAnsi="仿宋" w:eastAsia="仿宋" w:cs="仿宋"/>
          <w:bCs/>
          <w:sz w:val="21"/>
          <w:szCs w:val="21"/>
        </w:rPr>
        <w:t>生产厂家为</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太重</w:t>
      </w:r>
      <w:r>
        <w:rPr>
          <w:rFonts w:hint="eastAsia" w:ascii="仿宋" w:hAnsi="仿宋" w:eastAsia="仿宋" w:cs="仿宋"/>
          <w:bCs/>
          <w:sz w:val="21"/>
          <w:szCs w:val="21"/>
          <w:u w:val="single"/>
          <w:lang w:val="en-US" w:eastAsia="zh-CN"/>
        </w:rPr>
        <w:t xml:space="preserve"> </w:t>
      </w:r>
      <w:r>
        <w:rPr>
          <w:rFonts w:hint="eastAsia" w:ascii="仿宋" w:hAnsi="仿宋" w:eastAsia="仿宋" w:cs="仿宋"/>
          <w:bCs/>
          <w:sz w:val="21"/>
          <w:szCs w:val="21"/>
        </w:rPr>
        <w:t>公司投标方需提供全新的</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WK电铲</w:t>
      </w:r>
      <w:r>
        <w:rPr>
          <w:rFonts w:hint="eastAsia" w:ascii="仿宋" w:hAnsi="仿宋" w:eastAsia="仿宋" w:cs="仿宋"/>
          <w:bCs/>
          <w:sz w:val="21"/>
          <w:szCs w:val="21"/>
        </w:rPr>
        <w:t>设备配件。</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2.总则</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2.1本技术规范的使用范围，适用于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WK电铲</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设备的</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标准</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配件的订货招标。</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3</w:t>
      </w:r>
      <w:r>
        <w:rPr>
          <w:rFonts w:hint="eastAsia" w:ascii="仿宋" w:hAnsi="仿宋" w:eastAsia="仿宋" w:cs="仿宋"/>
          <w:b/>
          <w:sz w:val="21"/>
          <w:szCs w:val="21"/>
        </w:rPr>
        <w:t>.气候条件</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4</w:t>
      </w:r>
      <w:r>
        <w:rPr>
          <w:rFonts w:hint="eastAsia" w:ascii="仿宋" w:hAnsi="仿宋" w:eastAsia="仿宋" w:cs="仿宋"/>
          <w:b/>
          <w:sz w:val="21"/>
          <w:szCs w:val="21"/>
        </w:rPr>
        <w:t>.工作环境</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随</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w:t>
      </w:r>
      <w:r>
        <w:rPr>
          <w:rFonts w:hint="eastAsia" w:ascii="仿宋" w:hAnsi="仿宋" w:eastAsia="仿宋" w:cs="仿宋"/>
          <w:bCs/>
          <w:sz w:val="21"/>
          <w:szCs w:val="21"/>
        </w:rPr>
        <w:t>设备在</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eastAsia="zh-CN"/>
        </w:rPr>
        <w:t>黑岱沟</w:t>
      </w:r>
      <w:r>
        <w:rPr>
          <w:rFonts w:hint="eastAsia" w:ascii="仿宋" w:hAnsi="仿宋" w:eastAsia="仿宋" w:cs="仿宋"/>
          <w:bCs/>
          <w:sz w:val="21"/>
          <w:szCs w:val="21"/>
          <w:u w:val="single"/>
          <w:lang w:val="en-US" w:eastAsia="zh-CN"/>
        </w:rPr>
        <w:t>露天煤矿</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w:t>
      </w:r>
      <w:r>
        <w:rPr>
          <w:rFonts w:hint="eastAsia" w:ascii="仿宋" w:hAnsi="仿宋" w:eastAsia="仿宋" w:cs="仿宋"/>
          <w:b/>
          <w:sz w:val="21"/>
          <w:szCs w:val="21"/>
          <w:lang w:val="en-US" w:eastAsia="zh-CN"/>
        </w:rPr>
        <w:t>5</w:t>
      </w:r>
      <w:r>
        <w:rPr>
          <w:rFonts w:hint="eastAsia" w:ascii="仿宋" w:hAnsi="仿宋" w:eastAsia="仿宋" w:cs="仿宋"/>
          <w:b/>
          <w:sz w:val="21"/>
          <w:szCs w:val="21"/>
        </w:rPr>
        <w:t>.技术要求</w:t>
      </w:r>
    </w:p>
    <w:p>
      <w:pPr>
        <w:spacing w:line="360" w:lineRule="auto"/>
        <w:rPr>
          <w:rFonts w:hint="eastAsia" w:ascii="仿宋" w:hAnsi="仿宋" w:eastAsia="仿宋" w:cs="仿宋"/>
          <w:bCs/>
          <w:sz w:val="21"/>
          <w:szCs w:val="21"/>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.1名称和数量</w:t>
      </w:r>
    </w:p>
    <w:tbl>
      <w:tblPr>
        <w:tblStyle w:val="6"/>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78"/>
        <w:gridCol w:w="1478"/>
        <w:gridCol w:w="3756"/>
        <w:gridCol w:w="1478"/>
        <w:gridCol w:w="1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序号</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采购编码描述</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单位</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11174527</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耐磨盘\IC5053-04\机械式单斗挖掘机\WK-55\国产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10781904</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行走抱闸摩擦片\IC3053-08\机械式单斗挖掘机\WK-35\国产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10781912</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行走抱闸花键套\IC5053-42\机械式单斗挖掘机\WK-55\国产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10737498</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回转抱闸磨损盘\IC5054-07\机械式单斗挖掘机\WK-55\国产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12042806</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制动轮\K1601.18.01.06\机械式单斗挖掘机\WK-20\国产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11174530</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中间盘总成\IC5053-09\机械式单斗挖掘机\WK-55\国产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10781909</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行走抱闸耐磨盘\IC3053-06\机械式单斗挖掘机\WK-35\国产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10737491</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回转抱闸摩擦盘\IC5054-18\机械式单斗挖掘机\WK-55\国产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12042807</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离合器\K1601.16.01.30.00\机械式单斗挖掘机\WK-20\国产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11174531</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压盘总成\IC5053-12\机械式单斗挖掘机\WK-55\国产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10781894</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行走抱闸O型密封圈\IC3053-14\机械式单斗挖掘机\WK-35\国产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11174529</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摩擦盘\IC5053-05\机械式单斗挖掘机\WK-55\国产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13</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10781896</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行走抱闸中间盘\IC3053-07\机械式单斗挖掘机\WK-35\国产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10781893</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行走抱闸O型密封圈\IC3053-13\机械式单斗挖掘机\WK-35\国产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12042808</w:t>
            </w:r>
          </w:p>
        </w:tc>
        <w:tc>
          <w:tcPr>
            <w:tcW w:w="37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右制动器\K1601.16.02.01.00\机械式单斗挖掘机\WK-20\国产</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4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r>
    </w:tbl>
    <w:p>
      <w:pPr>
        <w:spacing w:line="360" w:lineRule="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5.2配件安装尺寸必须符合我公司在用设备安装尺，并可与现场所有同类配件互换；</w:t>
      </w:r>
    </w:p>
    <w:p>
      <w:pPr>
        <w:spacing w:line="360" w:lineRule="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5.3制动器为弹簧上闸，气动释放的制动器。</w:t>
      </w:r>
    </w:p>
    <w:p>
      <w:pPr>
        <w:spacing w:line="360" w:lineRule="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5.4制动器的设计重点在于最大程度提高运行操作的冷却通风。</w:t>
      </w:r>
    </w:p>
    <w:p>
      <w:pPr>
        <w:spacing w:line="360" w:lineRule="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5.5制动器必须保证最佳的抗磨损和抗热损坏性能，所有组件经过精确的机械加工，以确保所有配套零部件具有互换性。</w:t>
      </w:r>
    </w:p>
    <w:p>
      <w:pPr>
        <w:spacing w:line="360" w:lineRule="auto"/>
        <w:rPr>
          <w:rFonts w:hint="eastAsia" w:ascii="仿宋" w:hAnsi="仿宋" w:eastAsia="仿宋" w:cs="仿宋"/>
          <w:bCs/>
          <w:sz w:val="21"/>
          <w:szCs w:val="21"/>
        </w:rPr>
      </w:pPr>
      <w:r>
        <w:rPr>
          <w:rFonts w:hint="eastAsia" w:ascii="仿宋" w:hAnsi="仿宋" w:eastAsia="仿宋" w:cs="仿宋"/>
          <w:bCs/>
          <w:sz w:val="21"/>
          <w:szCs w:val="21"/>
          <w:lang w:val="en-US" w:eastAsia="zh-CN"/>
        </w:rPr>
        <w:t>5.6</w:t>
      </w:r>
      <w:r>
        <w:rPr>
          <w:rFonts w:hint="eastAsia" w:ascii="仿宋" w:hAnsi="仿宋" w:eastAsia="仿宋" w:cs="仿宋"/>
          <w:bCs/>
          <w:sz w:val="21"/>
          <w:szCs w:val="21"/>
        </w:rPr>
        <w:t>提升机构用的盘式制动器：</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要求制动力矩：新摩擦盘时：不小于367500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磨损后的制动力矩（最小制动力矩）不小于330730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最大允许工作气压：≤125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最小释放（松闸）气压：74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最大允许转速：1500 r/min ；</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气缸进气孔规格为：3/4 N.P.T, 2个。</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安装尺寸修改：将12-φ19.84改为12-φ21；将12-φ28.575改为12-φ31.75；沉孔深度19.05不变。</w:t>
      </w:r>
    </w:p>
    <w:p>
      <w:pPr>
        <w:spacing w:line="360" w:lineRule="auto"/>
        <w:rPr>
          <w:rFonts w:hint="eastAsia" w:ascii="仿宋" w:hAnsi="仿宋" w:eastAsia="仿宋" w:cs="仿宋"/>
          <w:bCs/>
          <w:sz w:val="21"/>
          <w:szCs w:val="21"/>
        </w:rPr>
      </w:pPr>
      <w:r>
        <w:rPr>
          <w:rFonts w:hint="eastAsia" w:ascii="仿宋" w:hAnsi="仿宋" w:eastAsia="仿宋" w:cs="仿宋"/>
          <w:bCs/>
          <w:sz w:val="21"/>
          <w:szCs w:val="21"/>
          <w:lang w:val="en-US" w:eastAsia="zh-CN"/>
        </w:rPr>
        <w:t>5.7</w:t>
      </w:r>
      <w:r>
        <w:rPr>
          <w:rFonts w:hint="eastAsia" w:ascii="仿宋" w:hAnsi="仿宋" w:eastAsia="仿宋" w:cs="仿宋"/>
          <w:bCs/>
          <w:sz w:val="21"/>
          <w:szCs w:val="21"/>
        </w:rPr>
        <w:t>推压机构用的盘式制动器：</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要求制动力矩：新摩擦盘时：不小于123350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磨损后的制动力矩（最小制动力矩）不小于111880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最大允许工作气压：≤125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最小释放（松闸）气压：65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最大允许转速：1800 r/min ；</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气缸进气孔规格为：3/4 N.P.T, 2个。</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安装尺寸修改：将12-φ19.84改为12-φ21；将12-φ28.575改为12-φ31.75；沉孔深度19.05不变。</w:t>
      </w:r>
    </w:p>
    <w:p>
      <w:pPr>
        <w:spacing w:line="360" w:lineRule="auto"/>
        <w:rPr>
          <w:rFonts w:hint="default" w:ascii="仿宋" w:hAnsi="仿宋" w:eastAsia="仿宋" w:cs="仿宋"/>
          <w:bCs/>
          <w:sz w:val="21"/>
          <w:szCs w:val="21"/>
        </w:rPr>
      </w:pPr>
      <w:r>
        <w:rPr>
          <w:rFonts w:hint="eastAsia" w:ascii="仿宋" w:hAnsi="仿宋" w:eastAsia="仿宋" w:cs="仿宋"/>
          <w:bCs/>
          <w:sz w:val="21"/>
          <w:szCs w:val="21"/>
          <w:lang w:val="en-US" w:eastAsia="zh-CN"/>
        </w:rPr>
        <w:t>5.8</w:t>
      </w:r>
      <w:r>
        <w:rPr>
          <w:rFonts w:hint="eastAsia" w:ascii="仿宋" w:hAnsi="仿宋" w:eastAsia="仿宋" w:cs="仿宋"/>
          <w:bCs/>
          <w:sz w:val="21"/>
          <w:szCs w:val="21"/>
        </w:rPr>
        <w:t>回转机构用的盘式制动器（附带对中装置）：</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要求制动力矩：新摩擦盘时：不小于66970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磨损后的制动力矩（最小制动力矩）不小于59130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最大允许工作气压：≤125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最小释放（松闸）气压：70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最大允许转速：2500 r/min ；</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气缸进气孔规格为：3/4 N.P.T, 2个。</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安装尺寸修改：将12-φ19.84改为12-φ21；将12-φ28.575改为12-φ31.75；沉孔深度19.05不变。</w:t>
      </w:r>
    </w:p>
    <w:p>
      <w:pPr>
        <w:spacing w:line="360" w:lineRule="auto"/>
        <w:rPr>
          <w:rFonts w:hint="eastAsia" w:ascii="仿宋" w:hAnsi="仿宋" w:eastAsia="仿宋" w:cs="仿宋"/>
          <w:bCs/>
          <w:sz w:val="21"/>
          <w:szCs w:val="21"/>
        </w:rPr>
      </w:pPr>
      <w:r>
        <w:rPr>
          <w:rFonts w:hint="eastAsia" w:ascii="仿宋" w:hAnsi="仿宋" w:eastAsia="仿宋" w:cs="仿宋"/>
          <w:bCs/>
          <w:sz w:val="21"/>
          <w:szCs w:val="21"/>
          <w:lang w:val="en-US" w:eastAsia="zh-CN"/>
        </w:rPr>
        <w:t>5.9</w:t>
      </w:r>
      <w:r>
        <w:rPr>
          <w:rFonts w:hint="eastAsia" w:ascii="仿宋" w:hAnsi="仿宋" w:eastAsia="仿宋" w:cs="仿宋"/>
          <w:bCs/>
          <w:sz w:val="21"/>
          <w:szCs w:val="21"/>
        </w:rPr>
        <w:t>行走机构用的盘式制动器：</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要求制动力矩：新摩擦盘时：不小于138120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磨损后的制动力矩（最小制动力矩）不小于121270 IN-LBS。</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最大允许工作气压：≤125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最小释放（松闸）气压：75 P.S.I；</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最大允许转速：1800 r/min ；</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气缸进气孔规格为：3/4 N.P.T, 2个。</w:t>
      </w:r>
    </w:p>
    <w:p>
      <w:pPr>
        <w:spacing w:line="360" w:lineRule="auto"/>
      </w:pPr>
      <w:r>
        <w:rPr>
          <w:rFonts w:hint="eastAsia" w:ascii="仿宋" w:hAnsi="仿宋" w:eastAsia="仿宋" w:cs="仿宋"/>
          <w:bCs/>
          <w:sz w:val="21"/>
          <w:szCs w:val="21"/>
        </w:rPr>
        <w:t>安装尺寸修改：将12-φ19.84改为12-φ21；将12-φ28.575改为12-φ31.75；沉孔深度19.05不变。</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6</w:t>
      </w:r>
      <w:r>
        <w:rPr>
          <w:rFonts w:hint="eastAsia" w:ascii="仿宋" w:hAnsi="仿宋" w:eastAsia="仿宋" w:cs="仿宋"/>
          <w:b/>
          <w:sz w:val="21"/>
          <w:szCs w:val="21"/>
        </w:rPr>
        <w:t>.工期、交货要求</w:t>
      </w:r>
    </w:p>
    <w:p>
      <w:pPr>
        <w:spacing w:line="360" w:lineRule="auto"/>
        <w:rPr>
          <w:rFonts w:hint="eastAsia" w:ascii="仿宋" w:hAnsi="仿宋" w:eastAsia="仿宋" w:cs="仿宋"/>
          <w:bCs/>
          <w:sz w:val="21"/>
          <w:szCs w:val="21"/>
          <w:lang w:eastAsia="zh-CN"/>
        </w:rPr>
      </w:pPr>
      <w:r>
        <w:rPr>
          <w:rFonts w:hint="eastAsia" w:ascii="仿宋" w:hAnsi="仿宋" w:eastAsia="仿宋" w:cs="仿宋"/>
          <w:bCs/>
          <w:sz w:val="21"/>
          <w:szCs w:val="21"/>
        </w:rPr>
        <w:t>*</w:t>
      </w:r>
      <w:r>
        <w:rPr>
          <w:rFonts w:hint="eastAsia" w:ascii="仿宋" w:hAnsi="仿宋" w:eastAsia="仿宋" w:cs="仿宋"/>
          <w:bCs/>
          <w:sz w:val="21"/>
          <w:szCs w:val="21"/>
          <w:lang w:val="en-US" w:eastAsia="zh-CN"/>
        </w:rPr>
        <w:t>6</w:t>
      </w:r>
      <w:r>
        <w:rPr>
          <w:rFonts w:hint="eastAsia" w:ascii="仿宋" w:hAnsi="仿宋" w:eastAsia="仿宋" w:cs="仿宋"/>
          <w:bCs/>
          <w:sz w:val="21"/>
          <w:szCs w:val="21"/>
        </w:rPr>
        <w:t>.1 配件于合同签订后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3</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个月内到货</w:t>
      </w:r>
      <w:r>
        <w:rPr>
          <w:rFonts w:hint="eastAsia" w:ascii="仿宋" w:hAnsi="仿宋" w:eastAsia="仿宋" w:cs="仿宋"/>
          <w:bCs/>
          <w:sz w:val="21"/>
          <w:szCs w:val="21"/>
          <w:lang w:eastAsia="zh-CN"/>
        </w:rPr>
        <w:t>；</w:t>
      </w:r>
    </w:p>
    <w:p>
      <w:pPr>
        <w:spacing w:line="360" w:lineRule="auto"/>
        <w:rPr>
          <w:rFonts w:hint="eastAsia" w:ascii="仿宋" w:hAnsi="仿宋" w:eastAsia="仿宋" w:cs="仿宋"/>
          <w:bCs/>
          <w:sz w:val="21"/>
          <w:szCs w:val="21"/>
        </w:rPr>
      </w:pPr>
      <w:r>
        <w:rPr>
          <w:rFonts w:hint="eastAsia" w:ascii="仿宋" w:hAnsi="仿宋" w:eastAsia="仿宋" w:cs="仿宋"/>
          <w:bCs/>
          <w:sz w:val="21"/>
          <w:szCs w:val="21"/>
          <w:lang w:val="en-US" w:eastAsia="zh-CN"/>
        </w:rPr>
        <w:t>6</w:t>
      </w:r>
      <w:r>
        <w:rPr>
          <w:rFonts w:hint="eastAsia" w:ascii="仿宋" w:hAnsi="仿宋" w:eastAsia="仿宋" w:cs="仿宋"/>
          <w:bCs/>
          <w:sz w:val="21"/>
          <w:szCs w:val="21"/>
        </w:rPr>
        <w:t>.2交货地点：物资供应</w:t>
      </w:r>
      <w:r>
        <w:rPr>
          <w:rFonts w:hint="eastAsia" w:ascii="仿宋" w:hAnsi="仿宋" w:eastAsia="仿宋" w:cs="仿宋"/>
          <w:bCs/>
          <w:sz w:val="21"/>
          <w:szCs w:val="21"/>
          <w:lang w:val="en-US" w:eastAsia="zh-CN"/>
        </w:rPr>
        <w:t>中心黑岱沟供应站</w:t>
      </w:r>
      <w:r>
        <w:rPr>
          <w:rFonts w:hint="eastAsia" w:ascii="仿宋" w:hAnsi="仿宋" w:eastAsia="仿宋" w:cs="仿宋"/>
          <w:bCs/>
          <w:sz w:val="21"/>
          <w:szCs w:val="21"/>
        </w:rPr>
        <w:t>仓库。</w:t>
      </w:r>
    </w:p>
    <w:p>
      <w:pPr>
        <w:spacing w:line="360" w:lineRule="auto"/>
        <w:rPr>
          <w:rFonts w:hint="eastAsia" w:ascii="仿宋" w:hAnsi="仿宋" w:eastAsia="仿宋" w:cs="仿宋"/>
          <w:b/>
          <w:sz w:val="21"/>
          <w:szCs w:val="21"/>
        </w:rPr>
      </w:pPr>
      <w:bookmarkStart w:id="1" w:name="_Toc378238345"/>
      <w:bookmarkStart w:id="2" w:name="_Toc378349365"/>
      <w:r>
        <w:rPr>
          <w:rFonts w:hint="eastAsia" w:ascii="仿宋" w:hAnsi="仿宋" w:eastAsia="仿宋" w:cs="仿宋"/>
          <w:b/>
          <w:sz w:val="21"/>
          <w:szCs w:val="21"/>
          <w:lang w:val="en-US" w:eastAsia="zh-CN"/>
        </w:rPr>
        <w:t>7</w:t>
      </w:r>
      <w:r>
        <w:rPr>
          <w:rFonts w:hint="eastAsia" w:ascii="仿宋" w:hAnsi="仿宋" w:eastAsia="仿宋" w:cs="仿宋"/>
          <w:b/>
          <w:sz w:val="21"/>
          <w:szCs w:val="21"/>
        </w:rPr>
        <w:t>.安装试用</w:t>
      </w:r>
      <w:bookmarkEnd w:id="1"/>
      <w:bookmarkEnd w:id="2"/>
      <w:r>
        <w:rPr>
          <w:rFonts w:hint="eastAsia" w:ascii="仿宋" w:hAnsi="仿宋" w:eastAsia="仿宋" w:cs="仿宋"/>
          <w:b/>
          <w:sz w:val="21"/>
          <w:szCs w:val="21"/>
        </w:rPr>
        <w:t>验收和质量保证</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w:t>
      </w:r>
      <w:r>
        <w:rPr>
          <w:rFonts w:hint="eastAsia" w:ascii="仿宋" w:hAnsi="仿宋" w:eastAsia="仿宋" w:cs="仿宋"/>
          <w:bCs/>
          <w:sz w:val="21"/>
          <w:szCs w:val="21"/>
          <w:lang w:val="en-US" w:eastAsia="zh-CN"/>
        </w:rPr>
        <w:t>7</w:t>
      </w:r>
      <w:r>
        <w:rPr>
          <w:rFonts w:hint="eastAsia" w:ascii="仿宋" w:hAnsi="仿宋" w:eastAsia="仿宋" w:cs="仿宋"/>
          <w:bCs/>
          <w:sz w:val="21"/>
          <w:szCs w:val="21"/>
        </w:rPr>
        <w:t>.1到货后招标人尽快组织相关人员按照合同要求进行入库验收。</w:t>
      </w:r>
    </w:p>
    <w:p>
      <w:pPr>
        <w:spacing w:line="360" w:lineRule="auto"/>
        <w:rPr>
          <w:rFonts w:hint="eastAsia" w:ascii="仿宋" w:hAnsi="仿宋" w:eastAsia="仿宋" w:cs="仿宋"/>
          <w:bCs/>
          <w:sz w:val="21"/>
          <w:szCs w:val="21"/>
        </w:rPr>
      </w:pPr>
      <w:r>
        <w:rPr>
          <w:rFonts w:hint="eastAsia" w:ascii="仿宋" w:hAnsi="仿宋" w:eastAsia="仿宋" w:cs="仿宋"/>
          <w:bCs/>
          <w:sz w:val="21"/>
          <w:szCs w:val="21"/>
        </w:rPr>
        <w:t>*</w:t>
      </w:r>
      <w:r>
        <w:rPr>
          <w:rFonts w:hint="eastAsia" w:ascii="仿宋" w:hAnsi="仿宋" w:eastAsia="仿宋" w:cs="仿宋"/>
          <w:bCs/>
          <w:sz w:val="21"/>
          <w:szCs w:val="21"/>
          <w:lang w:val="en-US" w:eastAsia="zh-CN"/>
        </w:rPr>
        <w:t>7</w:t>
      </w:r>
      <w:r>
        <w:rPr>
          <w:rFonts w:hint="eastAsia" w:ascii="仿宋" w:hAnsi="仿宋" w:eastAsia="仿宋" w:cs="仿宋"/>
          <w:bCs/>
          <w:sz w:val="21"/>
          <w:szCs w:val="21"/>
        </w:rPr>
        <w:t>.2 验收合格后,从验收之日起开始质保期，质保期要求为一年</w:t>
      </w:r>
      <w:r>
        <w:rPr>
          <w:rFonts w:hint="eastAsia" w:ascii="仿宋" w:hAnsi="仿宋" w:eastAsia="仿宋" w:cs="仿宋"/>
          <w:bCs/>
          <w:sz w:val="21"/>
          <w:szCs w:val="21"/>
          <w:lang w:eastAsia="zh-CN"/>
        </w:rPr>
        <w:t>；</w:t>
      </w:r>
      <w:r>
        <w:rPr>
          <w:rFonts w:hint="eastAsia" w:ascii="仿宋" w:hAnsi="仿宋" w:eastAsia="仿宋" w:cs="仿宋"/>
          <w:bCs/>
          <w:sz w:val="21"/>
          <w:szCs w:val="21"/>
        </w:rPr>
        <w:t>质保期内由于质量问题造成的损失，由中标方负责赔偿。</w:t>
      </w:r>
      <w:r>
        <w:rPr>
          <w:rFonts w:hint="default" w:ascii="仿宋" w:hAnsi="仿宋" w:eastAsia="仿宋" w:cs="仿宋"/>
          <w:bCs/>
          <w:sz w:val="21"/>
          <w:szCs w:val="21"/>
        </w:rPr>
        <w:t>如果在质量保证期内出现质量问题，</w:t>
      </w:r>
      <w:r>
        <w:rPr>
          <w:rFonts w:hint="eastAsia" w:ascii="仿宋" w:hAnsi="仿宋" w:eastAsia="仿宋" w:cs="仿宋"/>
          <w:bCs/>
          <w:sz w:val="21"/>
          <w:szCs w:val="21"/>
          <w:lang w:eastAsia="zh-CN"/>
        </w:rPr>
        <w:t>中标</w:t>
      </w:r>
      <w:r>
        <w:rPr>
          <w:rFonts w:hint="default" w:ascii="仿宋" w:hAnsi="仿宋" w:eastAsia="仿宋" w:cs="仿宋"/>
          <w:bCs/>
          <w:sz w:val="21"/>
          <w:szCs w:val="21"/>
        </w:rPr>
        <w:t>方须按</w:t>
      </w:r>
      <w:r>
        <w:rPr>
          <w:rFonts w:hint="eastAsia" w:ascii="仿宋" w:hAnsi="仿宋" w:eastAsia="仿宋" w:cs="仿宋"/>
          <w:bCs/>
          <w:sz w:val="21"/>
          <w:szCs w:val="21"/>
          <w:lang w:eastAsia="zh-CN"/>
        </w:rPr>
        <w:t>招标人</w:t>
      </w:r>
      <w:r>
        <w:rPr>
          <w:rFonts w:hint="default" w:ascii="仿宋" w:hAnsi="仿宋" w:eastAsia="仿宋" w:cs="仿宋"/>
          <w:bCs/>
          <w:sz w:val="21"/>
          <w:szCs w:val="21"/>
        </w:rPr>
        <w:t>要求更换产品，新更换产品的质量保证期重新计算，给</w:t>
      </w:r>
      <w:r>
        <w:rPr>
          <w:rFonts w:hint="eastAsia" w:ascii="仿宋" w:hAnsi="仿宋" w:eastAsia="仿宋" w:cs="仿宋"/>
          <w:bCs/>
          <w:sz w:val="21"/>
          <w:szCs w:val="21"/>
          <w:lang w:eastAsia="zh-CN"/>
        </w:rPr>
        <w:t>招标人</w:t>
      </w:r>
      <w:r>
        <w:rPr>
          <w:rFonts w:hint="default" w:ascii="仿宋" w:hAnsi="仿宋" w:eastAsia="仿宋" w:cs="仿宋"/>
          <w:bCs/>
          <w:sz w:val="21"/>
          <w:szCs w:val="21"/>
        </w:rPr>
        <w:t>造成损失的</w:t>
      </w:r>
      <w:r>
        <w:rPr>
          <w:rFonts w:hint="eastAsia" w:ascii="仿宋" w:hAnsi="仿宋" w:eastAsia="仿宋" w:cs="仿宋"/>
          <w:bCs/>
          <w:sz w:val="21"/>
          <w:szCs w:val="21"/>
          <w:lang w:eastAsia="zh-CN"/>
        </w:rPr>
        <w:t>中标方</w:t>
      </w:r>
      <w:r>
        <w:rPr>
          <w:rFonts w:hint="default" w:ascii="仿宋" w:hAnsi="仿宋" w:eastAsia="仿宋" w:cs="仿宋"/>
          <w:bCs/>
          <w:sz w:val="21"/>
          <w:szCs w:val="21"/>
        </w:rPr>
        <w:t>应给予赔偿。</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8</w:t>
      </w:r>
      <w:r>
        <w:rPr>
          <w:rFonts w:hint="eastAsia" w:ascii="仿宋" w:hAnsi="仿宋" w:eastAsia="仿宋" w:cs="仿宋"/>
          <w:b/>
          <w:sz w:val="21"/>
          <w:szCs w:val="21"/>
        </w:rPr>
        <w:t>.付款方式</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 xml:space="preserve">验收合格后支付采购总费用 </w:t>
      </w:r>
      <w:r>
        <w:rPr>
          <w:rFonts w:hint="eastAsia" w:ascii="仿宋" w:hAnsi="仿宋" w:eastAsia="仿宋" w:cs="仿宋"/>
          <w:bCs/>
          <w:sz w:val="21"/>
          <w:szCs w:val="21"/>
          <w:lang w:val="en-US" w:eastAsia="zh-CN"/>
        </w:rPr>
        <w:t>90</w:t>
      </w:r>
      <w:r>
        <w:rPr>
          <w:rFonts w:hint="eastAsia" w:ascii="仿宋" w:hAnsi="仿宋" w:eastAsia="仿宋" w:cs="仿宋"/>
          <w:bCs/>
          <w:sz w:val="21"/>
          <w:szCs w:val="21"/>
        </w:rPr>
        <w:t xml:space="preserve"> %款项，质保期满无任何质量问题后支付采购剩余10%款项</w:t>
      </w:r>
      <w:r>
        <w:rPr>
          <w:rFonts w:hint="eastAsia" w:ascii="仿宋" w:hAnsi="仿宋" w:eastAsia="仿宋" w:cs="仿宋"/>
          <w:bCs/>
          <w:sz w:val="21"/>
          <w:szCs w:val="21"/>
          <w:lang w:eastAsia="zh-CN"/>
        </w:rPr>
        <w:t>，</w:t>
      </w:r>
      <w:r>
        <w:rPr>
          <w:rFonts w:hint="eastAsia" w:ascii="仿宋" w:hAnsi="仿宋" w:eastAsia="仿宋" w:cs="仿宋"/>
          <w:bCs/>
          <w:sz w:val="21"/>
          <w:szCs w:val="21"/>
        </w:rPr>
        <w:t>付款方根据资金周转情况部分或全部以银行承兑汇票方式结算。</w:t>
      </w:r>
    </w:p>
    <w:p>
      <w:pPr>
        <w:rPr>
          <w:rFonts w:hint="eastAsia" w:ascii="仿宋" w:hAnsi="仿宋" w:eastAsia="仿宋" w:cs="仿宋"/>
          <w:b/>
          <w:bCs/>
          <w:color w:val="auto"/>
          <w:sz w:val="21"/>
          <w:szCs w:val="21"/>
          <w:lang w:eastAsia="zh-CN"/>
        </w:rPr>
      </w:pPr>
      <w:r>
        <w:rPr>
          <w:rFonts w:hint="eastAsia" w:ascii="仿宋" w:hAnsi="仿宋" w:eastAsia="仿宋" w:cs="仿宋"/>
          <w:b/>
          <w:bCs/>
          <w:color w:val="auto"/>
          <w:sz w:val="21"/>
          <w:szCs w:val="21"/>
          <w:lang w:eastAsia="zh-CN"/>
        </w:rPr>
        <w:br w:type="page"/>
      </w:r>
    </w:p>
    <w:p>
      <w:pPr>
        <w:pStyle w:val="2"/>
        <w:jc w:val="center"/>
        <w:rPr>
          <w:rFonts w:hint="eastAsia" w:ascii="仿宋" w:hAnsi="仿宋" w:eastAsia="仿宋" w:cs="仿宋"/>
          <w:b/>
          <w:bCs/>
          <w:color w:val="auto"/>
          <w:sz w:val="21"/>
          <w:szCs w:val="21"/>
          <w:lang w:eastAsia="zh-CN"/>
        </w:rPr>
      </w:pPr>
      <w:bookmarkStart w:id="3" w:name="_Toc32008"/>
      <w:r>
        <w:rPr>
          <w:rFonts w:hint="eastAsia" w:ascii="仿宋" w:hAnsi="仿宋" w:eastAsia="仿宋" w:cs="仿宋"/>
          <w:b/>
          <w:bCs/>
          <w:color w:val="auto"/>
          <w:sz w:val="21"/>
          <w:szCs w:val="21"/>
          <w:lang w:eastAsia="zh-CN"/>
        </w:rPr>
        <w:t>第二包：WK电铲推压系统备件</w:t>
      </w:r>
      <w:bookmarkEnd w:id="3"/>
    </w:p>
    <w:p>
      <w:pPr>
        <w:spacing w:line="360" w:lineRule="auto"/>
        <w:rPr>
          <w:rFonts w:hint="eastAsia" w:ascii="仿宋" w:hAnsi="仿宋" w:eastAsia="仿宋" w:cs="仿宋"/>
          <w:b/>
          <w:sz w:val="21"/>
          <w:szCs w:val="21"/>
        </w:rPr>
      </w:pPr>
      <w:r>
        <w:rPr>
          <w:rFonts w:hint="eastAsia" w:ascii="仿宋" w:hAnsi="仿宋" w:eastAsia="仿宋" w:cs="仿宋"/>
          <w:b/>
          <w:sz w:val="21"/>
          <w:szCs w:val="21"/>
        </w:rPr>
        <w:t>1.项目简述</w:t>
      </w:r>
    </w:p>
    <w:p>
      <w:pPr>
        <w:spacing w:line="360" w:lineRule="auto"/>
        <w:ind w:firstLine="570"/>
        <w:rPr>
          <w:rFonts w:hint="eastAsia" w:ascii="仿宋" w:hAnsi="仿宋" w:eastAsia="仿宋" w:cs="仿宋"/>
          <w:bCs/>
          <w:sz w:val="21"/>
          <w:szCs w:val="21"/>
          <w:lang w:eastAsia="zh-CN"/>
        </w:rPr>
      </w:pPr>
      <w:r>
        <w:rPr>
          <w:rFonts w:hint="eastAsia" w:ascii="仿宋" w:hAnsi="仿宋" w:eastAsia="仿宋" w:cs="仿宋"/>
          <w:bCs/>
          <w:sz w:val="21"/>
          <w:szCs w:val="21"/>
        </w:rPr>
        <w:t>我公司计划购置</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WK-55、WK-35电铲推压系统备件</w:t>
      </w:r>
      <w:r>
        <w:rPr>
          <w:rFonts w:hint="eastAsia" w:ascii="仿宋" w:hAnsi="仿宋" w:eastAsia="仿宋" w:cs="仿宋"/>
          <w:bCs/>
          <w:sz w:val="21"/>
          <w:szCs w:val="21"/>
          <w:lang w:val="en-US" w:eastAsia="zh-CN"/>
        </w:rPr>
        <w:t>共计11项</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26</w:t>
      </w:r>
      <w:r>
        <w:rPr>
          <w:rFonts w:hint="eastAsia" w:ascii="仿宋" w:hAnsi="仿宋" w:eastAsia="仿宋" w:cs="仿宋"/>
          <w:bCs/>
          <w:sz w:val="21"/>
          <w:szCs w:val="21"/>
        </w:rPr>
        <w:t>件</w:t>
      </w:r>
      <w:r>
        <w:rPr>
          <w:rFonts w:hint="eastAsia" w:ascii="仿宋" w:hAnsi="仿宋" w:eastAsia="仿宋" w:cs="仿宋"/>
          <w:bCs/>
          <w:sz w:val="21"/>
          <w:szCs w:val="21"/>
          <w:lang w:eastAsia="zh-CN"/>
        </w:rPr>
        <w:t>。</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2.总则</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2.1本技术规范的使用范围，适用于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WK-55、WK-35电铲</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设备的配件的订货招标。</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投标人资质要求：</w:t>
      </w:r>
      <w:r>
        <w:rPr>
          <w:rFonts w:hint="eastAsia" w:ascii="仿宋" w:hAnsi="仿宋" w:eastAsia="仿宋" w:cs="仿宋"/>
          <w:b/>
          <w:sz w:val="21"/>
          <w:szCs w:val="21"/>
          <w:highlight w:val="none"/>
          <w:lang w:eastAsia="zh-CN"/>
        </w:rPr>
        <w:t>详见公告</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4.气候条件</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ind w:firstLine="211" w:firstLineChars="100"/>
        <w:rPr>
          <w:rFonts w:hint="eastAsia" w:ascii="仿宋" w:hAnsi="仿宋" w:eastAsia="仿宋" w:cs="仿宋"/>
          <w:b/>
          <w:sz w:val="21"/>
          <w:szCs w:val="21"/>
        </w:rPr>
      </w:pPr>
      <w:r>
        <w:rPr>
          <w:rFonts w:hint="eastAsia" w:ascii="仿宋" w:hAnsi="仿宋" w:eastAsia="仿宋" w:cs="仿宋"/>
          <w:b/>
          <w:sz w:val="21"/>
          <w:szCs w:val="21"/>
        </w:rPr>
        <w:t>5.工作环境</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随</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WK-55\、WK-35电铲</w:t>
      </w:r>
      <w:r>
        <w:rPr>
          <w:rFonts w:hint="eastAsia" w:ascii="仿宋" w:hAnsi="仿宋" w:eastAsia="仿宋" w:cs="仿宋"/>
          <w:bCs/>
          <w:sz w:val="21"/>
          <w:szCs w:val="21"/>
        </w:rPr>
        <w:t>设备在</w:t>
      </w:r>
      <w:r>
        <w:rPr>
          <w:rFonts w:hint="eastAsia" w:ascii="仿宋" w:hAnsi="仿宋" w:eastAsia="仿宋" w:cs="仿宋"/>
          <w:bCs/>
          <w:sz w:val="21"/>
          <w:szCs w:val="21"/>
          <w:u w:val="single"/>
          <w:lang w:val="en-US" w:eastAsia="zh-CN"/>
        </w:rPr>
        <w:t>黑岱沟露天煤矿</w:t>
      </w:r>
      <w:r>
        <w:rPr>
          <w:rFonts w:hint="eastAsia" w:ascii="仿宋" w:hAnsi="仿宋" w:eastAsia="仿宋" w:cs="仿宋"/>
          <w:bCs/>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*6.技术要求</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6.1名称和数量</w:t>
      </w:r>
    </w:p>
    <w:tbl>
      <w:tblPr>
        <w:tblStyle w:val="6"/>
        <w:tblW w:w="966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39"/>
        <w:gridCol w:w="1238"/>
        <w:gridCol w:w="3613"/>
        <w:gridCol w:w="1101"/>
        <w:gridCol w:w="1238"/>
        <w:gridCol w:w="12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序号</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采购编码描述</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单位</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数量</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质保期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10807976</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齿条\K1902.02.02.00\机械式单斗挖掘机\WK-55\国产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10720402</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齿轮轴\K1801.03.20.01\机械式单斗挖掘机\WK-35\国产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11192610</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推压大轴\K1801.03.21.11\机械式单斗挖掘机\WK-35\国产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10751740</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推压大齿轮\K1801.03.21.21\机械式单斗挖掘机\WK-35\国产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10717578</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推压一轴\K1701.03.11.00\机械式单斗挖掘机\WK-35\国产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10751740</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推压大齿轮\K1801.03.21.21\机械式单斗挖掘机\WK-35\国产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10719739</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轴套\K1801.03.21.23\机械式单斗挖掘机\WK-35\国产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10751740</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推压大齿轮\K1801.03.21.21\机械式单斗挖掘机\WK-35\国产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10717578</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推压一轴\K1701.03.11.00\机械式单斗挖掘机\WK-35\国产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10751746</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推压小齿轮\K1901.03.21.06\机械式单斗挖掘机\WK-55\国产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10748457</w:t>
            </w:r>
          </w:p>
        </w:tc>
        <w:tc>
          <w:tcPr>
            <w:tcW w:w="36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拉紧轴\K1902.18.05.08\机械式单斗挖掘机\WK-55\国产</w:t>
            </w:r>
          </w:p>
        </w:tc>
        <w:tc>
          <w:tcPr>
            <w:tcW w:w="11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1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12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10000H</w:t>
            </w:r>
          </w:p>
        </w:tc>
      </w:tr>
    </w:tbl>
    <w:p>
      <w:pPr>
        <w:spacing w:line="360" w:lineRule="auto"/>
        <w:ind w:firstLine="420" w:firstLineChars="200"/>
        <w:rPr>
          <w:rFonts w:hint="eastAsia" w:ascii="仿宋" w:hAnsi="仿宋" w:eastAsia="仿宋" w:cs="仿宋"/>
          <w:bCs/>
          <w:sz w:val="21"/>
          <w:szCs w:val="21"/>
          <w:lang w:val="en-US" w:eastAsia="zh-CN"/>
        </w:rPr>
      </w:pPr>
      <w:r>
        <w:rPr>
          <w:rFonts w:hint="eastAsia" w:ascii="仿宋" w:hAnsi="仿宋" w:eastAsia="仿宋" w:cs="仿宋"/>
          <w:bCs/>
          <w:sz w:val="21"/>
          <w:szCs w:val="21"/>
        </w:rPr>
        <w:t>6.2</w:t>
      </w:r>
      <w:r>
        <w:rPr>
          <w:rFonts w:hint="eastAsia" w:ascii="仿宋" w:hAnsi="仿宋" w:eastAsia="仿宋" w:cs="仿宋"/>
          <w:bCs/>
          <w:sz w:val="21"/>
          <w:szCs w:val="21"/>
          <w:lang w:val="en-US" w:eastAsia="zh-CN"/>
        </w:rPr>
        <w:t>配件安装尺寸的必须符合我公司在用设备安装尺，并可与现场所有同类配件互换；</w:t>
      </w:r>
    </w:p>
    <w:p>
      <w:pPr>
        <w:spacing w:line="360" w:lineRule="auto"/>
        <w:ind w:firstLine="570"/>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6.3使用寿命不得低于10000H。</w:t>
      </w:r>
    </w:p>
    <w:p>
      <w:pPr>
        <w:spacing w:line="360" w:lineRule="auto"/>
        <w:ind w:firstLine="570"/>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lang w:val="en-US" w:eastAsia="zh-CN"/>
        </w:rPr>
        <w:t>6.4.所有配件加工的强度及光洁度不得低</w:t>
      </w:r>
      <w:r>
        <w:rPr>
          <w:rFonts w:hint="eastAsia" w:ascii="仿宋" w:hAnsi="仿宋" w:eastAsia="仿宋" w:cs="仿宋"/>
          <w:bCs/>
          <w:sz w:val="21"/>
          <w:szCs w:val="21"/>
          <w:highlight w:val="none"/>
          <w:lang w:val="en-US" w:eastAsia="zh-CN"/>
        </w:rPr>
        <w:t>于原件；</w:t>
      </w:r>
    </w:p>
    <w:p>
      <w:pPr>
        <w:spacing w:line="360" w:lineRule="auto"/>
        <w:ind w:firstLine="570"/>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6.5.配件的强度达到原件的标准；</w:t>
      </w:r>
    </w:p>
    <w:p>
      <w:pPr>
        <w:spacing w:line="360" w:lineRule="auto"/>
        <w:ind w:firstLine="570"/>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6.6材质、质量等级及制造工艺、主要技术性能等方面不得低于原装配件。</w:t>
      </w:r>
    </w:p>
    <w:p>
      <w:pPr>
        <w:spacing w:line="360" w:lineRule="auto"/>
        <w:ind w:firstLine="570"/>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6.7</w:t>
      </w:r>
      <w:r>
        <w:rPr>
          <w:rFonts w:hint="eastAsia" w:ascii="仿宋" w:hAnsi="仿宋" w:eastAsia="仿宋" w:cs="仿宋"/>
          <w:sz w:val="21"/>
          <w:szCs w:val="21"/>
          <w:lang w:val="en-US" w:eastAsia="zh-CN"/>
        </w:rPr>
        <w:t>各配件工作表面应光洁，无目视可见的毛刺、磨伤、划伤、压痕等缺陷，终磨表面不允许有烧伤、软点和脱碳。</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 xml:space="preserve">  </w:t>
      </w:r>
      <w:r>
        <w:rPr>
          <w:rFonts w:hint="eastAsia" w:ascii="仿宋" w:hAnsi="仿宋" w:eastAsia="仿宋" w:cs="仿宋"/>
          <w:b/>
          <w:sz w:val="21"/>
          <w:szCs w:val="21"/>
        </w:rPr>
        <w:t>7.工期、交货要求</w:t>
      </w:r>
    </w:p>
    <w:p>
      <w:pPr>
        <w:spacing w:line="360" w:lineRule="auto"/>
        <w:ind w:firstLine="570"/>
        <w:rPr>
          <w:rFonts w:hint="eastAsia" w:ascii="仿宋" w:hAnsi="仿宋" w:eastAsia="仿宋" w:cs="仿宋"/>
          <w:bCs/>
          <w:sz w:val="21"/>
          <w:szCs w:val="21"/>
          <w:lang w:eastAsia="zh-CN"/>
        </w:rPr>
      </w:pPr>
      <w:r>
        <w:rPr>
          <w:rFonts w:hint="eastAsia" w:ascii="仿宋" w:hAnsi="仿宋" w:eastAsia="仿宋" w:cs="仿宋"/>
          <w:bCs/>
          <w:sz w:val="21"/>
          <w:szCs w:val="21"/>
        </w:rPr>
        <w:t>*7.1 配件于合同签订后</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3</w:t>
      </w:r>
      <w:r>
        <w:rPr>
          <w:rFonts w:hint="eastAsia" w:ascii="仿宋" w:hAnsi="仿宋" w:eastAsia="仿宋" w:cs="仿宋"/>
          <w:bCs/>
          <w:sz w:val="21"/>
          <w:szCs w:val="21"/>
        </w:rPr>
        <w:t>个月内到货</w:t>
      </w:r>
      <w:r>
        <w:rPr>
          <w:rFonts w:hint="eastAsia" w:ascii="仿宋" w:hAnsi="仿宋" w:eastAsia="仿宋" w:cs="仿宋"/>
          <w:bCs/>
          <w:sz w:val="21"/>
          <w:szCs w:val="21"/>
          <w:lang w:eastAsia="zh-CN"/>
        </w:rPr>
        <w:t>；</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7.2交货地点：物资供应</w:t>
      </w:r>
      <w:r>
        <w:rPr>
          <w:rFonts w:hint="eastAsia" w:ascii="仿宋" w:hAnsi="仿宋" w:eastAsia="仿宋" w:cs="仿宋"/>
          <w:bCs/>
          <w:sz w:val="21"/>
          <w:szCs w:val="21"/>
          <w:lang w:val="en-US" w:eastAsia="zh-CN"/>
        </w:rPr>
        <w:t>中心黑岱沟供应站</w:t>
      </w:r>
      <w:r>
        <w:rPr>
          <w:rFonts w:hint="eastAsia" w:ascii="仿宋" w:hAnsi="仿宋" w:eastAsia="仿宋" w:cs="仿宋"/>
          <w:bCs/>
          <w:sz w:val="21"/>
          <w:szCs w:val="21"/>
        </w:rPr>
        <w:t>仓库。</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8.安装试用验收和质量保证、延伸担保</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*8.1到货后招标人尽快组织相关人员按照合同要求进行入库验收。</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*8.2 验收合格后,从验收之日起开始质保期，质保期要求为</w:t>
      </w:r>
      <w:r>
        <w:rPr>
          <w:rFonts w:hint="eastAsia" w:ascii="仿宋" w:hAnsi="仿宋" w:eastAsia="仿宋" w:cs="仿宋"/>
          <w:bCs/>
          <w:sz w:val="21"/>
          <w:szCs w:val="21"/>
          <w:lang w:val="en-US" w:eastAsia="zh-CN"/>
        </w:rPr>
        <w:t>10000H</w:t>
      </w:r>
      <w:r>
        <w:rPr>
          <w:rFonts w:hint="eastAsia" w:ascii="仿宋" w:hAnsi="仿宋" w:eastAsia="仿宋" w:cs="仿宋"/>
          <w:bCs/>
          <w:sz w:val="21"/>
          <w:szCs w:val="21"/>
          <w:lang w:eastAsia="zh-CN"/>
        </w:rPr>
        <w:t>；</w:t>
      </w:r>
      <w:r>
        <w:rPr>
          <w:rFonts w:hint="eastAsia" w:ascii="仿宋" w:hAnsi="仿宋" w:eastAsia="仿宋" w:cs="仿宋"/>
          <w:bCs/>
          <w:sz w:val="21"/>
          <w:szCs w:val="21"/>
        </w:rPr>
        <w:t>质保期内由于质量问题造成的损失，由中标方负责赔偿</w:t>
      </w:r>
      <w:r>
        <w:rPr>
          <w:rFonts w:hint="eastAsia" w:ascii="仿宋" w:hAnsi="仿宋" w:eastAsia="仿宋" w:cs="仿宋"/>
          <w:bCs/>
          <w:sz w:val="21"/>
          <w:szCs w:val="21"/>
          <w:lang w:eastAsia="zh-CN"/>
        </w:rPr>
        <w:t>，包含</w:t>
      </w:r>
      <w:r>
        <w:rPr>
          <w:rFonts w:hint="eastAsia" w:ascii="仿宋" w:hAnsi="仿宋" w:eastAsia="仿宋" w:cs="仿宋"/>
          <w:b w:val="0"/>
          <w:bCs/>
          <w:kern w:val="2"/>
          <w:sz w:val="21"/>
          <w:szCs w:val="21"/>
          <w:lang w:val="en-US" w:eastAsia="zh-CN" w:bidi="ar-SA"/>
        </w:rPr>
        <w:t xml:space="preserve">停机损失、相关配件损坏、人工等费用。 </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9.付款方式</w:t>
      </w:r>
    </w:p>
    <w:p>
      <w:pPr>
        <w:spacing w:line="360" w:lineRule="auto"/>
        <w:ind w:firstLine="570"/>
        <w:rPr>
          <w:rFonts w:hint="eastAsia" w:ascii="仿宋" w:hAnsi="仿宋" w:eastAsia="仿宋" w:cs="仿宋"/>
          <w:bCs/>
          <w:sz w:val="21"/>
          <w:szCs w:val="21"/>
        </w:rPr>
      </w:pPr>
      <w:r>
        <w:rPr>
          <w:rFonts w:hint="eastAsia" w:ascii="仿宋" w:hAnsi="仿宋" w:eastAsia="仿宋" w:cs="仿宋"/>
          <w:bCs/>
          <w:sz w:val="21"/>
          <w:szCs w:val="21"/>
        </w:rPr>
        <w:t>9.1验收合格后支付采购总费用</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90</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%款项，质保期满无任何质量问题后支付采购剩余10%款项待质保期满无任何质量问题后支付。</w:t>
      </w:r>
    </w:p>
    <w:p>
      <w:pPr>
        <w:spacing w:line="360" w:lineRule="auto"/>
        <w:rPr>
          <w:rFonts w:hint="eastAsia" w:ascii="仿宋" w:hAnsi="仿宋" w:eastAsia="仿宋" w:cs="仿宋"/>
          <w:b/>
          <w:sz w:val="21"/>
          <w:szCs w:val="21"/>
        </w:rPr>
      </w:pPr>
      <w:r>
        <w:rPr>
          <w:rFonts w:hint="eastAsia" w:ascii="仿宋" w:hAnsi="仿宋" w:eastAsia="仿宋" w:cs="仿宋"/>
          <w:b/>
          <w:sz w:val="21"/>
          <w:szCs w:val="21"/>
        </w:rPr>
        <w:t>1</w:t>
      </w:r>
      <w:r>
        <w:rPr>
          <w:rFonts w:hint="eastAsia" w:ascii="仿宋" w:hAnsi="仿宋" w:eastAsia="仿宋" w:cs="仿宋"/>
          <w:b/>
          <w:sz w:val="21"/>
          <w:szCs w:val="21"/>
          <w:lang w:val="en-US" w:eastAsia="zh-CN"/>
        </w:rPr>
        <w:t>0.</w:t>
      </w:r>
      <w:r>
        <w:rPr>
          <w:rFonts w:hint="eastAsia" w:ascii="仿宋" w:hAnsi="仿宋" w:eastAsia="仿宋" w:cs="仿宋"/>
          <w:b/>
          <w:sz w:val="21"/>
          <w:szCs w:val="21"/>
        </w:rPr>
        <w:t>装车及运输</w:t>
      </w:r>
    </w:p>
    <w:p>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1</w:t>
      </w:r>
      <w:r>
        <w:rPr>
          <w:rFonts w:hint="eastAsia" w:ascii="仿宋" w:hAnsi="仿宋" w:eastAsia="仿宋" w:cs="仿宋"/>
          <w:bCs/>
          <w:sz w:val="21"/>
          <w:szCs w:val="21"/>
          <w:lang w:val="en-US" w:eastAsia="zh-CN"/>
        </w:rPr>
        <w:t>0</w:t>
      </w:r>
      <w:r>
        <w:rPr>
          <w:rFonts w:hint="eastAsia" w:ascii="仿宋" w:hAnsi="仿宋" w:eastAsia="仿宋" w:cs="仿宋"/>
          <w:bCs/>
          <w:sz w:val="21"/>
          <w:szCs w:val="21"/>
        </w:rPr>
        <w:t>.1配件的装车运输</w:t>
      </w:r>
      <w:r>
        <w:rPr>
          <w:rFonts w:hint="eastAsia" w:ascii="仿宋" w:hAnsi="仿宋" w:eastAsia="仿宋" w:cs="仿宋"/>
          <w:bCs/>
          <w:sz w:val="21"/>
          <w:szCs w:val="21"/>
          <w:lang w:val="en-US" w:eastAsia="zh-CN"/>
        </w:rPr>
        <w:t>由</w:t>
      </w:r>
      <w:r>
        <w:rPr>
          <w:rFonts w:hint="eastAsia" w:ascii="仿宋" w:hAnsi="仿宋" w:eastAsia="仿宋" w:cs="仿宋"/>
          <w:bCs/>
          <w:sz w:val="21"/>
          <w:szCs w:val="21"/>
        </w:rPr>
        <w:t>投标人负责。</w:t>
      </w:r>
    </w:p>
    <w:p>
      <w:pPr>
        <w:ind w:firstLine="420" w:firstLineChars="200"/>
        <w:rPr>
          <w:rFonts w:hint="default" w:ascii="Times New Roman" w:hAnsi="Times New Roman" w:cs="Times New Roman" w:eastAsiaTheme="minorEastAsia"/>
        </w:rPr>
      </w:pPr>
      <w:r>
        <w:rPr>
          <w:rFonts w:hint="eastAsia" w:ascii="仿宋" w:hAnsi="仿宋" w:eastAsia="仿宋" w:cs="仿宋"/>
          <w:bCs/>
          <w:sz w:val="21"/>
          <w:szCs w:val="21"/>
        </w:rPr>
        <w:t>1</w:t>
      </w:r>
      <w:r>
        <w:rPr>
          <w:rFonts w:hint="eastAsia" w:ascii="仿宋" w:hAnsi="仿宋" w:eastAsia="仿宋" w:cs="仿宋"/>
          <w:bCs/>
          <w:sz w:val="21"/>
          <w:szCs w:val="21"/>
          <w:lang w:val="en-US" w:eastAsia="zh-CN"/>
        </w:rPr>
        <w:t>0</w:t>
      </w:r>
      <w:r>
        <w:rPr>
          <w:rFonts w:hint="eastAsia" w:ascii="仿宋" w:hAnsi="仿宋" w:eastAsia="仿宋" w:cs="仿宋"/>
          <w:bCs/>
          <w:sz w:val="21"/>
          <w:szCs w:val="21"/>
        </w:rPr>
        <w:t>.2配件的装车和运输首先应符合质量、技术及长途运输的要求</w:t>
      </w:r>
      <w:r>
        <w:rPr>
          <w:rFonts w:hint="default" w:ascii="Times New Roman" w:hAnsi="Times New Roman" w:cs="Times New Roman" w:eastAsiaTheme="minorEastAsia"/>
          <w:sz w:val="21"/>
          <w:szCs w:val="21"/>
          <w:lang w:eastAsia="zh-CN"/>
        </w:rPr>
        <w:t>。</w:t>
      </w:r>
    </w:p>
    <w:p>
      <w:pPr>
        <w:rPr>
          <w:rFonts w:hint="eastAsia" w:ascii="仿宋_GB2312" w:hAnsi="仿宋_GB2312" w:eastAsia="仿宋_GB2312" w:cs="仿宋_GB2312"/>
          <w:b/>
          <w:color w:val="auto"/>
          <w:spacing w:val="0"/>
          <w:position w:val="0"/>
          <w:sz w:val="28"/>
          <w:szCs w:val="28"/>
          <w:shd w:val="clear" w:color="auto" w:fill="auto"/>
          <w:lang w:val="en-US" w:eastAsia="zh-CN"/>
        </w:rPr>
      </w:pPr>
      <w:bookmarkStart w:id="4" w:name="_Toc11735"/>
      <w:r>
        <w:rPr>
          <w:rFonts w:hint="eastAsia" w:ascii="仿宋_GB2312" w:hAnsi="仿宋_GB2312" w:eastAsia="仿宋_GB2312" w:cs="仿宋_GB2312"/>
          <w:b/>
          <w:color w:val="auto"/>
          <w:spacing w:val="0"/>
          <w:position w:val="0"/>
          <w:sz w:val="28"/>
          <w:szCs w:val="28"/>
          <w:shd w:val="clear" w:color="auto" w:fill="auto"/>
          <w:lang w:val="en-US" w:eastAsia="zh-CN"/>
        </w:rPr>
        <w:br w:type="page"/>
      </w:r>
    </w:p>
    <w:p>
      <w:pPr>
        <w:pStyle w:val="2"/>
        <w:jc w:val="center"/>
        <w:rPr>
          <w:rFonts w:hint="eastAsia" w:ascii="仿宋" w:hAnsi="仿宋" w:eastAsia="仿宋" w:cs="仿宋"/>
          <w:b/>
          <w:bCs/>
          <w:color w:val="auto"/>
          <w:sz w:val="21"/>
          <w:szCs w:val="21"/>
          <w:lang w:eastAsia="zh-CN"/>
        </w:rPr>
      </w:pPr>
      <w:bookmarkStart w:id="5" w:name="_Toc9200"/>
      <w:r>
        <w:rPr>
          <w:rFonts w:hint="eastAsia" w:ascii="仿宋" w:hAnsi="仿宋" w:eastAsia="仿宋" w:cs="仿宋"/>
          <w:b/>
          <w:bCs/>
          <w:color w:val="auto"/>
          <w:sz w:val="21"/>
          <w:szCs w:val="21"/>
          <w:lang w:val="en-US" w:eastAsia="zh-CN"/>
        </w:rPr>
        <w:t>第三包：</w:t>
      </w:r>
      <w:bookmarkEnd w:id="4"/>
      <w:bookmarkStart w:id="6" w:name="_Toc5754"/>
      <w:r>
        <w:rPr>
          <w:rFonts w:hint="eastAsia" w:ascii="仿宋" w:hAnsi="仿宋" w:eastAsia="仿宋" w:cs="仿宋"/>
          <w:b/>
          <w:bCs/>
          <w:color w:val="auto"/>
          <w:sz w:val="21"/>
          <w:szCs w:val="21"/>
          <w:lang w:val="en-US" w:eastAsia="zh-CN"/>
        </w:rPr>
        <w:t>炸药厂化工原料</w:t>
      </w:r>
      <w:bookmarkEnd w:id="5"/>
      <w:bookmarkEnd w:id="6"/>
    </w:p>
    <w:p>
      <w:pPr>
        <w:spacing w:line="480" w:lineRule="auto"/>
        <w:jc w:val="left"/>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1.项目简述</w:t>
      </w:r>
    </w:p>
    <w:p>
      <w:pPr>
        <w:spacing w:line="360" w:lineRule="auto"/>
        <w:ind w:firstLine="420" w:firstLineChars="20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u w:val="single"/>
          <w:lang w:eastAsia="zh-CN"/>
        </w:rPr>
        <w:t>炸药厂</w:t>
      </w:r>
      <w:r>
        <w:rPr>
          <w:rFonts w:hint="eastAsia" w:ascii="仿宋_GB2312" w:hAnsi="仿宋_GB2312" w:eastAsia="仿宋_GB2312" w:cs="仿宋_GB2312"/>
          <w:b w:val="0"/>
          <w:bCs/>
          <w:sz w:val="21"/>
          <w:szCs w:val="21"/>
        </w:rPr>
        <w:t>计划采购</w:t>
      </w:r>
      <w:r>
        <w:rPr>
          <w:rFonts w:hint="eastAsia" w:ascii="仿宋_GB2312" w:hAnsi="仿宋_GB2312" w:eastAsia="仿宋_GB2312" w:cs="仿宋_GB2312"/>
          <w:b w:val="0"/>
          <w:bCs/>
          <w:sz w:val="21"/>
          <w:szCs w:val="21"/>
          <w:lang w:val="en-US" w:eastAsia="zh-CN"/>
        </w:rPr>
        <w:t>化工原料7项</w:t>
      </w:r>
      <w:r>
        <w:rPr>
          <w:rFonts w:hint="eastAsia" w:ascii="仿宋_GB2312" w:hAnsi="仿宋_GB2312" w:eastAsia="仿宋_GB2312" w:cs="仿宋_GB2312"/>
          <w:b w:val="0"/>
          <w:bCs/>
          <w:sz w:val="21"/>
          <w:szCs w:val="21"/>
        </w:rPr>
        <w:t>，</w:t>
      </w:r>
      <w:r>
        <w:rPr>
          <w:rFonts w:hint="eastAsia" w:ascii="仿宋_GB2312" w:hAnsi="仿宋_GB2312" w:eastAsia="仿宋_GB2312" w:cs="仿宋_GB2312"/>
          <w:b w:val="0"/>
          <w:bCs/>
          <w:sz w:val="21"/>
          <w:szCs w:val="21"/>
          <w:lang w:val="en-US" w:eastAsia="zh-CN"/>
        </w:rPr>
        <w:t>分别为</w:t>
      </w:r>
      <w:r>
        <w:rPr>
          <w:rFonts w:hint="eastAsia" w:ascii="仿宋_GB2312" w:hAnsi="仿宋_GB2312" w:eastAsia="仿宋_GB2312" w:cs="仿宋_GB2312"/>
          <w:b w:val="0"/>
          <w:bCs/>
          <w:sz w:val="21"/>
          <w:szCs w:val="21"/>
          <w:u w:val="single"/>
          <w:lang w:val="en-US" w:eastAsia="zh-CN"/>
        </w:rPr>
        <w:t>亚硝酸钠、一水柠檬酸、硫脲、碳酸钠、乙二醇、低爆速铵油炸药微珠、能量增强剂等7项</w:t>
      </w:r>
      <w:r>
        <w:rPr>
          <w:rFonts w:hint="eastAsia" w:ascii="仿宋_GB2312" w:hAnsi="仿宋_GB2312" w:eastAsia="仿宋_GB2312" w:cs="仿宋_GB2312"/>
          <w:b w:val="0"/>
          <w:bCs/>
          <w:sz w:val="21"/>
          <w:szCs w:val="21"/>
          <w:lang w:val="en-US" w:eastAsia="zh-CN"/>
        </w:rPr>
        <w:t>，是</w:t>
      </w:r>
      <w:r>
        <w:rPr>
          <w:rFonts w:hint="eastAsia" w:ascii="仿宋_GB2312" w:hAnsi="仿宋_GB2312" w:eastAsia="仿宋_GB2312" w:cs="仿宋_GB2312"/>
          <w:b w:val="0"/>
          <w:bCs/>
          <w:sz w:val="21"/>
          <w:szCs w:val="21"/>
        </w:rPr>
        <w:t>用于</w:t>
      </w:r>
      <w:r>
        <w:rPr>
          <w:rFonts w:hint="eastAsia" w:ascii="仿宋_GB2312" w:hAnsi="仿宋_GB2312" w:eastAsia="仿宋_GB2312" w:cs="仿宋_GB2312"/>
          <w:b w:val="0"/>
          <w:bCs/>
          <w:sz w:val="21"/>
          <w:szCs w:val="21"/>
          <w:lang w:val="en-US" w:eastAsia="zh-CN"/>
        </w:rPr>
        <w:t>炸药厂</w:t>
      </w:r>
      <w:r>
        <w:rPr>
          <w:rFonts w:hint="eastAsia" w:ascii="仿宋_GB2312" w:hAnsi="仿宋_GB2312" w:eastAsia="仿宋_GB2312" w:cs="仿宋_GB2312"/>
          <w:b w:val="0"/>
          <w:bCs/>
          <w:sz w:val="21"/>
          <w:szCs w:val="21"/>
        </w:rPr>
        <w:t>的</w:t>
      </w:r>
      <w:r>
        <w:rPr>
          <w:rFonts w:hint="eastAsia" w:ascii="仿宋_GB2312" w:hAnsi="仿宋_GB2312" w:eastAsia="仿宋_GB2312" w:cs="仿宋_GB2312"/>
          <w:b w:val="0"/>
          <w:bCs/>
          <w:sz w:val="21"/>
          <w:szCs w:val="21"/>
          <w:lang w:val="en-US" w:eastAsia="zh-CN"/>
        </w:rPr>
        <w:t>乳化炸药所需的乳胶基质生产</w:t>
      </w:r>
      <w:r>
        <w:rPr>
          <w:rFonts w:hint="eastAsia" w:ascii="仿宋_GB2312" w:hAnsi="仿宋_GB2312" w:eastAsia="仿宋_GB2312" w:cs="仿宋_GB2312"/>
          <w:b w:val="0"/>
          <w:bCs/>
          <w:sz w:val="21"/>
          <w:szCs w:val="21"/>
        </w:rPr>
        <w:t>项目</w:t>
      </w:r>
      <w:r>
        <w:rPr>
          <w:rFonts w:hint="eastAsia" w:ascii="仿宋_GB2312" w:hAnsi="仿宋_GB2312" w:eastAsia="仿宋_GB2312" w:cs="仿宋_GB2312"/>
          <w:b w:val="0"/>
          <w:bCs/>
          <w:sz w:val="21"/>
          <w:szCs w:val="21"/>
          <w:lang w:eastAsia="zh-CN"/>
        </w:rPr>
        <w:t>；</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2.总则</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2.1本技术规范的使用范围，适用于</w:t>
      </w:r>
      <w:r>
        <w:rPr>
          <w:rFonts w:hint="eastAsia" w:ascii="仿宋_GB2312" w:hAnsi="仿宋_GB2312" w:eastAsia="仿宋_GB2312" w:cs="仿宋_GB2312"/>
          <w:b w:val="0"/>
          <w:bCs/>
          <w:sz w:val="21"/>
          <w:szCs w:val="21"/>
          <w:u w:val="single"/>
          <w:lang w:val="en-US" w:eastAsia="zh-CN"/>
        </w:rPr>
        <w:t>炸药厂</w:t>
      </w:r>
      <w:r>
        <w:rPr>
          <w:rFonts w:hint="eastAsia" w:ascii="仿宋_GB2312" w:hAnsi="仿宋_GB2312" w:eastAsia="仿宋_GB2312" w:cs="仿宋_GB2312"/>
          <w:b w:val="0"/>
          <w:bCs/>
          <w:sz w:val="21"/>
          <w:szCs w:val="21"/>
          <w:u w:val="none"/>
          <w:lang w:val="en-US" w:eastAsia="zh-CN"/>
        </w:rPr>
        <w:t>的</w:t>
      </w:r>
      <w:r>
        <w:rPr>
          <w:rFonts w:hint="eastAsia" w:ascii="仿宋_GB2312" w:hAnsi="仿宋_GB2312" w:eastAsia="仿宋_GB2312" w:cs="仿宋_GB2312"/>
          <w:b w:val="0"/>
          <w:bCs/>
          <w:sz w:val="21"/>
          <w:szCs w:val="21"/>
          <w:u w:val="single"/>
          <w:lang w:val="en-US" w:eastAsia="zh-CN"/>
        </w:rPr>
        <w:t>乳胶基质生产所需原</w:t>
      </w:r>
      <w:r>
        <w:rPr>
          <w:rFonts w:hint="eastAsia" w:ascii="仿宋_GB2312" w:hAnsi="仿宋_GB2312" w:eastAsia="仿宋_GB2312" w:cs="仿宋_GB2312"/>
          <w:b w:val="0"/>
          <w:bCs/>
          <w:sz w:val="21"/>
          <w:szCs w:val="21"/>
          <w:lang w:val="en-US" w:eastAsia="zh-CN"/>
        </w:rPr>
        <w:t>材料</w:t>
      </w:r>
      <w:r>
        <w:rPr>
          <w:rFonts w:hint="eastAsia" w:ascii="仿宋_GB2312" w:hAnsi="仿宋_GB2312" w:eastAsia="仿宋_GB2312" w:cs="仿宋_GB2312"/>
          <w:b w:val="0"/>
          <w:bCs/>
          <w:sz w:val="21"/>
          <w:szCs w:val="21"/>
        </w:rPr>
        <w:t>的订货招标。</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1"/>
        </w:numPr>
        <w:spacing w:line="360" w:lineRule="auto"/>
        <w:rPr>
          <w:rFonts w:hint="eastAsia" w:ascii="仿宋_GB2312" w:hAnsi="仿宋_GB2312" w:eastAsia="仿宋_GB2312" w:cs="仿宋_GB2312"/>
          <w:b w:val="0"/>
          <w:bCs/>
          <w:sz w:val="21"/>
          <w:szCs w:val="21"/>
          <w:lang w:eastAsia="zh-CN"/>
        </w:rPr>
      </w:pPr>
      <w:r>
        <w:rPr>
          <w:rFonts w:hint="eastAsia" w:ascii="仿宋_GB2312" w:hAnsi="仿宋_GB2312" w:eastAsia="仿宋_GB2312" w:cs="仿宋_GB2312"/>
          <w:b w:val="0"/>
          <w:bCs/>
          <w:sz w:val="21"/>
          <w:szCs w:val="21"/>
        </w:rPr>
        <w:t>投标人资质要求</w:t>
      </w:r>
      <w:r>
        <w:rPr>
          <w:rFonts w:hint="eastAsia" w:ascii="仿宋_GB2312" w:hAnsi="仿宋_GB2312" w:eastAsia="仿宋_GB2312" w:cs="仿宋_GB2312"/>
          <w:b w:val="0"/>
          <w:bCs/>
          <w:sz w:val="21"/>
          <w:szCs w:val="21"/>
          <w:lang w:eastAsia="zh-CN"/>
        </w:rPr>
        <w:t>：详见招标公告</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4.气候条件</w:t>
      </w:r>
    </w:p>
    <w:p>
      <w:pPr>
        <w:spacing w:line="360" w:lineRule="auto"/>
        <w:ind w:firstLine="570"/>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rPr>
        <w:t>年平均温度5.3～7.6℃，最高气温达39.4℃，最低气温为-34℃，属大陆性气候，冬季时间长且寒冷，夏季短且酷热，白天与夜间的温差较大。年降水量为231～459.5mm，年蒸发量为1824.7～2896.1mm，海拔高度：1300m，春季风沙大，最大风速23m/s。</w:t>
      </w:r>
      <w:r>
        <w:rPr>
          <w:rFonts w:hint="eastAsia" w:ascii="仿宋_GB2312" w:hAnsi="仿宋_GB2312" w:eastAsia="仿宋_GB2312" w:cs="仿宋_GB2312"/>
          <w:b w:val="0"/>
          <w:bCs/>
          <w:color w:val="auto"/>
          <w:sz w:val="21"/>
          <w:szCs w:val="21"/>
          <w:lang w:val="en-US" w:eastAsia="zh-CN"/>
        </w:rPr>
        <w:t>化工原料在室内使用。</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5.工作环境</w:t>
      </w:r>
    </w:p>
    <w:p>
      <w:pPr>
        <w:spacing w:line="360" w:lineRule="auto"/>
        <w:ind w:firstLine="570"/>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rPr>
        <w:t>标的物</w:t>
      </w:r>
      <w:r>
        <w:rPr>
          <w:rFonts w:hint="eastAsia" w:ascii="仿宋_GB2312" w:hAnsi="仿宋_GB2312" w:eastAsia="仿宋_GB2312" w:cs="仿宋_GB2312"/>
          <w:b w:val="0"/>
          <w:bCs/>
          <w:sz w:val="21"/>
          <w:szCs w:val="21"/>
          <w:lang w:val="en-US" w:eastAsia="zh-CN"/>
        </w:rPr>
        <w:t>为</w:t>
      </w:r>
      <w:r>
        <w:rPr>
          <w:rFonts w:hint="eastAsia" w:ascii="仿宋_GB2312" w:hAnsi="仿宋_GB2312" w:eastAsia="仿宋_GB2312" w:cs="仿宋_GB2312"/>
          <w:b w:val="0"/>
          <w:bCs/>
          <w:sz w:val="21"/>
          <w:szCs w:val="21"/>
          <w:u w:val="single"/>
        </w:rPr>
        <w:t xml:space="preserve"> </w:t>
      </w:r>
      <w:r>
        <w:rPr>
          <w:rFonts w:hint="eastAsia" w:ascii="仿宋_GB2312" w:hAnsi="仿宋_GB2312" w:eastAsia="仿宋_GB2312" w:cs="仿宋_GB2312"/>
          <w:b w:val="0"/>
          <w:bCs/>
          <w:sz w:val="21"/>
          <w:szCs w:val="21"/>
          <w:u w:val="single"/>
          <w:lang w:eastAsia="zh-CN"/>
        </w:rPr>
        <w:t>乳化工房</w:t>
      </w:r>
      <w:r>
        <w:rPr>
          <w:rFonts w:hint="eastAsia" w:ascii="仿宋_GB2312" w:hAnsi="仿宋_GB2312" w:eastAsia="仿宋_GB2312" w:cs="仿宋_GB2312"/>
          <w:b w:val="0"/>
          <w:bCs/>
          <w:sz w:val="21"/>
          <w:szCs w:val="21"/>
          <w:u w:val="single"/>
          <w:lang w:val="en-US" w:eastAsia="zh-CN"/>
        </w:rPr>
        <w:t>及混装炸药车上</w:t>
      </w:r>
      <w:r>
        <w:rPr>
          <w:rFonts w:hint="eastAsia" w:ascii="仿宋_GB2312" w:hAnsi="仿宋_GB2312" w:eastAsia="仿宋_GB2312" w:cs="仿宋_GB2312"/>
          <w:b w:val="0"/>
          <w:bCs/>
          <w:sz w:val="21"/>
          <w:szCs w:val="21"/>
        </w:rPr>
        <w:t>使用，</w:t>
      </w:r>
      <w:r>
        <w:rPr>
          <w:rFonts w:hint="eastAsia" w:ascii="仿宋_GB2312" w:hAnsi="仿宋_GB2312" w:eastAsia="仿宋_GB2312" w:cs="仿宋_GB2312"/>
          <w:b w:val="0"/>
          <w:bCs/>
          <w:sz w:val="21"/>
          <w:szCs w:val="21"/>
          <w:lang w:eastAsia="zh-CN"/>
        </w:rPr>
        <w:t>用于</w:t>
      </w:r>
      <w:r>
        <w:rPr>
          <w:rFonts w:hint="eastAsia" w:ascii="仿宋_GB2312" w:hAnsi="仿宋_GB2312" w:eastAsia="仿宋_GB2312" w:cs="仿宋_GB2312"/>
          <w:b w:val="0"/>
          <w:bCs/>
          <w:sz w:val="21"/>
          <w:szCs w:val="21"/>
          <w:lang w:val="en-US" w:eastAsia="zh-CN"/>
        </w:rPr>
        <w:t>乳化炸药乳胶基质</w:t>
      </w:r>
      <w:r>
        <w:rPr>
          <w:rFonts w:hint="eastAsia" w:ascii="仿宋_GB2312" w:hAnsi="仿宋_GB2312" w:eastAsia="仿宋_GB2312" w:cs="仿宋_GB2312"/>
          <w:b w:val="0"/>
          <w:bCs/>
          <w:sz w:val="21"/>
          <w:szCs w:val="21"/>
          <w:lang w:eastAsia="zh-CN"/>
        </w:rPr>
        <w:t>氧化溶液配制</w:t>
      </w:r>
      <w:r>
        <w:rPr>
          <w:rFonts w:hint="eastAsia" w:ascii="仿宋_GB2312" w:hAnsi="仿宋_GB2312" w:eastAsia="仿宋_GB2312" w:cs="仿宋_GB2312"/>
          <w:b w:val="0"/>
          <w:bCs/>
          <w:sz w:val="21"/>
          <w:szCs w:val="21"/>
          <w:lang w:val="en-US" w:eastAsia="zh-CN"/>
        </w:rPr>
        <w:t>,敏化剂的配制和提高稳定混装装药稳定性。</w:t>
      </w:r>
    </w:p>
    <w:p>
      <w:pPr>
        <w:numPr>
          <w:ilvl w:val="0"/>
          <w:numId w:val="2"/>
        </w:numPr>
        <w:autoSpaceDE w:val="0"/>
        <w:autoSpaceDN w:val="0"/>
        <w:adjustRightInd w:val="0"/>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技术要求</w:t>
      </w:r>
    </w:p>
    <w:p>
      <w:pPr>
        <w:autoSpaceDE w:val="0"/>
        <w:autoSpaceDN w:val="0"/>
        <w:adjustRightInd w:val="0"/>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6.1材料名称和数量</w:t>
      </w:r>
    </w:p>
    <w:tbl>
      <w:tblPr>
        <w:tblStyle w:val="6"/>
        <w:tblpPr w:leftFromText="180" w:rightFromText="180" w:vertAnchor="text" w:horzAnchor="margin" w:tblpXSpec="center" w:tblpY="153"/>
        <w:tblW w:w="9854" w:type="dxa"/>
        <w:jc w:val="center"/>
        <w:tblInd w:w="0" w:type="dxa"/>
        <w:tblLayout w:type="fixed"/>
        <w:tblCellMar>
          <w:top w:w="0" w:type="dxa"/>
          <w:left w:w="108" w:type="dxa"/>
          <w:bottom w:w="0" w:type="dxa"/>
          <w:right w:w="108" w:type="dxa"/>
        </w:tblCellMar>
      </w:tblPr>
      <w:tblGrid>
        <w:gridCol w:w="778"/>
        <w:gridCol w:w="2541"/>
        <w:gridCol w:w="2289"/>
        <w:gridCol w:w="778"/>
        <w:gridCol w:w="1156"/>
        <w:gridCol w:w="1534"/>
        <w:gridCol w:w="778"/>
      </w:tblGrid>
      <w:tr>
        <w:tblPrEx>
          <w:tblLayout w:type="fixed"/>
          <w:tblCellMar>
            <w:top w:w="0" w:type="dxa"/>
            <w:left w:w="108" w:type="dxa"/>
            <w:bottom w:w="0" w:type="dxa"/>
            <w:right w:w="108" w:type="dxa"/>
          </w:tblCellMar>
        </w:tblPrEx>
        <w:trPr>
          <w:trHeight w:val="487"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序号</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货物名称</w:t>
            </w:r>
          </w:p>
        </w:tc>
        <w:tc>
          <w:tcPr>
            <w:tcW w:w="228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规格型号</w:t>
            </w:r>
          </w:p>
        </w:tc>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单位</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数量</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交货地点</w:t>
            </w:r>
          </w:p>
        </w:tc>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备注</w:t>
            </w: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1</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亚硝酸钠</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华强， 50kg/袋</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color w:val="000000"/>
                <w:sz w:val="20"/>
                <w:szCs w:val="20"/>
                <w:lang w:val="en-US" w:eastAsia="zh-CN"/>
              </w:rPr>
            </w:pPr>
            <w:r>
              <w:rPr>
                <w:rFonts w:hint="eastAsia" w:ascii="仿宋_GB2312" w:hAnsi="仿宋_GB2312" w:eastAsia="仿宋_GB2312" w:cs="仿宋_GB2312"/>
                <w:b w:val="0"/>
                <w:bCs/>
                <w:color w:val="000000"/>
                <w:sz w:val="20"/>
                <w:szCs w:val="20"/>
                <w:lang w:val="en-US" w:eastAsia="zh-CN"/>
              </w:rPr>
              <w:t>10</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2</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硫脲</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25kg/袋</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00" w:firstLineChars="100"/>
              <w:jc w:val="center"/>
              <w:textAlignment w:val="center"/>
              <w:rPr>
                <w:rFonts w:hint="eastAsia" w:ascii="仿宋_GB2312" w:hAnsi="仿宋_GB2312" w:eastAsia="仿宋_GB2312" w:cs="仿宋_GB2312"/>
                <w:b w:val="0"/>
                <w:bCs/>
                <w:color w:val="000000"/>
                <w:sz w:val="20"/>
                <w:szCs w:val="20"/>
                <w:lang w:val="en-US" w:eastAsia="zh-CN"/>
              </w:rPr>
            </w:pPr>
            <w:r>
              <w:rPr>
                <w:rFonts w:hint="eastAsia" w:ascii="仿宋_GB2312" w:hAnsi="仿宋_GB2312" w:eastAsia="仿宋_GB2312" w:cs="仿宋_GB2312"/>
                <w:b w:val="0"/>
                <w:bCs/>
                <w:color w:val="000000"/>
                <w:sz w:val="20"/>
                <w:szCs w:val="20"/>
                <w:lang w:val="en-US" w:eastAsia="zh-CN"/>
              </w:rPr>
              <w:t>5</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3</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rPr>
              <w:t>一水柠檬酸</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英轩，25kg/袋</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00" w:firstLineChars="100"/>
              <w:jc w:val="center"/>
              <w:textAlignment w:val="center"/>
              <w:rPr>
                <w:rFonts w:hint="eastAsia" w:ascii="仿宋_GB2312" w:hAnsi="仿宋_GB2312" w:eastAsia="仿宋_GB2312" w:cs="仿宋_GB2312"/>
                <w:b w:val="0"/>
                <w:bCs/>
                <w:color w:val="000000"/>
                <w:sz w:val="20"/>
                <w:szCs w:val="20"/>
                <w:lang w:val="en-US" w:eastAsia="zh-CN"/>
              </w:rPr>
            </w:pPr>
            <w:r>
              <w:rPr>
                <w:rFonts w:hint="eastAsia" w:ascii="仿宋_GB2312" w:hAnsi="仿宋_GB2312" w:eastAsia="仿宋_GB2312" w:cs="仿宋_GB2312"/>
                <w:b w:val="0"/>
                <w:bCs/>
                <w:color w:val="000000"/>
                <w:sz w:val="20"/>
                <w:szCs w:val="20"/>
                <w:lang w:val="en-US" w:eastAsia="zh-CN"/>
              </w:rPr>
              <w:t>8</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4</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u w:val="single"/>
                <w:lang w:val="en-US" w:eastAsia="zh-CN"/>
              </w:rPr>
              <w:t>碳酸钠</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50kg/袋</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2</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5</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u w:val="single"/>
                <w:lang w:val="en-US" w:eastAsia="zh-CN"/>
              </w:rPr>
            </w:pPr>
            <w:r>
              <w:rPr>
                <w:rFonts w:hint="eastAsia" w:ascii="仿宋_GB2312" w:hAnsi="仿宋_GB2312" w:eastAsia="仿宋_GB2312" w:cs="仿宋_GB2312"/>
                <w:b w:val="0"/>
                <w:bCs/>
                <w:sz w:val="20"/>
                <w:szCs w:val="20"/>
                <w:u w:val="single"/>
                <w:lang w:val="en-US" w:eastAsia="zh-CN"/>
              </w:rPr>
              <w:t>乙二醇</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1000kg/桶 试剂级</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150</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6</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u w:val="single"/>
                <w:lang w:val="en-US" w:eastAsia="zh-CN"/>
              </w:rPr>
            </w:pPr>
            <w:r>
              <w:rPr>
                <w:rFonts w:hint="eastAsia" w:ascii="仿宋_GB2312" w:hAnsi="仿宋_GB2312" w:eastAsia="仿宋_GB2312" w:cs="仿宋_GB2312"/>
                <w:b w:val="0"/>
                <w:bCs/>
                <w:sz w:val="20"/>
                <w:szCs w:val="20"/>
                <w:u w:val="single"/>
                <w:lang w:val="en-US" w:eastAsia="zh-CN"/>
              </w:rPr>
              <w:t>低爆速铵油炸药微珠</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120kg/袋</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千克</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2500000</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r>
        <w:tblPrEx>
          <w:tblLayout w:type="fixed"/>
          <w:tblCellMar>
            <w:top w:w="0" w:type="dxa"/>
            <w:left w:w="108" w:type="dxa"/>
            <w:bottom w:w="0" w:type="dxa"/>
            <w:right w:w="108" w:type="dxa"/>
          </w:tblCellMar>
        </w:tblPrEx>
        <w:trPr>
          <w:trHeight w:val="363"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7</w:t>
            </w:r>
          </w:p>
        </w:tc>
        <w:tc>
          <w:tcPr>
            <w:tcW w:w="25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u w:val="single"/>
                <w:lang w:val="en-US" w:eastAsia="zh-CN"/>
              </w:rPr>
            </w:pPr>
            <w:r>
              <w:rPr>
                <w:rFonts w:hint="eastAsia" w:ascii="仿宋_GB2312" w:hAnsi="仿宋_GB2312" w:eastAsia="仿宋_GB2312" w:cs="仿宋_GB2312"/>
                <w:b w:val="0"/>
                <w:bCs/>
                <w:sz w:val="20"/>
                <w:szCs w:val="20"/>
                <w:u w:val="single"/>
                <w:lang w:val="en-US" w:eastAsia="zh-CN"/>
              </w:rPr>
              <w:t>能量增强剂</w:t>
            </w:r>
          </w:p>
        </w:tc>
        <w:tc>
          <w:tcPr>
            <w:tcW w:w="228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1t/桶</w:t>
            </w:r>
          </w:p>
        </w:tc>
        <w:tc>
          <w:tcPr>
            <w:tcW w:w="77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吨</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b w:val="0"/>
                <w:bCs/>
                <w:i w:val="0"/>
                <w:color w:val="000000"/>
                <w:kern w:val="0"/>
                <w:sz w:val="20"/>
                <w:szCs w:val="20"/>
                <w:u w:val="none"/>
                <w:lang w:val="en-US" w:eastAsia="zh-CN" w:bidi="ar"/>
              </w:rPr>
            </w:pPr>
            <w:r>
              <w:rPr>
                <w:rFonts w:hint="eastAsia" w:ascii="仿宋_GB2312" w:hAnsi="仿宋_GB2312" w:eastAsia="仿宋_GB2312" w:cs="仿宋_GB2312"/>
                <w:b w:val="0"/>
                <w:bCs/>
                <w:i w:val="0"/>
                <w:color w:val="000000"/>
                <w:kern w:val="0"/>
                <w:sz w:val="20"/>
                <w:szCs w:val="20"/>
                <w:u w:val="none"/>
                <w:lang w:val="en-US" w:eastAsia="zh-CN" w:bidi="ar"/>
              </w:rPr>
              <w:t>300</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黑岱沟总库</w:t>
            </w:r>
          </w:p>
        </w:tc>
        <w:tc>
          <w:tcPr>
            <w:tcW w:w="778" w:type="dxa"/>
            <w:tcBorders>
              <w:top w:val="single" w:color="auto" w:sz="4" w:space="0"/>
              <w:left w:val="single" w:color="auto" w:sz="4" w:space="0"/>
              <w:bottom w:val="single" w:color="auto" w:sz="4" w:space="0"/>
              <w:right w:val="single" w:color="auto" w:sz="4" w:space="0"/>
            </w:tcBorders>
            <w:vAlign w:val="center"/>
          </w:tcPr>
          <w:p>
            <w:pPr>
              <w:ind w:firstLine="570"/>
              <w:jc w:val="center"/>
              <w:rPr>
                <w:rFonts w:hint="eastAsia" w:ascii="仿宋_GB2312" w:hAnsi="仿宋_GB2312" w:eastAsia="仿宋_GB2312" w:cs="仿宋_GB2312"/>
                <w:b w:val="0"/>
                <w:bCs/>
                <w:sz w:val="20"/>
                <w:szCs w:val="20"/>
              </w:rPr>
            </w:pPr>
          </w:p>
        </w:tc>
      </w:tr>
    </w:tbl>
    <w:p>
      <w:pPr>
        <w:spacing w:line="440" w:lineRule="exact"/>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6.2特别说明：</w:t>
      </w:r>
    </w:p>
    <w:p>
      <w:pPr>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6.2.1硫脲：</w:t>
      </w:r>
    </w:p>
    <w:p>
      <w:pPr>
        <w:spacing w:line="360" w:lineRule="auto"/>
        <w:ind w:firstLine="420" w:firstLineChars="2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外观与性状：白色光亮苦味晶体</w:t>
      </w:r>
    </w:p>
    <w:p>
      <w:pPr>
        <w:spacing w:line="360" w:lineRule="auto"/>
        <w:ind w:firstLine="420" w:firstLineChars="2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熔点（℃）：176～178相对密度（水=1）=1.41</w:t>
      </w:r>
    </w:p>
    <w:p>
      <w:pPr>
        <w:spacing w:line="360" w:lineRule="auto"/>
        <w:ind w:firstLine="420" w:firstLineChars="2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溶解性：溶于冷水、乙醇，微溶于乙醚遇明火、高热可燃，有毒，具刺激性。受热分解，放放出氮、硫的氧化物等毒性气体。与氧化剂能发生强烈反应。在空气中易潮解。在150℃时转变成硫酸铵。在真空下150－160℃时升华，180℃时分解。具有还原性。避免与氧化剂接触，单独仓间存放。</w:t>
      </w:r>
    </w:p>
    <w:p>
      <w:pPr>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6.2.</w:t>
      </w:r>
      <w:r>
        <w:rPr>
          <w:rFonts w:hint="eastAsia" w:ascii="仿宋_GB2312" w:hAnsi="仿宋_GB2312" w:eastAsia="仿宋_GB2312" w:cs="仿宋_GB2312"/>
          <w:b w:val="0"/>
          <w:bCs w:val="0"/>
          <w:sz w:val="21"/>
          <w:szCs w:val="21"/>
          <w:lang w:val="en-US" w:eastAsia="zh-CN"/>
        </w:rPr>
        <w:t>2一水</w:t>
      </w:r>
      <w:r>
        <w:rPr>
          <w:rFonts w:hint="eastAsia" w:ascii="仿宋_GB2312" w:hAnsi="仿宋_GB2312" w:eastAsia="仿宋_GB2312" w:cs="仿宋_GB2312"/>
          <w:b w:val="0"/>
          <w:bCs w:val="0"/>
          <w:sz w:val="21"/>
          <w:szCs w:val="21"/>
        </w:rPr>
        <w:t>柠檬酸：</w:t>
      </w:r>
      <w:bookmarkStart w:id="7" w:name="sub122100_7_1"/>
      <w:bookmarkEnd w:id="7"/>
      <w:bookmarkStart w:id="8" w:name="7_1"/>
      <w:bookmarkEnd w:id="8"/>
      <w:bookmarkStart w:id="9" w:name="注意事项_食用危险"/>
      <w:bookmarkEnd w:id="9"/>
    </w:p>
    <w:p>
      <w:pPr>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外观与性状：白色结晶粉末</w:t>
      </w:r>
    </w:p>
    <w:p>
      <w:pPr>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闪点（℃）：100</w:t>
      </w:r>
    </w:p>
    <w:p>
      <w:pPr>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密度（水＝1）：1.665</w:t>
      </w:r>
    </w:p>
    <w:p>
      <w:pPr>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柠檬酸可燃。粉体与空气可形成爆炸性混合物，遇遇明火、高热或与氧化剂接触，有引起燃烧爆炐的危睑。</w:t>
      </w:r>
    </w:p>
    <w:p>
      <w:pPr>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6.2</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亚硝酸钠</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 w:val="0"/>
          <w:bCs w:val="0"/>
          <w:sz w:val="21"/>
          <w:szCs w:val="21"/>
        </w:rPr>
        <w:t>化学式：NaNO</w:t>
      </w:r>
      <w:r>
        <w:rPr>
          <w:rFonts w:hint="eastAsia" w:ascii="仿宋_GB2312" w:hAnsi="仿宋_GB2312" w:eastAsia="仿宋_GB2312" w:cs="仿宋_GB2312"/>
          <w:bCs/>
          <w:sz w:val="21"/>
          <w:szCs w:val="21"/>
          <w:vertAlign w:val="subscript"/>
        </w:rPr>
        <w:t>2</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相对分子质量：69.00</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 xml:space="preserve">外观：白色或微带淡黄色斜方晶系结晶或粉末 </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密度：2.2 g/cm</w:t>
      </w:r>
      <w:r>
        <w:rPr>
          <w:rFonts w:hint="eastAsia" w:ascii="仿宋_GB2312" w:hAnsi="仿宋_GB2312" w:eastAsia="仿宋_GB2312" w:cs="仿宋_GB2312"/>
          <w:bCs/>
          <w:sz w:val="21"/>
          <w:szCs w:val="21"/>
          <w:vertAlign w:val="superscript"/>
        </w:rPr>
        <w:t>3</w:t>
      </w:r>
      <w:r>
        <w:rPr>
          <w:rFonts w:hint="eastAsia" w:ascii="仿宋_GB2312" w:hAnsi="仿宋_GB2312" w:eastAsia="仿宋_GB2312" w:cs="仿宋_GB2312"/>
          <w:bCs/>
          <w:sz w:val="21"/>
          <w:szCs w:val="21"/>
        </w:rPr>
        <w:t xml:space="preserve"> (固) </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 xml:space="preserve">熔点：270℃ </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 xml:space="preserve">沸点：320℃ 分解在水中的 </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 xml:space="preserve">溶解度：82 g/100 ml (20℃) </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6.2.</w:t>
      </w:r>
      <w:r>
        <w:rPr>
          <w:rFonts w:hint="eastAsia" w:ascii="仿宋_GB2312" w:hAnsi="仿宋_GB2312" w:eastAsia="仿宋_GB2312" w:cs="仿宋_GB2312"/>
          <w:b w:val="0"/>
          <w:bCs/>
          <w:sz w:val="21"/>
          <w:szCs w:val="21"/>
          <w:lang w:val="en-US" w:eastAsia="zh-CN"/>
        </w:rPr>
        <w:t>4</w:t>
      </w:r>
      <w:r>
        <w:rPr>
          <w:rFonts w:hint="eastAsia" w:ascii="仿宋_GB2312" w:hAnsi="仿宋_GB2312" w:eastAsia="仿宋_GB2312" w:cs="仿宋_GB2312"/>
          <w:b w:val="0"/>
          <w:bCs/>
          <w:sz w:val="21"/>
          <w:szCs w:val="21"/>
        </w:rPr>
        <w:t>碳酸钠</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别名：苏打、纯碱、碱粉、口碱、块碱、洗涤碱</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分子式：Na2CO3</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相对分子量：102.99 一般取106</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CAS号：497-19-8</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溶解性:碳酸钠易溶于水，甘油，20摄氏度时一百克水能溶20克碳酸钠，微溶于无水乙醇，不溶于丙醇；</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腐蚀性：碳酸钠属于强碱弱酸盐有一定的腐蚀性；</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稳定性:稳定性较强，但高温下也可分解，生成氧化钠和二氧化碳。长期暴露在空气中能吸收空气中的水分及二氧化碳，生成碳酸氢钠，并结成硬块。吸湿性很强 ，很容易结成硬块，在高温下也不分解。</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6.2.</w:t>
      </w:r>
      <w:r>
        <w:rPr>
          <w:rFonts w:hint="eastAsia" w:ascii="仿宋_GB2312" w:hAnsi="仿宋_GB2312" w:eastAsia="仿宋_GB2312" w:cs="仿宋_GB2312"/>
          <w:b w:val="0"/>
          <w:bCs/>
          <w:sz w:val="21"/>
          <w:szCs w:val="21"/>
          <w:lang w:val="en-US" w:eastAsia="zh-CN"/>
        </w:rPr>
        <w:t>5</w:t>
      </w:r>
      <w:r>
        <w:rPr>
          <w:rFonts w:hint="eastAsia" w:ascii="仿宋_GB2312" w:hAnsi="仿宋_GB2312" w:eastAsia="仿宋_GB2312" w:cs="仿宋_GB2312"/>
          <w:b w:val="0"/>
          <w:bCs/>
          <w:sz w:val="21"/>
          <w:szCs w:val="21"/>
        </w:rPr>
        <w:t>乙二醇</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别名甘醇</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分子式：C2H6O2；</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结构简式：HO-CH2CH2-OH</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分子量：62.068</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冰点： -12.6℃</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沸点：197.3℃</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密度：相对密度(水=1)1.1155(20℃）；相对密度(空气=1)2.14</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外观与性状：无色、有甜味、粘稠液体</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蒸汽压：0.06mmHg(0.06毫米汞柱)/20℃</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闪点：111.1℃</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粘度：25.66mPa.s(16℃）</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溶解性：与水/乙醇/丙酮/醋酸甘油吡啶等混溶，微溶于醚等,不溶于石油烃及油类，能够溶解氯化锌/氯 化钠/碳酸钾/氯化钾/碘化钾/氢氧化钾等无机物。</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表面张力：46.49 mN/m (20℃)</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稳定性：稳定</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燃点：418℃</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6.2.</w:t>
      </w:r>
      <w:r>
        <w:rPr>
          <w:rFonts w:hint="eastAsia" w:ascii="仿宋_GB2312" w:hAnsi="仿宋_GB2312" w:eastAsia="仿宋_GB2312" w:cs="仿宋_GB2312"/>
          <w:b w:val="0"/>
          <w:bCs/>
          <w:sz w:val="21"/>
          <w:szCs w:val="21"/>
          <w:lang w:val="en-US" w:eastAsia="zh-CN"/>
        </w:rPr>
        <w:t>6</w:t>
      </w:r>
      <w:r>
        <w:rPr>
          <w:rFonts w:hint="eastAsia" w:ascii="仿宋_GB2312" w:hAnsi="仿宋_GB2312" w:eastAsia="仿宋_GB2312" w:cs="仿宋_GB2312"/>
          <w:b w:val="0"/>
          <w:bCs/>
          <w:sz w:val="21"/>
          <w:szCs w:val="21"/>
        </w:rPr>
        <w:t>低爆速铵油炸药微珠</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颜色：黄白、肉红、暗绿、灰、褐棕、黑灰等色，其中以灰白-浅灰为主</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外观：球状、断口参差状、贝壳状、裂片状、条痕白色</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莫氏硬度：5.5~7</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密度：2.2~2.4g/c</w:t>
      </w:r>
      <w:r>
        <w:rPr>
          <w:rFonts w:hint="eastAsia" w:ascii="仿宋_GB2312" w:hAnsi="仿宋_GB2312" w:eastAsia="仿宋_GB2312" w:cs="仿宋_GB2312"/>
          <w:bCs/>
          <w:sz w:val="21"/>
          <w:szCs w:val="21"/>
        </w:rPr>
        <w:t>m</w:t>
      </w:r>
      <w:r>
        <w:rPr>
          <w:rFonts w:hint="eastAsia" w:ascii="仿宋_GB2312" w:hAnsi="仿宋_GB2312" w:eastAsia="仿宋_GB2312" w:cs="仿宋_GB2312"/>
          <w:bCs/>
          <w:sz w:val="21"/>
          <w:szCs w:val="21"/>
          <w:vertAlign w:val="superscript"/>
        </w:rPr>
        <w:t>3</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 w:val="0"/>
          <w:bCs/>
          <w:sz w:val="21"/>
          <w:szCs w:val="21"/>
        </w:rPr>
        <w:t>耐火度：1300</w:t>
      </w:r>
      <w:r>
        <w:rPr>
          <w:rFonts w:hint="eastAsia" w:ascii="仿宋_GB2312" w:hAnsi="仿宋_GB2312" w:eastAsia="仿宋_GB2312" w:cs="仿宋_GB2312"/>
          <w:bCs/>
          <w:sz w:val="21"/>
          <w:szCs w:val="21"/>
        </w:rPr>
        <w:t>~1380</w:t>
      </w:r>
      <w:r>
        <w:rPr>
          <w:rFonts w:hint="eastAsia" w:ascii="仿宋_GB2312" w:hAnsi="仿宋_GB2312" w:eastAsia="仿宋_GB2312" w:cs="仿宋_GB2312"/>
          <w:b w:val="0"/>
          <w:bCs/>
          <w:sz w:val="21"/>
          <w:szCs w:val="21"/>
        </w:rPr>
        <w:t>℃</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折光率：1.483~1.506</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膨胀倍数：4~25</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6.2.</w:t>
      </w:r>
      <w:r>
        <w:rPr>
          <w:rFonts w:hint="eastAsia" w:ascii="仿宋_GB2312" w:hAnsi="仿宋_GB2312" w:eastAsia="仿宋_GB2312" w:cs="仿宋_GB2312"/>
          <w:b w:val="0"/>
          <w:bCs/>
          <w:sz w:val="21"/>
          <w:szCs w:val="21"/>
          <w:lang w:val="en-US" w:eastAsia="zh-CN"/>
        </w:rPr>
        <w:t>7</w:t>
      </w:r>
      <w:r>
        <w:rPr>
          <w:rFonts w:hint="eastAsia" w:ascii="仿宋_GB2312" w:hAnsi="仿宋_GB2312" w:eastAsia="仿宋_GB2312" w:cs="仿宋_GB2312"/>
          <w:b w:val="0"/>
          <w:bCs/>
          <w:sz w:val="21"/>
          <w:szCs w:val="21"/>
        </w:rPr>
        <w:t>低爆速铵油炸药微珠</w:t>
      </w:r>
    </w:p>
    <w:p>
      <w:pPr>
        <w:spacing w:line="360" w:lineRule="auto"/>
        <w:ind w:firstLine="570"/>
        <w:rPr>
          <w:rFonts w:hint="eastAsia" w:ascii="仿宋_GB2312" w:hAnsi="仿宋_GB2312" w:eastAsia="仿宋_GB2312" w:cs="仿宋_GB2312"/>
          <w:b w:val="0"/>
          <w:bCs/>
          <w:sz w:val="21"/>
          <w:szCs w:val="21"/>
          <w:lang w:eastAsia="zh-CN"/>
        </w:rPr>
      </w:pPr>
      <w:r>
        <w:rPr>
          <w:rFonts w:hint="eastAsia" w:ascii="仿宋_GB2312" w:hAnsi="仿宋_GB2312" w:eastAsia="仿宋_GB2312" w:cs="仿宋_GB2312"/>
          <w:b w:val="0"/>
          <w:bCs/>
          <w:sz w:val="21"/>
          <w:szCs w:val="21"/>
          <w:lang w:eastAsia="zh-CN"/>
        </w:rPr>
        <w:t>能量增强剂是一种由多种表面活性剂组成蓝色溶液，具有高闪点、无毒、无爆炸性、高安全性的特点。</w:t>
      </w:r>
    </w:p>
    <w:p>
      <w:pPr>
        <w:spacing w:line="360" w:lineRule="auto"/>
        <w:ind w:firstLine="570"/>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rPr>
        <w:t>密度：</w:t>
      </w:r>
      <w:r>
        <w:rPr>
          <w:rFonts w:hint="eastAsia" w:ascii="仿宋_GB2312" w:hAnsi="仿宋_GB2312" w:eastAsia="仿宋_GB2312" w:cs="仿宋_GB2312"/>
          <w:b w:val="0"/>
          <w:bCs/>
          <w:sz w:val="21"/>
          <w:szCs w:val="21"/>
          <w:lang w:val="en-US" w:eastAsia="zh-CN"/>
        </w:rPr>
        <w:t>0.8</w:t>
      </w:r>
      <w:r>
        <w:rPr>
          <w:rFonts w:hint="eastAsia" w:ascii="仿宋_GB2312" w:hAnsi="仿宋_GB2312" w:eastAsia="仿宋_GB2312" w:cs="仿宋_GB2312"/>
          <w:b w:val="0"/>
          <w:bCs/>
          <w:sz w:val="21"/>
          <w:szCs w:val="21"/>
        </w:rPr>
        <w:t>~</w:t>
      </w:r>
      <w:r>
        <w:rPr>
          <w:rFonts w:hint="eastAsia" w:ascii="仿宋_GB2312" w:hAnsi="仿宋_GB2312" w:eastAsia="仿宋_GB2312" w:cs="仿宋_GB2312"/>
          <w:b w:val="0"/>
          <w:bCs/>
          <w:sz w:val="21"/>
          <w:szCs w:val="21"/>
          <w:lang w:val="en-US" w:eastAsia="zh-CN"/>
        </w:rPr>
        <w:t>1.2</w:t>
      </w:r>
      <w:r>
        <w:rPr>
          <w:rFonts w:hint="eastAsia" w:ascii="仿宋_GB2312" w:hAnsi="仿宋_GB2312" w:eastAsia="仿宋_GB2312" w:cs="仿宋_GB2312"/>
          <w:b w:val="0"/>
          <w:bCs/>
          <w:sz w:val="21"/>
          <w:szCs w:val="21"/>
        </w:rPr>
        <w:t>g/c</w:t>
      </w:r>
      <w:r>
        <w:rPr>
          <w:rFonts w:hint="eastAsia" w:ascii="仿宋_GB2312" w:hAnsi="仿宋_GB2312" w:eastAsia="仿宋_GB2312" w:cs="仿宋_GB2312"/>
          <w:bCs/>
          <w:sz w:val="21"/>
          <w:szCs w:val="21"/>
        </w:rPr>
        <w:t>m</w:t>
      </w:r>
      <w:r>
        <w:rPr>
          <w:rFonts w:hint="eastAsia" w:ascii="仿宋_GB2312" w:hAnsi="仿宋_GB2312" w:eastAsia="仿宋_GB2312" w:cs="仿宋_GB2312"/>
          <w:bCs/>
          <w:sz w:val="21"/>
          <w:szCs w:val="21"/>
          <w:vertAlign w:val="superscript"/>
        </w:rPr>
        <w:t>3</w:t>
      </w:r>
    </w:p>
    <w:p>
      <w:pPr>
        <w:spacing w:line="360" w:lineRule="auto"/>
        <w:ind w:firstLine="57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lang w:eastAsia="zh-CN"/>
        </w:rPr>
        <w:t>闪点</w:t>
      </w:r>
      <w:r>
        <w:rPr>
          <w:rFonts w:hint="eastAsia" w:ascii="仿宋_GB2312" w:hAnsi="仿宋_GB2312" w:eastAsia="仿宋_GB2312" w:cs="仿宋_GB2312"/>
          <w:b w:val="0"/>
          <w:bCs/>
          <w:sz w:val="21"/>
          <w:szCs w:val="21"/>
        </w:rPr>
        <w:t>：</w:t>
      </w:r>
      <w:r>
        <w:rPr>
          <w:rFonts w:hint="eastAsia" w:ascii="仿宋_GB2312" w:hAnsi="仿宋_GB2312" w:eastAsia="仿宋_GB2312" w:cs="仿宋_GB2312"/>
          <w:b w:val="0"/>
          <w:bCs/>
          <w:sz w:val="21"/>
          <w:szCs w:val="21"/>
          <w:lang w:eastAsia="zh-CN"/>
        </w:rPr>
        <w:t>＞</w:t>
      </w:r>
      <w:r>
        <w:rPr>
          <w:rFonts w:hint="eastAsia" w:ascii="仿宋_GB2312" w:hAnsi="仿宋_GB2312" w:eastAsia="仿宋_GB2312" w:cs="仿宋_GB2312"/>
          <w:b w:val="0"/>
          <w:bCs/>
          <w:sz w:val="21"/>
          <w:szCs w:val="21"/>
          <w:lang w:val="en-US" w:eastAsia="zh-CN"/>
        </w:rPr>
        <w:t>90</w:t>
      </w:r>
      <w:r>
        <w:rPr>
          <w:rFonts w:hint="eastAsia" w:ascii="仿宋_GB2312" w:hAnsi="仿宋_GB2312" w:eastAsia="仿宋_GB2312" w:cs="仿宋_GB2312"/>
          <w:b w:val="0"/>
          <w:bCs/>
          <w:sz w:val="21"/>
          <w:szCs w:val="21"/>
        </w:rPr>
        <w:t>℃</w:t>
      </w:r>
    </w:p>
    <w:p>
      <w:pPr>
        <w:spacing w:line="360" w:lineRule="auto"/>
        <w:ind w:firstLine="570"/>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PH值</w:t>
      </w:r>
      <w:r>
        <w:rPr>
          <w:rFonts w:hint="eastAsia" w:ascii="仿宋_GB2312" w:hAnsi="仿宋_GB2312" w:eastAsia="仿宋_GB2312" w:cs="仿宋_GB2312"/>
          <w:b w:val="0"/>
          <w:bCs/>
          <w:sz w:val="21"/>
          <w:szCs w:val="21"/>
        </w:rPr>
        <w:t>：</w:t>
      </w:r>
      <w:r>
        <w:rPr>
          <w:rFonts w:hint="eastAsia" w:ascii="仿宋_GB2312" w:hAnsi="仿宋_GB2312" w:eastAsia="仿宋_GB2312" w:cs="仿宋_GB2312"/>
          <w:b w:val="0"/>
          <w:bCs/>
          <w:sz w:val="21"/>
          <w:szCs w:val="21"/>
          <w:lang w:val="en-US" w:eastAsia="zh-CN"/>
        </w:rPr>
        <w:t>7-7.5</w:t>
      </w:r>
    </w:p>
    <w:p>
      <w:pPr>
        <w:spacing w:line="360" w:lineRule="auto"/>
        <w:ind w:firstLine="570"/>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粘度</w:t>
      </w:r>
      <w:r>
        <w:rPr>
          <w:rFonts w:hint="eastAsia" w:ascii="仿宋_GB2312" w:hAnsi="仿宋_GB2312" w:eastAsia="仿宋_GB2312" w:cs="仿宋_GB2312"/>
          <w:b w:val="0"/>
          <w:bCs/>
          <w:sz w:val="21"/>
          <w:szCs w:val="21"/>
        </w:rPr>
        <w:t>：</w:t>
      </w:r>
      <w:r>
        <w:rPr>
          <w:rFonts w:hint="eastAsia" w:ascii="仿宋_GB2312" w:hAnsi="仿宋_GB2312" w:eastAsia="仿宋_GB2312" w:cs="仿宋_GB2312"/>
          <w:b w:val="0"/>
          <w:bCs/>
          <w:sz w:val="21"/>
          <w:szCs w:val="21"/>
          <w:lang w:val="en-US" w:eastAsia="zh-CN"/>
        </w:rPr>
        <w:t>0.5m</w:t>
      </w:r>
      <w:r>
        <w:rPr>
          <w:rFonts w:hint="eastAsia" w:ascii="仿宋_GB2312" w:hAnsi="仿宋_GB2312" w:eastAsia="仿宋_GB2312" w:cs="仿宋_GB2312"/>
          <w:bCs/>
          <w:sz w:val="21"/>
          <w:szCs w:val="21"/>
        </w:rPr>
        <w:t>m</w:t>
      </w:r>
      <w:r>
        <w:rPr>
          <w:rFonts w:hint="eastAsia" w:ascii="仿宋_GB2312" w:hAnsi="仿宋_GB2312" w:eastAsia="仿宋_GB2312" w:cs="仿宋_GB2312"/>
          <w:bCs/>
          <w:sz w:val="21"/>
          <w:szCs w:val="21"/>
          <w:vertAlign w:val="superscript"/>
          <w:lang w:val="en-US" w:eastAsia="zh-CN"/>
        </w:rPr>
        <w:t>2</w:t>
      </w:r>
      <w:r>
        <w:rPr>
          <w:rFonts w:hint="eastAsia" w:ascii="仿宋_GB2312" w:hAnsi="仿宋_GB2312" w:eastAsia="仿宋_GB2312" w:cs="仿宋_GB2312"/>
          <w:b w:val="0"/>
          <w:bCs/>
          <w:sz w:val="21"/>
          <w:szCs w:val="21"/>
          <w:lang w:val="en-US" w:eastAsia="zh-CN"/>
        </w:rPr>
        <w:t>/s-10m</w:t>
      </w:r>
      <w:r>
        <w:rPr>
          <w:rFonts w:hint="eastAsia" w:ascii="仿宋_GB2312" w:hAnsi="仿宋_GB2312" w:eastAsia="仿宋_GB2312" w:cs="仿宋_GB2312"/>
          <w:bCs/>
          <w:sz w:val="21"/>
          <w:szCs w:val="21"/>
        </w:rPr>
        <w:t>m</w:t>
      </w:r>
      <w:r>
        <w:rPr>
          <w:rFonts w:hint="eastAsia" w:ascii="仿宋_GB2312" w:hAnsi="仿宋_GB2312" w:eastAsia="仿宋_GB2312" w:cs="仿宋_GB2312"/>
          <w:bCs/>
          <w:sz w:val="21"/>
          <w:szCs w:val="21"/>
          <w:vertAlign w:val="superscript"/>
          <w:lang w:val="en-US" w:eastAsia="zh-CN"/>
        </w:rPr>
        <w:t>2</w:t>
      </w:r>
      <w:r>
        <w:rPr>
          <w:rFonts w:hint="eastAsia" w:ascii="仿宋_GB2312" w:hAnsi="仿宋_GB2312" w:eastAsia="仿宋_GB2312" w:cs="仿宋_GB2312"/>
          <w:b w:val="0"/>
          <w:bCs/>
          <w:sz w:val="21"/>
          <w:szCs w:val="21"/>
          <w:lang w:val="en-US" w:eastAsia="zh-CN"/>
        </w:rPr>
        <w:t>/s</w:t>
      </w:r>
    </w:p>
    <w:p>
      <w:pPr>
        <w:tabs>
          <w:tab w:val="left" w:pos="1260"/>
        </w:tabs>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6.3</w:t>
      </w:r>
      <w:r>
        <w:rPr>
          <w:rFonts w:hint="eastAsia" w:ascii="仿宋_GB2312" w:hAnsi="仿宋_GB2312" w:eastAsia="仿宋_GB2312" w:cs="仿宋_GB2312"/>
          <w:sz w:val="21"/>
          <w:szCs w:val="21"/>
        </w:rPr>
        <w:t>投标人要详细描述</w:t>
      </w:r>
      <w:r>
        <w:rPr>
          <w:rFonts w:hint="eastAsia" w:ascii="仿宋_GB2312" w:hAnsi="仿宋_GB2312" w:eastAsia="仿宋_GB2312" w:cs="仿宋_GB2312"/>
          <w:sz w:val="21"/>
          <w:szCs w:val="21"/>
          <w:lang w:val="en-US" w:eastAsia="zh-CN"/>
        </w:rPr>
        <w:t>标的物</w:t>
      </w:r>
      <w:r>
        <w:rPr>
          <w:rFonts w:hint="eastAsia" w:ascii="仿宋_GB2312" w:hAnsi="仿宋_GB2312" w:eastAsia="仿宋_GB2312" w:cs="仿宋_GB2312"/>
          <w:sz w:val="21"/>
          <w:szCs w:val="21"/>
        </w:rPr>
        <w:t>的组成成分、注意事项等内容。</w:t>
      </w:r>
    </w:p>
    <w:p>
      <w:pPr>
        <w:tabs>
          <w:tab w:val="left" w:pos="1260"/>
        </w:tabs>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6.4</w:t>
      </w:r>
      <w:r>
        <w:rPr>
          <w:rFonts w:hint="eastAsia" w:ascii="仿宋_GB2312" w:hAnsi="仿宋_GB2312" w:eastAsia="仿宋_GB2312" w:cs="仿宋_GB2312"/>
          <w:sz w:val="21"/>
          <w:szCs w:val="21"/>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7.供货范围</w:t>
      </w:r>
    </w:p>
    <w:p>
      <w:pPr>
        <w:spacing w:line="360" w:lineRule="auto"/>
        <w:ind w:firstLine="420" w:firstLineChars="200"/>
        <w:rPr>
          <w:rFonts w:hint="eastAsia" w:ascii="仿宋_GB2312" w:hAnsi="仿宋_GB2312" w:eastAsia="仿宋_GB2312" w:cs="仿宋_GB2312"/>
          <w:b w:val="0"/>
          <w:bCs/>
          <w:color w:val="FF0000"/>
          <w:sz w:val="21"/>
          <w:szCs w:val="21"/>
        </w:rPr>
      </w:pPr>
      <w:r>
        <w:rPr>
          <w:rFonts w:hint="eastAsia" w:ascii="仿宋_GB2312" w:hAnsi="仿宋_GB2312" w:eastAsia="仿宋_GB2312" w:cs="仿宋_GB2312"/>
          <w:b w:val="0"/>
          <w:bCs/>
          <w:sz w:val="21"/>
          <w:szCs w:val="21"/>
        </w:rPr>
        <w:t>符合规范、质量合格、满足本招标各项技术要求的</w:t>
      </w:r>
      <w:r>
        <w:rPr>
          <w:rFonts w:hint="eastAsia" w:ascii="仿宋_GB2312" w:hAnsi="仿宋_GB2312" w:eastAsia="仿宋_GB2312" w:cs="仿宋_GB2312"/>
          <w:b w:val="0"/>
          <w:bCs/>
          <w:sz w:val="21"/>
          <w:szCs w:val="21"/>
          <w:u w:val="none"/>
          <w:lang w:eastAsia="zh-CN"/>
        </w:rPr>
        <w:t>合格产品</w:t>
      </w:r>
      <w:r>
        <w:rPr>
          <w:rFonts w:hint="eastAsia" w:ascii="仿宋_GB2312" w:hAnsi="仿宋_GB2312" w:eastAsia="仿宋_GB2312" w:cs="仿宋_GB2312"/>
          <w:b w:val="0"/>
          <w:bCs/>
          <w:sz w:val="21"/>
          <w:szCs w:val="21"/>
        </w:rPr>
        <w:t>。按照招标人需求供货（或分批供货），投标人负责将标的物运输到招标人指定地点</w:t>
      </w:r>
      <w:r>
        <w:rPr>
          <w:rFonts w:hint="eastAsia" w:ascii="仿宋_GB2312" w:hAnsi="仿宋_GB2312" w:eastAsia="仿宋_GB2312" w:cs="仿宋_GB2312"/>
          <w:b w:val="0"/>
          <w:bCs/>
          <w:sz w:val="21"/>
          <w:szCs w:val="21"/>
          <w:lang w:eastAsia="zh-CN"/>
        </w:rPr>
        <w:t>，</w:t>
      </w:r>
      <w:r>
        <w:rPr>
          <w:rFonts w:hint="eastAsia" w:ascii="仿宋_GB2312" w:hAnsi="仿宋_GB2312" w:eastAsia="仿宋_GB2312" w:cs="仿宋_GB2312"/>
          <w:b w:val="0"/>
          <w:bCs/>
          <w:sz w:val="21"/>
          <w:szCs w:val="21"/>
        </w:rPr>
        <w:t>标的物</w:t>
      </w:r>
      <w:r>
        <w:rPr>
          <w:rFonts w:hint="eastAsia" w:ascii="仿宋_GB2312" w:hAnsi="仿宋_GB2312" w:eastAsia="仿宋_GB2312" w:cs="仿宋_GB2312"/>
          <w:b w:val="0"/>
          <w:bCs/>
          <w:sz w:val="21"/>
          <w:szCs w:val="21"/>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lang w:val="en-US" w:eastAsia="zh-CN"/>
        </w:rPr>
        <w:t>8</w:t>
      </w:r>
      <w:r>
        <w:rPr>
          <w:rFonts w:hint="eastAsia" w:ascii="仿宋_GB2312" w:hAnsi="仿宋_GB2312" w:eastAsia="仿宋_GB2312" w:cs="仿宋_GB2312"/>
          <w:b w:val="0"/>
          <w:bCs/>
          <w:sz w:val="21"/>
          <w:szCs w:val="21"/>
        </w:rPr>
        <w:t>.质量保证</w:t>
      </w:r>
    </w:p>
    <w:p>
      <w:pPr>
        <w:spacing w:line="360" w:lineRule="auto"/>
        <w:ind w:firstLine="420" w:firstLineChars="200"/>
        <w:rPr>
          <w:rFonts w:hint="eastAsia" w:ascii="仿宋_GB2312" w:hAnsi="仿宋_GB2312" w:eastAsia="仿宋_GB2312" w:cs="仿宋_GB2312"/>
          <w:b w:val="0"/>
          <w:bCs/>
          <w:sz w:val="21"/>
          <w:szCs w:val="21"/>
          <w:lang w:eastAsia="zh-CN"/>
        </w:rPr>
      </w:pPr>
      <w:r>
        <w:rPr>
          <w:rFonts w:hint="eastAsia" w:ascii="仿宋_GB2312" w:hAnsi="仿宋_GB2312" w:eastAsia="仿宋_GB2312" w:cs="仿宋_GB2312"/>
          <w:b w:val="0"/>
          <w:bCs/>
          <w:sz w:val="21"/>
          <w:szCs w:val="21"/>
          <w:lang w:eastAsia="zh-CN"/>
        </w:rPr>
        <w:t>验收合格后，从验收之日起开始质保期，质保期为半年，在质保期内，投标人确保未经验证合格的产品不得交付给招标人使用。如因货物品质不合格，投标人必须在招标人要求的时间内予以更换，更换过程中产生的所有费用由中标人承担：投标人未能在招标人要求的时间内提供合格的产品，由此对招标人造成的一切损失由投标人承担。投标人需要将使用后的空袋进行回收，回收过程中产生的一切后果由投标人承担。</w:t>
      </w:r>
    </w:p>
    <w:p>
      <w:pPr>
        <w:autoSpaceDE w:val="0"/>
        <w:autoSpaceDN w:val="0"/>
        <w:adjustRightInd w:val="0"/>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lang w:val="en-US" w:eastAsia="zh-CN"/>
        </w:rPr>
        <w:t>9</w:t>
      </w:r>
      <w:r>
        <w:rPr>
          <w:rFonts w:hint="eastAsia" w:ascii="仿宋_GB2312" w:hAnsi="仿宋_GB2312" w:eastAsia="仿宋_GB2312" w:cs="仿宋_GB2312"/>
          <w:b w:val="0"/>
          <w:bCs/>
          <w:sz w:val="21"/>
          <w:szCs w:val="21"/>
        </w:rPr>
        <w:t>.考核、验收、结算方式</w:t>
      </w:r>
    </w:p>
    <w:p>
      <w:pPr>
        <w:spacing w:line="360" w:lineRule="auto"/>
        <w:ind w:firstLine="210" w:firstLineChars="10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 xml:space="preserve">  </w:t>
      </w:r>
      <w:r>
        <w:rPr>
          <w:rFonts w:hint="eastAsia" w:ascii="仿宋_GB2312" w:hAnsi="仿宋_GB2312" w:eastAsia="仿宋_GB2312" w:cs="仿宋_GB2312"/>
          <w:b w:val="0"/>
          <w:bCs/>
          <w:sz w:val="21"/>
          <w:szCs w:val="21"/>
          <w:lang w:val="en-US" w:eastAsia="zh-CN"/>
        </w:rPr>
        <w:t>9</w:t>
      </w:r>
      <w:r>
        <w:rPr>
          <w:rFonts w:hint="eastAsia" w:ascii="仿宋_GB2312" w:hAnsi="仿宋_GB2312" w:eastAsia="仿宋_GB2312" w:cs="仿宋_GB2312"/>
          <w:b w:val="0"/>
          <w:bCs/>
          <w:sz w:val="21"/>
          <w:szCs w:val="21"/>
        </w:rPr>
        <w:t>.1招标</w:t>
      </w:r>
      <w:r>
        <w:rPr>
          <w:rFonts w:hint="eastAsia" w:ascii="仿宋_GB2312" w:hAnsi="仿宋_GB2312" w:eastAsia="仿宋_GB2312" w:cs="仿宋_GB2312"/>
          <w:b w:val="0"/>
          <w:bCs/>
          <w:sz w:val="21"/>
          <w:szCs w:val="21"/>
          <w:lang w:eastAsia="zh-CN"/>
        </w:rPr>
        <w:t>人</w:t>
      </w:r>
      <w:r>
        <w:rPr>
          <w:rFonts w:hint="eastAsia" w:ascii="仿宋_GB2312" w:hAnsi="仿宋_GB2312" w:eastAsia="仿宋_GB2312" w:cs="仿宋_GB2312"/>
          <w:b w:val="0"/>
          <w:bCs/>
          <w:sz w:val="21"/>
          <w:szCs w:val="21"/>
        </w:rPr>
        <w:t>对</w:t>
      </w:r>
      <w:r>
        <w:rPr>
          <w:rFonts w:hint="eastAsia" w:ascii="仿宋_GB2312" w:hAnsi="仿宋_GB2312" w:eastAsia="仿宋_GB2312" w:cs="仿宋_GB2312"/>
          <w:b w:val="0"/>
          <w:bCs/>
          <w:sz w:val="21"/>
          <w:szCs w:val="21"/>
          <w:lang w:val="en-US" w:eastAsia="zh-CN"/>
        </w:rPr>
        <w:t>标的物</w:t>
      </w:r>
      <w:r>
        <w:rPr>
          <w:rFonts w:hint="eastAsia" w:ascii="仿宋_GB2312" w:hAnsi="仿宋_GB2312" w:eastAsia="仿宋_GB2312" w:cs="仿宋_GB2312"/>
          <w:b w:val="0"/>
          <w:bCs/>
          <w:sz w:val="21"/>
          <w:szCs w:val="21"/>
        </w:rPr>
        <w:t>使用效果考核验收。</w:t>
      </w:r>
    </w:p>
    <w:p>
      <w:pPr>
        <w:spacing w:line="360" w:lineRule="auto"/>
        <w:ind w:firstLine="210" w:firstLineChars="10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 xml:space="preserve">  </w:t>
      </w:r>
      <w:r>
        <w:rPr>
          <w:rFonts w:hint="eastAsia" w:ascii="仿宋_GB2312" w:hAnsi="仿宋_GB2312" w:eastAsia="仿宋_GB2312" w:cs="仿宋_GB2312"/>
          <w:b w:val="0"/>
          <w:bCs/>
          <w:sz w:val="21"/>
          <w:szCs w:val="21"/>
          <w:lang w:val="en-US" w:eastAsia="zh-CN"/>
        </w:rPr>
        <w:t>9</w:t>
      </w:r>
      <w:r>
        <w:rPr>
          <w:rFonts w:hint="eastAsia" w:ascii="仿宋_GB2312" w:hAnsi="仿宋_GB2312" w:eastAsia="仿宋_GB2312" w:cs="仿宋_GB2312"/>
          <w:b w:val="0"/>
          <w:bCs/>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 xml:space="preserve">    </w:t>
      </w:r>
      <w:r>
        <w:rPr>
          <w:rFonts w:hint="eastAsia" w:ascii="仿宋_GB2312" w:hAnsi="仿宋_GB2312" w:eastAsia="仿宋_GB2312" w:cs="仿宋_GB2312"/>
          <w:b w:val="0"/>
          <w:bCs/>
          <w:sz w:val="21"/>
          <w:szCs w:val="21"/>
          <w:lang w:val="en-US" w:eastAsia="zh-CN"/>
        </w:rPr>
        <w:t>9</w:t>
      </w:r>
      <w:r>
        <w:rPr>
          <w:rFonts w:hint="eastAsia" w:ascii="仿宋_GB2312" w:hAnsi="仿宋_GB2312" w:eastAsia="仿宋_GB2312" w:cs="仿宋_GB2312"/>
          <w:b w:val="0"/>
          <w:bCs/>
          <w:sz w:val="21"/>
          <w:szCs w:val="21"/>
        </w:rPr>
        <w:t>.3验收标准</w:t>
      </w:r>
    </w:p>
    <w:p>
      <w:pPr>
        <w:spacing w:line="360" w:lineRule="auto"/>
        <w:ind w:firstLine="420" w:firstLineChars="20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验收标准为合同规定要求和相关标准，国家标准、规范以及国际标准和双方认可的其它标准。</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 xml:space="preserve">    </w:t>
      </w:r>
      <w:r>
        <w:rPr>
          <w:rFonts w:hint="eastAsia" w:ascii="仿宋_GB2312" w:hAnsi="仿宋_GB2312" w:eastAsia="仿宋_GB2312" w:cs="仿宋_GB2312"/>
          <w:b w:val="0"/>
          <w:bCs/>
          <w:sz w:val="21"/>
          <w:szCs w:val="21"/>
          <w:lang w:val="en-US" w:eastAsia="zh-CN"/>
        </w:rPr>
        <w:t>9</w:t>
      </w:r>
      <w:r>
        <w:rPr>
          <w:rFonts w:hint="eastAsia" w:ascii="仿宋_GB2312" w:hAnsi="仿宋_GB2312" w:eastAsia="仿宋_GB2312" w:cs="仿宋_GB2312"/>
          <w:b w:val="0"/>
          <w:bCs/>
          <w:sz w:val="21"/>
          <w:szCs w:val="21"/>
        </w:rPr>
        <w:t>.4 合同有效期及结算方式</w:t>
      </w:r>
    </w:p>
    <w:p>
      <w:pPr>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 xml:space="preserve">   </w:t>
      </w:r>
      <w:r>
        <w:rPr>
          <w:rFonts w:hint="eastAsia" w:ascii="仿宋_GB2312" w:hAnsi="仿宋_GB2312" w:eastAsia="仿宋_GB2312" w:cs="仿宋_GB2312"/>
          <w:b w:val="0"/>
          <w:bCs/>
          <w:sz w:val="21"/>
          <w:szCs w:val="21"/>
          <w:lang w:val="en-US" w:eastAsia="zh-CN"/>
        </w:rPr>
        <w:t xml:space="preserve"> </w:t>
      </w:r>
      <w:r>
        <w:rPr>
          <w:rFonts w:hint="eastAsia" w:ascii="仿宋_GB2312" w:hAnsi="仿宋_GB2312" w:eastAsia="仿宋_GB2312" w:cs="仿宋_GB2312"/>
          <w:b w:val="0"/>
          <w:bCs/>
          <w:sz w:val="21"/>
          <w:szCs w:val="21"/>
        </w:rPr>
        <w:t>合同有效期为自合同签订之日起总量使用完毕，合同自然终止。</w:t>
      </w:r>
    </w:p>
    <w:p>
      <w:pPr>
        <w:spacing w:line="360" w:lineRule="auto"/>
        <w:ind w:firstLine="420" w:firstLineChars="200"/>
        <w:rPr>
          <w:rFonts w:hint="eastAsia" w:ascii="仿宋_GB2312" w:hAnsi="仿宋_GB2312" w:eastAsia="仿宋_GB2312" w:cs="仿宋_GB2312"/>
          <w:b w:val="0"/>
          <w:bCs/>
          <w:sz w:val="21"/>
          <w:szCs w:val="21"/>
        </w:rPr>
      </w:pPr>
      <w:r>
        <w:rPr>
          <w:rFonts w:hint="eastAsia" w:ascii="仿宋_GB2312" w:hAnsi="仿宋_GB2312" w:eastAsia="仿宋_GB2312" w:cs="仿宋_GB2312"/>
          <w:b w:val="0"/>
          <w:bCs/>
          <w:sz w:val="21"/>
          <w:szCs w:val="21"/>
        </w:rPr>
        <w:t>供货：按照招标人需求分批供货。</w:t>
      </w:r>
    </w:p>
    <w:p>
      <w:pPr>
        <w:spacing w:line="360" w:lineRule="auto"/>
        <w:ind w:firstLine="420" w:firstLineChars="200"/>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val="0"/>
          <w:bCs/>
          <w:sz w:val="21"/>
          <w:szCs w:val="21"/>
        </w:rPr>
        <w:t>结算：</w:t>
      </w:r>
      <w:r>
        <w:rPr>
          <w:rFonts w:hint="eastAsia" w:ascii="仿宋_GB2312" w:hAnsi="仿宋_GB2312" w:eastAsia="仿宋_GB2312" w:cs="仿宋_GB2312"/>
          <w:b w:val="0"/>
          <w:bCs/>
          <w:color w:val="auto"/>
          <w:sz w:val="21"/>
          <w:szCs w:val="21"/>
          <w:lang w:eastAsia="zh-CN"/>
        </w:rPr>
        <w:t>费用结算按月或季度分批结算</w:t>
      </w:r>
      <w:r>
        <w:rPr>
          <w:rFonts w:hint="eastAsia" w:ascii="仿宋_GB2312" w:hAnsi="仿宋_GB2312" w:eastAsia="仿宋_GB2312" w:cs="仿宋_GB2312"/>
          <w:b w:val="0"/>
          <w:bCs/>
          <w:sz w:val="21"/>
          <w:szCs w:val="21"/>
        </w:rPr>
        <w:t>。</w:t>
      </w:r>
    </w:p>
    <w:p>
      <w:pPr>
        <w:rPr>
          <w:rFonts w:hint="eastAsia" w:ascii="仿宋_GB2312" w:hAnsi="仿宋_GB2312" w:eastAsia="仿宋_GB2312" w:cs="仿宋_GB2312"/>
          <w:b/>
          <w:bCs/>
          <w:sz w:val="21"/>
          <w:szCs w:val="21"/>
          <w:u w:val="none"/>
          <w:lang w:eastAsia="zh-CN"/>
        </w:rPr>
      </w:pPr>
      <w:r>
        <w:rPr>
          <w:rFonts w:hint="eastAsia" w:ascii="仿宋_GB2312" w:hAnsi="仿宋_GB2312" w:eastAsia="仿宋_GB2312" w:cs="仿宋_GB2312"/>
          <w:b/>
          <w:bCs/>
          <w:sz w:val="21"/>
          <w:szCs w:val="21"/>
          <w:u w:val="none"/>
          <w:lang w:eastAsia="zh-CN"/>
        </w:rPr>
        <w:br w:type="page"/>
      </w:r>
    </w:p>
    <w:p>
      <w:pPr>
        <w:pStyle w:val="2"/>
        <w:jc w:val="center"/>
        <w:rPr>
          <w:rFonts w:hint="eastAsia" w:ascii="仿宋" w:hAnsi="仿宋" w:eastAsia="仿宋" w:cs="仿宋"/>
          <w:b/>
          <w:bCs/>
          <w:color w:val="auto"/>
          <w:sz w:val="21"/>
          <w:szCs w:val="21"/>
          <w:lang w:val="en-US" w:eastAsia="zh-CN"/>
        </w:rPr>
      </w:pPr>
      <w:bookmarkStart w:id="10" w:name="_Toc15851"/>
      <w:r>
        <w:rPr>
          <w:rFonts w:hint="eastAsia" w:ascii="仿宋" w:hAnsi="仿宋" w:eastAsia="仿宋" w:cs="仿宋"/>
          <w:b/>
          <w:bCs/>
          <w:color w:val="auto"/>
          <w:sz w:val="21"/>
          <w:szCs w:val="21"/>
          <w:lang w:val="en-US" w:eastAsia="zh-CN"/>
        </w:rPr>
        <w:t>第四包：哈矿电缆技术要求</w:t>
      </w:r>
      <w:bookmarkEnd w:id="10"/>
    </w:p>
    <w:p>
      <w:pPr>
        <w:autoSpaceDN w:val="0"/>
        <w:spacing w:line="680" w:lineRule="exact"/>
        <w:jc w:val="both"/>
        <w:rPr>
          <w:rFonts w:eastAsia="仿宋_GB2312"/>
          <w:b/>
          <w:bCs/>
          <w:sz w:val="21"/>
          <w:szCs w:val="21"/>
        </w:rPr>
      </w:pPr>
      <w:r>
        <w:rPr>
          <w:rFonts w:hint="eastAsia" w:eastAsia="仿宋_GB2312"/>
          <w:b/>
          <w:bCs/>
          <w:sz w:val="21"/>
          <w:szCs w:val="21"/>
          <w:lang w:val="en-US" w:eastAsia="zh-CN"/>
        </w:rPr>
        <w:t>1.</w:t>
      </w:r>
      <w:r>
        <w:rPr>
          <w:rFonts w:hint="eastAsia" w:eastAsia="仿宋_GB2312"/>
          <w:b/>
          <w:bCs/>
          <w:sz w:val="21"/>
          <w:szCs w:val="21"/>
        </w:rPr>
        <w:t>货物需求一览表</w:t>
      </w:r>
    </w:p>
    <w:tbl>
      <w:tblPr>
        <w:tblStyle w:val="6"/>
        <w:tblpPr w:leftFromText="180" w:rightFromText="180" w:vertAnchor="text" w:horzAnchor="page" w:tblpX="1554" w:tblpY="343"/>
        <w:tblW w:w="9004" w:type="dxa"/>
        <w:tblInd w:w="0" w:type="dxa"/>
        <w:tblLayout w:type="fixed"/>
        <w:tblCellMar>
          <w:top w:w="0" w:type="dxa"/>
          <w:left w:w="108" w:type="dxa"/>
          <w:bottom w:w="0" w:type="dxa"/>
          <w:right w:w="108" w:type="dxa"/>
        </w:tblCellMar>
      </w:tblPr>
      <w:tblGrid>
        <w:gridCol w:w="940"/>
        <w:gridCol w:w="1714"/>
        <w:gridCol w:w="789"/>
        <w:gridCol w:w="885"/>
        <w:gridCol w:w="1245"/>
        <w:gridCol w:w="1440"/>
        <w:gridCol w:w="1991"/>
      </w:tblGrid>
      <w:tr>
        <w:tblPrEx>
          <w:tblLayout w:type="fixed"/>
          <w:tblCellMar>
            <w:top w:w="0" w:type="dxa"/>
            <w:left w:w="108" w:type="dxa"/>
            <w:bottom w:w="0" w:type="dxa"/>
            <w:right w:w="108" w:type="dxa"/>
          </w:tblCellMar>
        </w:tblPrEx>
        <w:trPr>
          <w:trHeight w:val="650" w:hRule="atLeast"/>
        </w:trPr>
        <w:tc>
          <w:tcPr>
            <w:tcW w:w="94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rPr>
                <w:rFonts w:eastAsia="仿宋_GB2312"/>
                <w:b/>
                <w:bCs/>
                <w:sz w:val="21"/>
                <w:szCs w:val="21"/>
              </w:rPr>
            </w:pPr>
            <w:bookmarkStart w:id="11" w:name="_Toc121030613"/>
            <w:bookmarkStart w:id="12" w:name="_Toc119228002"/>
            <w:r>
              <w:rPr>
                <w:rFonts w:hint="eastAsia" w:eastAsia="仿宋_GB2312"/>
                <w:b/>
                <w:bCs/>
                <w:sz w:val="21"/>
                <w:szCs w:val="21"/>
              </w:rPr>
              <w:t>序号</w:t>
            </w:r>
          </w:p>
        </w:tc>
        <w:tc>
          <w:tcPr>
            <w:tcW w:w="1714" w:type="dxa"/>
            <w:tcBorders>
              <w:top w:val="single" w:color="auto" w:sz="4" w:space="0"/>
              <w:left w:val="nil"/>
              <w:bottom w:val="single" w:color="auto" w:sz="4" w:space="0"/>
              <w:right w:val="single" w:color="auto" w:sz="4" w:space="0"/>
            </w:tcBorders>
            <w:vAlign w:val="center"/>
          </w:tcPr>
          <w:p>
            <w:pPr>
              <w:autoSpaceDN w:val="0"/>
              <w:spacing w:line="400" w:lineRule="exact"/>
              <w:jc w:val="center"/>
              <w:rPr>
                <w:rFonts w:eastAsia="仿宋_GB2312"/>
                <w:b/>
                <w:bCs/>
                <w:sz w:val="21"/>
                <w:szCs w:val="21"/>
              </w:rPr>
            </w:pPr>
            <w:r>
              <w:rPr>
                <w:rFonts w:hint="eastAsia" w:eastAsia="仿宋_GB2312"/>
                <w:b/>
                <w:bCs/>
                <w:sz w:val="21"/>
                <w:szCs w:val="21"/>
              </w:rPr>
              <w:t>名称</w:t>
            </w:r>
          </w:p>
        </w:tc>
        <w:tc>
          <w:tcPr>
            <w:tcW w:w="789" w:type="dxa"/>
            <w:tcBorders>
              <w:top w:val="single" w:color="auto" w:sz="4" w:space="0"/>
              <w:left w:val="nil"/>
              <w:bottom w:val="single" w:color="auto" w:sz="4" w:space="0"/>
              <w:right w:val="single" w:color="auto" w:sz="4" w:space="0"/>
            </w:tcBorders>
            <w:vAlign w:val="center"/>
          </w:tcPr>
          <w:p>
            <w:pPr>
              <w:widowControl/>
              <w:autoSpaceDN w:val="0"/>
              <w:spacing w:line="400" w:lineRule="exact"/>
              <w:jc w:val="center"/>
              <w:rPr>
                <w:rFonts w:eastAsia="仿宋_GB2312"/>
                <w:b/>
                <w:bCs/>
                <w:sz w:val="21"/>
                <w:szCs w:val="21"/>
              </w:rPr>
            </w:pPr>
            <w:r>
              <w:rPr>
                <w:rFonts w:hint="eastAsia" w:eastAsia="仿宋_GB2312"/>
                <w:b/>
                <w:bCs/>
                <w:sz w:val="21"/>
                <w:szCs w:val="21"/>
              </w:rPr>
              <w:t>单位</w:t>
            </w:r>
          </w:p>
        </w:tc>
        <w:tc>
          <w:tcPr>
            <w:tcW w:w="885" w:type="dxa"/>
            <w:tcBorders>
              <w:top w:val="single" w:color="auto" w:sz="4" w:space="0"/>
              <w:left w:val="nil"/>
              <w:bottom w:val="single" w:color="auto" w:sz="4" w:space="0"/>
              <w:right w:val="single" w:color="auto" w:sz="4" w:space="0"/>
            </w:tcBorders>
            <w:vAlign w:val="center"/>
          </w:tcPr>
          <w:p>
            <w:pPr>
              <w:widowControl/>
              <w:autoSpaceDN w:val="0"/>
              <w:spacing w:line="400" w:lineRule="exact"/>
              <w:jc w:val="center"/>
              <w:rPr>
                <w:rFonts w:eastAsia="仿宋_GB2312"/>
                <w:b/>
                <w:bCs/>
                <w:sz w:val="21"/>
                <w:szCs w:val="21"/>
              </w:rPr>
            </w:pPr>
            <w:r>
              <w:rPr>
                <w:rFonts w:hint="eastAsia" w:eastAsia="仿宋_GB2312"/>
                <w:b/>
                <w:bCs/>
                <w:sz w:val="21"/>
                <w:szCs w:val="21"/>
              </w:rPr>
              <w:t>数量</w:t>
            </w:r>
          </w:p>
        </w:tc>
        <w:tc>
          <w:tcPr>
            <w:tcW w:w="1245" w:type="dxa"/>
            <w:tcBorders>
              <w:top w:val="single" w:color="auto" w:sz="4" w:space="0"/>
              <w:left w:val="nil"/>
              <w:bottom w:val="single" w:color="auto" w:sz="4" w:space="0"/>
              <w:right w:val="single" w:color="auto" w:sz="4" w:space="0"/>
            </w:tcBorders>
            <w:vAlign w:val="center"/>
          </w:tcPr>
          <w:p>
            <w:pPr>
              <w:widowControl/>
              <w:autoSpaceDN w:val="0"/>
              <w:spacing w:line="400" w:lineRule="exact"/>
              <w:jc w:val="center"/>
              <w:rPr>
                <w:rFonts w:eastAsia="仿宋_GB2312"/>
                <w:b/>
                <w:bCs/>
                <w:sz w:val="21"/>
                <w:szCs w:val="21"/>
              </w:rPr>
            </w:pPr>
            <w:r>
              <w:rPr>
                <w:rFonts w:hint="eastAsia" w:eastAsia="仿宋_GB2312"/>
                <w:b/>
                <w:bCs/>
                <w:sz w:val="21"/>
                <w:szCs w:val="21"/>
              </w:rPr>
              <w:t>交货时间</w:t>
            </w:r>
          </w:p>
        </w:tc>
        <w:tc>
          <w:tcPr>
            <w:tcW w:w="1440" w:type="dxa"/>
            <w:tcBorders>
              <w:top w:val="single" w:color="auto" w:sz="4" w:space="0"/>
              <w:left w:val="nil"/>
              <w:bottom w:val="single" w:color="auto" w:sz="4" w:space="0"/>
              <w:right w:val="single" w:color="auto" w:sz="4" w:space="0"/>
            </w:tcBorders>
            <w:vAlign w:val="center"/>
          </w:tcPr>
          <w:p>
            <w:pPr>
              <w:widowControl/>
              <w:autoSpaceDN w:val="0"/>
              <w:spacing w:line="400" w:lineRule="exact"/>
              <w:jc w:val="center"/>
              <w:rPr>
                <w:rFonts w:eastAsia="仿宋_GB2312"/>
                <w:b/>
                <w:bCs/>
                <w:sz w:val="21"/>
                <w:szCs w:val="21"/>
              </w:rPr>
            </w:pPr>
            <w:r>
              <w:rPr>
                <w:rFonts w:hint="eastAsia" w:eastAsia="仿宋_GB2312"/>
                <w:b/>
                <w:bCs/>
                <w:sz w:val="21"/>
                <w:szCs w:val="21"/>
              </w:rPr>
              <w:t>交货地点</w:t>
            </w:r>
          </w:p>
        </w:tc>
        <w:tc>
          <w:tcPr>
            <w:tcW w:w="1991" w:type="dxa"/>
            <w:tcBorders>
              <w:top w:val="single" w:color="auto" w:sz="4" w:space="0"/>
              <w:left w:val="nil"/>
              <w:bottom w:val="single" w:color="auto" w:sz="4" w:space="0"/>
              <w:right w:val="single" w:color="auto" w:sz="4" w:space="0"/>
            </w:tcBorders>
            <w:vAlign w:val="center"/>
          </w:tcPr>
          <w:p>
            <w:pPr>
              <w:widowControl/>
              <w:autoSpaceDN w:val="0"/>
              <w:spacing w:line="400" w:lineRule="exact"/>
              <w:jc w:val="center"/>
              <w:rPr>
                <w:rFonts w:eastAsia="仿宋_GB2312"/>
                <w:b/>
                <w:bCs/>
                <w:sz w:val="21"/>
                <w:szCs w:val="21"/>
              </w:rPr>
            </w:pPr>
            <w:r>
              <w:rPr>
                <w:rFonts w:hint="eastAsia" w:eastAsia="仿宋_GB2312"/>
                <w:b/>
                <w:bCs/>
                <w:sz w:val="21"/>
                <w:szCs w:val="21"/>
              </w:rPr>
              <w:t>备注</w:t>
            </w:r>
          </w:p>
        </w:tc>
      </w:tr>
      <w:tr>
        <w:tblPrEx>
          <w:tblLayout w:type="fixed"/>
          <w:tblCellMar>
            <w:top w:w="0" w:type="dxa"/>
            <w:left w:w="108" w:type="dxa"/>
            <w:bottom w:w="0" w:type="dxa"/>
            <w:right w:w="108" w:type="dxa"/>
          </w:tblCellMar>
        </w:tblPrEx>
        <w:trPr>
          <w:cantSplit/>
          <w:trHeight w:val="454" w:hRule="atLeast"/>
        </w:trPr>
        <w:tc>
          <w:tcPr>
            <w:tcW w:w="940" w:type="dxa"/>
            <w:tcBorders>
              <w:top w:val="nil"/>
              <w:left w:val="single" w:color="auto" w:sz="4" w:space="0"/>
              <w:bottom w:val="single" w:color="auto" w:sz="4" w:space="0"/>
              <w:right w:val="single" w:color="auto" w:sz="4" w:space="0"/>
            </w:tcBorders>
            <w:vAlign w:val="center"/>
          </w:tcPr>
          <w:p>
            <w:pPr>
              <w:pStyle w:val="4"/>
              <w:autoSpaceDN w:val="0"/>
              <w:spacing w:line="360" w:lineRule="exact"/>
              <w:jc w:val="center"/>
              <w:rPr>
                <w:rFonts w:eastAsia="仿宋_GB2312"/>
                <w:kern w:val="0"/>
                <w:sz w:val="21"/>
                <w:szCs w:val="21"/>
              </w:rPr>
            </w:pPr>
            <w:r>
              <w:rPr>
                <w:rFonts w:eastAsia="仿宋_GB2312"/>
                <w:sz w:val="21"/>
                <w:szCs w:val="21"/>
              </w:rPr>
              <w:t>1</w:t>
            </w:r>
          </w:p>
        </w:tc>
        <w:tc>
          <w:tcPr>
            <w:tcW w:w="1714"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矿用拖拽电缆8kV\3×70+2×25+1×25mm²</w:t>
            </w:r>
          </w:p>
        </w:tc>
        <w:tc>
          <w:tcPr>
            <w:tcW w:w="789"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米</w:t>
            </w:r>
          </w:p>
        </w:tc>
        <w:tc>
          <w:tcPr>
            <w:tcW w:w="885"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kern w:val="0"/>
                <w:sz w:val="21"/>
                <w:szCs w:val="21"/>
              </w:rPr>
            </w:pPr>
            <w:r>
              <w:rPr>
                <w:rFonts w:hint="eastAsia" w:eastAsia="仿宋_GB2312"/>
                <w:sz w:val="21"/>
                <w:szCs w:val="21"/>
              </w:rPr>
              <w:t>4000</w:t>
            </w:r>
          </w:p>
        </w:tc>
        <w:tc>
          <w:tcPr>
            <w:tcW w:w="1245" w:type="dxa"/>
            <w:tcBorders>
              <w:top w:val="nil"/>
              <w:left w:val="nil"/>
              <w:bottom w:val="single" w:color="auto" w:sz="4" w:space="0"/>
              <w:right w:val="single" w:color="auto" w:sz="4" w:space="0"/>
            </w:tcBorders>
            <w:vAlign w:val="center"/>
          </w:tcPr>
          <w:p>
            <w:pPr>
              <w:widowControl/>
              <w:autoSpaceDN w:val="0"/>
              <w:spacing w:line="360" w:lineRule="exact"/>
              <w:jc w:val="center"/>
              <w:rPr>
                <w:rFonts w:eastAsia="仿宋_GB2312"/>
                <w:sz w:val="21"/>
                <w:szCs w:val="21"/>
              </w:rPr>
            </w:pPr>
            <w:r>
              <w:rPr>
                <w:rFonts w:hint="eastAsia" w:eastAsia="仿宋_GB2312"/>
                <w:sz w:val="21"/>
                <w:szCs w:val="21"/>
              </w:rPr>
              <w:t>合同签订后3个月</w:t>
            </w:r>
          </w:p>
        </w:tc>
        <w:tc>
          <w:tcPr>
            <w:tcW w:w="1440" w:type="dxa"/>
            <w:tcBorders>
              <w:top w:val="nil"/>
              <w:left w:val="nil"/>
              <w:bottom w:val="single" w:color="auto" w:sz="4" w:space="0"/>
              <w:right w:val="single" w:color="auto" w:sz="4" w:space="0"/>
            </w:tcBorders>
            <w:vAlign w:val="center"/>
          </w:tcPr>
          <w:p>
            <w:pPr>
              <w:widowControl/>
              <w:autoSpaceDN w:val="0"/>
              <w:spacing w:line="360" w:lineRule="exact"/>
              <w:rPr>
                <w:rFonts w:eastAsia="仿宋_GB2312"/>
                <w:sz w:val="21"/>
                <w:szCs w:val="21"/>
              </w:rPr>
            </w:pPr>
            <w:r>
              <w:rPr>
                <w:rFonts w:hint="eastAsia" w:eastAsia="仿宋_GB2312"/>
                <w:sz w:val="21"/>
                <w:szCs w:val="21"/>
              </w:rPr>
              <w:t>哈尔乌素露天煤矿现场</w:t>
            </w:r>
          </w:p>
        </w:tc>
        <w:tc>
          <w:tcPr>
            <w:tcW w:w="1991" w:type="dxa"/>
            <w:tcBorders>
              <w:top w:val="nil"/>
              <w:left w:val="nil"/>
              <w:bottom w:val="single" w:color="auto" w:sz="4" w:space="0"/>
              <w:right w:val="single" w:color="auto" w:sz="4" w:space="0"/>
            </w:tcBorders>
            <w:vAlign w:val="center"/>
          </w:tcPr>
          <w:p>
            <w:pPr>
              <w:widowControl/>
              <w:autoSpaceDN w:val="0"/>
              <w:spacing w:line="360" w:lineRule="exact"/>
              <w:ind w:firstLine="210" w:firstLineChars="100"/>
              <w:rPr>
                <w:rFonts w:eastAsia="仿宋_GB2312"/>
                <w:sz w:val="21"/>
                <w:szCs w:val="21"/>
              </w:rPr>
            </w:pPr>
            <w:r>
              <w:rPr>
                <w:rFonts w:hint="eastAsia" w:eastAsia="仿宋_GB2312"/>
                <w:sz w:val="21"/>
                <w:szCs w:val="21"/>
              </w:rPr>
              <w:t>规格</w:t>
            </w:r>
          </w:p>
          <w:p>
            <w:pPr>
              <w:widowControl/>
              <w:autoSpaceDN w:val="0"/>
              <w:spacing w:line="360" w:lineRule="exact"/>
              <w:rPr>
                <w:rFonts w:eastAsia="仿宋_GB2312"/>
                <w:sz w:val="21"/>
                <w:szCs w:val="21"/>
              </w:rPr>
            </w:pPr>
            <w:r>
              <w:rPr>
                <w:rFonts w:hint="eastAsia" w:eastAsia="仿宋_GB2312"/>
                <w:sz w:val="21"/>
                <w:szCs w:val="21"/>
              </w:rPr>
              <w:t>300米每根的10卷，500米每根的2卷。</w:t>
            </w:r>
          </w:p>
        </w:tc>
      </w:tr>
      <w:tr>
        <w:tblPrEx>
          <w:tblLayout w:type="fixed"/>
          <w:tblCellMar>
            <w:top w:w="0" w:type="dxa"/>
            <w:left w:w="108" w:type="dxa"/>
            <w:bottom w:w="0" w:type="dxa"/>
            <w:right w:w="108" w:type="dxa"/>
          </w:tblCellMar>
        </w:tblPrEx>
        <w:trPr>
          <w:cantSplit/>
          <w:trHeight w:val="454" w:hRule="atLeast"/>
        </w:trPr>
        <w:tc>
          <w:tcPr>
            <w:tcW w:w="940" w:type="dxa"/>
            <w:tcBorders>
              <w:top w:val="nil"/>
              <w:left w:val="single" w:color="auto" w:sz="4" w:space="0"/>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2</w:t>
            </w:r>
          </w:p>
        </w:tc>
        <w:tc>
          <w:tcPr>
            <w:tcW w:w="1714"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矿用拖拽电缆</w:t>
            </w:r>
          </w:p>
          <w:p>
            <w:pPr>
              <w:pStyle w:val="4"/>
              <w:autoSpaceDN w:val="0"/>
              <w:spacing w:line="360" w:lineRule="exact"/>
              <w:jc w:val="center"/>
              <w:rPr>
                <w:rFonts w:eastAsia="仿宋_GB2312"/>
                <w:sz w:val="21"/>
                <w:szCs w:val="21"/>
              </w:rPr>
            </w:pPr>
            <w:r>
              <w:rPr>
                <w:rFonts w:hint="eastAsia" w:eastAsia="仿宋_GB2312"/>
                <w:sz w:val="21"/>
                <w:szCs w:val="21"/>
              </w:rPr>
              <w:t>8kV\3×120+2×50+1×35mm²</w:t>
            </w:r>
          </w:p>
        </w:tc>
        <w:tc>
          <w:tcPr>
            <w:tcW w:w="789"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米</w:t>
            </w:r>
          </w:p>
        </w:tc>
        <w:tc>
          <w:tcPr>
            <w:tcW w:w="885"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4000</w:t>
            </w:r>
          </w:p>
        </w:tc>
        <w:tc>
          <w:tcPr>
            <w:tcW w:w="1245" w:type="dxa"/>
            <w:tcBorders>
              <w:top w:val="nil"/>
              <w:left w:val="nil"/>
              <w:bottom w:val="single" w:color="auto" w:sz="4" w:space="0"/>
              <w:right w:val="single" w:color="auto" w:sz="4" w:space="0"/>
            </w:tcBorders>
            <w:vAlign w:val="center"/>
          </w:tcPr>
          <w:p>
            <w:pPr>
              <w:widowControl/>
              <w:autoSpaceDN w:val="0"/>
              <w:spacing w:line="360" w:lineRule="exact"/>
              <w:jc w:val="center"/>
              <w:rPr>
                <w:rFonts w:eastAsia="仿宋_GB2312"/>
                <w:sz w:val="21"/>
                <w:szCs w:val="21"/>
              </w:rPr>
            </w:pPr>
            <w:r>
              <w:rPr>
                <w:rFonts w:hint="eastAsia" w:eastAsia="仿宋_GB2312"/>
                <w:sz w:val="21"/>
                <w:szCs w:val="21"/>
              </w:rPr>
              <w:t>合同签订后3个月</w:t>
            </w:r>
          </w:p>
        </w:tc>
        <w:tc>
          <w:tcPr>
            <w:tcW w:w="1440" w:type="dxa"/>
            <w:tcBorders>
              <w:top w:val="nil"/>
              <w:left w:val="nil"/>
              <w:bottom w:val="single" w:color="auto" w:sz="4" w:space="0"/>
              <w:right w:val="single" w:color="auto" w:sz="4" w:space="0"/>
            </w:tcBorders>
            <w:vAlign w:val="center"/>
          </w:tcPr>
          <w:p>
            <w:pPr>
              <w:widowControl/>
              <w:autoSpaceDN w:val="0"/>
              <w:spacing w:line="360" w:lineRule="exact"/>
              <w:rPr>
                <w:rFonts w:eastAsia="仿宋_GB2312"/>
                <w:sz w:val="21"/>
                <w:szCs w:val="21"/>
              </w:rPr>
            </w:pPr>
            <w:r>
              <w:rPr>
                <w:rFonts w:hint="eastAsia" w:eastAsia="仿宋_GB2312"/>
                <w:sz w:val="21"/>
                <w:szCs w:val="21"/>
              </w:rPr>
              <w:t>哈尔乌素露天煤矿现场</w:t>
            </w:r>
          </w:p>
        </w:tc>
        <w:tc>
          <w:tcPr>
            <w:tcW w:w="1991" w:type="dxa"/>
            <w:tcBorders>
              <w:top w:val="nil"/>
              <w:left w:val="nil"/>
              <w:bottom w:val="single" w:color="auto" w:sz="4" w:space="0"/>
              <w:right w:val="single" w:color="auto" w:sz="4" w:space="0"/>
            </w:tcBorders>
            <w:vAlign w:val="center"/>
          </w:tcPr>
          <w:p>
            <w:pPr>
              <w:widowControl/>
              <w:autoSpaceDN w:val="0"/>
              <w:spacing w:line="360" w:lineRule="exact"/>
              <w:ind w:firstLine="210" w:firstLineChars="100"/>
              <w:rPr>
                <w:rFonts w:eastAsia="仿宋_GB2312"/>
                <w:sz w:val="21"/>
                <w:szCs w:val="21"/>
              </w:rPr>
            </w:pPr>
            <w:r>
              <w:rPr>
                <w:rFonts w:hint="eastAsia" w:eastAsia="仿宋_GB2312"/>
                <w:sz w:val="21"/>
                <w:szCs w:val="21"/>
              </w:rPr>
              <w:t>规格</w:t>
            </w:r>
          </w:p>
          <w:p>
            <w:pPr>
              <w:widowControl/>
              <w:autoSpaceDN w:val="0"/>
              <w:spacing w:line="360" w:lineRule="exact"/>
              <w:rPr>
                <w:rFonts w:eastAsia="仿宋_GB2312"/>
                <w:sz w:val="21"/>
                <w:szCs w:val="21"/>
              </w:rPr>
            </w:pPr>
            <w:r>
              <w:rPr>
                <w:rFonts w:hint="eastAsia" w:eastAsia="仿宋_GB2312"/>
                <w:sz w:val="21"/>
                <w:szCs w:val="21"/>
              </w:rPr>
              <w:t>300米每根的10卷，500米每根的2卷。</w:t>
            </w:r>
          </w:p>
        </w:tc>
      </w:tr>
      <w:tr>
        <w:tblPrEx>
          <w:tblLayout w:type="fixed"/>
          <w:tblCellMar>
            <w:top w:w="0" w:type="dxa"/>
            <w:left w:w="108" w:type="dxa"/>
            <w:bottom w:w="0" w:type="dxa"/>
            <w:right w:w="108" w:type="dxa"/>
          </w:tblCellMar>
        </w:tblPrEx>
        <w:trPr>
          <w:cantSplit/>
          <w:trHeight w:val="454" w:hRule="atLeast"/>
        </w:trPr>
        <w:tc>
          <w:tcPr>
            <w:tcW w:w="940" w:type="dxa"/>
            <w:tcBorders>
              <w:top w:val="nil"/>
              <w:left w:val="single" w:color="auto" w:sz="4" w:space="0"/>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3</w:t>
            </w:r>
          </w:p>
        </w:tc>
        <w:tc>
          <w:tcPr>
            <w:tcW w:w="1714"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矿用拖拽电缆8kV\3×50+2×25+1×25mm²</w:t>
            </w:r>
          </w:p>
        </w:tc>
        <w:tc>
          <w:tcPr>
            <w:tcW w:w="789"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米</w:t>
            </w:r>
          </w:p>
        </w:tc>
        <w:tc>
          <w:tcPr>
            <w:tcW w:w="885" w:type="dxa"/>
            <w:tcBorders>
              <w:top w:val="nil"/>
              <w:left w:val="nil"/>
              <w:bottom w:val="single" w:color="auto" w:sz="4" w:space="0"/>
              <w:right w:val="single" w:color="auto" w:sz="4" w:space="0"/>
            </w:tcBorders>
            <w:vAlign w:val="center"/>
          </w:tcPr>
          <w:p>
            <w:pPr>
              <w:pStyle w:val="4"/>
              <w:autoSpaceDN w:val="0"/>
              <w:spacing w:line="360" w:lineRule="exact"/>
              <w:jc w:val="center"/>
              <w:rPr>
                <w:rFonts w:eastAsia="仿宋_GB2312"/>
                <w:sz w:val="21"/>
                <w:szCs w:val="21"/>
              </w:rPr>
            </w:pPr>
            <w:r>
              <w:rPr>
                <w:rFonts w:hint="eastAsia" w:eastAsia="仿宋_GB2312"/>
                <w:sz w:val="21"/>
                <w:szCs w:val="21"/>
              </w:rPr>
              <w:t>600</w:t>
            </w:r>
          </w:p>
        </w:tc>
        <w:tc>
          <w:tcPr>
            <w:tcW w:w="1245" w:type="dxa"/>
            <w:tcBorders>
              <w:top w:val="nil"/>
              <w:left w:val="nil"/>
              <w:bottom w:val="single" w:color="auto" w:sz="4" w:space="0"/>
              <w:right w:val="single" w:color="auto" w:sz="4" w:space="0"/>
            </w:tcBorders>
            <w:vAlign w:val="center"/>
          </w:tcPr>
          <w:p>
            <w:pPr>
              <w:widowControl/>
              <w:autoSpaceDN w:val="0"/>
              <w:spacing w:line="360" w:lineRule="exact"/>
              <w:jc w:val="center"/>
              <w:rPr>
                <w:rFonts w:eastAsia="仿宋_GB2312"/>
                <w:sz w:val="21"/>
                <w:szCs w:val="21"/>
              </w:rPr>
            </w:pPr>
            <w:r>
              <w:rPr>
                <w:rFonts w:hint="eastAsia" w:eastAsia="仿宋_GB2312"/>
                <w:sz w:val="21"/>
                <w:szCs w:val="21"/>
              </w:rPr>
              <w:t>合同签订后3个月</w:t>
            </w:r>
          </w:p>
        </w:tc>
        <w:tc>
          <w:tcPr>
            <w:tcW w:w="1440" w:type="dxa"/>
            <w:tcBorders>
              <w:top w:val="nil"/>
              <w:left w:val="nil"/>
              <w:bottom w:val="single" w:color="auto" w:sz="4" w:space="0"/>
              <w:right w:val="single" w:color="auto" w:sz="4" w:space="0"/>
            </w:tcBorders>
            <w:vAlign w:val="center"/>
          </w:tcPr>
          <w:p>
            <w:pPr>
              <w:widowControl/>
              <w:autoSpaceDN w:val="0"/>
              <w:spacing w:line="360" w:lineRule="exact"/>
              <w:rPr>
                <w:rFonts w:eastAsia="仿宋_GB2312"/>
                <w:sz w:val="21"/>
                <w:szCs w:val="21"/>
              </w:rPr>
            </w:pPr>
            <w:r>
              <w:rPr>
                <w:rFonts w:hint="eastAsia" w:eastAsia="仿宋_GB2312"/>
                <w:sz w:val="21"/>
                <w:szCs w:val="21"/>
              </w:rPr>
              <w:t>哈尔乌素露天煤矿现场</w:t>
            </w:r>
          </w:p>
        </w:tc>
        <w:tc>
          <w:tcPr>
            <w:tcW w:w="1991" w:type="dxa"/>
            <w:tcBorders>
              <w:top w:val="nil"/>
              <w:left w:val="nil"/>
              <w:bottom w:val="single" w:color="auto" w:sz="4" w:space="0"/>
              <w:right w:val="single" w:color="auto" w:sz="4" w:space="0"/>
            </w:tcBorders>
            <w:vAlign w:val="center"/>
          </w:tcPr>
          <w:p>
            <w:pPr>
              <w:widowControl/>
              <w:autoSpaceDN w:val="0"/>
              <w:spacing w:line="360" w:lineRule="exact"/>
              <w:ind w:firstLine="210" w:firstLineChars="100"/>
              <w:rPr>
                <w:rFonts w:eastAsia="仿宋_GB2312"/>
                <w:sz w:val="21"/>
                <w:szCs w:val="21"/>
              </w:rPr>
            </w:pPr>
            <w:r>
              <w:rPr>
                <w:rFonts w:hint="eastAsia" w:eastAsia="仿宋_GB2312"/>
                <w:sz w:val="21"/>
                <w:szCs w:val="21"/>
              </w:rPr>
              <w:t>规格</w:t>
            </w:r>
          </w:p>
          <w:p>
            <w:pPr>
              <w:widowControl/>
              <w:autoSpaceDN w:val="0"/>
              <w:spacing w:line="360" w:lineRule="exact"/>
              <w:rPr>
                <w:rFonts w:eastAsia="仿宋_GB2312"/>
                <w:sz w:val="21"/>
                <w:szCs w:val="21"/>
              </w:rPr>
            </w:pPr>
            <w:r>
              <w:rPr>
                <w:rFonts w:hint="eastAsia" w:eastAsia="仿宋_GB2312"/>
                <w:sz w:val="21"/>
                <w:szCs w:val="21"/>
              </w:rPr>
              <w:t>300米每根的2卷。</w:t>
            </w:r>
          </w:p>
        </w:tc>
      </w:tr>
    </w:tbl>
    <w:p>
      <w:pPr>
        <w:autoSpaceDN w:val="0"/>
        <w:spacing w:line="680" w:lineRule="exact"/>
        <w:jc w:val="both"/>
        <w:rPr>
          <w:rFonts w:hint="eastAsia" w:eastAsia="仿宋_GB2312"/>
          <w:b/>
          <w:bCs/>
          <w:sz w:val="21"/>
          <w:szCs w:val="21"/>
          <w:lang w:val="en-US" w:eastAsia="zh-CN"/>
        </w:rPr>
      </w:pPr>
      <w:bookmarkStart w:id="13" w:name="_Toc461981379"/>
      <w:bookmarkStart w:id="14" w:name="_Toc384037452"/>
      <w:r>
        <w:rPr>
          <w:rFonts w:hint="eastAsia" w:eastAsia="仿宋_GB2312"/>
          <w:b/>
          <w:bCs/>
          <w:sz w:val="21"/>
          <w:szCs w:val="21"/>
          <w:lang w:val="en-US" w:eastAsia="zh-CN"/>
        </w:rPr>
        <w:t>2.使用条件</w:t>
      </w:r>
      <w:bookmarkEnd w:id="13"/>
      <w:bookmarkEnd w:id="14"/>
    </w:p>
    <w:p>
      <w:pPr>
        <w:autoSpaceDN w:val="0"/>
        <w:spacing w:line="360" w:lineRule="auto"/>
        <w:rPr>
          <w:rFonts w:eastAsia="仿宋_GB2312"/>
          <w:b w:val="0"/>
          <w:bCs w:val="0"/>
          <w:sz w:val="21"/>
          <w:szCs w:val="21"/>
        </w:rPr>
      </w:pPr>
      <w:r>
        <w:rPr>
          <w:rFonts w:eastAsia="仿宋_GB2312"/>
          <w:b w:val="0"/>
          <w:bCs w:val="0"/>
          <w:sz w:val="21"/>
          <w:szCs w:val="21"/>
        </w:rPr>
        <w:t>2.1</w:t>
      </w:r>
      <w:r>
        <w:rPr>
          <w:rFonts w:hint="eastAsia" w:eastAsia="仿宋_GB2312"/>
          <w:b w:val="0"/>
          <w:bCs w:val="0"/>
          <w:sz w:val="21"/>
          <w:szCs w:val="21"/>
        </w:rPr>
        <w:t>设备用途</w:t>
      </w:r>
    </w:p>
    <w:p>
      <w:pPr>
        <w:autoSpaceDN w:val="0"/>
        <w:spacing w:line="360" w:lineRule="auto"/>
        <w:ind w:firstLine="480"/>
        <w:rPr>
          <w:rFonts w:eastAsia="仿宋_GB2312"/>
          <w:sz w:val="21"/>
          <w:szCs w:val="21"/>
        </w:rPr>
      </w:pPr>
      <w:r>
        <w:rPr>
          <w:rFonts w:hint="eastAsia" w:eastAsia="仿宋_GB2312"/>
          <w:sz w:val="21"/>
          <w:szCs w:val="21"/>
        </w:rPr>
        <w:t>露天煤矿采场移动设备供电。</w:t>
      </w:r>
    </w:p>
    <w:p>
      <w:pPr>
        <w:autoSpaceDN w:val="0"/>
        <w:spacing w:line="360" w:lineRule="auto"/>
        <w:rPr>
          <w:rFonts w:eastAsia="仿宋_GB2312"/>
          <w:b w:val="0"/>
          <w:bCs w:val="0"/>
          <w:sz w:val="21"/>
          <w:szCs w:val="21"/>
        </w:rPr>
      </w:pPr>
      <w:r>
        <w:rPr>
          <w:rFonts w:eastAsia="仿宋_GB2312"/>
          <w:b w:val="0"/>
          <w:bCs w:val="0"/>
          <w:sz w:val="21"/>
          <w:szCs w:val="21"/>
        </w:rPr>
        <w:t>2.2</w:t>
      </w:r>
      <w:r>
        <w:rPr>
          <w:rFonts w:hint="eastAsia" w:eastAsia="仿宋_GB2312"/>
          <w:b w:val="0"/>
          <w:bCs w:val="0"/>
          <w:sz w:val="21"/>
          <w:szCs w:val="21"/>
        </w:rPr>
        <w:t>气候条件及工作环境</w:t>
      </w:r>
    </w:p>
    <w:p>
      <w:pPr>
        <w:autoSpaceDN w:val="0"/>
        <w:spacing w:line="360" w:lineRule="auto"/>
        <w:ind w:firstLine="480"/>
        <w:rPr>
          <w:rFonts w:eastAsia="仿宋_GB2312"/>
          <w:sz w:val="21"/>
          <w:szCs w:val="21"/>
        </w:rPr>
      </w:pPr>
      <w:r>
        <w:rPr>
          <w:rFonts w:hint="eastAsia" w:eastAsia="仿宋_GB2312"/>
          <w:sz w:val="21"/>
          <w:szCs w:val="21"/>
        </w:rPr>
        <w:t>年平均温度</w:t>
      </w:r>
      <w:r>
        <w:rPr>
          <w:rFonts w:eastAsia="仿宋_GB2312"/>
          <w:sz w:val="21"/>
          <w:szCs w:val="21"/>
          <w:u w:val="single"/>
        </w:rPr>
        <w:t xml:space="preserve"> 5.3 </w:t>
      </w:r>
      <w:r>
        <w:rPr>
          <w:rFonts w:hint="eastAsia" w:eastAsia="仿宋_GB2312"/>
          <w:sz w:val="21"/>
          <w:szCs w:val="21"/>
        </w:rPr>
        <w:t>～</w:t>
      </w:r>
      <w:r>
        <w:rPr>
          <w:rFonts w:eastAsia="仿宋_GB2312"/>
          <w:sz w:val="21"/>
          <w:szCs w:val="21"/>
          <w:u w:val="single"/>
        </w:rPr>
        <w:t xml:space="preserve"> 7.6 </w:t>
      </w:r>
      <w:r>
        <w:rPr>
          <w:rFonts w:hint="eastAsia" w:ascii="仿宋_GB2312" w:eastAsia="仿宋_GB2312"/>
          <w:sz w:val="21"/>
          <w:szCs w:val="21"/>
        </w:rPr>
        <w:t>℃</w:t>
      </w:r>
      <w:r>
        <w:rPr>
          <w:rFonts w:hint="eastAsia" w:eastAsia="仿宋_GB2312"/>
          <w:sz w:val="21"/>
          <w:szCs w:val="21"/>
        </w:rPr>
        <w:t>，最高气温达</w:t>
      </w:r>
      <w:r>
        <w:rPr>
          <w:rFonts w:eastAsia="仿宋_GB2312"/>
          <w:sz w:val="21"/>
          <w:szCs w:val="21"/>
          <w:u w:val="single"/>
        </w:rPr>
        <w:t xml:space="preserve"> 39.4 </w:t>
      </w:r>
      <w:r>
        <w:rPr>
          <w:rFonts w:hint="eastAsia" w:ascii="仿宋_GB2312" w:eastAsia="仿宋_GB2312"/>
          <w:sz w:val="21"/>
          <w:szCs w:val="21"/>
        </w:rPr>
        <w:t>℃</w:t>
      </w:r>
      <w:r>
        <w:rPr>
          <w:rFonts w:hint="eastAsia" w:eastAsia="仿宋_GB2312"/>
          <w:sz w:val="21"/>
          <w:szCs w:val="21"/>
        </w:rPr>
        <w:t>，最低气温为</w:t>
      </w:r>
      <w:r>
        <w:rPr>
          <w:rFonts w:eastAsia="仿宋_GB2312"/>
          <w:sz w:val="21"/>
          <w:szCs w:val="21"/>
          <w:u w:val="single"/>
        </w:rPr>
        <w:t xml:space="preserve"> -34 </w:t>
      </w:r>
      <w:r>
        <w:rPr>
          <w:rFonts w:hint="eastAsia" w:ascii="仿宋_GB2312" w:eastAsia="仿宋_GB2312"/>
          <w:sz w:val="21"/>
          <w:szCs w:val="21"/>
        </w:rPr>
        <w:t>℃</w:t>
      </w:r>
      <w:r>
        <w:rPr>
          <w:rFonts w:hint="eastAsia" w:eastAsia="仿宋_GB2312"/>
          <w:sz w:val="21"/>
          <w:szCs w:val="21"/>
        </w:rPr>
        <w:t>，属大陆性气候，冬季时间长且寒冷，夏季短且酷热，白天与夜间的温差较大；设备在露天条件下使用，煤尘大，春季风沙大。</w:t>
      </w:r>
    </w:p>
    <w:bookmarkEnd w:id="11"/>
    <w:bookmarkEnd w:id="12"/>
    <w:p>
      <w:pPr>
        <w:autoSpaceDN w:val="0"/>
        <w:spacing w:line="680" w:lineRule="exact"/>
        <w:jc w:val="both"/>
        <w:rPr>
          <w:rFonts w:hint="eastAsia" w:eastAsia="仿宋_GB2312"/>
          <w:b/>
          <w:bCs/>
          <w:sz w:val="21"/>
          <w:szCs w:val="21"/>
          <w:lang w:val="en-US" w:eastAsia="zh-CN"/>
        </w:rPr>
      </w:pPr>
      <w:bookmarkStart w:id="15" w:name="_Toc119228003"/>
      <w:bookmarkStart w:id="16" w:name="_Toc121030614"/>
      <w:bookmarkStart w:id="17" w:name="_Toc461981380"/>
      <w:bookmarkStart w:id="18" w:name="_Toc384037453"/>
      <w:r>
        <w:rPr>
          <w:rFonts w:hint="eastAsia" w:eastAsia="仿宋_GB2312"/>
          <w:b/>
          <w:bCs/>
          <w:sz w:val="21"/>
          <w:szCs w:val="21"/>
          <w:lang w:val="en-US" w:eastAsia="zh-CN"/>
        </w:rPr>
        <w:t>3.技术</w:t>
      </w:r>
      <w:bookmarkEnd w:id="15"/>
      <w:bookmarkEnd w:id="16"/>
      <w:r>
        <w:rPr>
          <w:rFonts w:hint="eastAsia" w:eastAsia="仿宋_GB2312"/>
          <w:b/>
          <w:bCs/>
          <w:sz w:val="21"/>
          <w:szCs w:val="21"/>
          <w:lang w:val="en-US" w:eastAsia="zh-CN"/>
        </w:rPr>
        <w:t>要求</w:t>
      </w:r>
      <w:bookmarkEnd w:id="17"/>
      <w:bookmarkEnd w:id="18"/>
    </w:p>
    <w:p>
      <w:pPr>
        <w:autoSpaceDN w:val="0"/>
        <w:spacing w:line="360" w:lineRule="auto"/>
        <w:rPr>
          <w:rFonts w:eastAsia="仿宋_GB2312"/>
          <w:b w:val="0"/>
          <w:bCs w:val="0"/>
          <w:sz w:val="21"/>
          <w:szCs w:val="21"/>
        </w:rPr>
      </w:pPr>
      <w:r>
        <w:rPr>
          <w:rFonts w:hint="eastAsia" w:eastAsia="仿宋_GB2312"/>
          <w:b w:val="0"/>
          <w:bCs w:val="0"/>
          <w:sz w:val="21"/>
          <w:szCs w:val="21"/>
        </w:rPr>
        <w:t>3.1结构性能及技术要求</w:t>
      </w:r>
    </w:p>
    <w:p>
      <w:pPr>
        <w:autoSpaceDN w:val="0"/>
        <w:spacing w:line="360" w:lineRule="auto"/>
        <w:ind w:firstLine="480"/>
        <w:rPr>
          <w:rFonts w:eastAsia="仿宋_GB2312"/>
          <w:sz w:val="24"/>
        </w:rPr>
      </w:pPr>
      <w:r>
        <w:rPr>
          <w:rFonts w:hint="eastAsia" w:eastAsia="仿宋_GB2312"/>
          <w:sz w:val="24"/>
        </w:rPr>
        <w:t>电缆是用全新的、高质量、高等级、完好的材料制造而成，在设计上要考虑操作和维修的方便性。</w:t>
      </w:r>
    </w:p>
    <w:p>
      <w:pPr>
        <w:autoSpaceDN w:val="0"/>
        <w:spacing w:line="360" w:lineRule="auto"/>
        <w:rPr>
          <w:rFonts w:eastAsia="仿宋_GB2312"/>
          <w:b w:val="0"/>
          <w:bCs w:val="0"/>
          <w:sz w:val="24"/>
        </w:rPr>
      </w:pPr>
      <w:r>
        <w:rPr>
          <w:rFonts w:hint="eastAsia" w:eastAsia="仿宋_GB2312"/>
          <w:b w:val="0"/>
          <w:bCs w:val="0"/>
          <w:sz w:val="24"/>
        </w:rPr>
        <w:t>3.2电缆的技术规格</w:t>
      </w:r>
    </w:p>
    <w:p>
      <w:pPr>
        <w:autoSpaceDN w:val="0"/>
        <w:spacing w:line="360" w:lineRule="auto"/>
        <w:rPr>
          <w:rFonts w:eastAsia="仿宋_GB2312"/>
          <w:sz w:val="24"/>
        </w:rPr>
      </w:pPr>
      <w:r>
        <w:rPr>
          <w:rFonts w:hint="eastAsia" w:eastAsia="仿宋_GB2312"/>
          <w:sz w:val="24"/>
        </w:rPr>
        <w:t>3.2.1额定电压：8KV。</w:t>
      </w:r>
    </w:p>
    <w:p>
      <w:pPr>
        <w:autoSpaceDN w:val="0"/>
        <w:spacing w:line="360" w:lineRule="auto"/>
        <w:ind w:left="480" w:hanging="480" w:hangingChars="200"/>
        <w:rPr>
          <w:rFonts w:eastAsia="仿宋_GB2312"/>
          <w:sz w:val="24"/>
        </w:rPr>
      </w:pPr>
      <w:r>
        <w:rPr>
          <w:rFonts w:hint="eastAsia" w:eastAsia="仿宋_GB2312"/>
          <w:sz w:val="24"/>
        </w:rPr>
        <w:t>3.2.2相导线、地线及接地监测导线截面：3×120 mm</w:t>
      </w:r>
      <w:r>
        <w:rPr>
          <w:rFonts w:hint="eastAsia" w:eastAsia="仿宋_GB2312"/>
          <w:sz w:val="24"/>
          <w:vertAlign w:val="superscript"/>
        </w:rPr>
        <w:t>²</w:t>
      </w:r>
      <w:r>
        <w:rPr>
          <w:rFonts w:hint="eastAsia" w:eastAsia="仿宋_GB2312"/>
          <w:sz w:val="24"/>
        </w:rPr>
        <w:t>+2×50mm² +1×35mm² 、3×70mm²+2×25mm²+1x25mm² 、 3x50mm²+2x25mm²+1x25mm²。</w:t>
      </w:r>
    </w:p>
    <w:p>
      <w:pPr>
        <w:autoSpaceDN w:val="0"/>
        <w:spacing w:line="360" w:lineRule="auto"/>
        <w:rPr>
          <w:rFonts w:eastAsia="仿宋_GB2312"/>
          <w:sz w:val="24"/>
        </w:rPr>
      </w:pPr>
      <w:r>
        <w:rPr>
          <w:rFonts w:hint="eastAsia" w:eastAsia="仿宋_GB2312"/>
          <w:sz w:val="24"/>
        </w:rPr>
        <w:t>3.2.3电缆芯数：6芯 。</w:t>
      </w:r>
    </w:p>
    <w:p>
      <w:pPr>
        <w:autoSpaceDN w:val="0"/>
        <w:spacing w:line="360" w:lineRule="auto"/>
        <w:ind w:firstLine="480"/>
        <w:rPr>
          <w:rFonts w:eastAsia="仿宋_GB2312"/>
          <w:sz w:val="24"/>
        </w:rPr>
      </w:pPr>
      <w:r>
        <w:rPr>
          <w:rFonts w:hint="eastAsia" w:eastAsia="仿宋_GB2312"/>
          <w:sz w:val="24"/>
        </w:rPr>
        <w:t>外径：120 mm²电缆外径≤74.0 mm ,50mm²电缆外径≤65.0mm、70mm²电缆外径≤68.0 mm。</w:t>
      </w:r>
    </w:p>
    <w:p>
      <w:pPr>
        <w:autoSpaceDN w:val="0"/>
        <w:spacing w:line="360" w:lineRule="auto"/>
        <w:rPr>
          <w:rFonts w:eastAsia="仿宋_GB2312"/>
          <w:sz w:val="24"/>
        </w:rPr>
      </w:pPr>
      <w:r>
        <w:rPr>
          <w:rFonts w:hint="eastAsia" w:eastAsia="仿宋_GB2312"/>
          <w:sz w:val="24"/>
        </w:rPr>
        <w:t>3.2.4使用寿命：电缆在每天24小时连续工作情况下，固定敷设时，正常使用寿命不小于10年。</w:t>
      </w:r>
    </w:p>
    <w:p>
      <w:pPr>
        <w:autoSpaceDN w:val="0"/>
        <w:spacing w:line="360" w:lineRule="auto"/>
        <w:rPr>
          <w:rFonts w:eastAsia="仿宋_GB2312"/>
          <w:sz w:val="24"/>
        </w:rPr>
      </w:pPr>
      <w:r>
        <w:rPr>
          <w:rFonts w:hint="eastAsia" w:eastAsia="仿宋_GB2312"/>
          <w:sz w:val="24"/>
        </w:rPr>
        <w:t>3.2.5绝缘层材质：乙丙橡胶；</w:t>
      </w:r>
    </w:p>
    <w:p>
      <w:pPr>
        <w:autoSpaceDN w:val="0"/>
        <w:spacing w:line="360" w:lineRule="auto"/>
        <w:rPr>
          <w:rFonts w:eastAsia="仿宋_GB2312"/>
          <w:sz w:val="24"/>
        </w:rPr>
      </w:pPr>
      <w:r>
        <w:rPr>
          <w:rFonts w:hint="eastAsia" w:eastAsia="仿宋_GB2312"/>
          <w:sz w:val="24"/>
        </w:rPr>
        <w:t>3.2.6外护套处理工艺：交联硫化；</w:t>
      </w:r>
    </w:p>
    <w:p>
      <w:pPr>
        <w:autoSpaceDN w:val="0"/>
        <w:spacing w:line="360" w:lineRule="auto"/>
        <w:rPr>
          <w:rFonts w:eastAsia="仿宋_GB2312"/>
          <w:sz w:val="24"/>
        </w:rPr>
      </w:pPr>
      <w:r>
        <w:rPr>
          <w:rFonts w:hint="eastAsia" w:eastAsia="仿宋_GB2312"/>
          <w:sz w:val="24"/>
        </w:rPr>
        <w:t>3.2.7各芯线色标方法：彩色尼龙丝编织；</w:t>
      </w:r>
    </w:p>
    <w:p>
      <w:pPr>
        <w:autoSpaceDN w:val="0"/>
        <w:spacing w:line="360" w:lineRule="auto"/>
        <w:rPr>
          <w:rFonts w:eastAsia="仿宋_GB2312"/>
          <w:sz w:val="24"/>
        </w:rPr>
      </w:pPr>
      <w:r>
        <w:rPr>
          <w:rFonts w:hint="eastAsia" w:eastAsia="仿宋_GB2312"/>
          <w:sz w:val="24"/>
        </w:rPr>
        <w:t>3.2.8电缆表皮标识：激光刻字，永久标识。</w:t>
      </w:r>
    </w:p>
    <w:p>
      <w:pPr>
        <w:autoSpaceDN w:val="0"/>
        <w:spacing w:line="360" w:lineRule="auto"/>
        <w:rPr>
          <w:rFonts w:eastAsia="仿宋_GB2312"/>
          <w:sz w:val="24"/>
        </w:rPr>
      </w:pPr>
      <w:r>
        <w:rPr>
          <w:rFonts w:hint="eastAsia" w:eastAsia="仿宋_GB2312"/>
          <w:sz w:val="24"/>
        </w:rPr>
        <w:t>3.2.9导线最高工作温度 (℃)：90 ；</w:t>
      </w:r>
    </w:p>
    <w:p>
      <w:pPr>
        <w:autoSpaceDN w:val="0"/>
        <w:spacing w:line="360" w:lineRule="auto"/>
        <w:rPr>
          <w:rFonts w:eastAsia="仿宋_GB2312"/>
          <w:sz w:val="24"/>
        </w:rPr>
      </w:pPr>
      <w:r>
        <w:rPr>
          <w:rFonts w:hint="eastAsia" w:eastAsia="仿宋_GB2312"/>
          <w:sz w:val="24"/>
        </w:rPr>
        <w:t>3.2.10短路时，导线允许的最高工作温度 (℃)：250 ；</w:t>
      </w:r>
    </w:p>
    <w:p>
      <w:pPr>
        <w:autoSpaceDN w:val="0"/>
        <w:spacing w:line="360" w:lineRule="auto"/>
        <w:rPr>
          <w:rFonts w:eastAsia="仿宋_GB2312"/>
          <w:sz w:val="24"/>
        </w:rPr>
      </w:pPr>
      <w:r>
        <w:rPr>
          <w:rFonts w:hint="eastAsia" w:eastAsia="仿宋_GB2312"/>
          <w:sz w:val="24"/>
        </w:rPr>
        <w:t>3.2.11电缆密封可靠、防水，保证在水中浸泡能够正常工作，不会漏电，符合矿用标准： EHD-CPE氯化聚乙烯护套电缆的防水性能是氯丁橡胶电缆的2倍以上。</w:t>
      </w:r>
    </w:p>
    <w:p>
      <w:pPr>
        <w:autoSpaceDN w:val="0"/>
        <w:spacing w:line="360" w:lineRule="auto"/>
        <w:rPr>
          <w:rFonts w:eastAsia="仿宋_GB2312"/>
          <w:sz w:val="24"/>
        </w:rPr>
      </w:pPr>
      <w:r>
        <w:rPr>
          <w:rFonts w:hint="eastAsia" w:eastAsia="仿宋_GB2312"/>
          <w:sz w:val="24"/>
        </w:rPr>
        <w:t>3.2.12电缆的两个端部必须有防潮防水护套。</w:t>
      </w:r>
    </w:p>
    <w:p>
      <w:pPr>
        <w:autoSpaceDN w:val="0"/>
        <w:spacing w:line="360" w:lineRule="auto"/>
        <w:ind w:firstLine="480"/>
        <w:rPr>
          <w:rFonts w:eastAsia="仿宋_GB2312"/>
          <w:sz w:val="24"/>
        </w:rPr>
      </w:pPr>
      <w:r>
        <w:rPr>
          <w:rFonts w:hint="eastAsia" w:eastAsia="仿宋_GB2312"/>
          <w:sz w:val="24"/>
        </w:rPr>
        <w:t>具体参数：</w:t>
      </w:r>
    </w:p>
    <w:tbl>
      <w:tblPr>
        <w:tblStyle w:val="6"/>
        <w:tblW w:w="8336" w:type="dxa"/>
        <w:tblInd w:w="0" w:type="dxa"/>
        <w:tblLayout w:type="fixed"/>
        <w:tblCellMar>
          <w:top w:w="0" w:type="dxa"/>
          <w:left w:w="0" w:type="dxa"/>
          <w:bottom w:w="0" w:type="dxa"/>
          <w:right w:w="0" w:type="dxa"/>
        </w:tblCellMar>
      </w:tblPr>
      <w:tblGrid>
        <w:gridCol w:w="1433"/>
        <w:gridCol w:w="1346"/>
        <w:gridCol w:w="1921"/>
        <w:gridCol w:w="1868"/>
        <w:gridCol w:w="1768"/>
      </w:tblGrid>
      <w:tr>
        <w:tblPrEx>
          <w:tblLayout w:type="fixed"/>
          <w:tblCellMar>
            <w:top w:w="0" w:type="dxa"/>
            <w:left w:w="0" w:type="dxa"/>
            <w:bottom w:w="0" w:type="dxa"/>
            <w:right w:w="0" w:type="dxa"/>
          </w:tblCellMar>
        </w:tblPrEx>
        <w:trPr>
          <w:trHeight w:val="494"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宋体" w:hAnsi="宋体" w:cs="宋体"/>
                <w:b/>
                <w:color w:val="000000"/>
                <w:szCs w:val="21"/>
              </w:rPr>
            </w:pPr>
            <w:r>
              <w:rPr>
                <w:rFonts w:hint="eastAsia" w:ascii="宋体" w:hAnsi="宋体" w:cs="宋体"/>
                <w:b/>
                <w:color w:val="000000"/>
                <w:kern w:val="0"/>
                <w:szCs w:val="21"/>
              </w:rPr>
              <w:t>序号</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宋体" w:hAnsi="宋体" w:cs="宋体"/>
                <w:b/>
                <w:color w:val="000000"/>
                <w:szCs w:val="21"/>
              </w:rPr>
            </w:pPr>
            <w:r>
              <w:rPr>
                <w:rFonts w:hint="eastAsia" w:ascii="宋体" w:hAnsi="宋体" w:cs="宋体"/>
                <w:b/>
                <w:color w:val="000000"/>
                <w:kern w:val="0"/>
                <w:szCs w:val="21"/>
              </w:rPr>
              <w:t>项目</w:t>
            </w:r>
          </w:p>
        </w:tc>
        <w:tc>
          <w:tcPr>
            <w:tcW w:w="55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宋体" w:hAnsi="宋体" w:cs="宋体"/>
                <w:b/>
                <w:color w:val="000000"/>
                <w:szCs w:val="21"/>
              </w:rPr>
            </w:pPr>
            <w:r>
              <w:rPr>
                <w:rFonts w:hint="eastAsia" w:ascii="宋体" w:hAnsi="宋体" w:cs="宋体"/>
                <w:b/>
                <w:color w:val="000000"/>
                <w:kern w:val="0"/>
                <w:szCs w:val="21"/>
              </w:rPr>
              <w:t>技术规格</w:t>
            </w:r>
          </w:p>
        </w:tc>
      </w:tr>
      <w:tr>
        <w:tblPrEx>
          <w:tblLayout w:type="fixed"/>
          <w:tblCellMar>
            <w:top w:w="0" w:type="dxa"/>
            <w:left w:w="0" w:type="dxa"/>
            <w:bottom w:w="0" w:type="dxa"/>
            <w:right w:w="0" w:type="dxa"/>
          </w:tblCellMar>
        </w:tblPrEx>
        <w:trPr>
          <w:trHeight w:val="541"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 xml:space="preserve">相线额定截面积  </w:t>
            </w:r>
            <w:r>
              <w:rPr>
                <w:rFonts w:eastAsia="仿宋_GB2312"/>
                <w:color w:val="000000"/>
                <w:kern w:val="0"/>
                <w:sz w:val="20"/>
                <w:szCs w:val="20"/>
              </w:rPr>
              <w:t>(</w:t>
            </w:r>
            <w:r>
              <w:rPr>
                <w:rStyle w:val="7"/>
                <w:rFonts w:hAnsi="宋体"/>
              </w:rPr>
              <w:t>mm</w:t>
            </w:r>
            <w:r>
              <w:rPr>
                <w:rStyle w:val="8"/>
                <w:rFonts w:hint="default"/>
              </w:rPr>
              <w:t>²</w:t>
            </w:r>
            <w:r>
              <w:rPr>
                <w:rStyle w:val="7"/>
                <w:rFonts w:hAnsi="宋体"/>
              </w:rPr>
              <w:t>)</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120</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70</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50</w:t>
            </w:r>
          </w:p>
        </w:tc>
      </w:tr>
      <w:tr>
        <w:tblPrEx>
          <w:tblLayout w:type="fixed"/>
          <w:tblCellMar>
            <w:top w:w="0" w:type="dxa"/>
            <w:left w:w="0" w:type="dxa"/>
            <w:bottom w:w="0" w:type="dxa"/>
            <w:right w:w="0" w:type="dxa"/>
          </w:tblCellMar>
        </w:tblPrEx>
        <w:trPr>
          <w:trHeight w:val="574"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highlight w:val="yellow"/>
              </w:rPr>
            </w:pPr>
            <w:r>
              <w:rPr>
                <w:rFonts w:ascii="仿宋_GB2312" w:hAnsi="宋体" w:eastAsia="仿宋_GB2312" w:cs="仿宋_GB2312"/>
                <w:color w:val="000000"/>
                <w:kern w:val="0"/>
                <w:sz w:val="20"/>
                <w:szCs w:val="20"/>
              </w:rPr>
              <w:t>相线</w:t>
            </w:r>
            <w:r>
              <w:rPr>
                <w:rFonts w:hint="eastAsia" w:ascii="仿宋_GB2312" w:hAnsi="宋体" w:eastAsia="仿宋_GB2312" w:cs="仿宋_GB2312"/>
                <w:color w:val="000000"/>
                <w:kern w:val="0"/>
                <w:sz w:val="20"/>
                <w:szCs w:val="20"/>
              </w:rPr>
              <w:t>最大直流电阻</w:t>
            </w:r>
            <w:r>
              <w:rPr>
                <w:rFonts w:ascii="仿宋_GB2312" w:hAnsi="宋体" w:eastAsia="仿宋_GB2312" w:cs="仿宋_GB2312"/>
                <w:color w:val="000000"/>
                <w:kern w:val="0"/>
                <w:sz w:val="20"/>
                <w:szCs w:val="20"/>
              </w:rPr>
              <w:t xml:space="preserve"> </w:t>
            </w:r>
            <w:r>
              <w:rPr>
                <w:rFonts w:eastAsia="仿宋_GB2312"/>
                <w:color w:val="000000"/>
                <w:kern w:val="0"/>
                <w:sz w:val="20"/>
                <w:szCs w:val="20"/>
              </w:rPr>
              <w:t>(</w:t>
            </w:r>
            <w:r>
              <w:rPr>
                <w:rStyle w:val="7"/>
                <w:rFonts w:hint="eastAsia" w:hAnsi="宋体"/>
              </w:rPr>
              <w:t>Ω/km</w:t>
            </w:r>
            <w:r>
              <w:rPr>
                <w:rStyle w:val="7"/>
                <w:rFonts w:hAnsi="宋体"/>
              </w:rPr>
              <w:t>)</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0.164</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0.277</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0.393</w:t>
            </w:r>
          </w:p>
        </w:tc>
      </w:tr>
      <w:tr>
        <w:tblPrEx>
          <w:tblLayout w:type="fixed"/>
          <w:tblCellMar>
            <w:top w:w="0" w:type="dxa"/>
            <w:left w:w="0" w:type="dxa"/>
            <w:bottom w:w="0" w:type="dxa"/>
            <w:right w:w="0" w:type="dxa"/>
          </w:tblCellMar>
        </w:tblPrEx>
        <w:trPr>
          <w:trHeight w:val="47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 xml:space="preserve">地线额定截面积  </w:t>
            </w:r>
            <w:r>
              <w:rPr>
                <w:rFonts w:eastAsia="仿宋_GB2312"/>
                <w:color w:val="000000"/>
                <w:kern w:val="0"/>
                <w:sz w:val="20"/>
                <w:szCs w:val="20"/>
              </w:rPr>
              <w:t>(</w:t>
            </w:r>
            <w:r>
              <w:rPr>
                <w:rStyle w:val="7"/>
                <w:rFonts w:hAnsi="宋体"/>
              </w:rPr>
              <w:t>mm</w:t>
            </w:r>
            <w:r>
              <w:rPr>
                <w:rStyle w:val="8"/>
                <w:rFonts w:hint="default"/>
              </w:rPr>
              <w:t>²</w:t>
            </w:r>
            <w:r>
              <w:rPr>
                <w:rStyle w:val="7"/>
                <w:rFonts w:hAnsi="宋体"/>
              </w:rPr>
              <w:t>)</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50</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25</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25</w:t>
            </w:r>
          </w:p>
        </w:tc>
      </w:tr>
      <w:tr>
        <w:tblPrEx>
          <w:tblLayout w:type="fixed"/>
          <w:tblCellMar>
            <w:top w:w="0" w:type="dxa"/>
            <w:left w:w="0" w:type="dxa"/>
            <w:bottom w:w="0" w:type="dxa"/>
            <w:right w:w="0" w:type="dxa"/>
          </w:tblCellMar>
        </w:tblPrEx>
        <w:trPr>
          <w:trHeight w:val="53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4</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 xml:space="preserve">监测线额定截面积 </w:t>
            </w:r>
            <w:r>
              <w:rPr>
                <w:rFonts w:eastAsia="仿宋_GB2312"/>
                <w:color w:val="000000"/>
                <w:kern w:val="0"/>
                <w:sz w:val="20"/>
                <w:szCs w:val="20"/>
              </w:rPr>
              <w:t>(</w:t>
            </w:r>
            <w:r>
              <w:rPr>
                <w:rStyle w:val="7"/>
                <w:rFonts w:hAnsi="宋体"/>
              </w:rPr>
              <w:t>mm</w:t>
            </w:r>
            <w:r>
              <w:rPr>
                <w:rStyle w:val="8"/>
                <w:rFonts w:hint="default"/>
              </w:rPr>
              <w:t>²</w:t>
            </w:r>
            <w:r>
              <w:rPr>
                <w:rStyle w:val="7"/>
                <w:rFonts w:hAnsi="宋体"/>
              </w:rPr>
              <w:t>)</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35</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25</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25</w:t>
            </w:r>
          </w:p>
        </w:tc>
      </w:tr>
      <w:tr>
        <w:tblPrEx>
          <w:tblLayout w:type="fixed"/>
          <w:tblCellMar>
            <w:top w:w="0" w:type="dxa"/>
            <w:left w:w="0" w:type="dxa"/>
            <w:bottom w:w="0" w:type="dxa"/>
            <w:right w:w="0" w:type="dxa"/>
          </w:tblCellMar>
        </w:tblPrEx>
        <w:trPr>
          <w:trHeight w:val="52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5</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 xml:space="preserve">额定电压  </w:t>
            </w:r>
            <w:r>
              <w:rPr>
                <w:rFonts w:eastAsia="仿宋_GB2312"/>
                <w:color w:val="000000"/>
                <w:kern w:val="0"/>
                <w:sz w:val="20"/>
                <w:szCs w:val="20"/>
              </w:rPr>
              <w:t>(kV)</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8KV</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8KV</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8KV</w:t>
            </w:r>
          </w:p>
        </w:tc>
      </w:tr>
      <w:tr>
        <w:tblPrEx>
          <w:tblLayout w:type="fixed"/>
          <w:tblCellMar>
            <w:top w:w="0" w:type="dxa"/>
            <w:left w:w="0" w:type="dxa"/>
            <w:bottom w:w="0" w:type="dxa"/>
            <w:right w:w="0" w:type="dxa"/>
          </w:tblCellMar>
        </w:tblPrEx>
        <w:trPr>
          <w:trHeight w:val="78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6</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线芯数</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3相线</w:t>
            </w:r>
            <w:r>
              <w:rPr>
                <w:rFonts w:eastAsia="仿宋_GB2312"/>
                <w:color w:val="000000"/>
                <w:kern w:val="0"/>
                <w:sz w:val="20"/>
                <w:szCs w:val="20"/>
              </w:rPr>
              <w:t>+ 2</w:t>
            </w:r>
            <w:r>
              <w:rPr>
                <w:rStyle w:val="7"/>
                <w:rFonts w:hAnsi="宋体"/>
              </w:rPr>
              <w:t xml:space="preserve">地线 </w:t>
            </w:r>
            <w:r>
              <w:rPr>
                <w:rFonts w:eastAsia="仿宋_GB2312"/>
                <w:color w:val="000000"/>
                <w:kern w:val="0"/>
                <w:sz w:val="20"/>
                <w:szCs w:val="20"/>
              </w:rPr>
              <w:t>+ 1</w:t>
            </w:r>
            <w:r>
              <w:rPr>
                <w:rStyle w:val="7"/>
                <w:rFonts w:hAnsi="宋体"/>
              </w:rPr>
              <w:t>监测线</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3相线</w:t>
            </w:r>
            <w:r>
              <w:rPr>
                <w:rFonts w:eastAsia="仿宋_GB2312"/>
                <w:color w:val="000000"/>
                <w:kern w:val="0"/>
                <w:sz w:val="20"/>
                <w:szCs w:val="20"/>
              </w:rPr>
              <w:t>+ 2</w:t>
            </w:r>
            <w:r>
              <w:rPr>
                <w:rStyle w:val="7"/>
                <w:rFonts w:hAnsi="宋体"/>
              </w:rPr>
              <w:t>地线</w:t>
            </w:r>
            <w:r>
              <w:rPr>
                <w:rFonts w:eastAsia="仿宋_GB2312"/>
                <w:color w:val="000000"/>
                <w:kern w:val="0"/>
                <w:sz w:val="20"/>
                <w:szCs w:val="20"/>
              </w:rPr>
              <w:t>+ 1</w:t>
            </w:r>
            <w:r>
              <w:rPr>
                <w:rStyle w:val="7"/>
                <w:rFonts w:hAnsi="宋体"/>
              </w:rPr>
              <w:t>监测线</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3相线</w:t>
            </w:r>
            <w:r>
              <w:rPr>
                <w:rFonts w:eastAsia="仿宋_GB2312"/>
                <w:color w:val="000000"/>
                <w:kern w:val="0"/>
                <w:sz w:val="20"/>
                <w:szCs w:val="20"/>
              </w:rPr>
              <w:t>+ 2</w:t>
            </w:r>
            <w:r>
              <w:rPr>
                <w:rStyle w:val="7"/>
                <w:rFonts w:hAnsi="宋体"/>
              </w:rPr>
              <w:t>地线</w:t>
            </w:r>
            <w:r>
              <w:rPr>
                <w:rFonts w:eastAsia="仿宋_GB2312"/>
                <w:color w:val="000000"/>
                <w:kern w:val="0"/>
                <w:sz w:val="20"/>
                <w:szCs w:val="20"/>
              </w:rPr>
              <w:t>+ 1</w:t>
            </w:r>
            <w:r>
              <w:rPr>
                <w:rStyle w:val="7"/>
                <w:rFonts w:hAnsi="宋体"/>
              </w:rPr>
              <w:t>监测线</w:t>
            </w:r>
          </w:p>
        </w:tc>
      </w:tr>
      <w:tr>
        <w:tblPrEx>
          <w:tblLayout w:type="fixed"/>
          <w:tblCellMar>
            <w:top w:w="0" w:type="dxa"/>
            <w:left w:w="0" w:type="dxa"/>
            <w:bottom w:w="0" w:type="dxa"/>
            <w:right w:w="0" w:type="dxa"/>
          </w:tblCellMar>
        </w:tblPrEx>
        <w:trPr>
          <w:trHeight w:val="76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7</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铜材类型</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ascii="仿宋_GB2312" w:hAnsi="宋体" w:eastAsia="仿宋_GB2312" w:cs="仿宋_GB2312"/>
                <w:color w:val="000000"/>
                <w:kern w:val="0"/>
                <w:sz w:val="20"/>
                <w:szCs w:val="20"/>
              </w:rPr>
              <w:t>电解铜</w:t>
            </w:r>
            <w:r>
              <w:rPr>
                <w:rFonts w:eastAsia="仿宋_GB2312"/>
                <w:color w:val="000000"/>
                <w:kern w:val="0"/>
                <w:sz w:val="20"/>
                <w:szCs w:val="20"/>
              </w:rPr>
              <w:t xml:space="preserve">, </w:t>
            </w:r>
            <w:r>
              <w:rPr>
                <w:rStyle w:val="7"/>
                <w:rFonts w:hAnsi="宋体"/>
              </w:rPr>
              <w:t>镀锡，多股</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ascii="仿宋_GB2312" w:hAnsi="宋体" w:eastAsia="仿宋_GB2312" w:cs="仿宋_GB2312"/>
                <w:color w:val="000000"/>
                <w:kern w:val="0"/>
                <w:sz w:val="20"/>
                <w:szCs w:val="20"/>
              </w:rPr>
              <w:t>电解铜</w:t>
            </w:r>
            <w:r>
              <w:rPr>
                <w:rFonts w:eastAsia="仿宋_GB2312"/>
                <w:color w:val="000000"/>
                <w:kern w:val="0"/>
                <w:sz w:val="20"/>
                <w:szCs w:val="20"/>
              </w:rPr>
              <w:t xml:space="preserve">, </w:t>
            </w:r>
            <w:r>
              <w:rPr>
                <w:rStyle w:val="7"/>
                <w:rFonts w:hAnsi="宋体"/>
              </w:rPr>
              <w:t>镀锡</w:t>
            </w:r>
            <w:r>
              <w:rPr>
                <w:rFonts w:eastAsia="仿宋_GB2312"/>
                <w:color w:val="000000"/>
                <w:kern w:val="0"/>
                <w:sz w:val="20"/>
                <w:szCs w:val="20"/>
              </w:rPr>
              <w:t xml:space="preserve">, </w:t>
            </w:r>
            <w:r>
              <w:rPr>
                <w:rStyle w:val="7"/>
                <w:rFonts w:hAnsi="宋体"/>
              </w:rPr>
              <w:t>多股</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ascii="仿宋_GB2312" w:hAnsi="宋体" w:eastAsia="仿宋_GB2312" w:cs="仿宋_GB2312"/>
                <w:color w:val="000000"/>
                <w:kern w:val="0"/>
                <w:sz w:val="20"/>
                <w:szCs w:val="20"/>
              </w:rPr>
              <w:t>电解铜</w:t>
            </w:r>
            <w:r>
              <w:rPr>
                <w:rFonts w:eastAsia="仿宋_GB2312"/>
                <w:color w:val="000000"/>
                <w:kern w:val="0"/>
                <w:sz w:val="20"/>
                <w:szCs w:val="20"/>
              </w:rPr>
              <w:t xml:space="preserve">, </w:t>
            </w:r>
            <w:r>
              <w:rPr>
                <w:rStyle w:val="7"/>
                <w:rFonts w:hAnsi="宋体"/>
              </w:rPr>
              <w:t>镀锡</w:t>
            </w:r>
            <w:r>
              <w:rPr>
                <w:rFonts w:eastAsia="仿宋_GB2312"/>
                <w:color w:val="000000"/>
                <w:kern w:val="0"/>
                <w:sz w:val="20"/>
                <w:szCs w:val="20"/>
              </w:rPr>
              <w:t xml:space="preserve">, </w:t>
            </w:r>
            <w:r>
              <w:rPr>
                <w:rStyle w:val="7"/>
                <w:rFonts w:hAnsi="宋体"/>
              </w:rPr>
              <w:t>多股</w:t>
            </w:r>
          </w:p>
        </w:tc>
      </w:tr>
      <w:tr>
        <w:tblPrEx>
          <w:tblLayout w:type="fixed"/>
          <w:tblCellMar>
            <w:top w:w="0" w:type="dxa"/>
            <w:left w:w="0" w:type="dxa"/>
            <w:bottom w:w="0" w:type="dxa"/>
            <w:right w:w="0" w:type="dxa"/>
          </w:tblCellMar>
        </w:tblPrEx>
        <w:trPr>
          <w:trHeight w:val="294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8</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屏蔽层结构</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导体屏蔽为半导电胶带和</w:t>
            </w:r>
            <w:r>
              <w:rPr>
                <w:rFonts w:eastAsia="仿宋_GB2312"/>
                <w:color w:val="000000"/>
                <w:kern w:val="0"/>
                <w:sz w:val="20"/>
                <w:szCs w:val="20"/>
              </w:rPr>
              <w:t>0.38mm</w:t>
            </w:r>
            <w:r>
              <w:rPr>
                <w:rStyle w:val="7"/>
                <w:rFonts w:hAnsi="宋体"/>
              </w:rPr>
              <w:t>挤出半导电层，绝缘屏蔽为半导电层外加铜丝彩色尼龙复合编织屏蔽（黑，白，红），最小为</w:t>
            </w:r>
            <w:r>
              <w:rPr>
                <w:rFonts w:eastAsia="仿宋_GB2312"/>
                <w:color w:val="000000"/>
                <w:kern w:val="0"/>
                <w:sz w:val="20"/>
                <w:szCs w:val="20"/>
              </w:rPr>
              <w:t>60%</w:t>
            </w:r>
            <w:r>
              <w:rPr>
                <w:rStyle w:val="7"/>
                <w:rFonts w:hAnsi="宋体"/>
              </w:rPr>
              <w:t>的铜覆盖面积。</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导体屏蔽为</w:t>
            </w:r>
            <w:r>
              <w:rPr>
                <w:rFonts w:eastAsia="仿宋_GB2312"/>
                <w:color w:val="000000"/>
                <w:kern w:val="0"/>
                <w:sz w:val="20"/>
                <w:szCs w:val="20"/>
              </w:rPr>
              <w:t>0.38mm</w:t>
            </w:r>
            <w:r>
              <w:rPr>
                <w:rStyle w:val="7"/>
                <w:rFonts w:hAnsi="宋体"/>
              </w:rPr>
              <w:t>挤出半导电层，绝缘屏蔽为半导电层外加铜丝彩色尼龙复合编织屏蔽（黑，白，红），最小为</w:t>
            </w:r>
            <w:r>
              <w:rPr>
                <w:rFonts w:eastAsia="仿宋_GB2312"/>
                <w:color w:val="000000"/>
                <w:kern w:val="0"/>
                <w:sz w:val="20"/>
                <w:szCs w:val="20"/>
              </w:rPr>
              <w:t>60%</w:t>
            </w:r>
            <w:r>
              <w:rPr>
                <w:rStyle w:val="7"/>
                <w:rFonts w:hAnsi="宋体"/>
              </w:rPr>
              <w:t>的铜覆盖面积。</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导体屏蔽为</w:t>
            </w:r>
            <w:r>
              <w:rPr>
                <w:rFonts w:eastAsia="仿宋_GB2312"/>
                <w:color w:val="000000"/>
                <w:kern w:val="0"/>
                <w:sz w:val="20"/>
                <w:szCs w:val="20"/>
              </w:rPr>
              <w:t>0.38mm</w:t>
            </w:r>
            <w:r>
              <w:rPr>
                <w:rStyle w:val="7"/>
                <w:rFonts w:hAnsi="宋体"/>
              </w:rPr>
              <w:t>挤出半导电层，绝缘屏蔽为半导电层外加铜丝彩色尼龙复合编织屏蔽（黑，白，红），最小为</w:t>
            </w:r>
            <w:r>
              <w:rPr>
                <w:rFonts w:eastAsia="仿宋_GB2312"/>
                <w:color w:val="000000"/>
                <w:kern w:val="0"/>
                <w:sz w:val="20"/>
                <w:szCs w:val="20"/>
              </w:rPr>
              <w:t>60%</w:t>
            </w:r>
            <w:r>
              <w:rPr>
                <w:rStyle w:val="7"/>
                <w:rFonts w:hAnsi="宋体"/>
              </w:rPr>
              <w:t>的铜覆盖面积。</w:t>
            </w:r>
          </w:p>
        </w:tc>
      </w:tr>
      <w:tr>
        <w:tblPrEx>
          <w:tblLayout w:type="fixed"/>
          <w:tblCellMar>
            <w:top w:w="0" w:type="dxa"/>
            <w:left w:w="0" w:type="dxa"/>
            <w:bottom w:w="0" w:type="dxa"/>
            <w:right w:w="0" w:type="dxa"/>
          </w:tblCellMar>
        </w:tblPrEx>
        <w:trPr>
          <w:trHeight w:val="54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9</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最高耐压</w:t>
            </w:r>
            <w:r>
              <w:rPr>
                <w:rFonts w:eastAsia="仿宋_GB2312"/>
                <w:color w:val="000000"/>
                <w:kern w:val="0"/>
                <w:sz w:val="20"/>
                <w:szCs w:val="20"/>
              </w:rPr>
              <w:t>( kV)</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35</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35</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35</w:t>
            </w:r>
          </w:p>
        </w:tc>
      </w:tr>
      <w:tr>
        <w:tblPrEx>
          <w:tblLayout w:type="fixed"/>
          <w:tblCellMar>
            <w:top w:w="0" w:type="dxa"/>
            <w:left w:w="0" w:type="dxa"/>
            <w:bottom w:w="0" w:type="dxa"/>
            <w:right w:w="0" w:type="dxa"/>
          </w:tblCellMar>
        </w:tblPrEx>
        <w:trPr>
          <w:trHeight w:val="52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10</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允许温升</w:t>
            </w:r>
            <w:r>
              <w:rPr>
                <w:rFonts w:eastAsia="仿宋_GB2312"/>
                <w:color w:val="000000"/>
                <w:kern w:val="0"/>
                <w:sz w:val="20"/>
                <w:szCs w:val="20"/>
              </w:rPr>
              <w:t>(</w:t>
            </w:r>
            <w:r>
              <w:rPr>
                <w:rStyle w:val="7"/>
                <w:rFonts w:hAnsi="宋体"/>
              </w:rPr>
              <w:t>°</w:t>
            </w:r>
            <w:r>
              <w:rPr>
                <w:rFonts w:eastAsia="仿宋_GB2312"/>
                <w:color w:val="000000"/>
                <w:kern w:val="0"/>
                <w:sz w:val="20"/>
                <w:szCs w:val="20"/>
              </w:rPr>
              <w:t>C)</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70</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70</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70</w:t>
            </w:r>
          </w:p>
        </w:tc>
      </w:tr>
      <w:tr>
        <w:tblPrEx>
          <w:tblLayout w:type="fixed"/>
          <w:tblCellMar>
            <w:top w:w="0" w:type="dxa"/>
            <w:left w:w="0" w:type="dxa"/>
            <w:bottom w:w="0" w:type="dxa"/>
            <w:right w:w="0" w:type="dxa"/>
          </w:tblCellMar>
        </w:tblPrEx>
        <w:trPr>
          <w:trHeight w:val="30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11</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绝缘层材质</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乙丙橡胶</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乙丙橡胶</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乙丙橡胶</w:t>
            </w:r>
          </w:p>
        </w:tc>
      </w:tr>
      <w:tr>
        <w:tblPrEx>
          <w:tblLayout w:type="fixed"/>
          <w:tblCellMar>
            <w:top w:w="0" w:type="dxa"/>
            <w:left w:w="0" w:type="dxa"/>
            <w:bottom w:w="0" w:type="dxa"/>
            <w:right w:w="0" w:type="dxa"/>
          </w:tblCellMar>
        </w:tblPrEx>
        <w:trPr>
          <w:trHeight w:val="75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12</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护套材质</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EHD CPE重型氯化聚乙烯</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EHD CPE重型氯化聚乙烯</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EHD CPE重型氯化聚乙烯</w:t>
            </w:r>
          </w:p>
        </w:tc>
      </w:tr>
      <w:tr>
        <w:tblPrEx>
          <w:tblLayout w:type="fixed"/>
          <w:tblCellMar>
            <w:top w:w="0" w:type="dxa"/>
            <w:left w:w="0" w:type="dxa"/>
            <w:bottom w:w="0" w:type="dxa"/>
            <w:right w:w="0" w:type="dxa"/>
          </w:tblCellMar>
        </w:tblPrEx>
        <w:trPr>
          <w:trHeight w:val="30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13</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护套层数</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2</w:t>
            </w:r>
          </w:p>
        </w:tc>
      </w:tr>
      <w:tr>
        <w:tblPrEx>
          <w:tblLayout w:type="fixed"/>
          <w:tblCellMar>
            <w:top w:w="0" w:type="dxa"/>
            <w:left w:w="0" w:type="dxa"/>
            <w:bottom w:w="0" w:type="dxa"/>
            <w:right w:w="0" w:type="dxa"/>
          </w:tblCellMar>
        </w:tblPrEx>
        <w:trPr>
          <w:trHeight w:val="51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14</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护套颜色</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外护套为橙色</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外护套为橙色</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外护套为橙色</w:t>
            </w:r>
          </w:p>
        </w:tc>
      </w:tr>
      <w:tr>
        <w:tblPrEx>
          <w:tblLayout w:type="fixed"/>
          <w:tblCellMar>
            <w:top w:w="0" w:type="dxa"/>
            <w:left w:w="0" w:type="dxa"/>
            <w:bottom w:w="0" w:type="dxa"/>
            <w:right w:w="0" w:type="dxa"/>
          </w:tblCellMar>
        </w:tblPrEx>
        <w:trPr>
          <w:trHeight w:val="51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15</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highlight w:val="yellow"/>
              </w:rPr>
            </w:pPr>
            <w:r>
              <w:rPr>
                <w:rFonts w:ascii="仿宋_GB2312" w:hAnsi="宋体" w:eastAsia="仿宋_GB2312" w:cs="仿宋_GB2312"/>
                <w:color w:val="000000"/>
                <w:kern w:val="0"/>
                <w:sz w:val="20"/>
                <w:szCs w:val="20"/>
              </w:rPr>
              <w:t>外护套处理工艺</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交联</w:t>
            </w:r>
            <w:r>
              <w:rPr>
                <w:rFonts w:ascii="仿宋_GB2312" w:hAnsi="宋体" w:eastAsia="仿宋_GB2312" w:cs="仿宋_GB2312"/>
                <w:color w:val="000000"/>
                <w:kern w:val="0"/>
                <w:sz w:val="20"/>
                <w:szCs w:val="20"/>
              </w:rPr>
              <w:t>硫化</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交联</w:t>
            </w:r>
            <w:r>
              <w:rPr>
                <w:rFonts w:ascii="仿宋_GB2312" w:hAnsi="宋体" w:eastAsia="仿宋_GB2312" w:cs="仿宋_GB2312"/>
                <w:color w:val="000000"/>
                <w:kern w:val="0"/>
                <w:sz w:val="20"/>
                <w:szCs w:val="20"/>
              </w:rPr>
              <w:t>硫化</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交联</w:t>
            </w:r>
            <w:r>
              <w:rPr>
                <w:rFonts w:ascii="仿宋_GB2312" w:hAnsi="宋体" w:eastAsia="仿宋_GB2312" w:cs="仿宋_GB2312"/>
                <w:color w:val="000000"/>
                <w:kern w:val="0"/>
                <w:sz w:val="20"/>
                <w:szCs w:val="20"/>
              </w:rPr>
              <w:t>硫化</w:t>
            </w:r>
          </w:p>
        </w:tc>
      </w:tr>
      <w:tr>
        <w:tblPrEx>
          <w:tblLayout w:type="fixed"/>
          <w:tblCellMar>
            <w:top w:w="0" w:type="dxa"/>
            <w:left w:w="0" w:type="dxa"/>
            <w:bottom w:w="0" w:type="dxa"/>
            <w:right w:w="0" w:type="dxa"/>
          </w:tblCellMar>
        </w:tblPrEx>
        <w:trPr>
          <w:trHeight w:val="51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16</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各芯线色标方法</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彩色尼龙丝编织</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彩色尼龙丝编织</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彩色尼龙丝编织</w:t>
            </w:r>
          </w:p>
        </w:tc>
      </w:tr>
      <w:tr>
        <w:tblPrEx>
          <w:tblLayout w:type="fixed"/>
          <w:tblCellMar>
            <w:top w:w="0" w:type="dxa"/>
            <w:left w:w="0" w:type="dxa"/>
            <w:bottom w:w="0" w:type="dxa"/>
            <w:right w:w="0" w:type="dxa"/>
          </w:tblCellMar>
        </w:tblPrEx>
        <w:trPr>
          <w:trHeight w:val="76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17</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寿命（连续</w:t>
            </w:r>
            <w:r>
              <w:rPr>
                <w:rFonts w:eastAsia="仿宋_GB2312"/>
                <w:color w:val="000000"/>
                <w:kern w:val="0"/>
                <w:sz w:val="20"/>
                <w:szCs w:val="20"/>
              </w:rPr>
              <w:t>24</w:t>
            </w:r>
            <w:r>
              <w:rPr>
                <w:rStyle w:val="7"/>
                <w:rFonts w:hAnsi="宋体"/>
              </w:rPr>
              <w:t>小时运转）年</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highlight w:val="yellow"/>
              </w:rPr>
            </w:pPr>
            <w:r>
              <w:rPr>
                <w:rFonts w:hint="eastAsia" w:ascii="仿宋_GB2312" w:hAnsi="宋体" w:eastAsia="仿宋_GB2312" w:cs="仿宋_GB2312"/>
                <w:color w:val="000000"/>
                <w:kern w:val="0"/>
                <w:sz w:val="20"/>
                <w:szCs w:val="20"/>
              </w:rPr>
              <w:t>固定敷设时</w:t>
            </w:r>
            <w:r>
              <w:rPr>
                <w:rFonts w:ascii="仿宋_GB2312" w:hAnsi="宋体" w:eastAsia="仿宋_GB2312" w:cs="仿宋_GB2312"/>
                <w:color w:val="000000"/>
                <w:kern w:val="0"/>
                <w:sz w:val="20"/>
                <w:szCs w:val="20"/>
              </w:rPr>
              <w:t>，可达到</w:t>
            </w:r>
            <w:r>
              <w:rPr>
                <w:rFonts w:eastAsia="仿宋_GB2312"/>
                <w:color w:val="000000"/>
                <w:kern w:val="0"/>
                <w:sz w:val="20"/>
                <w:szCs w:val="20"/>
              </w:rPr>
              <w:t>10-15</w:t>
            </w:r>
            <w:r>
              <w:rPr>
                <w:rStyle w:val="7"/>
                <w:rFonts w:hAnsi="宋体"/>
              </w:rPr>
              <w:t>年</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rPr>
                <w:rFonts w:eastAsia="仿宋_GB2312"/>
                <w:color w:val="000000"/>
                <w:kern w:val="0"/>
                <w:sz w:val="20"/>
                <w:szCs w:val="20"/>
                <w:highlight w:val="yellow"/>
              </w:rPr>
            </w:pPr>
            <w:r>
              <w:rPr>
                <w:rFonts w:hint="eastAsia" w:ascii="仿宋_GB2312" w:hAnsi="宋体" w:eastAsia="仿宋_GB2312" w:cs="仿宋_GB2312"/>
                <w:color w:val="000000"/>
                <w:kern w:val="0"/>
                <w:sz w:val="20"/>
                <w:szCs w:val="20"/>
              </w:rPr>
              <w:t>固定敷设时</w:t>
            </w:r>
            <w:r>
              <w:rPr>
                <w:rFonts w:ascii="仿宋_GB2312" w:hAnsi="宋体" w:eastAsia="仿宋_GB2312" w:cs="仿宋_GB2312"/>
                <w:color w:val="000000"/>
                <w:kern w:val="0"/>
                <w:sz w:val="20"/>
                <w:szCs w:val="20"/>
              </w:rPr>
              <w:t>，可达到</w:t>
            </w:r>
            <w:r>
              <w:rPr>
                <w:rFonts w:eastAsia="仿宋_GB2312"/>
                <w:color w:val="000000"/>
                <w:kern w:val="0"/>
                <w:sz w:val="20"/>
                <w:szCs w:val="20"/>
              </w:rPr>
              <w:t>10-15</w:t>
            </w:r>
            <w:r>
              <w:rPr>
                <w:rStyle w:val="7"/>
                <w:rFonts w:hAnsi="宋体"/>
              </w:rPr>
              <w:t>年</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rPr>
                <w:rFonts w:eastAsia="仿宋_GB2312"/>
                <w:color w:val="000000"/>
                <w:kern w:val="0"/>
                <w:sz w:val="20"/>
                <w:szCs w:val="20"/>
                <w:highlight w:val="yellow"/>
              </w:rPr>
            </w:pPr>
            <w:r>
              <w:rPr>
                <w:rFonts w:hint="eastAsia" w:ascii="仿宋_GB2312" w:hAnsi="宋体" w:eastAsia="仿宋_GB2312" w:cs="仿宋_GB2312"/>
                <w:color w:val="000000"/>
                <w:kern w:val="0"/>
                <w:sz w:val="20"/>
                <w:szCs w:val="20"/>
              </w:rPr>
              <w:t>固定敷设时</w:t>
            </w:r>
            <w:r>
              <w:rPr>
                <w:rFonts w:ascii="仿宋_GB2312" w:hAnsi="宋体" w:eastAsia="仿宋_GB2312" w:cs="仿宋_GB2312"/>
                <w:color w:val="000000"/>
                <w:kern w:val="0"/>
                <w:sz w:val="20"/>
                <w:szCs w:val="20"/>
              </w:rPr>
              <w:t>，可达到</w:t>
            </w:r>
            <w:r>
              <w:rPr>
                <w:rFonts w:eastAsia="仿宋_GB2312"/>
                <w:color w:val="000000"/>
                <w:kern w:val="0"/>
                <w:sz w:val="20"/>
                <w:szCs w:val="20"/>
              </w:rPr>
              <w:t>10-15</w:t>
            </w:r>
            <w:r>
              <w:rPr>
                <w:rStyle w:val="7"/>
                <w:rFonts w:hAnsi="宋体"/>
              </w:rPr>
              <w:t>年</w:t>
            </w:r>
          </w:p>
        </w:tc>
      </w:tr>
      <w:tr>
        <w:tblPrEx>
          <w:tblLayout w:type="fixed"/>
          <w:tblCellMar>
            <w:top w:w="0" w:type="dxa"/>
            <w:left w:w="0" w:type="dxa"/>
            <w:bottom w:w="0" w:type="dxa"/>
            <w:right w:w="0" w:type="dxa"/>
          </w:tblCellMar>
        </w:tblPrEx>
        <w:trPr>
          <w:trHeight w:val="525"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18</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单根电缆长度</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hint="eastAsia" w:eastAsia="仿宋_GB2312"/>
                <w:szCs w:val="21"/>
              </w:rPr>
              <w:t>300米和500米</w:t>
            </w: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hint="eastAsia" w:eastAsia="仿宋_GB2312"/>
                <w:szCs w:val="21"/>
              </w:rPr>
              <w:t>300米和500米</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rPr>
              <w:t>300</w:t>
            </w:r>
            <w:r>
              <w:rPr>
                <w:rFonts w:hint="eastAsia" w:ascii="仿宋_GB2312" w:hAnsi="宋体" w:eastAsia="仿宋_GB2312" w:cs="仿宋_GB2312"/>
                <w:color w:val="000000"/>
                <w:kern w:val="0"/>
                <w:sz w:val="20"/>
                <w:szCs w:val="20"/>
              </w:rPr>
              <w:t>米</w:t>
            </w:r>
          </w:p>
        </w:tc>
      </w:tr>
      <w:tr>
        <w:tblPrEx>
          <w:tblLayout w:type="fixed"/>
          <w:tblCellMar>
            <w:top w:w="0" w:type="dxa"/>
            <w:left w:w="0" w:type="dxa"/>
            <w:bottom w:w="0" w:type="dxa"/>
            <w:right w:w="0" w:type="dxa"/>
          </w:tblCellMar>
        </w:tblPrEx>
        <w:trPr>
          <w:trHeight w:val="90" w:hRule="atLeast"/>
        </w:trPr>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_GB2312" w:hAnsi="宋体" w:eastAsia="仿宋_GB2312" w:cs="仿宋_GB2312"/>
                <w:color w:val="000000"/>
                <w:kern w:val="0"/>
                <w:sz w:val="20"/>
                <w:szCs w:val="20"/>
              </w:rPr>
            </w:pP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eastAsia="仿宋_GB2312"/>
                <w:szCs w:val="21"/>
              </w:rPr>
            </w:pPr>
          </w:p>
        </w:tc>
        <w:tc>
          <w:tcPr>
            <w:tcW w:w="1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eastAsia="仿宋_GB2312"/>
                <w:szCs w:val="21"/>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_GB2312" w:hAnsi="宋体" w:eastAsia="仿宋_GB2312" w:cs="仿宋_GB2312"/>
                <w:color w:val="000000"/>
                <w:kern w:val="0"/>
                <w:sz w:val="20"/>
                <w:szCs w:val="20"/>
              </w:rPr>
            </w:pPr>
          </w:p>
        </w:tc>
      </w:tr>
    </w:tbl>
    <w:p>
      <w:pPr>
        <w:autoSpaceDN w:val="0"/>
        <w:spacing w:line="360" w:lineRule="auto"/>
        <w:rPr>
          <w:rFonts w:eastAsia="仿宋_GB2312"/>
          <w:b/>
          <w:bCs/>
          <w:sz w:val="24"/>
        </w:rPr>
      </w:pPr>
      <w:r>
        <w:rPr>
          <w:rFonts w:hint="eastAsia" w:eastAsia="仿宋_GB2312"/>
          <w:b/>
          <w:bCs/>
          <w:sz w:val="24"/>
        </w:rPr>
        <w:t>3.3电缆出厂试验（不仅限于此）</w:t>
      </w:r>
    </w:p>
    <w:p>
      <w:pPr>
        <w:autoSpaceDN w:val="0"/>
        <w:spacing w:line="360" w:lineRule="auto"/>
        <w:ind w:left="480" w:hanging="480" w:hangingChars="200"/>
        <w:rPr>
          <w:rFonts w:eastAsia="仿宋_GB2312"/>
          <w:sz w:val="24"/>
        </w:rPr>
      </w:pPr>
      <w:r>
        <w:rPr>
          <w:rFonts w:hint="eastAsia" w:eastAsia="仿宋_GB2312"/>
          <w:sz w:val="24"/>
        </w:rPr>
        <w:t>3.3.1耐压试验：出厂时作18KV，5分钟交流电压试验；45KV，15分钟直流电压试验。</w:t>
      </w:r>
    </w:p>
    <w:p>
      <w:pPr>
        <w:autoSpaceDN w:val="0"/>
        <w:spacing w:line="360" w:lineRule="auto"/>
        <w:rPr>
          <w:rFonts w:eastAsia="仿宋_GB2312"/>
          <w:sz w:val="24"/>
        </w:rPr>
      </w:pPr>
      <w:r>
        <w:rPr>
          <w:rFonts w:hint="eastAsia" w:eastAsia="仿宋_GB2312"/>
          <w:sz w:val="24"/>
        </w:rPr>
        <w:t>3.3.2矿用条件下的机械外力冲击试验</w:t>
      </w:r>
    </w:p>
    <w:p>
      <w:pPr>
        <w:autoSpaceDN w:val="0"/>
        <w:spacing w:line="360" w:lineRule="auto"/>
        <w:ind w:left="479" w:leftChars="228"/>
        <w:rPr>
          <w:rFonts w:eastAsia="仿宋_GB2312"/>
          <w:sz w:val="24"/>
        </w:rPr>
      </w:pPr>
      <w:r>
        <w:rPr>
          <w:rFonts w:hint="eastAsia" w:eastAsia="仿宋_GB2312"/>
          <w:sz w:val="24"/>
        </w:rPr>
        <w:t>EHD-CPE重型氯化聚乙烯护套电缆可以在-40℃通过20磅/英尺的冲击试验。-50℃通过9磅/英尺的冲击试验。</w:t>
      </w:r>
    </w:p>
    <w:p>
      <w:pPr>
        <w:autoSpaceDN w:val="0"/>
        <w:spacing w:line="360" w:lineRule="auto"/>
        <w:ind w:left="480" w:hanging="480" w:hangingChars="200"/>
        <w:rPr>
          <w:rFonts w:eastAsia="仿宋_GB2312"/>
          <w:sz w:val="24"/>
        </w:rPr>
      </w:pPr>
      <w:r>
        <w:rPr>
          <w:rFonts w:hint="eastAsia" w:eastAsia="仿宋_GB2312"/>
          <w:sz w:val="24"/>
        </w:rPr>
        <w:t>3.3.3电缆出厂前必须抽样做局部放电试验，每种规格电缆在厂内抽取一卷做测试。</w:t>
      </w:r>
    </w:p>
    <w:p>
      <w:pPr>
        <w:tabs>
          <w:tab w:val="left" w:pos="1080"/>
          <w:tab w:val="left" w:pos="2520"/>
        </w:tabs>
        <w:autoSpaceDN w:val="0"/>
        <w:spacing w:line="360" w:lineRule="auto"/>
        <w:rPr>
          <w:rFonts w:eastAsia="仿宋_GB2312"/>
          <w:b/>
          <w:bCs/>
          <w:sz w:val="24"/>
        </w:rPr>
      </w:pPr>
      <w:r>
        <w:rPr>
          <w:rFonts w:hint="eastAsia" w:eastAsia="仿宋_GB2312"/>
          <w:b/>
          <w:bCs/>
          <w:sz w:val="24"/>
        </w:rPr>
        <w:t>3.4一般性技术要求</w:t>
      </w:r>
    </w:p>
    <w:p>
      <w:pPr>
        <w:autoSpaceDN w:val="0"/>
        <w:spacing w:line="360" w:lineRule="auto"/>
        <w:rPr>
          <w:rFonts w:eastAsia="仿宋_GB2312"/>
          <w:sz w:val="24"/>
        </w:rPr>
      </w:pPr>
      <w:r>
        <w:rPr>
          <w:rFonts w:hint="eastAsia" w:eastAsia="仿宋_GB2312"/>
          <w:sz w:val="24"/>
        </w:rPr>
        <w:t>3.4.1所有设备的制造、测试和安装均满足以下标准的有关规定：</w:t>
      </w:r>
    </w:p>
    <w:p>
      <w:pPr>
        <w:autoSpaceDN w:val="0"/>
        <w:spacing w:line="360" w:lineRule="auto"/>
        <w:ind w:firstLine="480" w:firstLineChars="200"/>
        <w:rPr>
          <w:rFonts w:eastAsia="仿宋_GB2312"/>
          <w:sz w:val="24"/>
        </w:rPr>
      </w:pPr>
      <w:r>
        <w:rPr>
          <w:rFonts w:hint="eastAsia" w:eastAsia="仿宋_GB2312"/>
          <w:sz w:val="24"/>
        </w:rPr>
        <w:t>国际标准化组织（ISO）</w:t>
      </w:r>
    </w:p>
    <w:p>
      <w:pPr>
        <w:autoSpaceDN w:val="0"/>
        <w:spacing w:line="360" w:lineRule="auto"/>
        <w:ind w:firstLine="480" w:firstLineChars="200"/>
        <w:rPr>
          <w:rFonts w:eastAsia="仿宋_GB2312"/>
          <w:sz w:val="24"/>
        </w:rPr>
      </w:pPr>
      <w:r>
        <w:rPr>
          <w:rFonts w:hint="eastAsia" w:eastAsia="仿宋_GB2312"/>
          <w:sz w:val="24"/>
        </w:rPr>
        <w:t>煤矿用电缆（MT818）</w:t>
      </w:r>
    </w:p>
    <w:p>
      <w:pPr>
        <w:autoSpaceDN w:val="0"/>
        <w:spacing w:line="360" w:lineRule="auto"/>
        <w:rPr>
          <w:rFonts w:eastAsia="仿宋_GB2312"/>
          <w:sz w:val="24"/>
        </w:rPr>
      </w:pPr>
      <w:r>
        <w:rPr>
          <w:rFonts w:hint="eastAsia" w:eastAsia="仿宋_GB2312"/>
          <w:sz w:val="24"/>
        </w:rPr>
        <w:t>执行技术标准：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3"/>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名称</w:t>
            </w:r>
          </w:p>
        </w:tc>
        <w:tc>
          <w:tcPr>
            <w:tcW w:w="4679" w:type="dxa"/>
          </w:tcPr>
          <w:p>
            <w:pPr>
              <w:autoSpaceDN w:val="0"/>
              <w:spacing w:line="360" w:lineRule="auto"/>
              <w:rPr>
                <w:rFonts w:eastAsia="仿宋_GB2312"/>
                <w:sz w:val="24"/>
              </w:rPr>
            </w:pPr>
            <w:r>
              <w:rPr>
                <w:rFonts w:hint="eastAsia" w:eastAsia="仿宋_GB2312"/>
                <w:sz w:val="24"/>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8" w:hRule="atLeast"/>
        </w:trPr>
        <w:tc>
          <w:tcPr>
            <w:tcW w:w="3843" w:type="dxa"/>
          </w:tcPr>
          <w:p>
            <w:pPr>
              <w:autoSpaceDN w:val="0"/>
              <w:spacing w:line="360" w:lineRule="auto"/>
              <w:rPr>
                <w:rFonts w:eastAsia="仿宋_GB2312"/>
                <w:sz w:val="24"/>
              </w:rPr>
            </w:pPr>
            <w:r>
              <w:rPr>
                <w:rFonts w:hint="eastAsia" w:eastAsia="仿宋_GB2312"/>
                <w:sz w:val="24"/>
              </w:rPr>
              <w:t>耐油</w:t>
            </w:r>
          </w:p>
        </w:tc>
        <w:tc>
          <w:tcPr>
            <w:tcW w:w="4679" w:type="dxa"/>
          </w:tcPr>
          <w:p>
            <w:pPr>
              <w:autoSpaceDN w:val="0"/>
              <w:spacing w:line="360" w:lineRule="auto"/>
              <w:rPr>
                <w:rFonts w:eastAsia="仿宋_GB2312"/>
                <w:sz w:val="24"/>
              </w:rPr>
            </w:pPr>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阻燃性</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抗绞接</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抗磨损</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抗老化</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内护套标准</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外护套标准</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相线标准</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地线标准</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 w:hRule="atLeast"/>
        </w:trPr>
        <w:tc>
          <w:tcPr>
            <w:tcW w:w="3843" w:type="dxa"/>
          </w:tcPr>
          <w:p>
            <w:pPr>
              <w:autoSpaceDN w:val="0"/>
              <w:spacing w:line="360" w:lineRule="auto"/>
              <w:rPr>
                <w:rFonts w:eastAsia="仿宋_GB2312"/>
                <w:sz w:val="24"/>
              </w:rPr>
            </w:pPr>
            <w:r>
              <w:rPr>
                <w:rFonts w:hint="eastAsia" w:eastAsia="仿宋_GB2312"/>
                <w:sz w:val="24"/>
              </w:rPr>
              <w:t>地线监测线标准</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拉伸断裂    ( %)</w:t>
            </w:r>
          </w:p>
        </w:tc>
        <w:tc>
          <w:tcPr>
            <w:tcW w:w="4679" w:type="dxa"/>
          </w:tcPr>
          <w:p>
            <w:r>
              <w:rPr>
                <w:rFonts w:hint="eastAsia" w:eastAsia="仿宋_GB2312"/>
                <w:sz w:val="24"/>
              </w:rPr>
              <w:t>MT818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 w:hRule="atLeast"/>
        </w:trPr>
        <w:tc>
          <w:tcPr>
            <w:tcW w:w="3843" w:type="dxa"/>
          </w:tcPr>
          <w:p>
            <w:pPr>
              <w:autoSpaceDN w:val="0"/>
              <w:spacing w:line="360" w:lineRule="auto"/>
              <w:rPr>
                <w:rFonts w:eastAsia="仿宋_GB2312"/>
                <w:sz w:val="24"/>
              </w:rPr>
            </w:pPr>
            <w:r>
              <w:rPr>
                <w:rFonts w:hint="eastAsia" w:eastAsia="仿宋_GB2312"/>
                <w:sz w:val="24"/>
              </w:rPr>
              <w:t>拉伸强度     ( MPa )</w:t>
            </w:r>
          </w:p>
        </w:tc>
        <w:tc>
          <w:tcPr>
            <w:tcW w:w="4679" w:type="dxa"/>
          </w:tcPr>
          <w:p>
            <w:r>
              <w:rPr>
                <w:rFonts w:hint="eastAsia" w:eastAsia="仿宋_GB2312"/>
                <w:sz w:val="24"/>
              </w:rPr>
              <w:t>MT818</w:t>
            </w:r>
          </w:p>
        </w:tc>
      </w:tr>
    </w:tbl>
    <w:p>
      <w:pPr>
        <w:autoSpaceDN w:val="0"/>
        <w:spacing w:line="360" w:lineRule="auto"/>
        <w:rPr>
          <w:rFonts w:hint="eastAsia" w:eastAsia="仿宋_GB2312"/>
          <w:b/>
          <w:bCs/>
          <w:sz w:val="24"/>
        </w:rPr>
      </w:pPr>
      <w:bookmarkStart w:id="19" w:name="_Toc461981381"/>
      <w:bookmarkStart w:id="20" w:name="_Toc384037454"/>
      <w:bookmarkStart w:id="21" w:name="_Toc119228004"/>
      <w:bookmarkStart w:id="22" w:name="_Toc121030615"/>
      <w:r>
        <w:rPr>
          <w:rFonts w:hint="eastAsia" w:eastAsia="仿宋_GB2312"/>
          <w:b/>
          <w:bCs/>
          <w:sz w:val="24"/>
          <w:lang w:val="en-US" w:eastAsia="zh-CN"/>
        </w:rPr>
        <w:t>4.</w:t>
      </w:r>
      <w:r>
        <w:rPr>
          <w:rFonts w:hint="eastAsia" w:eastAsia="仿宋_GB2312"/>
          <w:b/>
          <w:bCs/>
          <w:sz w:val="24"/>
        </w:rPr>
        <w:t>供货范围及伴随服务</w:t>
      </w:r>
      <w:bookmarkEnd w:id="19"/>
    </w:p>
    <w:p>
      <w:pPr>
        <w:autoSpaceDN w:val="0"/>
        <w:spacing w:line="360" w:lineRule="auto"/>
        <w:rPr>
          <w:rFonts w:eastAsia="仿宋_GB2312"/>
          <w:b/>
          <w:bCs/>
          <w:sz w:val="24"/>
        </w:rPr>
      </w:pPr>
      <w:r>
        <w:rPr>
          <w:rFonts w:hint="eastAsia" w:eastAsia="仿宋_GB2312"/>
          <w:b/>
          <w:bCs/>
          <w:sz w:val="24"/>
        </w:rPr>
        <w:t>4.1</w:t>
      </w:r>
      <w:r>
        <w:rPr>
          <w:rFonts w:eastAsia="仿宋_GB2312"/>
          <w:b/>
          <w:bCs/>
          <w:sz w:val="24"/>
        </w:rPr>
        <w:t>*</w:t>
      </w:r>
      <w:r>
        <w:rPr>
          <w:rFonts w:hint="eastAsia" w:eastAsia="仿宋_GB2312"/>
          <w:b/>
          <w:bCs/>
          <w:sz w:val="24"/>
        </w:rPr>
        <w:t>完整的、全新的、符合制造标准的、满足本合同及所有技术附件规定和要求的8KV矿用拖曳电缆共8600m，包括木制电缆卷筒。</w:t>
      </w:r>
    </w:p>
    <w:p>
      <w:pPr>
        <w:autoSpaceDN w:val="0"/>
        <w:spacing w:line="360" w:lineRule="auto"/>
        <w:ind w:firstLine="480" w:firstLineChars="200"/>
        <w:rPr>
          <w:sz w:val="28"/>
        </w:rPr>
      </w:pPr>
      <w:r>
        <w:rPr>
          <w:rFonts w:hint="eastAsia" w:eastAsia="仿宋_GB2312"/>
          <w:sz w:val="24"/>
        </w:rPr>
        <w:t xml:space="preserve">供货明细见下表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2"/>
        <w:gridCol w:w="4708"/>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862" w:type="dxa"/>
            <w:vAlign w:val="center"/>
          </w:tcPr>
          <w:p>
            <w:pPr>
              <w:jc w:val="center"/>
              <w:rPr>
                <w:rFonts w:ascii="宋体" w:hAnsi="宋体"/>
                <w:b/>
                <w:szCs w:val="21"/>
              </w:rPr>
            </w:pPr>
            <w:r>
              <w:rPr>
                <w:rFonts w:hint="eastAsia" w:ascii="宋体" w:hAnsi="宋体"/>
                <w:b/>
                <w:szCs w:val="21"/>
              </w:rPr>
              <w:t>序号</w:t>
            </w:r>
          </w:p>
        </w:tc>
        <w:tc>
          <w:tcPr>
            <w:tcW w:w="4708" w:type="dxa"/>
            <w:vAlign w:val="center"/>
          </w:tcPr>
          <w:p>
            <w:pPr>
              <w:jc w:val="center"/>
              <w:rPr>
                <w:rFonts w:ascii="宋体" w:hAnsi="宋体"/>
                <w:b/>
                <w:szCs w:val="21"/>
              </w:rPr>
            </w:pPr>
            <w:r>
              <w:rPr>
                <w:rFonts w:hint="eastAsia" w:ascii="宋体" w:hAnsi="宋体"/>
                <w:b/>
                <w:szCs w:val="21"/>
              </w:rPr>
              <w:t>货物名称</w:t>
            </w:r>
          </w:p>
        </w:tc>
        <w:tc>
          <w:tcPr>
            <w:tcW w:w="1952" w:type="dxa"/>
            <w:vAlign w:val="center"/>
          </w:tcPr>
          <w:p>
            <w:pPr>
              <w:widowControl/>
              <w:jc w:val="center"/>
              <w:rPr>
                <w:rFonts w:ascii="宋体" w:hAnsi="宋体"/>
                <w:b/>
                <w:szCs w:val="21"/>
              </w:rPr>
            </w:pPr>
            <w:r>
              <w:rPr>
                <w:rFonts w:hint="eastAsia" w:ascii="宋体" w:hAnsi="宋体"/>
                <w:b/>
                <w:szCs w:val="21"/>
              </w:rPr>
              <w:t>总数量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862" w:type="dxa"/>
          </w:tcPr>
          <w:p>
            <w:pPr>
              <w:autoSpaceDN w:val="0"/>
              <w:spacing w:line="360" w:lineRule="auto"/>
              <w:ind w:firstLine="480" w:firstLineChars="200"/>
              <w:rPr>
                <w:rFonts w:eastAsia="仿宋_GB2312"/>
                <w:sz w:val="24"/>
              </w:rPr>
            </w:pPr>
            <w:r>
              <w:rPr>
                <w:rFonts w:hint="eastAsia" w:eastAsia="仿宋_GB2312"/>
                <w:sz w:val="24"/>
              </w:rPr>
              <w:t>1</w:t>
            </w:r>
          </w:p>
        </w:tc>
        <w:tc>
          <w:tcPr>
            <w:tcW w:w="4708" w:type="dxa"/>
          </w:tcPr>
          <w:p>
            <w:pPr>
              <w:autoSpaceDN w:val="0"/>
              <w:spacing w:line="360" w:lineRule="auto"/>
              <w:ind w:firstLine="480" w:firstLineChars="200"/>
              <w:rPr>
                <w:rFonts w:eastAsia="仿宋_GB2312"/>
                <w:sz w:val="24"/>
              </w:rPr>
            </w:pPr>
            <w:r>
              <w:rPr>
                <w:rFonts w:hint="eastAsia" w:eastAsia="仿宋_GB2312"/>
                <w:sz w:val="24"/>
              </w:rPr>
              <w:t>8kv矿用拖曳电缆120mm</w:t>
            </w:r>
            <w:r>
              <w:rPr>
                <w:rFonts w:hint="eastAsia" w:eastAsia="仿宋_GB2312"/>
                <w:sz w:val="24"/>
                <w:vertAlign w:val="superscript"/>
              </w:rPr>
              <w:t xml:space="preserve">2 </w:t>
            </w:r>
          </w:p>
        </w:tc>
        <w:tc>
          <w:tcPr>
            <w:tcW w:w="1952" w:type="dxa"/>
            <w:vAlign w:val="center"/>
          </w:tcPr>
          <w:p>
            <w:pPr>
              <w:autoSpaceDN w:val="0"/>
              <w:spacing w:line="360" w:lineRule="auto"/>
              <w:ind w:firstLine="480" w:firstLineChars="200"/>
              <w:rPr>
                <w:rFonts w:eastAsia="仿宋_GB2312"/>
                <w:sz w:val="24"/>
              </w:rPr>
            </w:pPr>
            <w:r>
              <w:rPr>
                <w:rFonts w:hint="eastAsia" w:eastAsia="仿宋_GB2312"/>
                <w:sz w:val="24"/>
              </w:rPr>
              <w:t>4000m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862" w:type="dxa"/>
          </w:tcPr>
          <w:p>
            <w:pPr>
              <w:autoSpaceDN w:val="0"/>
              <w:spacing w:line="360" w:lineRule="auto"/>
              <w:ind w:firstLine="480" w:firstLineChars="200"/>
              <w:rPr>
                <w:rFonts w:eastAsia="仿宋_GB2312"/>
                <w:sz w:val="24"/>
              </w:rPr>
            </w:pPr>
            <w:r>
              <w:rPr>
                <w:rFonts w:hint="eastAsia" w:eastAsia="仿宋_GB2312"/>
                <w:sz w:val="24"/>
              </w:rPr>
              <w:t>2</w:t>
            </w:r>
          </w:p>
        </w:tc>
        <w:tc>
          <w:tcPr>
            <w:tcW w:w="4708" w:type="dxa"/>
          </w:tcPr>
          <w:p>
            <w:pPr>
              <w:autoSpaceDN w:val="0"/>
              <w:spacing w:line="360" w:lineRule="auto"/>
              <w:ind w:firstLine="480" w:firstLineChars="200"/>
              <w:rPr>
                <w:rFonts w:eastAsia="仿宋_GB2312"/>
                <w:sz w:val="24"/>
              </w:rPr>
            </w:pPr>
            <w:r>
              <w:rPr>
                <w:rFonts w:hint="eastAsia" w:eastAsia="仿宋_GB2312"/>
                <w:sz w:val="24"/>
              </w:rPr>
              <w:t>8kv矿用拖曳电缆70mm</w:t>
            </w:r>
            <w:r>
              <w:rPr>
                <w:rFonts w:hint="eastAsia" w:eastAsia="仿宋_GB2312"/>
                <w:sz w:val="24"/>
                <w:vertAlign w:val="superscript"/>
              </w:rPr>
              <w:t>2</w:t>
            </w:r>
            <w:r>
              <w:rPr>
                <w:rFonts w:hint="eastAsia" w:eastAsia="仿宋_GB2312"/>
                <w:sz w:val="24"/>
              </w:rPr>
              <w:t xml:space="preserve"> </w:t>
            </w:r>
          </w:p>
        </w:tc>
        <w:tc>
          <w:tcPr>
            <w:tcW w:w="1952" w:type="dxa"/>
            <w:vAlign w:val="center"/>
          </w:tcPr>
          <w:p>
            <w:pPr>
              <w:autoSpaceDN w:val="0"/>
              <w:spacing w:line="360" w:lineRule="auto"/>
              <w:ind w:firstLine="480" w:firstLineChars="200"/>
              <w:rPr>
                <w:rFonts w:eastAsia="仿宋_GB2312"/>
                <w:sz w:val="24"/>
              </w:rPr>
            </w:pPr>
            <w:r>
              <w:rPr>
                <w:rFonts w:hint="eastAsia" w:eastAsia="仿宋_GB2312"/>
                <w:sz w:val="24"/>
              </w:rPr>
              <w:t>4000m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862" w:type="dxa"/>
          </w:tcPr>
          <w:p>
            <w:pPr>
              <w:autoSpaceDN w:val="0"/>
              <w:spacing w:line="360" w:lineRule="auto"/>
              <w:ind w:firstLine="480" w:firstLineChars="200"/>
              <w:rPr>
                <w:rFonts w:eastAsia="仿宋_GB2312"/>
                <w:sz w:val="24"/>
              </w:rPr>
            </w:pPr>
            <w:r>
              <w:rPr>
                <w:rFonts w:hint="eastAsia" w:eastAsia="仿宋_GB2312"/>
                <w:sz w:val="24"/>
              </w:rPr>
              <w:t>3</w:t>
            </w:r>
          </w:p>
        </w:tc>
        <w:tc>
          <w:tcPr>
            <w:tcW w:w="4708" w:type="dxa"/>
          </w:tcPr>
          <w:p>
            <w:pPr>
              <w:autoSpaceDN w:val="0"/>
              <w:spacing w:line="360" w:lineRule="auto"/>
              <w:ind w:firstLine="480" w:firstLineChars="200"/>
              <w:rPr>
                <w:rFonts w:eastAsia="仿宋_GB2312"/>
                <w:sz w:val="24"/>
              </w:rPr>
            </w:pPr>
            <w:r>
              <w:rPr>
                <w:rFonts w:hint="eastAsia" w:eastAsia="仿宋_GB2312"/>
                <w:sz w:val="24"/>
              </w:rPr>
              <w:t>8kv矿用拖曳电缆50mm</w:t>
            </w:r>
            <w:r>
              <w:rPr>
                <w:rFonts w:hint="eastAsia" w:eastAsia="仿宋_GB2312"/>
                <w:sz w:val="24"/>
                <w:vertAlign w:val="superscript"/>
              </w:rPr>
              <w:t>2</w:t>
            </w:r>
            <w:r>
              <w:rPr>
                <w:rFonts w:hint="eastAsia" w:eastAsia="仿宋_GB2312"/>
                <w:sz w:val="24"/>
              </w:rPr>
              <w:t xml:space="preserve"> </w:t>
            </w:r>
          </w:p>
        </w:tc>
        <w:tc>
          <w:tcPr>
            <w:tcW w:w="1952" w:type="dxa"/>
            <w:vAlign w:val="center"/>
          </w:tcPr>
          <w:p>
            <w:pPr>
              <w:autoSpaceDN w:val="0"/>
              <w:spacing w:line="360" w:lineRule="auto"/>
              <w:ind w:firstLine="480" w:firstLineChars="200"/>
              <w:rPr>
                <w:rFonts w:eastAsia="仿宋_GB2312"/>
                <w:sz w:val="24"/>
              </w:rPr>
            </w:pPr>
            <w:r>
              <w:rPr>
                <w:rFonts w:hint="eastAsia" w:eastAsia="仿宋_GB2312"/>
                <w:sz w:val="24"/>
              </w:rPr>
              <w:t>600m</w:t>
            </w:r>
          </w:p>
        </w:tc>
      </w:tr>
    </w:tbl>
    <w:p>
      <w:pPr>
        <w:autoSpaceDN w:val="0"/>
        <w:spacing w:line="680" w:lineRule="exact"/>
        <w:jc w:val="both"/>
        <w:rPr>
          <w:rFonts w:hint="eastAsia" w:eastAsia="仿宋_GB2312"/>
          <w:b/>
          <w:bCs/>
          <w:sz w:val="21"/>
          <w:szCs w:val="21"/>
          <w:lang w:val="en-US" w:eastAsia="zh-CN"/>
        </w:rPr>
      </w:pPr>
      <w:bookmarkStart w:id="23" w:name="_Toc461981384"/>
      <w:bookmarkStart w:id="24" w:name="_Toc384037455"/>
      <w:r>
        <w:rPr>
          <w:rFonts w:hint="eastAsia" w:eastAsia="仿宋_GB2312"/>
          <w:b/>
          <w:bCs/>
          <w:sz w:val="21"/>
          <w:szCs w:val="21"/>
          <w:lang w:val="en-US" w:eastAsia="zh-CN"/>
        </w:rPr>
        <w:t>5.技术资料及交付时间</w:t>
      </w:r>
      <w:bookmarkEnd w:id="23"/>
      <w:bookmarkEnd w:id="24"/>
    </w:p>
    <w:p>
      <w:pPr>
        <w:tabs>
          <w:tab w:val="left" w:pos="945"/>
        </w:tabs>
        <w:snapToGrid w:val="0"/>
        <w:spacing w:line="360" w:lineRule="auto"/>
        <w:rPr>
          <w:rFonts w:hint="eastAsia" w:eastAsia="仿宋_GB2312"/>
          <w:b/>
          <w:bCs/>
          <w:sz w:val="24"/>
        </w:rPr>
      </w:pPr>
      <w:r>
        <w:rPr>
          <w:rFonts w:hint="eastAsia" w:eastAsia="仿宋_GB2312"/>
          <w:b/>
          <w:bCs/>
          <w:sz w:val="24"/>
        </w:rPr>
        <w:t>5.1*卖方必须提供下表所列技术资料(但不限于此)，并按下表要求时间交货。</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3760"/>
        <w:gridCol w:w="1867"/>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2" w:type="dxa"/>
          </w:tcPr>
          <w:p>
            <w:pPr>
              <w:jc w:val="center"/>
              <w:rPr>
                <w:rFonts w:ascii="宋体" w:hAnsi="宋体"/>
                <w:b/>
                <w:szCs w:val="21"/>
              </w:rPr>
            </w:pPr>
            <w:r>
              <w:rPr>
                <w:rFonts w:hint="eastAsia" w:ascii="宋体" w:hAnsi="宋体"/>
                <w:b/>
                <w:szCs w:val="21"/>
              </w:rPr>
              <w:t>序号</w:t>
            </w:r>
          </w:p>
        </w:tc>
        <w:tc>
          <w:tcPr>
            <w:tcW w:w="3760" w:type="dxa"/>
          </w:tcPr>
          <w:p>
            <w:pPr>
              <w:jc w:val="center"/>
              <w:rPr>
                <w:rFonts w:ascii="宋体" w:hAnsi="宋体"/>
                <w:b/>
                <w:szCs w:val="21"/>
              </w:rPr>
            </w:pPr>
            <w:r>
              <w:rPr>
                <w:rFonts w:hint="eastAsia" w:ascii="宋体" w:hAnsi="宋体"/>
                <w:b/>
                <w:szCs w:val="21"/>
              </w:rPr>
              <w:t>名称</w:t>
            </w:r>
          </w:p>
        </w:tc>
        <w:tc>
          <w:tcPr>
            <w:tcW w:w="1867" w:type="dxa"/>
          </w:tcPr>
          <w:p>
            <w:pPr>
              <w:jc w:val="center"/>
              <w:rPr>
                <w:rFonts w:ascii="宋体" w:hAnsi="宋体"/>
                <w:b/>
                <w:szCs w:val="21"/>
              </w:rPr>
            </w:pPr>
            <w:r>
              <w:rPr>
                <w:rFonts w:hint="eastAsia" w:ascii="宋体" w:hAnsi="宋体"/>
                <w:b/>
                <w:szCs w:val="21"/>
              </w:rPr>
              <w:t>数量</w:t>
            </w:r>
          </w:p>
        </w:tc>
        <w:tc>
          <w:tcPr>
            <w:tcW w:w="2083" w:type="dxa"/>
          </w:tcPr>
          <w:p>
            <w:pPr>
              <w:jc w:val="center"/>
              <w:rPr>
                <w:rFonts w:ascii="宋体" w:hAnsi="宋体"/>
                <w:b/>
                <w:szCs w:val="21"/>
              </w:rPr>
            </w:pPr>
            <w:r>
              <w:rPr>
                <w:rFonts w:hint="eastAsia" w:ascii="宋体" w:hAnsi="宋体"/>
                <w:b/>
                <w:szCs w:val="21"/>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812" w:type="dxa"/>
          </w:tcPr>
          <w:p>
            <w:pPr>
              <w:autoSpaceDN w:val="0"/>
              <w:spacing w:line="360" w:lineRule="auto"/>
              <w:jc w:val="center"/>
              <w:rPr>
                <w:rFonts w:eastAsia="仿宋_GB2312"/>
                <w:sz w:val="24"/>
              </w:rPr>
            </w:pPr>
            <w:r>
              <w:rPr>
                <w:rFonts w:hint="eastAsia" w:eastAsia="仿宋_GB2312"/>
                <w:sz w:val="24"/>
              </w:rPr>
              <w:t>1</w:t>
            </w:r>
          </w:p>
        </w:tc>
        <w:tc>
          <w:tcPr>
            <w:tcW w:w="3760" w:type="dxa"/>
          </w:tcPr>
          <w:p>
            <w:pPr>
              <w:autoSpaceDN w:val="0"/>
              <w:spacing w:line="360" w:lineRule="auto"/>
              <w:jc w:val="left"/>
              <w:rPr>
                <w:rFonts w:eastAsia="仿宋_GB2312"/>
                <w:sz w:val="24"/>
              </w:rPr>
            </w:pPr>
            <w:r>
              <w:rPr>
                <w:rFonts w:hint="eastAsia" w:eastAsia="仿宋_GB2312"/>
                <w:sz w:val="24"/>
              </w:rPr>
              <w:t>电缆安装说明书（用户手册）</w:t>
            </w:r>
          </w:p>
        </w:tc>
        <w:tc>
          <w:tcPr>
            <w:tcW w:w="1867" w:type="dxa"/>
          </w:tcPr>
          <w:p>
            <w:pPr>
              <w:autoSpaceDN w:val="0"/>
              <w:spacing w:line="360" w:lineRule="auto"/>
              <w:jc w:val="center"/>
              <w:rPr>
                <w:rFonts w:eastAsia="仿宋_GB2312"/>
                <w:sz w:val="24"/>
              </w:rPr>
            </w:pPr>
            <w:r>
              <w:rPr>
                <w:rFonts w:hint="eastAsia" w:eastAsia="仿宋_GB2312"/>
                <w:sz w:val="24"/>
              </w:rPr>
              <w:t>各10套</w:t>
            </w:r>
          </w:p>
        </w:tc>
        <w:tc>
          <w:tcPr>
            <w:tcW w:w="2083" w:type="dxa"/>
            <w:vAlign w:val="center"/>
          </w:tcPr>
          <w:p>
            <w:pPr>
              <w:autoSpaceDN w:val="0"/>
              <w:spacing w:line="360" w:lineRule="auto"/>
              <w:ind w:firstLine="480" w:firstLineChars="200"/>
              <w:jc w:val="left"/>
              <w:rPr>
                <w:rFonts w:eastAsia="仿宋_GB2312"/>
                <w:sz w:val="24"/>
              </w:rPr>
            </w:pPr>
            <w:r>
              <w:rPr>
                <w:rFonts w:hint="eastAsia" w:eastAsia="仿宋_GB2312"/>
                <w:sz w:val="24"/>
              </w:rPr>
              <w:t>随货物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12" w:type="dxa"/>
          </w:tcPr>
          <w:p>
            <w:pPr>
              <w:autoSpaceDN w:val="0"/>
              <w:spacing w:line="360" w:lineRule="auto"/>
              <w:ind w:firstLine="240" w:firstLineChars="100"/>
              <w:rPr>
                <w:rFonts w:eastAsia="仿宋_GB2312"/>
                <w:sz w:val="24"/>
              </w:rPr>
            </w:pPr>
            <w:r>
              <w:rPr>
                <w:rFonts w:hint="eastAsia" w:eastAsia="仿宋_GB2312"/>
                <w:sz w:val="24"/>
              </w:rPr>
              <w:t>2</w:t>
            </w:r>
          </w:p>
        </w:tc>
        <w:tc>
          <w:tcPr>
            <w:tcW w:w="3760" w:type="dxa"/>
          </w:tcPr>
          <w:p>
            <w:pPr>
              <w:autoSpaceDN w:val="0"/>
              <w:spacing w:line="360" w:lineRule="auto"/>
              <w:jc w:val="left"/>
              <w:rPr>
                <w:rFonts w:eastAsia="仿宋_GB2312"/>
                <w:sz w:val="24"/>
              </w:rPr>
            </w:pPr>
            <w:r>
              <w:rPr>
                <w:rFonts w:hint="eastAsia" w:eastAsia="仿宋_GB2312"/>
                <w:sz w:val="24"/>
              </w:rPr>
              <w:t>电缆维修手册</w:t>
            </w:r>
          </w:p>
        </w:tc>
        <w:tc>
          <w:tcPr>
            <w:tcW w:w="1867" w:type="dxa"/>
          </w:tcPr>
          <w:p>
            <w:pPr>
              <w:autoSpaceDN w:val="0"/>
              <w:spacing w:line="360" w:lineRule="auto"/>
              <w:jc w:val="center"/>
              <w:rPr>
                <w:rFonts w:eastAsia="仿宋_GB2312"/>
                <w:sz w:val="24"/>
              </w:rPr>
            </w:pPr>
            <w:r>
              <w:rPr>
                <w:rFonts w:hint="eastAsia" w:eastAsia="仿宋_GB2312"/>
                <w:sz w:val="24"/>
              </w:rPr>
              <w:t>各10套</w:t>
            </w:r>
          </w:p>
        </w:tc>
        <w:tc>
          <w:tcPr>
            <w:tcW w:w="2083" w:type="dxa"/>
            <w:vAlign w:val="center"/>
          </w:tcPr>
          <w:p>
            <w:pPr>
              <w:autoSpaceDN w:val="0"/>
              <w:spacing w:line="360" w:lineRule="auto"/>
              <w:ind w:firstLine="480" w:firstLineChars="200"/>
              <w:jc w:val="left"/>
              <w:rPr>
                <w:rFonts w:eastAsia="仿宋_GB2312"/>
                <w:sz w:val="24"/>
              </w:rPr>
            </w:pPr>
            <w:r>
              <w:rPr>
                <w:rFonts w:hint="eastAsia" w:eastAsia="仿宋_GB2312"/>
                <w:sz w:val="24"/>
              </w:rPr>
              <w:t>随货物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2" w:type="dxa"/>
          </w:tcPr>
          <w:p>
            <w:pPr>
              <w:autoSpaceDN w:val="0"/>
              <w:spacing w:line="360" w:lineRule="auto"/>
              <w:ind w:firstLine="240" w:firstLineChars="100"/>
              <w:rPr>
                <w:rFonts w:eastAsia="仿宋_GB2312"/>
                <w:sz w:val="24"/>
              </w:rPr>
            </w:pPr>
            <w:r>
              <w:rPr>
                <w:rFonts w:hint="eastAsia" w:eastAsia="仿宋_GB2312"/>
                <w:sz w:val="24"/>
              </w:rPr>
              <w:t>3</w:t>
            </w:r>
          </w:p>
        </w:tc>
        <w:tc>
          <w:tcPr>
            <w:tcW w:w="3760" w:type="dxa"/>
          </w:tcPr>
          <w:p>
            <w:pPr>
              <w:autoSpaceDN w:val="0"/>
              <w:spacing w:line="360" w:lineRule="auto"/>
              <w:jc w:val="left"/>
              <w:rPr>
                <w:rFonts w:eastAsia="仿宋_GB2312"/>
                <w:sz w:val="24"/>
              </w:rPr>
            </w:pPr>
            <w:r>
              <w:rPr>
                <w:rFonts w:hint="eastAsia" w:eastAsia="仿宋_GB2312"/>
                <w:sz w:val="24"/>
              </w:rPr>
              <w:t>基础资料（包括出厂测试报告）</w:t>
            </w:r>
          </w:p>
        </w:tc>
        <w:tc>
          <w:tcPr>
            <w:tcW w:w="1867" w:type="dxa"/>
          </w:tcPr>
          <w:p>
            <w:pPr>
              <w:autoSpaceDN w:val="0"/>
              <w:spacing w:line="360" w:lineRule="auto"/>
              <w:jc w:val="center"/>
              <w:rPr>
                <w:rFonts w:eastAsia="仿宋_GB2312"/>
                <w:sz w:val="24"/>
              </w:rPr>
            </w:pPr>
            <w:r>
              <w:rPr>
                <w:rFonts w:hint="eastAsia" w:eastAsia="仿宋_GB2312"/>
                <w:sz w:val="24"/>
              </w:rPr>
              <w:t>各10套</w:t>
            </w:r>
          </w:p>
        </w:tc>
        <w:tc>
          <w:tcPr>
            <w:tcW w:w="2083" w:type="dxa"/>
            <w:vAlign w:val="center"/>
          </w:tcPr>
          <w:p>
            <w:pPr>
              <w:autoSpaceDN w:val="0"/>
              <w:spacing w:line="360" w:lineRule="auto"/>
              <w:ind w:firstLine="480" w:firstLineChars="200"/>
              <w:jc w:val="left"/>
              <w:rPr>
                <w:rFonts w:eastAsia="仿宋_GB2312"/>
                <w:sz w:val="24"/>
              </w:rPr>
            </w:pPr>
            <w:r>
              <w:rPr>
                <w:rFonts w:hint="eastAsia" w:eastAsia="仿宋_GB2312"/>
                <w:sz w:val="24"/>
              </w:rPr>
              <w:t>随货物</w:t>
            </w:r>
          </w:p>
        </w:tc>
      </w:tr>
    </w:tbl>
    <w:p>
      <w:pPr>
        <w:snapToGrid w:val="0"/>
        <w:spacing w:line="360" w:lineRule="auto"/>
        <w:rPr>
          <w:rFonts w:eastAsia="仿宋_GB2312"/>
          <w:b/>
          <w:bCs/>
          <w:sz w:val="24"/>
        </w:rPr>
      </w:pPr>
    </w:p>
    <w:p>
      <w:pPr>
        <w:tabs>
          <w:tab w:val="left" w:pos="945"/>
        </w:tabs>
        <w:snapToGrid w:val="0"/>
        <w:spacing w:line="360" w:lineRule="auto"/>
        <w:rPr>
          <w:rFonts w:eastAsia="仿宋_GB2312"/>
          <w:b/>
          <w:bCs/>
          <w:sz w:val="24"/>
        </w:rPr>
      </w:pPr>
      <w:r>
        <w:rPr>
          <w:rFonts w:hint="eastAsia" w:eastAsia="仿宋_GB2312"/>
          <w:b/>
          <w:bCs/>
          <w:sz w:val="24"/>
        </w:rPr>
        <w:t>5.2与技术资料有关的问题说明</w:t>
      </w:r>
    </w:p>
    <w:p>
      <w:pPr>
        <w:autoSpaceDN w:val="0"/>
        <w:spacing w:line="360" w:lineRule="auto"/>
        <w:rPr>
          <w:rFonts w:eastAsia="仿宋_GB2312"/>
          <w:sz w:val="24"/>
        </w:rPr>
      </w:pPr>
      <w:r>
        <w:rPr>
          <w:rFonts w:hint="eastAsia" w:eastAsia="仿宋_GB2312"/>
          <w:sz w:val="24"/>
        </w:rPr>
        <w:t>5.2.1“安装说明书”的内容应包括与安装有关的所有工艺及技术标准。</w:t>
      </w:r>
    </w:p>
    <w:p>
      <w:pPr>
        <w:autoSpaceDN w:val="0"/>
        <w:spacing w:line="360" w:lineRule="auto"/>
        <w:rPr>
          <w:rFonts w:eastAsia="仿宋_GB2312"/>
          <w:sz w:val="24"/>
        </w:rPr>
      </w:pPr>
      <w:r>
        <w:rPr>
          <w:rFonts w:hint="eastAsia" w:eastAsia="仿宋_GB2312"/>
          <w:sz w:val="24"/>
        </w:rPr>
        <w:t>5.2.2“维修手册”中应详列有关检修技术标准和维修工艺。</w:t>
      </w:r>
    </w:p>
    <w:p>
      <w:pPr>
        <w:autoSpaceDN w:val="0"/>
        <w:spacing w:line="360" w:lineRule="auto"/>
        <w:ind w:left="480" w:hanging="480" w:hangingChars="200"/>
        <w:rPr>
          <w:rFonts w:eastAsia="仿宋_GB2312"/>
          <w:sz w:val="24"/>
        </w:rPr>
      </w:pPr>
      <w:r>
        <w:rPr>
          <w:rFonts w:hint="eastAsia" w:eastAsia="仿宋_GB2312"/>
          <w:sz w:val="24"/>
        </w:rPr>
        <w:t>5.2.3由卖方交付的技术资料和图纸应是及时的和被买方认可的，买方有权针对于培训目的额外复制所提供的技术资料和图纸。</w:t>
      </w:r>
    </w:p>
    <w:p>
      <w:pPr>
        <w:autoSpaceDN w:val="0"/>
        <w:spacing w:line="360" w:lineRule="auto"/>
        <w:ind w:left="480" w:hanging="480" w:hangingChars="200"/>
      </w:pPr>
      <w:r>
        <w:rPr>
          <w:rFonts w:hint="eastAsia" w:eastAsia="仿宋_GB2312"/>
          <w:sz w:val="24"/>
        </w:rPr>
        <w:t>5.2.4如果卖方交付的技术资料和图纸发现不完整，或在运输途中丢失或损坏，卖方在接到买方索要不完整、丢失或损坏部分的技术资料和图纸的通知后30天内，将免费向买方增补丢失或损坏部分的技术资料和图纸。</w:t>
      </w:r>
    </w:p>
    <w:p>
      <w:pPr>
        <w:autoSpaceDN w:val="0"/>
        <w:spacing w:line="680" w:lineRule="exact"/>
        <w:jc w:val="both"/>
        <w:rPr>
          <w:rFonts w:hint="eastAsia" w:eastAsia="仿宋_GB2312"/>
          <w:b/>
          <w:bCs/>
          <w:sz w:val="21"/>
          <w:szCs w:val="21"/>
          <w:lang w:val="en-US" w:eastAsia="zh-CN"/>
        </w:rPr>
      </w:pPr>
      <w:bookmarkStart w:id="25" w:name="_Toc461981385"/>
      <w:bookmarkStart w:id="26" w:name="_Toc360055725"/>
      <w:r>
        <w:rPr>
          <w:rFonts w:hint="eastAsia" w:eastAsia="仿宋_GB2312"/>
          <w:b/>
          <w:bCs/>
          <w:sz w:val="21"/>
          <w:szCs w:val="21"/>
          <w:lang w:val="en-US" w:eastAsia="zh-CN"/>
        </w:rPr>
        <w:t>6.技术服务和培训</w:t>
      </w:r>
      <w:bookmarkEnd w:id="25"/>
      <w:bookmarkEnd w:id="26"/>
    </w:p>
    <w:p>
      <w:pPr>
        <w:autoSpaceDN w:val="0"/>
        <w:spacing w:line="360" w:lineRule="auto"/>
        <w:ind w:left="482" w:hanging="480" w:hangingChars="200"/>
        <w:rPr>
          <w:rFonts w:eastAsia="仿宋_GB2312"/>
          <w:b w:val="0"/>
          <w:bCs w:val="0"/>
          <w:sz w:val="24"/>
        </w:rPr>
      </w:pPr>
      <w:r>
        <w:rPr>
          <w:rFonts w:eastAsia="仿宋_GB2312"/>
          <w:b w:val="0"/>
          <w:bCs w:val="0"/>
          <w:sz w:val="24"/>
        </w:rPr>
        <w:t>6.1</w:t>
      </w:r>
      <w:r>
        <w:rPr>
          <w:rFonts w:hint="eastAsia" w:eastAsia="仿宋_GB2312"/>
          <w:b w:val="0"/>
          <w:bCs w:val="0"/>
          <w:sz w:val="24"/>
        </w:rPr>
        <w:t>技术服务</w:t>
      </w:r>
    </w:p>
    <w:p>
      <w:pPr>
        <w:tabs>
          <w:tab w:val="left" w:pos="-2340"/>
        </w:tabs>
        <w:autoSpaceDN w:val="0"/>
        <w:spacing w:line="360" w:lineRule="auto"/>
        <w:ind w:firstLine="480"/>
        <w:rPr>
          <w:rFonts w:eastAsia="仿宋_GB2312"/>
          <w:b w:val="0"/>
          <w:bCs w:val="0"/>
          <w:sz w:val="24"/>
        </w:rPr>
      </w:pPr>
      <w:r>
        <w:rPr>
          <w:rFonts w:hint="eastAsia" w:eastAsia="仿宋_GB2312"/>
          <w:b w:val="0"/>
          <w:bCs w:val="0"/>
          <w:sz w:val="24"/>
        </w:rPr>
        <w:t>在卖方合同生效后，投标人应派遣必要数量的有资格、有经验、有技术、健康、能胜任工作的技术人员到招标方现场从事技术服务工作，以保证矿用拖拽电缆能顺利投入使用。</w:t>
      </w:r>
    </w:p>
    <w:p>
      <w:pPr>
        <w:autoSpaceDN w:val="0"/>
        <w:spacing w:line="360" w:lineRule="auto"/>
        <w:ind w:firstLine="480"/>
        <w:rPr>
          <w:rFonts w:eastAsia="仿宋_GB2312"/>
          <w:b w:val="0"/>
          <w:bCs w:val="0"/>
          <w:sz w:val="24"/>
        </w:rPr>
      </w:pPr>
      <w:r>
        <w:rPr>
          <w:rFonts w:hint="eastAsia" w:eastAsia="仿宋_GB2312"/>
          <w:b w:val="0"/>
          <w:bCs w:val="0"/>
          <w:sz w:val="24"/>
        </w:rPr>
        <w:t>投标人在报价中应根据上述要求详细列出技术服务人员的人数、专业类别、服务时间、工作内容。</w:t>
      </w:r>
    </w:p>
    <w:p>
      <w:pPr>
        <w:autoSpaceDN w:val="0"/>
        <w:spacing w:line="360" w:lineRule="auto"/>
        <w:rPr>
          <w:rFonts w:eastAsia="仿宋_GB2312"/>
          <w:b w:val="0"/>
          <w:bCs w:val="0"/>
          <w:sz w:val="24"/>
        </w:rPr>
      </w:pPr>
      <w:r>
        <w:rPr>
          <w:rFonts w:eastAsia="仿宋_GB2312"/>
          <w:b w:val="0"/>
          <w:bCs w:val="0"/>
          <w:sz w:val="24"/>
        </w:rPr>
        <w:t xml:space="preserve">6.2* </w:t>
      </w:r>
      <w:r>
        <w:rPr>
          <w:rFonts w:hint="eastAsia" w:eastAsia="仿宋_GB2312"/>
          <w:b w:val="0"/>
          <w:bCs w:val="0"/>
          <w:sz w:val="24"/>
        </w:rPr>
        <w:t>技术培训</w:t>
      </w:r>
    </w:p>
    <w:p>
      <w:pPr>
        <w:autoSpaceDN w:val="0"/>
        <w:spacing w:line="360" w:lineRule="auto"/>
        <w:ind w:firstLine="480"/>
        <w:rPr>
          <w:rFonts w:eastAsia="仿宋_GB2312"/>
          <w:b w:val="0"/>
          <w:bCs w:val="0"/>
          <w:sz w:val="24"/>
        </w:rPr>
      </w:pPr>
      <w:bookmarkStart w:id="27" w:name="_Toc461981386"/>
      <w:r>
        <w:rPr>
          <w:rFonts w:hint="eastAsia" w:eastAsia="仿宋_GB2312"/>
          <w:b w:val="0"/>
          <w:bCs w:val="0"/>
          <w:sz w:val="24"/>
        </w:rPr>
        <w:t>采购合同生效后，投标人要为招标方公司的操作和维修人员提供分2次培训，操作培训时间每次不少于两个工作日。培训时提供不少于</w:t>
      </w:r>
      <w:r>
        <w:rPr>
          <w:rFonts w:eastAsia="仿宋_GB2312"/>
          <w:b w:val="0"/>
          <w:bCs w:val="0"/>
          <w:sz w:val="24"/>
        </w:rPr>
        <w:t>20</w:t>
      </w:r>
      <w:r>
        <w:rPr>
          <w:rFonts w:hint="eastAsia" w:eastAsia="仿宋_GB2312"/>
          <w:b w:val="0"/>
          <w:bCs w:val="0"/>
          <w:sz w:val="24"/>
        </w:rPr>
        <w:t>本的培训手册。</w:t>
      </w:r>
      <w:bookmarkEnd w:id="27"/>
    </w:p>
    <w:p>
      <w:pPr>
        <w:autoSpaceDN w:val="0"/>
        <w:spacing w:line="680" w:lineRule="exact"/>
        <w:jc w:val="both"/>
        <w:rPr>
          <w:rFonts w:hint="eastAsia" w:eastAsia="仿宋_GB2312"/>
          <w:b/>
          <w:bCs/>
          <w:sz w:val="21"/>
          <w:szCs w:val="21"/>
          <w:lang w:val="en-US" w:eastAsia="zh-CN"/>
        </w:rPr>
      </w:pPr>
      <w:bookmarkStart w:id="28" w:name="_Toc360055726"/>
      <w:bookmarkStart w:id="29" w:name="_Toc461981387"/>
      <w:bookmarkStart w:id="30" w:name="_Toc360055727"/>
      <w:r>
        <w:rPr>
          <w:rFonts w:hint="eastAsia" w:eastAsia="仿宋_GB2312"/>
          <w:b/>
          <w:bCs/>
          <w:sz w:val="21"/>
          <w:szCs w:val="21"/>
          <w:lang w:val="en-US" w:eastAsia="zh-CN"/>
        </w:rPr>
        <w:t>7.质量保证</w:t>
      </w:r>
      <w:bookmarkEnd w:id="28"/>
      <w:bookmarkEnd w:id="29"/>
    </w:p>
    <w:p>
      <w:pPr>
        <w:autoSpaceDN w:val="0"/>
        <w:spacing w:line="360" w:lineRule="auto"/>
        <w:rPr>
          <w:rFonts w:eastAsia="仿宋_GB2312"/>
          <w:b w:val="0"/>
          <w:bCs w:val="0"/>
          <w:sz w:val="24"/>
        </w:rPr>
      </w:pPr>
      <w:r>
        <w:rPr>
          <w:rFonts w:eastAsia="仿宋_GB2312"/>
          <w:b w:val="0"/>
          <w:bCs w:val="0"/>
          <w:sz w:val="24"/>
        </w:rPr>
        <w:t>7.1 *</w:t>
      </w:r>
      <w:r>
        <w:rPr>
          <w:rFonts w:hint="eastAsia" w:eastAsia="仿宋_GB2312"/>
          <w:b w:val="0"/>
          <w:bCs w:val="0"/>
          <w:sz w:val="24"/>
        </w:rPr>
        <w:t>质量担保</w:t>
      </w:r>
    </w:p>
    <w:p>
      <w:pPr>
        <w:autoSpaceDN w:val="0"/>
        <w:spacing w:line="360" w:lineRule="auto"/>
        <w:ind w:firstLine="480"/>
        <w:rPr>
          <w:rFonts w:eastAsia="仿宋_GB2312"/>
          <w:b w:val="0"/>
          <w:bCs w:val="0"/>
          <w:sz w:val="24"/>
        </w:rPr>
      </w:pPr>
      <w:r>
        <w:rPr>
          <w:rFonts w:hint="eastAsia" w:eastAsia="仿宋_GB2312"/>
          <w:b w:val="0"/>
          <w:bCs w:val="0"/>
          <w:sz w:val="24"/>
        </w:rPr>
        <w:t>卖方货物的质量保证期限12个月，日期从电缆考核验收合格双方签字之日算起。在货物质量保证期内由于电缆设计、制造工艺、材料等缺陷所引起的电缆及电缆耦合器损坏都由卖方负责。</w:t>
      </w:r>
    </w:p>
    <w:p>
      <w:pPr>
        <w:autoSpaceDN w:val="0"/>
        <w:spacing w:line="680" w:lineRule="exact"/>
        <w:jc w:val="both"/>
        <w:rPr>
          <w:rFonts w:hint="eastAsia" w:eastAsia="仿宋_GB2312"/>
          <w:b/>
          <w:bCs/>
          <w:sz w:val="21"/>
          <w:szCs w:val="21"/>
          <w:lang w:val="en-US" w:eastAsia="zh-CN"/>
        </w:rPr>
      </w:pPr>
      <w:bookmarkStart w:id="31" w:name="_Toc461981388"/>
      <w:r>
        <w:rPr>
          <w:rFonts w:hint="eastAsia" w:eastAsia="仿宋_GB2312"/>
          <w:b/>
          <w:bCs/>
          <w:sz w:val="21"/>
          <w:szCs w:val="21"/>
          <w:lang w:val="en-US" w:eastAsia="zh-CN"/>
        </w:rPr>
        <w:t>8.交货、安装、调试、考核和验收</w:t>
      </w:r>
      <w:bookmarkEnd w:id="30"/>
      <w:bookmarkEnd w:id="31"/>
    </w:p>
    <w:p>
      <w:pPr>
        <w:autoSpaceDN w:val="0"/>
        <w:spacing w:line="360" w:lineRule="auto"/>
        <w:rPr>
          <w:rFonts w:eastAsia="仿宋_GB2312"/>
          <w:sz w:val="24"/>
        </w:rPr>
      </w:pPr>
      <w:r>
        <w:rPr>
          <w:rFonts w:hint="eastAsia" w:eastAsia="仿宋_GB2312"/>
          <w:b/>
          <w:bCs/>
          <w:sz w:val="24"/>
        </w:rPr>
        <w:t>8.1</w:t>
      </w:r>
      <w:r>
        <w:rPr>
          <w:rFonts w:hint="eastAsia" w:eastAsia="仿宋_GB2312"/>
          <w:sz w:val="24"/>
        </w:rPr>
        <w:t xml:space="preserve">电缆的安装 </w:t>
      </w:r>
    </w:p>
    <w:p>
      <w:pPr>
        <w:autoSpaceDN w:val="0"/>
        <w:spacing w:line="360" w:lineRule="auto"/>
        <w:ind w:firstLine="480" w:firstLineChars="200"/>
        <w:rPr>
          <w:rFonts w:eastAsia="仿宋_GB2312"/>
          <w:sz w:val="24"/>
        </w:rPr>
      </w:pPr>
      <w:r>
        <w:rPr>
          <w:rFonts w:hint="eastAsia" w:eastAsia="仿宋_GB2312"/>
          <w:sz w:val="24"/>
        </w:rPr>
        <w:t>电缆对应耦合器的安装工作在卖方专家指导下，由买方完成。卖方负责电缆安装技术指导。</w:t>
      </w:r>
    </w:p>
    <w:p>
      <w:pPr>
        <w:autoSpaceDN w:val="0"/>
        <w:spacing w:line="360" w:lineRule="auto"/>
        <w:rPr>
          <w:rFonts w:eastAsia="仿宋_GB2312"/>
          <w:sz w:val="24"/>
        </w:rPr>
      </w:pPr>
      <w:r>
        <w:rPr>
          <w:rFonts w:hint="eastAsia" w:eastAsia="仿宋_GB2312"/>
          <w:b/>
          <w:bCs/>
          <w:sz w:val="24"/>
        </w:rPr>
        <w:t>8.2</w:t>
      </w:r>
      <w:r>
        <w:rPr>
          <w:rFonts w:hint="eastAsia" w:eastAsia="仿宋_GB2312"/>
          <w:sz w:val="24"/>
        </w:rPr>
        <w:t>电缆的技术指标测试及试运行</w:t>
      </w:r>
    </w:p>
    <w:p>
      <w:pPr>
        <w:autoSpaceDN w:val="0"/>
        <w:spacing w:line="360" w:lineRule="auto"/>
        <w:ind w:left="480" w:hanging="480" w:hangingChars="200"/>
        <w:rPr>
          <w:rFonts w:eastAsia="仿宋_GB2312"/>
          <w:sz w:val="24"/>
        </w:rPr>
      </w:pPr>
      <w:r>
        <w:rPr>
          <w:rFonts w:hint="eastAsia" w:eastAsia="仿宋_GB2312"/>
          <w:sz w:val="24"/>
        </w:rPr>
        <w:t>8.2.1在电缆到货后，双方对电缆的机械强度、密封性能及绝缘性等合同规定的指标性能进行抽样测试、测量，此后再进行为期一周的抽样有载试运行。</w:t>
      </w:r>
    </w:p>
    <w:p>
      <w:pPr>
        <w:autoSpaceDN w:val="0"/>
        <w:spacing w:line="360" w:lineRule="auto"/>
        <w:ind w:left="480" w:hanging="480" w:hangingChars="200"/>
        <w:rPr>
          <w:rFonts w:eastAsia="仿宋_GB2312"/>
          <w:sz w:val="24"/>
        </w:rPr>
      </w:pPr>
      <w:r>
        <w:rPr>
          <w:rFonts w:hint="eastAsia" w:eastAsia="仿宋_GB2312"/>
          <w:sz w:val="24"/>
        </w:rPr>
        <w:t>8.2.2电缆的试运行完成后，若达到本合同技术附件规定的指标，则认为通过了相应的验收标准。否则，卖方将免费进行必要的调换，然后再重新进行技术指标测试及试运行，直至达到本合同技术附件规定的指标。试运行合格后，由卖方起草试验报告一式两份(此报告包括但不仅限于电缆的试验参数)，双方代表签字确认。所有的测试在白天进行。</w:t>
      </w:r>
    </w:p>
    <w:p>
      <w:pPr>
        <w:autoSpaceDN w:val="0"/>
        <w:spacing w:line="360" w:lineRule="auto"/>
        <w:ind w:left="480" w:hanging="480" w:hangingChars="200"/>
        <w:rPr>
          <w:rFonts w:eastAsia="仿宋_GB2312"/>
          <w:sz w:val="24"/>
        </w:rPr>
      </w:pPr>
      <w:r>
        <w:rPr>
          <w:rFonts w:hint="eastAsia" w:eastAsia="仿宋_GB2312"/>
          <w:sz w:val="24"/>
        </w:rPr>
        <w:t>8.2.3抽样测试所需的仪器、设备和工具由卖方免费提供。所有的仪器、设备和工具所有权为卖方所有。</w:t>
      </w:r>
    </w:p>
    <w:p>
      <w:pPr>
        <w:autoSpaceDN w:val="0"/>
        <w:spacing w:line="360" w:lineRule="auto"/>
        <w:rPr>
          <w:rFonts w:eastAsia="仿宋_GB2312"/>
          <w:sz w:val="24"/>
        </w:rPr>
      </w:pPr>
      <w:r>
        <w:rPr>
          <w:rFonts w:hint="eastAsia" w:eastAsia="仿宋_GB2312"/>
          <w:sz w:val="24"/>
        </w:rPr>
        <w:t>8.2.4电缆的验收</w:t>
      </w:r>
    </w:p>
    <w:p>
      <w:pPr>
        <w:autoSpaceDN w:val="0"/>
        <w:spacing w:line="360" w:lineRule="auto"/>
        <w:ind w:firstLine="480"/>
        <w:rPr>
          <w:rFonts w:eastAsia="仿宋_GB2312"/>
          <w:sz w:val="24"/>
        </w:rPr>
      </w:pPr>
      <w:r>
        <w:rPr>
          <w:rFonts w:hint="eastAsia" w:eastAsia="仿宋_GB2312"/>
          <w:sz w:val="24"/>
        </w:rPr>
        <w:t>在测试、试运行合格且合同全部货物交付齐备的情况下，双方代表应在验收材料上签字，电缆通过验收。验收标准为合同规定的要求和相关标准、中国国家标准、规范。</w:t>
      </w:r>
    </w:p>
    <w:bookmarkEnd w:id="20"/>
    <w:bookmarkEnd w:id="21"/>
    <w:bookmarkEnd w:id="22"/>
    <w:p>
      <w:pPr>
        <w:autoSpaceDN w:val="0"/>
        <w:spacing w:line="360" w:lineRule="auto"/>
        <w:rPr>
          <w:rFonts w:ascii="宋体" w:hAnsi="宋体"/>
          <w:sz w:val="24"/>
        </w:rPr>
      </w:pPr>
      <w:bookmarkStart w:id="32" w:name="_Toc121030620"/>
      <w:bookmarkStart w:id="33" w:name="_Toc119228009"/>
      <w:bookmarkStart w:id="34" w:name="_Toc461981389"/>
      <w:bookmarkStart w:id="35" w:name="_Toc384037459"/>
      <w:r>
        <w:rPr>
          <w:rFonts w:hint="eastAsia" w:eastAsia="仿宋_GB2312"/>
          <w:b/>
          <w:bCs/>
          <w:sz w:val="24"/>
          <w:lang w:val="en-US" w:eastAsia="zh-CN"/>
        </w:rPr>
        <w:t>9.</w:t>
      </w:r>
      <w:r>
        <w:rPr>
          <w:rFonts w:hint="eastAsia" w:eastAsia="仿宋_GB2312"/>
          <w:b/>
          <w:bCs/>
          <w:sz w:val="24"/>
        </w:rPr>
        <w:t>售后支持</w:t>
      </w:r>
      <w:bookmarkEnd w:id="32"/>
      <w:bookmarkEnd w:id="33"/>
      <w:bookmarkEnd w:id="34"/>
      <w:bookmarkEnd w:id="35"/>
    </w:p>
    <w:p>
      <w:pPr>
        <w:autoSpaceDN w:val="0"/>
        <w:spacing w:line="360" w:lineRule="auto"/>
        <w:rPr>
          <w:rFonts w:eastAsia="仿宋_GB2312"/>
          <w:b w:val="0"/>
          <w:bCs w:val="0"/>
          <w:sz w:val="24"/>
        </w:rPr>
      </w:pPr>
      <w:r>
        <w:rPr>
          <w:rFonts w:hint="eastAsia" w:eastAsia="仿宋_GB2312"/>
          <w:b w:val="0"/>
          <w:bCs w:val="0"/>
          <w:sz w:val="24"/>
        </w:rPr>
        <w:t>9.1技术支持</w:t>
      </w:r>
    </w:p>
    <w:p>
      <w:pPr>
        <w:autoSpaceDN w:val="0"/>
        <w:spacing w:line="360" w:lineRule="auto"/>
        <w:ind w:firstLine="480"/>
        <w:rPr>
          <w:rFonts w:eastAsia="仿宋_GB2312"/>
          <w:sz w:val="24"/>
        </w:rPr>
      </w:pPr>
      <w:r>
        <w:rPr>
          <w:rFonts w:hint="eastAsia" w:eastAsia="仿宋_GB2312"/>
          <w:sz w:val="24"/>
        </w:rPr>
        <w:t>卖方在中国的代表处的应用工程师，能够在货物提供后，直接向买方提供技术支持，当电缆出现故障时，保证24小时内到达买方现场，及时提供快捷和有效的售后服务。</w:t>
      </w:r>
    </w:p>
    <w:p>
      <w:pPr>
        <w:autoSpaceDN w:val="0"/>
        <w:spacing w:line="360" w:lineRule="auto"/>
        <w:rPr>
          <w:rFonts w:eastAsia="仿宋_GB2312"/>
          <w:b w:val="0"/>
          <w:bCs w:val="0"/>
          <w:sz w:val="24"/>
        </w:rPr>
      </w:pPr>
      <w:r>
        <w:rPr>
          <w:rFonts w:hint="eastAsia" w:eastAsia="仿宋_GB2312"/>
          <w:b w:val="0"/>
          <w:bCs w:val="0"/>
          <w:sz w:val="24"/>
        </w:rPr>
        <w:t>9.2培训支持</w:t>
      </w:r>
    </w:p>
    <w:p>
      <w:pPr>
        <w:autoSpaceDN w:val="0"/>
        <w:spacing w:line="360" w:lineRule="auto"/>
        <w:ind w:firstLine="480"/>
        <w:rPr>
          <w:rFonts w:ascii="宋体" w:hAnsi="宋体"/>
        </w:rPr>
      </w:pPr>
      <w:bookmarkStart w:id="36" w:name="OLE_LINK3"/>
      <w:r>
        <w:rPr>
          <w:rFonts w:hint="eastAsia" w:eastAsia="仿宋_GB2312"/>
          <w:sz w:val="24"/>
        </w:rPr>
        <w:t>在矿用拖拽电缆验收一年后，卖方将按照买方的要求派技术人员对矿用拖拽电缆的维修及运行人员免费进行一次拔高培训。卖方公司的应用工程师将到现场对电缆布置进行分析，并为用户推荐最佳的走线方案，以达到提高安全，减少事故，增加生产效率，降低吨煤材料成本的目的。</w:t>
      </w:r>
      <w:bookmarkEnd w:id="36"/>
    </w:p>
    <w:p>
      <w:pPr>
        <w:autoSpaceDN w:val="0"/>
        <w:spacing w:line="360" w:lineRule="auto"/>
        <w:rPr>
          <w:rFonts w:eastAsia="仿宋_GB2312"/>
          <w:b w:val="0"/>
          <w:bCs w:val="0"/>
          <w:sz w:val="24"/>
        </w:rPr>
      </w:pPr>
      <w:r>
        <w:rPr>
          <w:rFonts w:hint="eastAsia" w:eastAsia="仿宋_GB2312"/>
          <w:b w:val="0"/>
          <w:bCs w:val="0"/>
          <w:sz w:val="24"/>
        </w:rPr>
        <w:t>9.3其他支持</w:t>
      </w:r>
    </w:p>
    <w:p>
      <w:r>
        <w:rPr>
          <w:rFonts w:hint="eastAsia" w:eastAsia="仿宋_GB2312"/>
          <w:sz w:val="24"/>
        </w:rPr>
        <w:t>培训：对所有电缆维修人员进行手把手式培训，内容包括正确修理高压电缆的技术和程序。此培训将涵盖修理方法和技术，使修理后的电缆获得延长的使用寿命，减少电缆的过早报废及提高安全生产水平</w:t>
      </w:r>
      <w:r>
        <w:rPr>
          <w:rFonts w:hint="eastAsia" w:ascii="宋体" w:hAnsi="宋体" w:cs="宋体"/>
          <w:bCs/>
          <w:color w:val="000000"/>
          <w:sz w:val="21"/>
          <w:szCs w:val="21"/>
        </w:rPr>
        <w:t>。</w:t>
      </w:r>
      <w:bookmarkStart w:id="37" w:name="_GoBack"/>
      <w:bookmarkEnd w:id="3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AF468"/>
    <w:multiLevelType w:val="singleLevel"/>
    <w:tmpl w:val="581AF468"/>
    <w:lvl w:ilvl="0" w:tentative="0">
      <w:start w:val="6"/>
      <w:numFmt w:val="decimal"/>
      <w:suff w:val="nothing"/>
      <w:lvlText w:val="%1."/>
      <w:lvlJc w:val="left"/>
    </w:lvl>
  </w:abstractNum>
  <w:abstractNum w:abstractNumId="1">
    <w:nsid w:val="593F46C4"/>
    <w:multiLevelType w:val="singleLevel"/>
    <w:tmpl w:val="593F46C4"/>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55873"/>
    <w:rsid w:val="49155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annotation text"/>
    <w:basedOn w:val="1"/>
    <w:qFormat/>
    <w:uiPriority w:val="0"/>
    <w:pPr>
      <w:adjustRightInd w:val="0"/>
      <w:spacing w:line="360" w:lineRule="atLeast"/>
      <w:jc w:val="left"/>
      <w:textAlignment w:val="baseline"/>
    </w:pPr>
    <w:rPr>
      <w:kern w:val="0"/>
      <w:sz w:val="24"/>
      <w:szCs w:val="20"/>
    </w:rPr>
  </w:style>
  <w:style w:type="character" w:customStyle="1" w:styleId="7">
    <w:name w:val="font31"/>
    <w:basedOn w:val="5"/>
    <w:qFormat/>
    <w:uiPriority w:val="0"/>
    <w:rPr>
      <w:rFonts w:hint="eastAsia" w:ascii="宋体" w:hAnsi="宋体" w:eastAsia="宋体" w:cs="宋体"/>
      <w:color w:val="000000"/>
      <w:sz w:val="18"/>
      <w:szCs w:val="18"/>
      <w:u w:val="none"/>
    </w:rPr>
  </w:style>
  <w:style w:type="character" w:customStyle="1" w:styleId="8">
    <w:name w:val="font1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2019-12-27T07:31:00Z</dcterms:created>
  <dc:creator>Administrator</dc:creator>
  <cp:lastModifiedBy>Administrator</cp:lastModifiedBy>
  <dcterms:modified xsi:type="dcterms:W3CDTF">2019-12-27T07:32:03Z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