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00" w:lineRule="exact"/>
        <w:jc w:val="center"/>
        <w:rPr>
          <w:color w:val="auto"/>
          <w:sz w:val="32"/>
          <w:szCs w:val="32"/>
          <w:highlight w:val="none"/>
        </w:rPr>
      </w:pPr>
      <w:bookmarkStart w:id="0" w:name="_Toc505247978"/>
      <w:bookmarkStart w:id="1" w:name="_Toc7879"/>
      <w:r>
        <w:rPr>
          <w:rFonts w:hAnsi="宋体"/>
          <w:color w:val="auto"/>
          <w:sz w:val="32"/>
          <w:szCs w:val="32"/>
          <w:highlight w:val="none"/>
        </w:rPr>
        <w:t>第五章</w:t>
      </w:r>
      <w:r>
        <w:rPr>
          <w:rFonts w:hint="eastAsia" w:hAnsi="宋体"/>
          <w:color w:val="auto"/>
          <w:sz w:val="32"/>
          <w:szCs w:val="32"/>
          <w:highlight w:val="none"/>
          <w:lang w:val="en-US" w:eastAsia="zh-CN"/>
        </w:rPr>
        <w:t xml:space="preserve"> </w:t>
      </w:r>
      <w:r>
        <w:rPr>
          <w:rFonts w:hint="eastAsia" w:hAnsi="宋体"/>
          <w:color w:val="auto"/>
          <w:sz w:val="32"/>
          <w:szCs w:val="32"/>
          <w:highlight w:val="none"/>
        </w:rPr>
        <w:t>委托人要求</w:t>
      </w:r>
      <w:bookmarkEnd w:id="0"/>
      <w:bookmarkEnd w:id="1"/>
    </w:p>
    <w:p>
      <w:pPr>
        <w:spacing w:line="360" w:lineRule="auto"/>
        <w:rPr>
          <w:rFonts w:hint="eastAsia"/>
          <w:color w:val="auto"/>
          <w:highlight w:val="none"/>
          <w:lang w:eastAsia="zh-CN"/>
        </w:rPr>
      </w:pPr>
      <w:bookmarkStart w:id="2" w:name="_Toc21159_WPSOffice_Level1"/>
      <w:bookmarkStart w:id="3" w:name="_Toc955_WPSOffice_Level1"/>
      <w:bookmarkStart w:id="4" w:name="_Toc22271"/>
      <w:r>
        <w:rPr>
          <w:rFonts w:hint="eastAsia"/>
          <w:color w:val="auto"/>
          <w:highlight w:val="none"/>
          <w:lang w:val="en-US" w:eastAsia="zh-CN"/>
        </w:rPr>
        <w:t>一、投标人须知</w:t>
      </w:r>
      <w:bookmarkEnd w:id="2"/>
      <w:bookmarkEnd w:id="3"/>
      <w:bookmarkEnd w:id="4"/>
    </w:p>
    <w:p>
      <w:pPr>
        <w:spacing w:line="360" w:lineRule="auto"/>
        <w:rPr>
          <w:rFonts w:hint="eastAsia"/>
          <w:color w:val="auto"/>
          <w:highlight w:val="none"/>
          <w:lang w:val="en-US" w:eastAsia="zh-CN"/>
        </w:rPr>
      </w:pPr>
      <w:r>
        <w:rPr>
          <w:rFonts w:hint="eastAsia"/>
          <w:color w:val="auto"/>
          <w:highlight w:val="none"/>
          <w:lang w:val="en-US" w:eastAsia="zh-CN"/>
        </w:rPr>
        <w:t>1.请投标人在报价前仔细阅读本技术部分说明。</w:t>
      </w:r>
    </w:p>
    <w:p>
      <w:pPr>
        <w:spacing w:line="360" w:lineRule="auto"/>
        <w:rPr>
          <w:rFonts w:hint="eastAsia"/>
          <w:color w:val="auto"/>
          <w:highlight w:val="none"/>
          <w:lang w:val="en-US" w:eastAsia="zh-CN"/>
        </w:rPr>
      </w:pPr>
      <w:r>
        <w:rPr>
          <w:rFonts w:hint="eastAsia"/>
          <w:color w:val="auto"/>
          <w:highlight w:val="none"/>
          <w:lang w:val="en-US" w:eastAsia="zh-CN"/>
        </w:rPr>
        <w:t>2.本文件部分条款由通用部分和专用部分共同组成。专用部分是根据具体采购项目实际需要对通用部分的补充和完善，两者应对照阅读。若出现相互矛盾或不一致时，则以专用部分为准。</w:t>
      </w:r>
    </w:p>
    <w:p>
      <w:pPr>
        <w:spacing w:line="360" w:lineRule="auto"/>
        <w:rPr>
          <w:rFonts w:hint="eastAsia"/>
          <w:color w:val="auto"/>
          <w:highlight w:val="none"/>
          <w:lang w:val="en-US" w:eastAsia="zh-CN"/>
        </w:rPr>
      </w:pPr>
      <w:r>
        <w:rPr>
          <w:rFonts w:hint="eastAsia"/>
          <w:color w:val="auto"/>
          <w:highlight w:val="none"/>
          <w:lang w:val="en-US" w:eastAsia="zh-CN"/>
        </w:rPr>
        <w:t>3.专用部分表述为“无”的条款，即为对通用部分无补充和完善，该条部以通用部分表述为准。</w:t>
      </w:r>
    </w:p>
    <w:p>
      <w:pPr>
        <w:spacing w:line="360" w:lineRule="auto"/>
        <w:rPr>
          <w:rFonts w:hint="eastAsia"/>
          <w:color w:val="auto"/>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pPr>
        <w:spacing w:line="360" w:lineRule="auto"/>
        <w:rPr>
          <w:rFonts w:hint="eastAsia"/>
          <w:b/>
          <w:bCs/>
          <w:color w:val="auto"/>
          <w:highlight w:val="none"/>
          <w:lang w:eastAsia="zh-CN"/>
        </w:rPr>
      </w:pPr>
      <w:bookmarkStart w:id="5" w:name="_Toc19074_WPSOffice_Level1"/>
      <w:bookmarkStart w:id="6" w:name="_Toc18388_WPSOffice_Level1"/>
      <w:bookmarkStart w:id="7" w:name="_Toc21335"/>
      <w:r>
        <w:rPr>
          <w:rFonts w:hint="eastAsia"/>
          <w:b/>
          <w:bCs/>
          <w:color w:val="auto"/>
          <w:highlight w:val="none"/>
          <w:lang w:eastAsia="zh-CN"/>
        </w:rPr>
        <w:t>二、总体要求</w:t>
      </w:r>
      <w:bookmarkEnd w:id="5"/>
      <w:bookmarkEnd w:id="6"/>
      <w:bookmarkEnd w:id="7"/>
    </w:p>
    <w:p>
      <w:pPr>
        <w:spacing w:line="360" w:lineRule="auto"/>
        <w:rPr>
          <w:rFonts w:hint="eastAsia"/>
          <w:color w:val="auto"/>
          <w:highlight w:val="none"/>
        </w:rPr>
      </w:pPr>
      <w:r>
        <w:rPr>
          <w:rFonts w:hint="eastAsia"/>
          <w:color w:val="auto"/>
          <w:highlight w:val="none"/>
        </w:rPr>
        <w:t>1.1本技术部分仅适用于本</w:t>
      </w:r>
      <w:r>
        <w:rPr>
          <w:rFonts w:hint="eastAsia"/>
          <w:color w:val="auto"/>
          <w:highlight w:val="none"/>
          <w:lang w:val="en-US" w:eastAsia="zh-CN"/>
        </w:rPr>
        <w:t>服务</w:t>
      </w:r>
      <w:r>
        <w:rPr>
          <w:rFonts w:hint="eastAsia"/>
          <w:color w:val="auto"/>
          <w:highlight w:val="none"/>
        </w:rPr>
        <w:t>项目。</w:t>
      </w:r>
    </w:p>
    <w:p>
      <w:pPr>
        <w:spacing w:line="360" w:lineRule="auto"/>
        <w:rPr>
          <w:rFonts w:hint="eastAsia"/>
          <w:color w:val="auto"/>
          <w:highlight w:val="none"/>
        </w:rPr>
      </w:pPr>
      <w:r>
        <w:rPr>
          <w:rFonts w:hint="eastAsia"/>
          <w:color w:val="auto"/>
          <w:highlight w:val="none"/>
        </w:rPr>
        <w:t>1.2本技术部分提出的</w:t>
      </w:r>
      <w:r>
        <w:rPr>
          <w:rFonts w:hint="eastAsia"/>
          <w:color w:val="auto"/>
          <w:highlight w:val="none"/>
          <w:lang w:val="en-US" w:eastAsia="zh-CN"/>
        </w:rPr>
        <w:t>条件</w:t>
      </w:r>
      <w:r>
        <w:rPr>
          <w:rFonts w:hint="eastAsia"/>
          <w:color w:val="auto"/>
          <w:highlight w:val="none"/>
        </w:rPr>
        <w:t>是最低限度要求，并未对一切细节作出规定，也并未规定所有的技术要求和适用的标准，</w:t>
      </w:r>
      <w:r>
        <w:rPr>
          <w:rFonts w:hint="eastAsia"/>
          <w:color w:val="auto"/>
          <w:highlight w:val="none"/>
          <w:lang w:eastAsia="zh-CN"/>
        </w:rPr>
        <w:t>投标人</w:t>
      </w:r>
      <w:r>
        <w:rPr>
          <w:rFonts w:hint="eastAsia"/>
          <w:color w:val="auto"/>
          <w:highlight w:val="none"/>
        </w:rPr>
        <w:t>应保证按照本技术部分和相关规范的要求进行服务。国家</w:t>
      </w:r>
      <w:r>
        <w:rPr>
          <w:rFonts w:hint="eastAsia"/>
          <w:color w:val="auto"/>
          <w:highlight w:val="none"/>
          <w:lang w:eastAsia="zh-CN"/>
        </w:rPr>
        <w:t>、地方及行业</w:t>
      </w:r>
      <w:r>
        <w:rPr>
          <w:rFonts w:hint="eastAsia"/>
          <w:color w:val="auto"/>
          <w:highlight w:val="none"/>
        </w:rPr>
        <w:t xml:space="preserve">有关强制性标准，必须满足其要求。 </w:t>
      </w:r>
    </w:p>
    <w:p>
      <w:pPr>
        <w:spacing w:line="360" w:lineRule="auto"/>
        <w:rPr>
          <w:rFonts w:hint="eastAsia"/>
          <w:color w:val="auto"/>
          <w:highlight w:val="none"/>
        </w:rPr>
      </w:pPr>
      <w:r>
        <w:rPr>
          <w:rFonts w:hint="eastAsia"/>
          <w:color w:val="auto"/>
          <w:highlight w:val="none"/>
        </w:rPr>
        <w:t>1.3本采购文件</w:t>
      </w:r>
      <w:r>
        <w:rPr>
          <w:rFonts w:hint="eastAsia"/>
          <w:color w:val="auto"/>
          <w:highlight w:val="none"/>
          <w:lang w:val="en-US" w:eastAsia="zh-CN"/>
        </w:rPr>
        <w:t>中</w:t>
      </w:r>
      <w:r>
        <w:rPr>
          <w:rFonts w:hint="eastAsia"/>
          <w:color w:val="auto"/>
          <w:highlight w:val="none"/>
        </w:rPr>
        <w:t>使用的标准，如遇与</w:t>
      </w:r>
      <w:r>
        <w:rPr>
          <w:rFonts w:hint="eastAsia"/>
          <w:color w:val="auto"/>
          <w:highlight w:val="none"/>
          <w:lang w:eastAsia="zh-CN"/>
        </w:rPr>
        <w:t>投标人</w:t>
      </w:r>
      <w:r>
        <w:rPr>
          <w:rFonts w:hint="eastAsia"/>
          <w:color w:val="auto"/>
          <w:highlight w:val="none"/>
        </w:rPr>
        <w:t>所执行的标准不一致时，按较高的标准执行。在合同生效后，采购人有权提出因规范标准发生变化而产生的一些补充修改要求，</w:t>
      </w:r>
      <w:r>
        <w:rPr>
          <w:rFonts w:hint="eastAsia"/>
          <w:color w:val="auto"/>
          <w:highlight w:val="none"/>
          <w:lang w:eastAsia="zh-CN"/>
        </w:rPr>
        <w:t>投标人</w:t>
      </w:r>
      <w:r>
        <w:rPr>
          <w:rFonts w:hint="eastAsia"/>
          <w:color w:val="auto"/>
          <w:highlight w:val="none"/>
        </w:rPr>
        <w:t xml:space="preserve">应遵守这个要求。 </w:t>
      </w:r>
    </w:p>
    <w:p>
      <w:pPr>
        <w:spacing w:line="360" w:lineRule="auto"/>
        <w:rPr>
          <w:rFonts w:hint="eastAsia"/>
          <w:color w:val="auto"/>
          <w:highlight w:val="none"/>
          <w:lang w:val="en-US" w:eastAsia="zh-CN"/>
        </w:rPr>
      </w:pPr>
      <w:r>
        <w:rPr>
          <w:rFonts w:hint="eastAsia"/>
          <w:color w:val="auto"/>
          <w:highlight w:val="none"/>
          <w:lang w:val="en-US" w:eastAsia="zh-CN"/>
        </w:rPr>
        <w:t>1.4本技术部分可能存在未能全面反映现场实际状况的微小偏差，投标人应充分了解本项目实际情况并根据规范要求、行业标准，结合自身经验和收集的相关信息综合考虑项目工作内容。投标人不得拒绝完成本项目任务所必须的工作，相关费用包含在报价中。</w:t>
      </w:r>
    </w:p>
    <w:p>
      <w:pPr>
        <w:spacing w:line="360" w:lineRule="auto"/>
        <w:rPr>
          <w:rFonts w:hint="eastAsia"/>
          <w:color w:val="auto"/>
          <w:highlight w:val="none"/>
        </w:rPr>
      </w:pPr>
      <w:r>
        <w:rPr>
          <w:rFonts w:hint="eastAsia"/>
          <w:color w:val="auto"/>
          <w:highlight w:val="none"/>
        </w:rPr>
        <w:t>1.</w:t>
      </w:r>
      <w:r>
        <w:rPr>
          <w:rFonts w:hint="eastAsia"/>
          <w:color w:val="auto"/>
          <w:highlight w:val="none"/>
          <w:lang w:val="en-US" w:eastAsia="zh-CN"/>
        </w:rPr>
        <w:t>5</w:t>
      </w:r>
      <w:r>
        <w:rPr>
          <w:rFonts w:hint="eastAsia"/>
          <w:color w:val="auto"/>
          <w:highlight w:val="none"/>
          <w:lang w:eastAsia="zh-CN"/>
        </w:rPr>
        <w:t>投标人</w:t>
      </w:r>
      <w:r>
        <w:rPr>
          <w:rFonts w:hint="eastAsia"/>
          <w:color w:val="auto"/>
          <w:highlight w:val="none"/>
        </w:rPr>
        <w:t>可在报价文件中引用本技术部分的相关标准或要求，但不得原封不动地复印或拷贝本技术部分作为其报价文件的主要内容，否则其报价文件将被作为无效报价。</w:t>
      </w:r>
    </w:p>
    <w:p>
      <w:pPr>
        <w:spacing w:line="360" w:lineRule="auto"/>
        <w:rPr>
          <w:rFonts w:hint="eastAsia"/>
          <w:color w:val="auto"/>
          <w:highlight w:val="none"/>
        </w:rPr>
      </w:pPr>
      <w:r>
        <w:rPr>
          <w:rFonts w:hint="eastAsia"/>
          <w:color w:val="auto"/>
          <w:highlight w:val="none"/>
        </w:rPr>
        <w:t>1.</w:t>
      </w:r>
      <w:r>
        <w:rPr>
          <w:rFonts w:hint="eastAsia"/>
          <w:color w:val="auto"/>
          <w:highlight w:val="none"/>
          <w:lang w:val="en-US" w:eastAsia="zh-CN"/>
        </w:rPr>
        <w:t>6</w:t>
      </w:r>
      <w:r>
        <w:rPr>
          <w:rFonts w:hint="eastAsia"/>
          <w:color w:val="auto"/>
          <w:highlight w:val="none"/>
        </w:rPr>
        <w:t>除采购文件另有规定外，列入本技术部分的所有工作内容均应包含在本项目报价中。</w:t>
      </w:r>
    </w:p>
    <w:p>
      <w:pPr>
        <w:spacing w:line="360" w:lineRule="auto"/>
        <w:rPr>
          <w:rFonts w:hint="eastAsia"/>
          <w:color w:val="auto"/>
          <w:highlight w:val="none"/>
        </w:rPr>
      </w:pPr>
      <w:r>
        <w:rPr>
          <w:rFonts w:hint="eastAsia"/>
          <w:color w:val="auto"/>
          <w:highlight w:val="none"/>
          <w:lang w:val="en-US" w:eastAsia="zh-CN"/>
        </w:rPr>
        <w:t>1.7</w:t>
      </w:r>
      <w:r>
        <w:rPr>
          <w:rFonts w:hint="eastAsia"/>
          <w:color w:val="auto"/>
          <w:highlight w:val="none"/>
        </w:rPr>
        <w:t>本技术部分为合同的附件，与合同正文具有同等效力。</w:t>
      </w:r>
    </w:p>
    <w:p>
      <w:pPr>
        <w:spacing w:line="360" w:lineRule="auto"/>
        <w:rPr>
          <w:rFonts w:hint="eastAsia"/>
          <w:color w:val="auto"/>
          <w:highlight w:val="none"/>
          <w:lang w:val="en-US" w:eastAsia="zh-CN"/>
        </w:rPr>
      </w:pPr>
      <w:r>
        <w:rPr>
          <w:rFonts w:hint="eastAsia"/>
          <w:color w:val="auto"/>
          <w:highlight w:val="none"/>
        </w:rPr>
        <w:t>1.</w:t>
      </w:r>
      <w:r>
        <w:rPr>
          <w:rFonts w:hint="eastAsia"/>
          <w:color w:val="auto"/>
          <w:highlight w:val="none"/>
          <w:lang w:val="en-US" w:eastAsia="zh-CN"/>
        </w:rPr>
        <w:t>8</w:t>
      </w:r>
      <w:r>
        <w:rPr>
          <w:rFonts w:hint="eastAsia"/>
          <w:color w:val="auto"/>
          <w:highlight w:val="none"/>
        </w:rPr>
        <w:t>本技术部分中如出现资质、业绩等方面要求与商务部分不一致，以商务部分为准。</w:t>
      </w:r>
    </w:p>
    <w:p>
      <w:pPr>
        <w:spacing w:line="360" w:lineRule="auto"/>
        <w:rPr>
          <w:rFonts w:hint="eastAsia"/>
          <w:b/>
          <w:bCs/>
          <w:color w:val="auto"/>
          <w:highlight w:val="none"/>
          <w:lang w:eastAsia="zh-CN"/>
        </w:rPr>
      </w:pPr>
      <w:bookmarkStart w:id="8" w:name="_Toc16105_WPSOffice_Level1"/>
      <w:bookmarkStart w:id="9" w:name="_Toc10029977"/>
      <w:bookmarkStart w:id="10" w:name="_Toc706"/>
      <w:bookmarkStart w:id="11" w:name="_Toc10216685"/>
      <w:bookmarkStart w:id="12" w:name="_Toc12135_WPSOffice_Level1"/>
      <w:r>
        <w:rPr>
          <w:rFonts w:hint="eastAsia"/>
          <w:color w:val="auto"/>
          <w:highlight w:val="none"/>
          <w:lang w:eastAsia="zh-CN"/>
        </w:rPr>
        <w:br w:type="page"/>
      </w:r>
      <w:bookmarkStart w:id="13" w:name="_Toc23625_WPSOffice_Level1"/>
      <w:bookmarkStart w:id="14" w:name="_Toc4124"/>
      <w:r>
        <w:rPr>
          <w:rFonts w:hint="eastAsia"/>
          <w:b/>
          <w:bCs/>
          <w:color w:val="auto"/>
          <w:highlight w:val="none"/>
          <w:lang w:eastAsia="zh-CN"/>
        </w:rPr>
        <w:t>三、项目概况</w:t>
      </w:r>
      <w:bookmarkEnd w:id="8"/>
      <w:bookmarkEnd w:id="9"/>
      <w:bookmarkEnd w:id="10"/>
      <w:bookmarkEnd w:id="11"/>
      <w:bookmarkEnd w:id="12"/>
      <w:bookmarkEnd w:id="13"/>
      <w:bookmarkEnd w:id="14"/>
    </w:p>
    <w:p>
      <w:pPr>
        <w:adjustRightInd w:val="0"/>
        <w:snapToGrid w:val="0"/>
        <w:spacing w:line="360" w:lineRule="auto"/>
        <w:ind w:firstLine="560"/>
        <w:rPr>
          <w:rFonts w:hint="eastAsia" w:ascii="宋体" w:hAnsi="宋体" w:eastAsia="宋体" w:cs="宋体"/>
          <w:color w:val="auto"/>
          <w:szCs w:val="22"/>
          <w:highlight w:val="none"/>
          <w:lang w:eastAsia="zh-CN"/>
        </w:rPr>
      </w:pPr>
      <w:bookmarkStart w:id="15" w:name="_Toc18388_WPSOffice_Level2"/>
      <w:bookmarkStart w:id="16" w:name="_Toc27944_WPSOffice_Level2"/>
      <w:bookmarkStart w:id="17" w:name="_Toc16105_WPSOffice_Level2"/>
      <w:bookmarkStart w:id="18" w:name="_Toc22600"/>
      <w:r>
        <w:rPr>
          <w:rFonts w:hint="eastAsia" w:ascii="宋体" w:hAnsi="宋体" w:eastAsia="宋体" w:cs="宋体"/>
          <w:color w:val="auto"/>
          <w:szCs w:val="22"/>
          <w:highlight w:val="none"/>
          <w:lang w:eastAsia="zh-CN"/>
        </w:rPr>
        <w:t>行政处隶属于准能集团公司下属二级单位</w:t>
      </w:r>
      <w:r>
        <w:rPr>
          <w:rFonts w:hint="eastAsia" w:ascii="宋体" w:hAnsi="宋体" w:eastAsia="宋体" w:cs="宋体"/>
          <w:color w:val="auto"/>
          <w:szCs w:val="22"/>
          <w:highlight w:val="none"/>
        </w:rPr>
        <w:t>，</w:t>
      </w:r>
      <w:r>
        <w:rPr>
          <w:rFonts w:hint="eastAsia" w:ascii="宋体" w:hAnsi="宋体" w:eastAsia="宋体" w:cs="宋体"/>
          <w:color w:val="auto"/>
          <w:szCs w:val="22"/>
          <w:highlight w:val="none"/>
          <w:lang w:eastAsia="zh-CN"/>
        </w:rPr>
        <w:t>位于内蒙古准格尔旗薛家湾镇镇区，交通便利。</w:t>
      </w:r>
    </w:p>
    <w:p>
      <w:pPr>
        <w:adjustRightInd w:val="0"/>
        <w:snapToGrid w:val="0"/>
        <w:spacing w:line="360" w:lineRule="auto"/>
        <w:ind w:firstLine="560"/>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为保证公司机关及行政处日常工作正常有序进行，</w:t>
      </w:r>
      <w:r>
        <w:rPr>
          <w:rFonts w:hint="eastAsia" w:ascii="宋体" w:hAnsi="宋体" w:eastAsia="宋体" w:cs="宋体"/>
          <w:color w:val="auto"/>
          <w:szCs w:val="22"/>
          <w:highlight w:val="none"/>
          <w:lang w:val="zh-CN" w:eastAsia="zh-CN"/>
        </w:rPr>
        <w:t>需委托一家讲诚信、有信誉的公司，全面负责</w:t>
      </w:r>
      <w:r>
        <w:rPr>
          <w:rFonts w:hint="eastAsia" w:ascii="宋体" w:hAnsi="宋体" w:eastAsia="宋体" w:cs="宋体"/>
          <w:color w:val="auto"/>
          <w:szCs w:val="22"/>
          <w:highlight w:val="none"/>
          <w:lang w:val="en-US" w:eastAsia="zh-CN"/>
        </w:rPr>
        <w:t>行政处所属范围日常劳务</w:t>
      </w:r>
      <w:r>
        <w:rPr>
          <w:rFonts w:hint="eastAsia" w:ascii="宋体" w:hAnsi="宋体" w:eastAsia="宋体" w:cs="宋体"/>
          <w:color w:val="auto"/>
          <w:szCs w:val="22"/>
          <w:highlight w:val="none"/>
          <w:lang w:val="zh-CN" w:eastAsia="zh-CN"/>
        </w:rPr>
        <w:t>服务工作。</w:t>
      </w:r>
    </w:p>
    <w:p>
      <w:pPr>
        <w:spacing w:line="360" w:lineRule="auto"/>
        <w:rPr>
          <w:rFonts w:hint="eastAsia"/>
          <w:b/>
          <w:bCs/>
          <w:color w:val="auto"/>
          <w:highlight w:val="none"/>
          <w:lang w:val="en-US" w:eastAsia="zh-CN"/>
        </w:rPr>
      </w:pPr>
      <w:r>
        <w:rPr>
          <w:rFonts w:hint="eastAsia"/>
          <w:b/>
          <w:bCs/>
          <w:color w:val="auto"/>
          <w:highlight w:val="none"/>
          <w:lang w:val="en-US" w:eastAsia="zh-CN"/>
        </w:rPr>
        <w:t>3.1服务范围</w:t>
      </w:r>
      <w:bookmarkEnd w:id="15"/>
      <w:bookmarkEnd w:id="16"/>
      <w:bookmarkEnd w:id="17"/>
      <w:bookmarkEnd w:id="18"/>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color w:val="auto"/>
          <w:highlight w:val="none"/>
          <w:lang w:val="en-US" w:eastAsia="zh-CN"/>
        </w:rPr>
      </w:pPr>
      <w:bookmarkStart w:id="19" w:name="_Toc18314"/>
      <w:bookmarkStart w:id="20" w:name="_Toc5475"/>
      <w:bookmarkStart w:id="21" w:name="_Toc28441_WPSOffice_Level2"/>
      <w:bookmarkStart w:id="22" w:name="_Toc12135_WPSOffice_Level2"/>
      <w:bookmarkStart w:id="23" w:name="_Toc25498_WPSOffice_Level2"/>
      <w:bookmarkStart w:id="24" w:name="_Toc3486"/>
      <w:r>
        <w:rPr>
          <w:rFonts w:hint="eastAsia" w:ascii="宋体" w:hAnsi="宋体" w:eastAsia="宋体" w:cs="宋体"/>
          <w:color w:val="auto"/>
          <w:szCs w:val="22"/>
          <w:highlight w:val="none"/>
          <w:lang w:eastAsia="zh-CN"/>
        </w:rPr>
        <w:t>本项目的服务范围包括准能公司</w:t>
      </w:r>
      <w:r>
        <w:rPr>
          <w:rFonts w:hint="eastAsia" w:ascii="宋体" w:hAnsi="宋体" w:eastAsia="宋体" w:cs="宋体"/>
          <w:color w:val="auto"/>
          <w:szCs w:val="22"/>
          <w:highlight w:val="none"/>
          <w:lang w:val="en-US" w:eastAsia="zh-CN"/>
        </w:rPr>
        <w:t>A、B座办公大楼，C座会议中心以及行政处下设的</w:t>
      </w:r>
      <w:r>
        <w:rPr>
          <w:rFonts w:hint="eastAsia" w:ascii="宋体" w:hAnsi="宋体" w:eastAsia="宋体" w:cs="宋体"/>
          <w:color w:val="auto"/>
          <w:szCs w:val="22"/>
          <w:highlight w:val="none"/>
          <w:lang w:eastAsia="zh-CN"/>
        </w:rPr>
        <w:t>处机关、宾馆、招待所、文体部、机关事务部、公务车队、商务车队</w:t>
      </w:r>
      <w:r>
        <w:rPr>
          <w:rFonts w:hint="eastAsia" w:ascii="宋体" w:hAnsi="宋体" w:eastAsia="宋体" w:cs="宋体"/>
          <w:color w:val="auto"/>
          <w:szCs w:val="22"/>
          <w:highlight w:val="none"/>
          <w:lang w:val="en-US" w:eastAsia="zh-CN"/>
        </w:rPr>
        <w:t>的</w:t>
      </w:r>
      <w:r>
        <w:rPr>
          <w:rFonts w:hint="eastAsia" w:ascii="宋体" w:hAnsi="宋体" w:eastAsia="宋体" w:cs="宋体"/>
          <w:color w:val="auto"/>
          <w:szCs w:val="22"/>
          <w:highlight w:val="none"/>
          <w:lang w:eastAsia="zh-CN"/>
        </w:rPr>
        <w:t>日常劳务</w:t>
      </w:r>
      <w:r>
        <w:rPr>
          <w:rFonts w:hint="eastAsia" w:ascii="宋体" w:hAnsi="宋体" w:eastAsia="宋体" w:cs="宋体"/>
          <w:color w:val="auto"/>
          <w:szCs w:val="22"/>
          <w:highlight w:val="none"/>
          <w:lang w:val="en-US" w:eastAsia="zh-CN"/>
        </w:rPr>
        <w:t>综合服务业务。</w:t>
      </w:r>
      <w:bookmarkEnd w:id="19"/>
      <w:bookmarkEnd w:id="20"/>
    </w:p>
    <w:p>
      <w:pPr>
        <w:spacing w:line="360" w:lineRule="auto"/>
        <w:rPr>
          <w:rFonts w:hint="eastAsia"/>
          <w:b/>
          <w:bCs/>
          <w:color w:val="auto"/>
          <w:highlight w:val="none"/>
          <w:lang w:val="en-US" w:eastAsia="zh-CN"/>
        </w:rPr>
      </w:pPr>
      <w:r>
        <w:rPr>
          <w:rFonts w:hint="eastAsia"/>
          <w:b/>
          <w:bCs/>
          <w:color w:val="auto"/>
          <w:highlight w:val="none"/>
          <w:lang w:val="en-US" w:eastAsia="zh-CN"/>
        </w:rPr>
        <w:t>3.2服务期限</w:t>
      </w:r>
      <w:bookmarkEnd w:id="21"/>
      <w:bookmarkEnd w:id="22"/>
      <w:bookmarkEnd w:id="23"/>
      <w:bookmarkEnd w:id="24"/>
    </w:p>
    <w:p>
      <w:pPr>
        <w:spacing w:line="360" w:lineRule="auto"/>
        <w:rPr>
          <w:rFonts w:hint="eastAsia"/>
          <w:color w:val="auto"/>
          <w:highlight w:val="none"/>
          <w:lang w:val="en-US" w:eastAsia="zh-CN"/>
        </w:rPr>
      </w:pPr>
      <w:r>
        <w:rPr>
          <w:rFonts w:hint="eastAsia"/>
          <w:color w:val="auto"/>
          <w:highlight w:val="none"/>
          <w:lang w:val="en-US" w:eastAsia="zh-CN"/>
        </w:rPr>
        <w:t>3.2.1通用部分</w:t>
      </w:r>
    </w:p>
    <w:p>
      <w:pPr>
        <w:spacing w:line="360" w:lineRule="auto"/>
        <w:rPr>
          <w:rFonts w:hint="default"/>
          <w:color w:val="auto"/>
          <w:highlight w:val="none"/>
          <w:lang w:val="en-US" w:eastAsia="zh-CN"/>
        </w:rPr>
      </w:pPr>
      <w:r>
        <w:rPr>
          <w:rFonts w:hint="eastAsia"/>
          <w:color w:val="auto"/>
          <w:highlight w:val="none"/>
          <w:lang w:val="en-US" w:eastAsia="zh-CN"/>
        </w:rPr>
        <w:t>（1）投标人所承担项目的进度必须符合采购人总进度的要求。</w:t>
      </w:r>
    </w:p>
    <w:p>
      <w:pPr>
        <w:spacing w:line="360" w:lineRule="auto"/>
        <w:rPr>
          <w:rFonts w:hint="eastAsia"/>
          <w:color w:val="auto"/>
          <w:highlight w:val="none"/>
          <w:lang w:val="en-US" w:eastAsia="zh-CN"/>
        </w:rPr>
      </w:pPr>
      <w:r>
        <w:rPr>
          <w:rFonts w:hint="eastAsia"/>
          <w:color w:val="auto"/>
          <w:highlight w:val="none"/>
          <w:lang w:val="en-US" w:eastAsia="zh-CN"/>
        </w:rPr>
        <w:t>（2）投标人若发生影响工期的重大问题，应及时向采购人提出延期申请，经采购人认定后方可延期。否则投标人应采取相应措施按期完工，不能按期完工的，必须接受合同中商务条款的处罚。</w:t>
      </w:r>
    </w:p>
    <w:p>
      <w:pPr>
        <w:spacing w:line="360" w:lineRule="auto"/>
        <w:rPr>
          <w:rFonts w:hint="eastAsia"/>
          <w:color w:val="auto"/>
          <w:highlight w:val="none"/>
          <w:lang w:val="en-US" w:eastAsia="zh-CN"/>
        </w:rPr>
      </w:pPr>
      <w:r>
        <w:rPr>
          <w:rFonts w:hint="eastAsia"/>
          <w:color w:val="auto"/>
          <w:highlight w:val="none"/>
          <w:lang w:val="en-US" w:eastAsia="zh-CN"/>
        </w:rPr>
        <w:t>3.2.2专用部分</w:t>
      </w:r>
    </w:p>
    <w:p>
      <w:pPr>
        <w:spacing w:line="360" w:lineRule="auto"/>
        <w:rPr>
          <w:rFonts w:hint="eastAsia"/>
          <w:color w:val="auto"/>
          <w:highlight w:val="none"/>
          <w:lang w:val="en-US" w:eastAsia="zh-CN"/>
        </w:rPr>
      </w:pPr>
      <w:r>
        <w:rPr>
          <w:rFonts w:hint="eastAsia"/>
          <w:color w:val="auto"/>
          <w:highlight w:val="none"/>
          <w:lang w:val="en-US" w:eastAsia="zh-CN"/>
        </w:rPr>
        <w:t>自采购人提出服务请求后，投标人于15分钟内到采购人指定地点，开始劳务工作。</w:t>
      </w:r>
    </w:p>
    <w:p>
      <w:pPr>
        <w:spacing w:line="360" w:lineRule="auto"/>
        <w:rPr>
          <w:rFonts w:hint="eastAsia"/>
          <w:color w:val="auto"/>
          <w:highlight w:val="none"/>
          <w:lang w:val="en-US" w:eastAsia="zh-CN"/>
        </w:rPr>
      </w:pPr>
      <w:bookmarkStart w:id="25" w:name="_Toc1631_WPSOffice_Level2"/>
      <w:bookmarkStart w:id="26" w:name="_Toc1272_WPSOffice_Level2"/>
      <w:bookmarkStart w:id="27" w:name="_Toc22852"/>
      <w:bookmarkStart w:id="28" w:name="_Toc22061_WPSOffice_Level2"/>
      <w:r>
        <w:rPr>
          <w:rFonts w:hint="eastAsia"/>
          <w:color w:val="auto"/>
          <w:highlight w:val="none"/>
          <w:lang w:val="en-US" w:eastAsia="zh-CN"/>
        </w:rPr>
        <w:t>3.3服务期限和地点</w:t>
      </w:r>
      <w:bookmarkEnd w:id="25"/>
      <w:bookmarkEnd w:id="26"/>
      <w:bookmarkEnd w:id="27"/>
      <w:bookmarkEnd w:id="28"/>
    </w:p>
    <w:p>
      <w:pPr>
        <w:pageBreakBefore w:val="0"/>
        <w:widowControl w:val="0"/>
        <w:kinsoku/>
        <w:wordWrap/>
        <w:overflowPunct/>
        <w:topLinePunct w:val="0"/>
        <w:autoSpaceDE/>
        <w:autoSpaceDN/>
        <w:bidi w:val="0"/>
        <w:adjustRightInd w:val="0"/>
        <w:snapToGrid w:val="0"/>
        <w:spacing w:line="360" w:lineRule="auto"/>
        <w:textAlignment w:val="auto"/>
        <w:rPr>
          <w:rFonts w:hint="eastAsia"/>
          <w:color w:val="auto"/>
          <w:highlight w:val="none"/>
          <w:lang w:val="en-US" w:eastAsia="zh-CN"/>
        </w:rPr>
      </w:pPr>
      <w:r>
        <w:rPr>
          <w:rFonts w:hint="eastAsia"/>
          <w:color w:val="auto"/>
          <w:highlight w:val="none"/>
          <w:lang w:eastAsia="zh-CN"/>
        </w:rPr>
        <w:t>本项目服务期限</w:t>
      </w:r>
      <w:r>
        <w:rPr>
          <w:rFonts w:hint="eastAsia"/>
          <w:color w:val="auto"/>
          <w:highlight w:val="none"/>
          <w:lang w:val="en-US" w:eastAsia="zh-CN"/>
        </w:rPr>
        <w:t>1年，</w:t>
      </w:r>
      <w:r>
        <w:rPr>
          <w:rFonts w:hint="eastAsia"/>
          <w:color w:val="auto"/>
          <w:highlight w:val="none"/>
          <w:lang w:eastAsia="zh-CN"/>
        </w:rPr>
        <w:t>地点为</w:t>
      </w:r>
      <w:bookmarkStart w:id="29" w:name="_Toc5567_WPSOffice_Level2"/>
      <w:bookmarkStart w:id="30" w:name="_Toc22994_WPSOffice_Level2"/>
      <w:r>
        <w:rPr>
          <w:rFonts w:hint="eastAsia" w:ascii="宋体" w:hAnsi="宋体" w:eastAsia="宋体" w:cs="宋体"/>
          <w:color w:val="auto"/>
          <w:szCs w:val="22"/>
          <w:highlight w:val="none"/>
        </w:rPr>
        <w:t>本</w:t>
      </w:r>
      <w:r>
        <w:rPr>
          <w:rFonts w:hint="eastAsia" w:ascii="宋体" w:hAnsi="宋体" w:eastAsia="宋体" w:cs="宋体"/>
          <w:color w:val="auto"/>
          <w:szCs w:val="22"/>
          <w:highlight w:val="none"/>
          <w:u w:val="none"/>
          <w:lang w:val="en-US" w:eastAsia="zh-CN"/>
        </w:rPr>
        <w:t>综合</w:t>
      </w:r>
      <w:r>
        <w:rPr>
          <w:rFonts w:hint="eastAsia" w:ascii="宋体" w:hAnsi="宋体" w:eastAsia="宋体" w:cs="宋体"/>
          <w:color w:val="auto"/>
          <w:szCs w:val="22"/>
          <w:highlight w:val="none"/>
        </w:rPr>
        <w:t>服务工作地点为</w:t>
      </w:r>
      <w:r>
        <w:rPr>
          <w:rFonts w:hint="eastAsia" w:ascii="宋体" w:hAnsi="宋体" w:eastAsia="宋体" w:cs="宋体"/>
          <w:color w:val="auto"/>
          <w:szCs w:val="22"/>
          <w:highlight w:val="none"/>
          <w:lang w:eastAsia="zh-CN"/>
        </w:rPr>
        <w:t>准能公司</w:t>
      </w:r>
      <w:r>
        <w:rPr>
          <w:rFonts w:hint="eastAsia" w:ascii="宋体" w:hAnsi="宋体" w:eastAsia="宋体" w:cs="宋体"/>
          <w:color w:val="auto"/>
          <w:szCs w:val="22"/>
          <w:highlight w:val="none"/>
          <w:lang w:val="en-US" w:eastAsia="zh-CN"/>
        </w:rPr>
        <w:t>A、B座办公大楼，C座会议中心及</w:t>
      </w:r>
      <w:r>
        <w:rPr>
          <w:rFonts w:hint="eastAsia" w:ascii="宋体" w:hAnsi="宋体" w:eastAsia="宋体" w:cs="宋体"/>
          <w:color w:val="auto"/>
          <w:szCs w:val="22"/>
          <w:highlight w:val="none"/>
          <w:lang w:eastAsia="zh-CN"/>
        </w:rPr>
        <w:t>行政处下设各单位。</w:t>
      </w:r>
    </w:p>
    <w:bookmarkEnd w:id="29"/>
    <w:bookmarkEnd w:id="30"/>
    <w:p>
      <w:pPr>
        <w:spacing w:line="360" w:lineRule="auto"/>
        <w:rPr>
          <w:rFonts w:hint="eastAsia"/>
          <w:color w:val="auto"/>
          <w:highlight w:val="none"/>
          <w:lang w:val="en-US" w:eastAsia="zh-CN"/>
        </w:rPr>
      </w:pPr>
      <w:bookmarkStart w:id="31" w:name="_Toc20558"/>
      <w:bookmarkStart w:id="32" w:name="_Toc15835_WPSOffice_Level2"/>
      <w:bookmarkStart w:id="33" w:name="_Toc9196_WPSOffice_Level2"/>
      <w:bookmarkStart w:id="34" w:name="_Toc4632_WPSOffice_Level2"/>
      <w:bookmarkStart w:id="35" w:name="_Toc23347_WPSOffice_Level2"/>
      <w:r>
        <w:rPr>
          <w:rFonts w:hint="eastAsia"/>
          <w:color w:val="auto"/>
          <w:highlight w:val="none"/>
          <w:lang w:val="en-US" w:eastAsia="zh-CN"/>
        </w:rPr>
        <w:t>3.4采购人提供的条件</w:t>
      </w:r>
      <w:bookmarkEnd w:id="31"/>
      <w:bookmarkEnd w:id="32"/>
      <w:bookmarkEnd w:id="33"/>
    </w:p>
    <w:p>
      <w:pPr>
        <w:spacing w:line="360" w:lineRule="auto"/>
        <w:rPr>
          <w:color w:val="auto"/>
          <w:highlight w:val="none"/>
        </w:rPr>
      </w:pPr>
      <w:r>
        <w:rPr>
          <w:rFonts w:hint="eastAsia"/>
          <w:color w:val="auto"/>
          <w:highlight w:val="none"/>
        </w:rPr>
        <w:t>3.4.1通用部分</w:t>
      </w:r>
    </w:p>
    <w:p>
      <w:pPr>
        <w:spacing w:line="360" w:lineRule="auto"/>
        <w:rPr>
          <w:rFonts w:hint="eastAsia"/>
          <w:color w:val="auto"/>
          <w:highlight w:val="none"/>
          <w:lang w:val="en-US" w:eastAsia="zh-CN"/>
        </w:rPr>
      </w:pPr>
      <w:r>
        <w:rPr>
          <w:rFonts w:hint="eastAsia"/>
          <w:color w:val="auto"/>
          <w:highlight w:val="none"/>
          <w:lang w:val="en-US" w:eastAsia="zh-CN"/>
        </w:rPr>
        <w:t>采购人可提供的本项目相关资料。</w:t>
      </w:r>
    </w:p>
    <w:p>
      <w:pPr>
        <w:spacing w:line="360" w:lineRule="auto"/>
        <w:rPr>
          <w:rFonts w:hint="eastAsia"/>
          <w:color w:val="auto"/>
          <w:highlight w:val="none"/>
        </w:rPr>
      </w:pPr>
      <w:r>
        <w:rPr>
          <w:rFonts w:hint="eastAsia"/>
          <w:color w:val="auto"/>
          <w:highlight w:val="none"/>
        </w:rPr>
        <w:t>采购人提供配合的管理人员。</w:t>
      </w:r>
    </w:p>
    <w:p>
      <w:pPr>
        <w:spacing w:line="360" w:lineRule="auto"/>
        <w:rPr>
          <w:rFonts w:hint="eastAsia"/>
          <w:color w:val="auto"/>
          <w:highlight w:val="none"/>
          <w:lang w:val="en-US" w:eastAsia="zh-CN"/>
        </w:rPr>
      </w:pPr>
      <w:r>
        <w:rPr>
          <w:rFonts w:hint="eastAsia"/>
          <w:color w:val="auto"/>
          <w:highlight w:val="none"/>
          <w:lang w:val="en-US" w:eastAsia="zh-CN"/>
        </w:rPr>
        <w:t>3.4.2专用部分</w:t>
      </w:r>
    </w:p>
    <w:p>
      <w:pPr>
        <w:spacing w:line="360" w:lineRule="auto"/>
        <w:rPr>
          <w:rFonts w:hint="eastAsia" w:ascii="Times New Roman" w:hAnsi="Times New Roman" w:cs="Times New Roman"/>
          <w:color w:val="auto"/>
          <w:highlight w:val="none"/>
          <w:lang w:val="en-US" w:eastAsia="zh-CN"/>
        </w:rPr>
      </w:pPr>
      <w:bookmarkStart w:id="36" w:name="_Toc5290_WPSOffice_Level2"/>
      <w:bookmarkStart w:id="37" w:name="_Toc31148"/>
      <w:r>
        <w:rPr>
          <w:rFonts w:hint="eastAsia"/>
          <w:color w:val="auto"/>
          <w:highlight w:val="none"/>
          <w:lang w:val="en-US" w:eastAsia="zh-CN"/>
        </w:rPr>
        <w:t>3.5</w:t>
      </w:r>
      <w:r>
        <w:rPr>
          <w:rFonts w:hint="eastAsia" w:ascii="Times New Roman" w:hAnsi="Times New Roman" w:cs="Times New Roman"/>
          <w:color w:val="auto"/>
          <w:highlight w:val="none"/>
          <w:lang w:val="en-US" w:eastAsia="zh-CN"/>
        </w:rPr>
        <w:t>服务内容</w:t>
      </w:r>
      <w:bookmarkEnd w:id="34"/>
      <w:bookmarkEnd w:id="35"/>
      <w:bookmarkEnd w:id="36"/>
      <w:bookmarkEnd w:id="37"/>
    </w:p>
    <w:p>
      <w:pPr>
        <w:spacing w:line="360" w:lineRule="auto"/>
        <w:rPr>
          <w:rFonts w:hint="eastAsia" w:ascii="Times New Roman" w:hAnsi="Times New Roman" w:cs="Times New Roman"/>
          <w:color w:val="auto"/>
          <w:highlight w:val="none"/>
          <w:lang w:val="en-US" w:eastAsia="zh-CN"/>
        </w:rPr>
      </w:pPr>
      <w:bookmarkStart w:id="38" w:name="_Toc10216687"/>
      <w:bookmarkStart w:id="39" w:name="_Toc4944"/>
      <w:bookmarkStart w:id="40" w:name="_Toc10029979"/>
      <w:bookmarkStart w:id="41" w:name="_Toc1272_WPSOffice_Level1"/>
      <w:bookmarkStart w:id="42" w:name="_Toc22994_WPSOffice_Level1"/>
      <w:r>
        <w:rPr>
          <w:rFonts w:hint="eastAsia" w:ascii="Times New Roman" w:hAnsi="Times New Roman" w:cs="Times New Roman"/>
          <w:color w:val="auto"/>
          <w:highlight w:val="none"/>
          <w:lang w:val="en-US" w:eastAsia="zh-CN"/>
        </w:rPr>
        <w:t>本服务主要内容如下（不限于）：</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1.全年物品搬运，预计1500次，每次需要2人，每次工时1天。</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2.全年物品拉运，预计使用200车次，中型车。</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3.全年使用小型装载机预计累计使用50小时。</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4.全年使用高空作业车用于挂条幅、灯笼等，预计累计使用80小时。</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5.每逢下雪后对公司大院及行政处各单位积雪进行清除，大约40000平米。</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6.组装办公家具，预计120套。</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7.每半个月对地沟、排水沟淤泥杂物进行清理，每次需要6人。</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8.除办公楼A座外，对行政处其他所管辖范围的玻璃进行擦拭，每年两次，大约11000平米。</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9.清洗地毯：宾馆、招待所地毯，大约面积7500平米，每年清洗两次。</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10.清扫、清洗地下车库：A座办公楼地下车库每星期清洗1次，面积约16000平米，全年累计740000平米。</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11.清洗油烟机及管道：宾馆、招代所、机关事务部三个餐厅的油烟机及管道每年清洗两次，大约500平米。</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12.其他人工劳务：全年预计使用600人次，每人次工时1天。</w:t>
      </w:r>
    </w:p>
    <w:tbl>
      <w:tblPr>
        <w:tblStyle w:val="7"/>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40"/>
        <w:gridCol w:w="3025"/>
        <w:gridCol w:w="956"/>
        <w:gridCol w:w="973"/>
        <w:gridCol w:w="1464"/>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rPr>
            </w:pPr>
            <w:r>
              <w:rPr>
                <w:rFonts w:hint="eastAsia" w:ascii="Times New Roman" w:hAnsi="Times New Roman" w:cs="Times New Roman"/>
                <w:color w:val="auto"/>
                <w:highlight w:val="none"/>
                <w:lang w:val="en-US" w:eastAsia="zh-CN"/>
              </w:rPr>
              <w:t>序号</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rPr>
            </w:pPr>
            <w:r>
              <w:rPr>
                <w:rFonts w:hint="eastAsia" w:ascii="Times New Roman" w:hAnsi="Times New Roman" w:cs="Times New Roman"/>
                <w:color w:val="auto"/>
                <w:highlight w:val="none"/>
                <w:lang w:val="en-US" w:eastAsia="zh-CN"/>
              </w:rPr>
              <w:t>名称</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rPr>
            </w:pPr>
            <w:r>
              <w:rPr>
                <w:rFonts w:hint="eastAsia" w:ascii="Times New Roman" w:hAnsi="Times New Roman" w:cs="Times New Roman"/>
                <w:color w:val="auto"/>
                <w:highlight w:val="none"/>
                <w:lang w:val="en-US" w:eastAsia="zh-CN"/>
              </w:rPr>
              <w:t>单位</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数量</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报价</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rPr>
            </w:pPr>
            <w:r>
              <w:rPr>
                <w:rFonts w:hint="eastAsia" w:ascii="Times New Roman" w:hAnsi="Times New Roman" w:cs="Times New Roman"/>
                <w:color w:val="auto"/>
                <w:highlight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rPr>
            </w:pPr>
            <w:r>
              <w:rPr>
                <w:rFonts w:hint="eastAsia" w:ascii="Times New Roman" w:hAnsi="Times New Roman" w:cs="Times New Roman"/>
                <w:color w:val="auto"/>
                <w:highlight w:val="none"/>
                <w:lang w:val="en-US" w:eastAsia="zh-CN"/>
              </w:rPr>
              <w:t>1</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rPr>
            </w:pPr>
            <w:r>
              <w:rPr>
                <w:rFonts w:hint="eastAsia" w:ascii="Times New Roman" w:hAnsi="Times New Roman" w:cs="Times New Roman"/>
                <w:color w:val="auto"/>
                <w:highlight w:val="none"/>
                <w:lang w:val="en-US" w:eastAsia="zh-CN"/>
              </w:rPr>
              <w:t>物品搬运</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次</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1500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物品拉运</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车</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小型装载机</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小时</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50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高空作业车</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小时</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80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5</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清理积雪</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平米</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40000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全年预估5次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组装办公家具</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套</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120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7</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清理地沟淤泥杂物</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米</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每半个月1次次，每次不低于6人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8</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擦玻璃</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平米</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11000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9</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清洗地毯</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平米</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7500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清洗地下车库</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平米</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740000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11</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清洗油烟机及管道</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平米</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500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12</w:t>
            </w:r>
          </w:p>
        </w:tc>
        <w:tc>
          <w:tcPr>
            <w:tcW w:w="3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其他人工劳务</w:t>
            </w:r>
          </w:p>
        </w:tc>
        <w:tc>
          <w:tcPr>
            <w:tcW w:w="95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人</w:t>
            </w:r>
          </w:p>
        </w:tc>
        <w:tc>
          <w:tcPr>
            <w:tcW w:w="9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600</w:t>
            </w: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jc w:val="center"/>
        </w:trPr>
        <w:tc>
          <w:tcPr>
            <w:tcW w:w="6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13</w:t>
            </w:r>
          </w:p>
        </w:tc>
        <w:tc>
          <w:tcPr>
            <w:tcW w:w="398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总报价</w:t>
            </w:r>
          </w:p>
        </w:tc>
        <w:tc>
          <w:tcPr>
            <w:tcW w:w="390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eastAsia" w:ascii="Times New Roman" w:hAnsi="Times New Roman" w:cs="Times New Roman"/>
                <w:color w:val="auto"/>
                <w:highlight w:val="none"/>
                <w:lang w:val="en-US" w:eastAsia="zh-CN"/>
              </w:rPr>
            </w:pPr>
          </w:p>
        </w:tc>
      </w:tr>
    </w:tbl>
    <w:p>
      <w:pPr>
        <w:spacing w:line="360" w:lineRule="auto"/>
        <w:rPr>
          <w:rFonts w:hint="eastAsia"/>
          <w:color w:val="auto"/>
          <w:highlight w:val="none"/>
          <w:lang w:eastAsia="zh-CN"/>
        </w:rPr>
      </w:pPr>
      <w:r>
        <w:rPr>
          <w:rFonts w:hint="eastAsia" w:ascii="Times New Roman" w:hAnsi="Times New Roman" w:cs="Times New Roman"/>
          <w:color w:val="auto"/>
          <w:highlight w:val="none"/>
          <w:lang w:eastAsia="zh-CN"/>
        </w:rPr>
        <w:br w:type="page"/>
      </w:r>
      <w:bookmarkStart w:id="43" w:name="_Toc15569"/>
      <w:bookmarkStart w:id="44" w:name="_Toc19372_WPSOffice_Level1"/>
      <w:r>
        <w:rPr>
          <w:rFonts w:hint="eastAsia"/>
          <w:b/>
          <w:bCs/>
          <w:color w:val="auto"/>
          <w:highlight w:val="none"/>
          <w:lang w:eastAsia="zh-CN"/>
        </w:rPr>
        <w:t>四、标准与规范</w:t>
      </w:r>
      <w:bookmarkEnd w:id="38"/>
      <w:bookmarkEnd w:id="39"/>
      <w:bookmarkEnd w:id="40"/>
      <w:bookmarkEnd w:id="41"/>
      <w:bookmarkEnd w:id="42"/>
      <w:bookmarkEnd w:id="43"/>
      <w:bookmarkEnd w:id="44"/>
    </w:p>
    <w:p>
      <w:pPr>
        <w:spacing w:line="360" w:lineRule="auto"/>
        <w:rPr>
          <w:rFonts w:hint="eastAsia"/>
          <w:color w:val="auto"/>
          <w:highlight w:val="none"/>
          <w:lang w:val="en-US" w:eastAsia="zh-CN"/>
        </w:rPr>
      </w:pPr>
      <w:bookmarkStart w:id="45" w:name="_Toc16633"/>
      <w:bookmarkStart w:id="46" w:name="_Toc13715"/>
      <w:bookmarkStart w:id="47" w:name="_Toc4337"/>
      <w:bookmarkStart w:id="48" w:name="_Toc24154_WPSOffice_Level2"/>
      <w:bookmarkStart w:id="49" w:name="_Toc1379_WPSOffice_Level2"/>
      <w:bookmarkStart w:id="50" w:name="_Toc15412"/>
      <w:bookmarkStart w:id="51" w:name="_Toc24625_WPSOffice_Level2"/>
      <w:r>
        <w:rPr>
          <w:rFonts w:hint="eastAsia"/>
          <w:color w:val="auto"/>
          <w:highlight w:val="none"/>
          <w:lang w:val="en-US" w:eastAsia="zh-CN"/>
        </w:rPr>
        <w:t>4.1通用部分</w:t>
      </w:r>
      <w:bookmarkEnd w:id="45"/>
      <w:bookmarkEnd w:id="46"/>
      <w:bookmarkEnd w:id="47"/>
      <w:bookmarkEnd w:id="48"/>
      <w:bookmarkEnd w:id="49"/>
      <w:bookmarkEnd w:id="50"/>
      <w:bookmarkEnd w:id="51"/>
    </w:p>
    <w:p>
      <w:pPr>
        <w:spacing w:line="360" w:lineRule="auto"/>
        <w:rPr>
          <w:rFonts w:hint="eastAsia"/>
          <w:color w:val="auto"/>
          <w:highlight w:val="none"/>
        </w:rPr>
      </w:pPr>
      <w:r>
        <w:rPr>
          <w:rFonts w:hint="eastAsia"/>
          <w:color w:val="auto"/>
          <w:highlight w:val="none"/>
        </w:rPr>
        <w:t>4.1.1本项目所适用的法律、标准、规范为国家、地方及行业现行的法律、标准、规范，以及在合同实施期间国家、地方及行业对相应法律、标准或规范的修改，以及新颁布的法律、标准和规范。具体法律、标准和规范见专用部分，如专用部分未单独列出法律、规范和标准，则按国家、地方及行业相应最高要求实施。</w:t>
      </w:r>
    </w:p>
    <w:p>
      <w:pPr>
        <w:spacing w:line="360" w:lineRule="auto"/>
        <w:rPr>
          <w:rFonts w:hint="eastAsia"/>
          <w:color w:val="auto"/>
          <w:highlight w:val="none"/>
        </w:rPr>
      </w:pPr>
      <w:r>
        <w:rPr>
          <w:rFonts w:hint="eastAsia"/>
          <w:color w:val="auto"/>
          <w:highlight w:val="none"/>
        </w:rPr>
        <w:t>4.1.2本项目在执行上述要求外，还须执行国家能源集团、采购人的相关管理文件、技术标准要求。</w:t>
      </w:r>
    </w:p>
    <w:p>
      <w:pPr>
        <w:spacing w:line="360" w:lineRule="auto"/>
        <w:rPr>
          <w:rFonts w:hint="eastAsia"/>
          <w:color w:val="auto"/>
          <w:highlight w:val="none"/>
          <w:lang w:val="en-US" w:eastAsia="zh-CN"/>
        </w:rPr>
      </w:pPr>
      <w:bookmarkStart w:id="52" w:name="_Toc17639"/>
      <w:bookmarkStart w:id="53" w:name="_Toc13191_WPSOffice_Level2"/>
      <w:bookmarkStart w:id="54" w:name="_Toc23320_WPSOffice_Level2"/>
      <w:bookmarkStart w:id="55" w:name="_Toc3257_WPSOffice_Level2"/>
      <w:r>
        <w:rPr>
          <w:rFonts w:hint="eastAsia"/>
          <w:color w:val="auto"/>
          <w:highlight w:val="none"/>
          <w:lang w:val="en-US" w:eastAsia="zh-CN"/>
        </w:rPr>
        <w:t>4.2专用部分</w:t>
      </w:r>
      <w:bookmarkEnd w:id="52"/>
      <w:bookmarkEnd w:id="53"/>
      <w:bookmarkEnd w:id="54"/>
      <w:bookmarkEnd w:id="55"/>
    </w:p>
    <w:p>
      <w:pPr>
        <w:pageBreakBefore w:val="0"/>
        <w:kinsoku/>
        <w:wordWrap/>
        <w:overflowPunct/>
        <w:autoSpaceDE/>
        <w:autoSpaceDN/>
        <w:bidi w:val="0"/>
        <w:adjustRightInd w:val="0"/>
        <w:snapToGrid w:val="0"/>
        <w:spacing w:line="360" w:lineRule="auto"/>
        <w:textAlignment w:val="auto"/>
        <w:rPr>
          <w:rFonts w:hint="eastAsia" w:ascii="宋体" w:hAnsi="宋体" w:eastAsia="宋体" w:cs="宋体"/>
          <w:color w:val="auto"/>
          <w:szCs w:val="22"/>
          <w:highlight w:val="none"/>
          <w:lang w:val="en-US" w:eastAsia="zh-CN"/>
        </w:rPr>
      </w:pPr>
      <w:bookmarkStart w:id="56" w:name="_Toc4632_WPSOffice_Level1"/>
      <w:bookmarkStart w:id="57" w:name="_Toc10029980"/>
      <w:bookmarkStart w:id="58" w:name="_Toc10040_WPSOffice_Level1"/>
      <w:bookmarkStart w:id="59" w:name="_Toc10642"/>
      <w:bookmarkStart w:id="60" w:name="_Toc10216688"/>
      <w:bookmarkStart w:id="61" w:name="_Toc28656"/>
      <w:bookmarkStart w:id="62" w:name="_Toc5567_WPSOffice_Level1"/>
      <w:r>
        <w:rPr>
          <w:rFonts w:hint="eastAsia" w:ascii="宋体" w:hAnsi="宋体" w:eastAsia="宋体" w:cs="宋体"/>
          <w:color w:val="auto"/>
          <w:szCs w:val="22"/>
          <w:highlight w:val="none"/>
          <w:lang w:val="en-US" w:eastAsia="zh-CN"/>
        </w:rPr>
        <w:t>本项目所适用标准和规范见下（包括但不限于，其中没有标注日期的标准，其最新版本适用于本项目）：</w:t>
      </w:r>
    </w:p>
    <w:p>
      <w:pPr>
        <w:pageBreakBefore w:val="0"/>
        <w:kinsoku/>
        <w:wordWrap/>
        <w:overflowPunct/>
        <w:autoSpaceDE/>
        <w:autoSpaceDN/>
        <w:bidi w:val="0"/>
        <w:adjustRightInd w:val="0"/>
        <w:snapToGrid w:val="0"/>
        <w:spacing w:line="360" w:lineRule="auto"/>
        <w:textAlignment w:val="auto"/>
        <w:rPr>
          <w:rFonts w:hint="eastAsia" w:ascii="宋体" w:hAnsi="宋体" w:eastAsia="宋体" w:cs="宋体"/>
          <w:color w:val="auto"/>
          <w:szCs w:val="22"/>
          <w:highlight w:val="none"/>
          <w:lang w:val="en-US" w:eastAsia="zh-CN"/>
        </w:rPr>
      </w:pPr>
      <w:r>
        <w:rPr>
          <w:rFonts w:hint="eastAsia" w:ascii="宋体" w:hAnsi="宋体" w:cs="宋体"/>
          <w:color w:val="auto"/>
          <w:szCs w:val="22"/>
          <w:highlight w:val="none"/>
          <w:lang w:val="en-US" w:eastAsia="zh-CN"/>
        </w:rPr>
        <w:t>（1）</w:t>
      </w:r>
      <w:r>
        <w:rPr>
          <w:rFonts w:hint="eastAsia" w:ascii="宋体" w:hAnsi="宋体" w:eastAsia="宋体" w:cs="宋体"/>
          <w:color w:val="auto"/>
          <w:szCs w:val="22"/>
          <w:highlight w:val="none"/>
          <w:lang w:val="en-US" w:eastAsia="zh-CN"/>
        </w:rPr>
        <w:t>《突发公共卫生事件应急条例》；</w:t>
      </w:r>
    </w:p>
    <w:p>
      <w:pPr>
        <w:pageBreakBefore w:val="0"/>
        <w:kinsoku/>
        <w:wordWrap/>
        <w:overflowPunct/>
        <w:autoSpaceDE/>
        <w:autoSpaceDN/>
        <w:bidi w:val="0"/>
        <w:adjustRightInd w:val="0"/>
        <w:snapToGrid w:val="0"/>
        <w:spacing w:line="360" w:lineRule="auto"/>
        <w:textAlignment w:val="auto"/>
        <w:rPr>
          <w:rFonts w:hint="eastAsia" w:ascii="宋体" w:hAnsi="宋体" w:eastAsia="宋体" w:cs="宋体"/>
          <w:color w:val="auto"/>
          <w:szCs w:val="22"/>
          <w:highlight w:val="none"/>
          <w:lang w:val="en-US" w:eastAsia="zh-CN"/>
        </w:rPr>
      </w:pPr>
      <w:r>
        <w:rPr>
          <w:rFonts w:hint="eastAsia" w:ascii="宋体" w:hAnsi="宋体" w:cs="宋体"/>
          <w:color w:val="auto"/>
          <w:szCs w:val="22"/>
          <w:highlight w:val="none"/>
          <w:lang w:val="en-US" w:eastAsia="zh-CN"/>
        </w:rPr>
        <w:t>（2）</w:t>
      </w:r>
      <w:r>
        <w:rPr>
          <w:rFonts w:hint="eastAsia" w:ascii="宋体" w:hAnsi="宋体" w:eastAsia="宋体" w:cs="宋体"/>
          <w:color w:val="auto"/>
          <w:szCs w:val="22"/>
          <w:highlight w:val="none"/>
          <w:lang w:val="en-US" w:eastAsia="zh-CN"/>
        </w:rPr>
        <w:t>《中华人民共和国传染病防治法》；</w:t>
      </w:r>
    </w:p>
    <w:p>
      <w:pPr>
        <w:pageBreakBefore w:val="0"/>
        <w:kinsoku/>
        <w:wordWrap/>
        <w:overflowPunct/>
        <w:autoSpaceDE/>
        <w:autoSpaceDN/>
        <w:bidi w:val="0"/>
        <w:adjustRightInd w:val="0"/>
        <w:snapToGrid w:val="0"/>
        <w:spacing w:line="360" w:lineRule="auto"/>
        <w:textAlignment w:val="auto"/>
        <w:rPr>
          <w:rFonts w:hint="eastAsia" w:ascii="宋体" w:hAnsi="宋体" w:eastAsia="宋体" w:cs="宋体"/>
          <w:color w:val="auto"/>
          <w:szCs w:val="22"/>
          <w:highlight w:val="none"/>
          <w:lang w:val="en-US" w:eastAsia="zh-CN"/>
        </w:rPr>
      </w:pPr>
      <w:r>
        <w:rPr>
          <w:rFonts w:hint="eastAsia" w:ascii="宋体" w:hAnsi="宋体" w:cs="宋体"/>
          <w:color w:val="auto"/>
          <w:szCs w:val="22"/>
          <w:highlight w:val="none"/>
          <w:lang w:val="en-US" w:eastAsia="zh-CN"/>
        </w:rPr>
        <w:t>（3）</w:t>
      </w:r>
      <w:r>
        <w:rPr>
          <w:rFonts w:hint="eastAsia" w:ascii="宋体" w:hAnsi="宋体" w:eastAsia="宋体" w:cs="宋体"/>
          <w:color w:val="auto"/>
          <w:szCs w:val="22"/>
          <w:highlight w:val="none"/>
          <w:lang w:val="en-US" w:eastAsia="zh-CN"/>
        </w:rPr>
        <w:t>《准能集团公司供应商管理办法》；</w:t>
      </w:r>
    </w:p>
    <w:p>
      <w:pPr>
        <w:pageBreakBefore w:val="0"/>
        <w:kinsoku/>
        <w:wordWrap/>
        <w:overflowPunct/>
        <w:autoSpaceDE/>
        <w:autoSpaceDN/>
        <w:bidi w:val="0"/>
        <w:adjustRightInd w:val="0"/>
        <w:snapToGrid w:val="0"/>
        <w:spacing w:line="360" w:lineRule="auto"/>
        <w:textAlignment w:val="auto"/>
        <w:rPr>
          <w:rFonts w:hint="eastAsia" w:ascii="宋体" w:hAnsi="宋体" w:eastAsia="宋体" w:cs="宋体"/>
          <w:color w:val="auto"/>
          <w:kern w:val="2"/>
          <w:sz w:val="28"/>
          <w:szCs w:val="22"/>
          <w:highlight w:val="none"/>
          <w:lang w:val="en-US" w:eastAsia="zh-CN" w:bidi="ar-SA"/>
        </w:rPr>
      </w:pPr>
      <w:r>
        <w:rPr>
          <w:rFonts w:hint="eastAsia" w:ascii="宋体" w:hAnsi="宋体" w:cs="宋体"/>
          <w:color w:val="auto"/>
          <w:szCs w:val="22"/>
          <w:highlight w:val="none"/>
          <w:lang w:val="en-US" w:eastAsia="zh-CN"/>
        </w:rPr>
        <w:t>（4）</w:t>
      </w:r>
      <w:r>
        <w:rPr>
          <w:rFonts w:hint="eastAsia" w:ascii="宋体" w:hAnsi="宋体" w:eastAsia="宋体" w:cs="宋体"/>
          <w:color w:val="auto"/>
          <w:szCs w:val="22"/>
          <w:highlight w:val="none"/>
          <w:lang w:val="en-US" w:eastAsia="zh-CN"/>
        </w:rPr>
        <w:t>《行政处承包商安全管理办法》。</w:t>
      </w:r>
    </w:p>
    <w:p>
      <w:pPr>
        <w:spacing w:line="360" w:lineRule="auto"/>
        <w:rPr>
          <w:rFonts w:hint="eastAsia"/>
          <w:b/>
          <w:bCs/>
          <w:color w:val="auto"/>
          <w:highlight w:val="none"/>
          <w:lang w:eastAsia="zh-CN"/>
        </w:rPr>
      </w:pPr>
      <w:r>
        <w:rPr>
          <w:rFonts w:hint="eastAsia"/>
          <w:b/>
          <w:bCs/>
          <w:color w:val="auto"/>
          <w:highlight w:val="none"/>
          <w:lang w:eastAsia="zh-CN"/>
        </w:rPr>
        <w:t>五、技术要求</w:t>
      </w:r>
      <w:bookmarkEnd w:id="56"/>
      <w:bookmarkEnd w:id="57"/>
      <w:bookmarkEnd w:id="58"/>
      <w:bookmarkEnd w:id="59"/>
      <w:bookmarkEnd w:id="60"/>
      <w:bookmarkEnd w:id="61"/>
      <w:bookmarkEnd w:id="62"/>
    </w:p>
    <w:p>
      <w:pPr>
        <w:spacing w:line="360" w:lineRule="auto"/>
        <w:rPr>
          <w:rFonts w:hint="eastAsia"/>
          <w:color w:val="auto"/>
          <w:highlight w:val="none"/>
          <w:lang w:val="en-US" w:eastAsia="zh-CN"/>
        </w:rPr>
      </w:pPr>
      <w:bookmarkStart w:id="63" w:name="_Toc31384_WPSOffice_Level2"/>
      <w:bookmarkStart w:id="64" w:name="_Toc1362"/>
      <w:bookmarkStart w:id="65" w:name="_Toc28395_WPSOffice_Level2"/>
      <w:bookmarkStart w:id="66" w:name="_Toc7276_WPSOffice_Level2"/>
      <w:r>
        <w:rPr>
          <w:rFonts w:hint="eastAsia"/>
          <w:color w:val="auto"/>
          <w:highlight w:val="none"/>
          <w:lang w:val="en-US" w:eastAsia="zh-CN"/>
        </w:rPr>
        <w:t>5.1通用部分</w:t>
      </w:r>
      <w:bookmarkEnd w:id="63"/>
      <w:bookmarkEnd w:id="64"/>
      <w:bookmarkEnd w:id="65"/>
      <w:bookmarkEnd w:id="66"/>
    </w:p>
    <w:p>
      <w:pPr>
        <w:spacing w:line="360" w:lineRule="auto"/>
        <w:rPr>
          <w:rFonts w:hint="eastAsia"/>
          <w:color w:val="auto"/>
          <w:highlight w:val="none"/>
          <w:lang w:val="en-US" w:eastAsia="zh-CN"/>
        </w:rPr>
      </w:pPr>
      <w:bookmarkStart w:id="67" w:name="_Toc20411"/>
      <w:bookmarkStart w:id="68" w:name="_Toc11310_WPSOffice_Level2"/>
      <w:bookmarkStart w:id="69" w:name="_Toc13385_WPSOffice_Level2"/>
      <w:bookmarkStart w:id="70" w:name="_Toc32587_WPSOffice_Level2"/>
      <w:r>
        <w:rPr>
          <w:rFonts w:hint="eastAsia"/>
          <w:color w:val="auto"/>
          <w:highlight w:val="none"/>
          <w:lang w:val="en-US" w:eastAsia="zh-CN"/>
        </w:rPr>
        <w:t>5.1.1严格按照适用标准和规范开展工作。</w:t>
      </w:r>
    </w:p>
    <w:p>
      <w:pPr>
        <w:spacing w:line="360" w:lineRule="auto"/>
        <w:rPr>
          <w:rFonts w:hint="eastAsia"/>
          <w:color w:val="auto"/>
          <w:highlight w:val="none"/>
          <w:lang w:val="en-US" w:eastAsia="zh-CN"/>
        </w:rPr>
      </w:pPr>
      <w:r>
        <w:rPr>
          <w:rFonts w:hint="eastAsia"/>
          <w:color w:val="auto"/>
          <w:highlight w:val="none"/>
          <w:lang w:val="en-US" w:eastAsia="zh-CN"/>
        </w:rPr>
        <w:t>5.1.2投标人应做好本项目实施过程资料的整理工作，符合采购人归档要求，并及时提供给采购人。</w:t>
      </w:r>
    </w:p>
    <w:p>
      <w:pPr>
        <w:spacing w:line="360" w:lineRule="auto"/>
        <w:rPr>
          <w:rFonts w:hint="eastAsia"/>
          <w:color w:val="auto"/>
          <w:highlight w:val="none"/>
          <w:lang w:val="en-US" w:eastAsia="zh-CN"/>
        </w:rPr>
      </w:pPr>
      <w:r>
        <w:rPr>
          <w:rFonts w:hint="eastAsia"/>
          <w:color w:val="auto"/>
          <w:highlight w:val="none"/>
          <w:lang w:val="en-US" w:eastAsia="zh-CN"/>
        </w:rPr>
        <w:t>5.2专用部分</w:t>
      </w:r>
      <w:bookmarkEnd w:id="67"/>
      <w:bookmarkEnd w:id="68"/>
      <w:bookmarkEnd w:id="69"/>
      <w:bookmarkEnd w:id="70"/>
    </w:p>
    <w:p>
      <w:pPr>
        <w:spacing w:line="360" w:lineRule="auto"/>
        <w:rPr>
          <w:rFonts w:hint="eastAsia"/>
          <w:b/>
          <w:bCs/>
          <w:color w:val="auto"/>
          <w:highlight w:val="none"/>
          <w:lang w:eastAsia="zh-CN"/>
        </w:rPr>
      </w:pPr>
      <w:bookmarkStart w:id="71" w:name="_Toc23347_WPSOffice_Level1"/>
      <w:bookmarkStart w:id="72" w:name="_Toc9906"/>
      <w:bookmarkStart w:id="73" w:name="_Toc12116"/>
      <w:bookmarkStart w:id="74" w:name="_Toc24154_WPSOffice_Level1"/>
      <w:bookmarkStart w:id="75" w:name="_Toc5055_WPSOffice_Level1"/>
      <w:r>
        <w:rPr>
          <w:rFonts w:hint="eastAsia"/>
          <w:b/>
          <w:bCs/>
          <w:color w:val="auto"/>
          <w:highlight w:val="none"/>
          <w:lang w:eastAsia="zh-CN"/>
        </w:rPr>
        <w:t>六、项目组织与管理</w:t>
      </w:r>
      <w:bookmarkEnd w:id="71"/>
      <w:bookmarkEnd w:id="72"/>
      <w:bookmarkEnd w:id="73"/>
      <w:bookmarkEnd w:id="74"/>
      <w:bookmarkEnd w:id="75"/>
    </w:p>
    <w:p>
      <w:pPr>
        <w:spacing w:line="360" w:lineRule="auto"/>
        <w:rPr>
          <w:rFonts w:hint="eastAsia"/>
          <w:color w:val="auto"/>
          <w:highlight w:val="none"/>
          <w:lang w:val="en-US" w:eastAsia="zh-CN"/>
        </w:rPr>
      </w:pPr>
      <w:bookmarkStart w:id="76" w:name="_Toc20902"/>
      <w:bookmarkStart w:id="77" w:name="_Toc7759_WPSOffice_Level2"/>
      <w:bookmarkStart w:id="78" w:name="_Toc29304_WPSOffice_Level2"/>
      <w:bookmarkStart w:id="79" w:name="_Toc19611_WPSOffice_Level2"/>
      <w:r>
        <w:rPr>
          <w:rFonts w:hint="eastAsia"/>
          <w:color w:val="auto"/>
          <w:highlight w:val="none"/>
          <w:lang w:val="en-US" w:eastAsia="zh-CN"/>
        </w:rPr>
        <w:t>6.1人员配置及组织</w:t>
      </w:r>
      <w:bookmarkEnd w:id="76"/>
      <w:bookmarkEnd w:id="77"/>
      <w:bookmarkEnd w:id="78"/>
      <w:bookmarkEnd w:id="79"/>
    </w:p>
    <w:p>
      <w:pPr>
        <w:spacing w:line="360" w:lineRule="auto"/>
        <w:rPr>
          <w:rFonts w:hint="eastAsia"/>
          <w:color w:val="auto"/>
          <w:highlight w:val="none"/>
        </w:rPr>
      </w:pPr>
      <w:r>
        <w:rPr>
          <w:rFonts w:hint="eastAsia"/>
          <w:color w:val="auto"/>
          <w:highlight w:val="none"/>
        </w:rPr>
        <w:t>6.1.1通用部分</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）投标人</w:t>
      </w:r>
      <w:r>
        <w:rPr>
          <w:rFonts w:hint="eastAsia"/>
          <w:color w:val="auto"/>
          <w:highlight w:val="none"/>
        </w:rPr>
        <w:t>保证</w:t>
      </w:r>
      <w:r>
        <w:rPr>
          <w:rFonts w:hint="eastAsia"/>
          <w:color w:val="auto"/>
          <w:highlight w:val="none"/>
          <w:lang w:val="en-US" w:eastAsia="zh-CN"/>
        </w:rPr>
        <w:t>技术服务人员</w:t>
      </w:r>
      <w:r>
        <w:rPr>
          <w:rFonts w:hint="eastAsia"/>
          <w:color w:val="auto"/>
          <w:highlight w:val="none"/>
        </w:rPr>
        <w:t>已经过专业培训，对</w:t>
      </w:r>
      <w:r>
        <w:rPr>
          <w:rFonts w:hint="eastAsia"/>
          <w:color w:val="auto"/>
          <w:highlight w:val="none"/>
          <w:lang w:val="en-US" w:eastAsia="zh-CN"/>
        </w:rPr>
        <w:t>本项目范围</w:t>
      </w:r>
      <w:r>
        <w:rPr>
          <w:rFonts w:hint="eastAsia"/>
          <w:color w:val="auto"/>
          <w:highlight w:val="none"/>
        </w:rPr>
        <w:t>内</w:t>
      </w:r>
      <w:r>
        <w:rPr>
          <w:rFonts w:hint="eastAsia"/>
          <w:color w:val="auto"/>
          <w:highlight w:val="none"/>
          <w:lang w:eastAsia="zh-CN"/>
        </w:rPr>
        <w:t>机械加工维修</w:t>
      </w:r>
      <w:r>
        <w:rPr>
          <w:rFonts w:hint="eastAsia"/>
          <w:color w:val="auto"/>
          <w:highlight w:val="none"/>
        </w:rPr>
        <w:t>具有丰富经验。</w:t>
      </w:r>
    </w:p>
    <w:p>
      <w:pPr>
        <w:spacing w:line="360" w:lineRule="auto"/>
        <w:rPr>
          <w:rFonts w:hint="eastAsia"/>
          <w:color w:val="auto"/>
          <w:highlight w:val="none"/>
          <w:lang w:eastAsia="zh-CN"/>
        </w:rPr>
      </w:pPr>
      <w:r>
        <w:rPr>
          <w:rFonts w:hint="eastAsia"/>
          <w:color w:val="auto"/>
          <w:highlight w:val="none"/>
          <w:lang w:val="en-US" w:eastAsia="zh-CN"/>
        </w:rPr>
        <w:t>（2）技术服务人员的各项事宜由投标人自行安排。</w:t>
      </w:r>
    </w:p>
    <w:p>
      <w:pPr>
        <w:spacing w:line="360" w:lineRule="auto"/>
        <w:rPr>
          <w:rFonts w:hint="eastAsia"/>
          <w:color w:val="auto"/>
          <w:highlight w:val="none"/>
        </w:rPr>
      </w:pPr>
    </w:p>
    <w:p>
      <w:pPr>
        <w:spacing w:line="360" w:lineRule="auto"/>
        <w:rPr>
          <w:rFonts w:hint="eastAsia"/>
          <w:color w:val="auto"/>
          <w:highlight w:val="none"/>
          <w:lang w:val="en-US" w:eastAsia="zh-CN"/>
        </w:rPr>
      </w:pPr>
      <w:r>
        <w:rPr>
          <w:rFonts w:hint="eastAsia"/>
          <w:color w:val="auto"/>
          <w:highlight w:val="none"/>
          <w:lang w:val="en-US" w:eastAsia="zh-CN"/>
        </w:rPr>
        <w:t>6.1.2专用部分</w:t>
      </w:r>
    </w:p>
    <w:p>
      <w:pPr>
        <w:pageBreakBefore w:val="0"/>
        <w:widowControl w:val="0"/>
        <w:numPr>
          <w:ilvl w:val="0"/>
          <w:numId w:val="0"/>
        </w:numPr>
        <w:tabs>
          <w:tab w:val="left" w:pos="1101"/>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1</w:t>
      </w:r>
      <w:r>
        <w:rPr>
          <w:rFonts w:hint="eastAsia" w:ascii="宋体" w:hAnsi="宋体" w:eastAsia="宋体" w:cs="宋体"/>
          <w:color w:val="auto"/>
          <w:szCs w:val="22"/>
          <w:highlight w:val="none"/>
          <w:lang w:eastAsia="zh-CN"/>
        </w:rPr>
        <w:t>）</w:t>
      </w:r>
      <w:r>
        <w:rPr>
          <w:rFonts w:hint="eastAsia" w:ascii="宋体" w:hAnsi="宋体" w:cs="宋体"/>
          <w:color w:val="auto"/>
          <w:szCs w:val="22"/>
          <w:highlight w:val="none"/>
          <w:lang w:eastAsia="zh-CN"/>
        </w:rPr>
        <w:t>投标人</w:t>
      </w:r>
      <w:r>
        <w:rPr>
          <w:rFonts w:hint="eastAsia" w:ascii="宋体" w:hAnsi="宋体" w:eastAsia="宋体" w:cs="宋体"/>
          <w:color w:val="auto"/>
          <w:szCs w:val="22"/>
          <w:highlight w:val="none"/>
          <w:lang w:eastAsia="zh-CN"/>
        </w:rPr>
        <w:t>需固定不低于</w:t>
      </w:r>
      <w:r>
        <w:rPr>
          <w:rFonts w:hint="eastAsia" w:ascii="宋体" w:hAnsi="宋体" w:eastAsia="宋体" w:cs="宋体"/>
          <w:color w:val="auto"/>
          <w:szCs w:val="22"/>
          <w:highlight w:val="none"/>
          <w:lang w:val="en-US" w:eastAsia="zh-CN"/>
        </w:rPr>
        <w:t>3名常用劳务人员。</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 xml:space="preserve">需在采购人提出服务要求15分钟内派人到达现场按要求开始工作。  </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（3）遇国家法定节假日（春节、元宵、清明节、五一劳动节、端午节、国庆节、元旦）采购人提出服务要求</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必须予以满足，保证人员随叫随到。</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（3）清洗油烟机及管道必须有专业清洗人员;必须在采购人要求的时间范围内完成。</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（4）由于</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原因，使服务质量达不到双方约定的质量标准，</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需无条件再次服务，直至达到双方约定的质量标准。</w:t>
      </w:r>
    </w:p>
    <w:p>
      <w:pPr>
        <w:spacing w:line="360" w:lineRule="auto"/>
        <w:rPr>
          <w:rFonts w:hint="eastAsia"/>
          <w:color w:val="auto"/>
          <w:highlight w:val="none"/>
          <w:lang w:val="en-US" w:eastAsia="zh-CN"/>
        </w:rPr>
      </w:pPr>
    </w:p>
    <w:p>
      <w:pPr>
        <w:spacing w:line="360" w:lineRule="auto"/>
        <w:rPr>
          <w:rFonts w:hint="eastAsia"/>
          <w:color w:val="auto"/>
          <w:highlight w:val="none"/>
          <w:lang w:val="en-US" w:eastAsia="zh-CN"/>
        </w:rPr>
      </w:pPr>
      <w:bookmarkStart w:id="80" w:name="_Toc8338_WPSOffice_Level2"/>
      <w:bookmarkStart w:id="81" w:name="_Toc2539"/>
      <w:bookmarkStart w:id="82" w:name="_Toc30151_WPSOffice_Level2"/>
      <w:bookmarkStart w:id="83" w:name="_Toc28249_WPSOffice_Level2"/>
      <w:r>
        <w:rPr>
          <w:rFonts w:hint="eastAsia"/>
          <w:color w:val="auto"/>
          <w:highlight w:val="none"/>
          <w:lang w:val="en-US" w:eastAsia="zh-CN"/>
        </w:rPr>
        <w:t>6.2器械、工具及材料</w:t>
      </w:r>
      <w:bookmarkEnd w:id="80"/>
      <w:bookmarkEnd w:id="81"/>
      <w:bookmarkEnd w:id="82"/>
      <w:bookmarkEnd w:id="83"/>
      <w:bookmarkStart w:id="84" w:name="_Toc24205"/>
      <w:bookmarkStart w:id="85" w:name="_Toc23411"/>
      <w:bookmarkStart w:id="86" w:name="_Toc24555"/>
      <w:bookmarkStart w:id="87" w:name="_Toc3557"/>
    </w:p>
    <w:p>
      <w:pPr>
        <w:spacing w:line="360" w:lineRule="auto"/>
        <w:rPr>
          <w:rFonts w:hint="eastAsia"/>
          <w:color w:val="auto"/>
          <w:highlight w:val="none"/>
        </w:rPr>
      </w:pPr>
      <w:r>
        <w:rPr>
          <w:rFonts w:hint="eastAsia"/>
          <w:color w:val="auto"/>
          <w:highlight w:val="none"/>
        </w:rPr>
        <w:t>6.2.1通用部分</w:t>
      </w:r>
      <w:bookmarkEnd w:id="84"/>
      <w:bookmarkEnd w:id="85"/>
      <w:bookmarkEnd w:id="86"/>
      <w:bookmarkEnd w:id="87"/>
    </w:p>
    <w:p>
      <w:pPr>
        <w:spacing w:line="360" w:lineRule="auto"/>
        <w:rPr>
          <w:rFonts w:hint="eastAsia"/>
          <w:color w:val="auto"/>
          <w:highlight w:val="none"/>
          <w:lang w:val="en-US" w:eastAsia="zh-CN"/>
        </w:rPr>
      </w:pPr>
      <w:r>
        <w:rPr>
          <w:rFonts w:hint="eastAsia"/>
          <w:color w:val="auto"/>
          <w:highlight w:val="none"/>
          <w:lang w:val="en-US" w:eastAsia="zh-CN"/>
        </w:rPr>
        <w:t>本项目所涉及的材料、设备、工器具、仪器仪表、安全防护设施等均由投标人负责提供。如采购人提供，将在专用部分中说明。</w:t>
      </w:r>
    </w:p>
    <w:p>
      <w:pPr>
        <w:spacing w:line="360" w:lineRule="auto"/>
        <w:rPr>
          <w:rFonts w:hint="eastAsia"/>
          <w:color w:val="auto"/>
          <w:highlight w:val="none"/>
          <w:lang w:eastAsia="zh-CN"/>
        </w:rPr>
      </w:pPr>
      <w:r>
        <w:rPr>
          <w:rFonts w:hint="eastAsia"/>
          <w:color w:val="auto"/>
          <w:highlight w:val="none"/>
          <w:lang w:val="en-US" w:eastAsia="zh-CN"/>
        </w:rPr>
        <w:t>投标人所用的工器具、仪器仪表、特种设备等必须符合相关规定，校验合格。</w:t>
      </w:r>
    </w:p>
    <w:p>
      <w:pPr>
        <w:spacing w:line="36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）投标人</w:t>
      </w:r>
      <w:r>
        <w:rPr>
          <w:rFonts w:hint="eastAsia"/>
          <w:color w:val="auto"/>
          <w:highlight w:val="none"/>
        </w:rPr>
        <w:t>用于本</w:t>
      </w:r>
      <w:r>
        <w:rPr>
          <w:rFonts w:hint="eastAsia"/>
          <w:color w:val="auto"/>
          <w:highlight w:val="none"/>
          <w:lang w:eastAsia="zh-CN"/>
        </w:rPr>
        <w:t>项目</w:t>
      </w:r>
      <w:r>
        <w:rPr>
          <w:rFonts w:hint="eastAsia"/>
          <w:color w:val="auto"/>
          <w:highlight w:val="none"/>
        </w:rPr>
        <w:t>的材料必须具有合格质量证明，采购人有权对材料进行抽检和验收。</w:t>
      </w:r>
    </w:p>
    <w:p>
      <w:pPr>
        <w:spacing w:line="360" w:lineRule="auto"/>
        <w:rPr>
          <w:rFonts w:hint="eastAsia"/>
          <w:color w:val="auto"/>
          <w:highlight w:val="none"/>
        </w:rPr>
      </w:pPr>
      <w:r>
        <w:rPr>
          <w:rFonts w:hint="eastAsia"/>
          <w:color w:val="auto"/>
          <w:highlight w:val="none"/>
        </w:rPr>
        <w:t>6.2.2专用部分</w:t>
      </w:r>
    </w:p>
    <w:p>
      <w:pPr>
        <w:spacing w:line="360" w:lineRule="auto"/>
        <w:rPr>
          <w:rFonts w:hint="default"/>
          <w:color w:val="auto"/>
          <w:highlight w:val="none"/>
          <w:lang w:val="en-US" w:eastAsia="zh-CN"/>
        </w:rPr>
      </w:pPr>
      <w:r>
        <w:rPr>
          <w:rFonts w:hint="eastAsia"/>
          <w:color w:val="auto"/>
          <w:highlight w:val="none"/>
          <w:lang w:val="en-US" w:eastAsia="zh-CN"/>
        </w:rPr>
        <w:t xml:space="preserve">    除采购人可提供的条件外，加工维修所需要材料、工器具、备件等全部由投标人负责。</w:t>
      </w:r>
    </w:p>
    <w:p>
      <w:pPr>
        <w:spacing w:line="360" w:lineRule="auto"/>
        <w:rPr>
          <w:rFonts w:hint="eastAsia"/>
          <w:color w:val="auto"/>
          <w:highlight w:val="none"/>
          <w:lang w:val="en-US" w:eastAsia="zh-CN"/>
        </w:rPr>
      </w:pPr>
      <w:bookmarkStart w:id="88" w:name="_Toc7083"/>
      <w:bookmarkStart w:id="89" w:name="_Toc6074_WPSOffice_Level2"/>
      <w:bookmarkStart w:id="90" w:name="_Toc8966_WPSOffice_Level2"/>
      <w:bookmarkStart w:id="91" w:name="_Toc11992_WPSOffice_Level2"/>
      <w:r>
        <w:rPr>
          <w:rFonts w:hint="eastAsia"/>
          <w:color w:val="auto"/>
          <w:highlight w:val="none"/>
          <w:lang w:val="en-US" w:eastAsia="zh-CN"/>
        </w:rPr>
        <w:t>6.3安全文明管理</w:t>
      </w:r>
      <w:bookmarkEnd w:id="88"/>
      <w:bookmarkEnd w:id="89"/>
      <w:bookmarkEnd w:id="90"/>
      <w:bookmarkEnd w:id="91"/>
    </w:p>
    <w:p>
      <w:pPr>
        <w:spacing w:line="360" w:lineRule="auto"/>
        <w:rPr>
          <w:rFonts w:hint="eastAsia"/>
          <w:color w:val="auto"/>
          <w:highlight w:val="none"/>
        </w:rPr>
      </w:pPr>
      <w:r>
        <w:rPr>
          <w:rFonts w:hint="eastAsia"/>
          <w:color w:val="auto"/>
          <w:highlight w:val="none"/>
        </w:rPr>
        <w:t>6.3.1通用部分</w:t>
      </w:r>
    </w:p>
    <w:p>
      <w:pPr>
        <w:spacing w:line="360" w:lineRule="auto"/>
        <w:rPr>
          <w:rFonts w:hint="eastAsia"/>
          <w:color w:val="auto"/>
          <w:highlight w:val="none"/>
          <w:lang w:val="en-US" w:eastAsia="zh-CN"/>
        </w:rPr>
      </w:pPr>
      <w:r>
        <w:rPr>
          <w:rFonts w:hint="eastAsia"/>
          <w:color w:val="auto"/>
          <w:highlight w:val="none"/>
          <w:lang w:val="en-US" w:eastAsia="zh-CN"/>
        </w:rPr>
        <w:t>投标人应当贯彻执行“安全第一、预防为主、综合治理”的方针，严格执行国家、行业相关安全规定及采购人相关安全管理制度，确保不发生人身及设备事故。</w:t>
      </w:r>
    </w:p>
    <w:p>
      <w:pPr>
        <w:spacing w:line="360" w:lineRule="auto"/>
        <w:rPr>
          <w:rFonts w:hint="eastAsia"/>
          <w:color w:val="auto"/>
          <w:highlight w:val="none"/>
          <w:lang w:val="en-US" w:eastAsia="zh-CN"/>
        </w:rPr>
      </w:pPr>
      <w:r>
        <w:rPr>
          <w:rFonts w:hint="eastAsia"/>
          <w:color w:val="auto"/>
          <w:highlight w:val="none"/>
          <w:lang w:val="en-US" w:eastAsia="zh-CN"/>
        </w:rPr>
        <w:t>投标人应全面负责本项目范围内实施过程中的安全文明、环境保护、工业卫生等的管理工作。采购人有权进行检查，有权对过程中不规范的作业提出改进意见和考核，投标人应遵照执行。</w:t>
      </w:r>
    </w:p>
    <w:p>
      <w:pPr>
        <w:spacing w:line="360" w:lineRule="auto"/>
        <w:rPr>
          <w:rFonts w:hint="eastAsia"/>
          <w:color w:val="auto"/>
          <w:highlight w:val="none"/>
          <w:lang w:val="en-US" w:eastAsia="zh-CN"/>
        </w:rPr>
      </w:pPr>
      <w:r>
        <w:rPr>
          <w:rFonts w:hint="eastAsia"/>
          <w:color w:val="auto"/>
          <w:highlight w:val="none"/>
          <w:lang w:val="en-US" w:eastAsia="zh-CN"/>
        </w:rPr>
        <w:t>投标人按采购人规定办理工作票，接受采购人的安全教育培训。</w:t>
      </w:r>
    </w:p>
    <w:p>
      <w:pPr>
        <w:spacing w:line="360" w:lineRule="auto"/>
        <w:rPr>
          <w:rFonts w:hint="eastAsia"/>
          <w:color w:val="auto"/>
          <w:highlight w:val="none"/>
          <w:lang w:val="en-US" w:eastAsia="zh-CN"/>
        </w:rPr>
      </w:pPr>
      <w:r>
        <w:rPr>
          <w:rFonts w:hint="eastAsia"/>
          <w:color w:val="auto"/>
          <w:highlight w:val="none"/>
          <w:lang w:val="en-US" w:eastAsia="zh-CN"/>
        </w:rPr>
        <w:t>投标人应明确各级安全职责和安全控制重点，建立完整的安全保证体系和监督体系，按规定配备安全管理人员；制定完善的安全文明施工管理制度，并严格执行；配备符合国家规定的合格劳动防护用品和工器具；做好安全技术交底，加强内部安全培训。</w:t>
      </w:r>
    </w:p>
    <w:p>
      <w:pPr>
        <w:spacing w:line="360" w:lineRule="auto"/>
        <w:rPr>
          <w:rFonts w:hint="eastAsia"/>
          <w:color w:val="auto"/>
          <w:highlight w:val="none"/>
          <w:lang w:val="en-US" w:eastAsia="zh-CN"/>
        </w:rPr>
      </w:pPr>
      <w:r>
        <w:rPr>
          <w:rFonts w:hint="eastAsia"/>
          <w:color w:val="auto"/>
          <w:highlight w:val="none"/>
          <w:lang w:val="en-US" w:eastAsia="zh-CN"/>
        </w:rPr>
        <w:t>投标人应严格执行设备安全操作规程，做好服务工作，保证工作范围内设备、设施完备、整齐、整洁、不腐蚀，无设备安全隐患。</w:t>
      </w:r>
    </w:p>
    <w:p>
      <w:pPr>
        <w:spacing w:line="360" w:lineRule="auto"/>
        <w:rPr>
          <w:rFonts w:hint="eastAsia"/>
          <w:color w:val="auto"/>
          <w:highlight w:val="none"/>
          <w:lang w:val="en-US" w:eastAsia="zh-CN"/>
        </w:rPr>
      </w:pPr>
      <w:r>
        <w:rPr>
          <w:rFonts w:hint="eastAsia"/>
          <w:color w:val="auto"/>
          <w:highlight w:val="none"/>
          <w:lang w:val="en-US" w:eastAsia="zh-CN"/>
        </w:rPr>
        <w:t>投标人应做好现场防护工作，按规定做好防护设施、措施，设置满足要求的标识、标志及警示。</w:t>
      </w:r>
    </w:p>
    <w:p>
      <w:pPr>
        <w:spacing w:line="360" w:lineRule="auto"/>
        <w:rPr>
          <w:rFonts w:hint="eastAsia"/>
          <w:color w:val="auto"/>
          <w:highlight w:val="none"/>
          <w:lang w:val="en-US" w:eastAsia="zh-CN"/>
        </w:rPr>
      </w:pPr>
      <w:r>
        <w:rPr>
          <w:rFonts w:hint="eastAsia"/>
          <w:color w:val="auto"/>
          <w:highlight w:val="none"/>
          <w:lang w:val="en-US" w:eastAsia="zh-CN"/>
        </w:rPr>
        <w:t>投标人须做好文明施工工作，进行定置化管理，持续做好现场清洁，做到“工完料净场地清”。</w:t>
      </w:r>
    </w:p>
    <w:p>
      <w:pPr>
        <w:spacing w:line="360" w:lineRule="auto"/>
        <w:rPr>
          <w:rFonts w:hint="eastAsia"/>
          <w:color w:val="auto"/>
          <w:highlight w:val="none"/>
          <w:lang w:val="en-US" w:eastAsia="zh-CN"/>
        </w:rPr>
      </w:pPr>
      <w:r>
        <w:rPr>
          <w:rFonts w:hint="eastAsia"/>
          <w:color w:val="auto"/>
          <w:highlight w:val="none"/>
          <w:lang w:val="en-US" w:eastAsia="zh-CN"/>
        </w:rPr>
        <w:t>由于投标人违反有关安全工作的规定、规程，造成人员伤亡和设备设施损坏事故，责任由投标人承担，同时按国家规定进行事故上报（同时报告采购人）。对采购人造成的经济损失，投标人负责赔偿。</w:t>
      </w:r>
    </w:p>
    <w:p>
      <w:pPr>
        <w:spacing w:line="360" w:lineRule="auto"/>
        <w:rPr>
          <w:rFonts w:hint="eastAsia"/>
          <w:color w:val="auto"/>
          <w:highlight w:val="none"/>
          <w:lang w:val="en-US" w:eastAsia="zh-CN"/>
        </w:rPr>
      </w:pPr>
      <w:r>
        <w:rPr>
          <w:rFonts w:hint="eastAsia"/>
          <w:color w:val="auto"/>
          <w:highlight w:val="none"/>
          <w:lang w:val="en-US" w:eastAsia="zh-CN"/>
        </w:rPr>
        <w:t>6.3.2专用部分</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（1）劳务人员在工作中，造成物品、设施损坏，造成的经济损失由</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全部承担。</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（2）在劳务程中发现设备缺陷（如跑、冒、滴、漏等）应及时向采购人汇报。</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（3）对于高空的劳务工作，</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应制定安全措施，采购人审核同意后方可执行。</w:t>
      </w:r>
    </w:p>
    <w:p>
      <w:pP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w:t>
      </w:r>
      <w:r>
        <w:rPr>
          <w:rFonts w:hint="eastAsia" w:cs="Times New Roman"/>
          <w:color w:val="auto"/>
          <w:highlight w:val="none"/>
          <w:lang w:val="en-US" w:eastAsia="zh-CN"/>
        </w:rPr>
        <w:t>投标人</w:t>
      </w:r>
      <w:r>
        <w:rPr>
          <w:rFonts w:hint="eastAsia" w:ascii="Times New Roman" w:hAnsi="Times New Roman" w:cs="Times New Roman"/>
          <w:color w:val="auto"/>
          <w:highlight w:val="none"/>
          <w:lang w:val="en-US" w:eastAsia="zh-CN"/>
        </w:rPr>
        <w:t>的工作人员严格遵守劳动纪律。禁止在工作现场吸烟，严禁酒后上岗。</w:t>
      </w:r>
    </w:p>
    <w:p>
      <w:pPr>
        <w:spacing w:line="360" w:lineRule="auto"/>
        <w:rPr>
          <w:rFonts w:hint="eastAsia"/>
          <w:color w:val="auto"/>
          <w:highlight w:val="none"/>
          <w:lang w:val="en-US" w:eastAsia="zh-CN"/>
        </w:rPr>
      </w:pPr>
      <w:bookmarkStart w:id="92" w:name="_Toc19723_WPSOffice_Level2"/>
      <w:bookmarkStart w:id="93" w:name="_Toc17651"/>
      <w:bookmarkStart w:id="94" w:name="_Toc19650_WPSOffice_Level2"/>
      <w:bookmarkStart w:id="95" w:name="_Toc2725_WPSOffice_Level2"/>
      <w:r>
        <w:rPr>
          <w:rFonts w:hint="eastAsia"/>
          <w:color w:val="auto"/>
          <w:highlight w:val="none"/>
          <w:lang w:val="en-US" w:eastAsia="zh-CN"/>
        </w:rPr>
        <w:t>6.4 其他</w:t>
      </w:r>
      <w:bookmarkEnd w:id="92"/>
      <w:bookmarkEnd w:id="93"/>
      <w:bookmarkEnd w:id="94"/>
      <w:bookmarkEnd w:id="95"/>
    </w:p>
    <w:p>
      <w:pPr>
        <w:spacing w:line="360" w:lineRule="auto"/>
        <w:rPr>
          <w:rFonts w:hint="eastAsia"/>
          <w:color w:val="auto"/>
          <w:highlight w:val="none"/>
          <w:lang w:val="en-US" w:eastAsia="zh-CN"/>
        </w:rPr>
      </w:pPr>
      <w:r>
        <w:rPr>
          <w:rFonts w:hint="eastAsia"/>
          <w:color w:val="auto"/>
          <w:highlight w:val="none"/>
          <w:lang w:val="en-US" w:eastAsia="zh-CN"/>
        </w:rPr>
        <w:t>6.4.1投标人应免费向采购人相关人员提供技术培训或技术问题解答、提供相关技术资料</w:t>
      </w:r>
      <w:bookmarkStart w:id="96" w:name="_Toc10216690"/>
      <w:bookmarkStart w:id="97" w:name="_Toc25742"/>
      <w:bookmarkStart w:id="98" w:name="_Toc24625_WPSOffice_Level1"/>
      <w:r>
        <w:rPr>
          <w:rFonts w:hint="eastAsia"/>
          <w:color w:val="auto"/>
          <w:highlight w:val="none"/>
          <w:lang w:val="en-US" w:eastAsia="zh-CN"/>
        </w:rPr>
        <w:t>。</w:t>
      </w:r>
    </w:p>
    <w:p>
      <w:pPr>
        <w:spacing w:line="360" w:lineRule="auto"/>
        <w:rPr>
          <w:rFonts w:hint="eastAsia"/>
          <w:color w:val="auto"/>
          <w:highlight w:val="none"/>
          <w:lang w:val="en-US" w:eastAsia="zh-CN"/>
        </w:rPr>
      </w:pPr>
      <w:r>
        <w:rPr>
          <w:rFonts w:hint="eastAsia"/>
          <w:color w:val="auto"/>
          <w:highlight w:val="none"/>
          <w:lang w:val="en-US" w:eastAsia="zh-CN"/>
        </w:rPr>
        <w:t>6.4.2采购人可到投标人加工现场查看、了解加工维修保障能力。</w:t>
      </w:r>
    </w:p>
    <w:p>
      <w:pPr>
        <w:spacing w:line="360" w:lineRule="auto"/>
        <w:rPr>
          <w:rFonts w:hint="eastAsia"/>
          <w:color w:val="auto"/>
          <w:highlight w:val="none"/>
          <w:lang w:val="en-US" w:eastAsia="zh-CN"/>
        </w:rPr>
      </w:pPr>
      <w:r>
        <w:rPr>
          <w:rFonts w:hint="eastAsia"/>
          <w:color w:val="auto"/>
          <w:highlight w:val="none"/>
          <w:lang w:val="en-US" w:eastAsia="zh-CN"/>
        </w:rPr>
        <w:t>6.4.3投标人在雇佣员工加工维修采购人委托的设备/部件时，不论是何原因造成的工伤事故或其它纠纷均由投标人负责，采购人不承担任何责任。</w:t>
      </w:r>
    </w:p>
    <w:p>
      <w:pPr>
        <w:spacing w:line="360" w:lineRule="auto"/>
        <w:rPr>
          <w:rFonts w:hint="eastAsia"/>
          <w:color w:val="auto"/>
          <w:highlight w:val="none"/>
          <w:lang w:val="en-US" w:eastAsia="zh-CN"/>
        </w:rPr>
      </w:pPr>
      <w:r>
        <w:rPr>
          <w:rFonts w:hint="eastAsia"/>
          <w:color w:val="auto"/>
          <w:highlight w:val="none"/>
          <w:lang w:val="en-US" w:eastAsia="zh-CN"/>
        </w:rPr>
        <w:t>6.4.4投标人在物流运输过程中的发生一切交通事故由投标人负责，采购人不承担任何责任。</w:t>
      </w:r>
    </w:p>
    <w:bookmarkEnd w:id="96"/>
    <w:bookmarkEnd w:id="97"/>
    <w:bookmarkEnd w:id="98"/>
    <w:p>
      <w:pPr>
        <w:spacing w:line="360" w:lineRule="auto"/>
        <w:rPr>
          <w:rFonts w:hint="eastAsia"/>
          <w:color w:val="auto"/>
          <w:highlight w:val="none"/>
          <w:lang w:eastAsia="zh-CN"/>
        </w:rPr>
      </w:pPr>
      <w:bookmarkStart w:id="99" w:name="_Toc16614_WPSOffice_Level1"/>
      <w:bookmarkStart w:id="100" w:name="_Toc17142"/>
      <w:r>
        <w:rPr>
          <w:rFonts w:hint="eastAsia"/>
          <w:b/>
          <w:bCs/>
          <w:color w:val="auto"/>
          <w:highlight w:val="none"/>
          <w:lang w:eastAsia="zh-CN"/>
        </w:rPr>
        <w:t>七、质量保证及验收</w:t>
      </w:r>
      <w:bookmarkEnd w:id="99"/>
      <w:bookmarkEnd w:id="100"/>
    </w:p>
    <w:p>
      <w:pPr>
        <w:spacing w:line="360" w:lineRule="auto"/>
        <w:rPr>
          <w:rFonts w:hint="eastAsia"/>
          <w:color w:val="auto"/>
          <w:highlight w:val="none"/>
          <w:lang w:val="en-US" w:eastAsia="zh-CN"/>
        </w:rPr>
      </w:pPr>
      <w:bookmarkStart w:id="101" w:name="_Toc12886_WPSOffice_Level2"/>
      <w:bookmarkStart w:id="102" w:name="_Toc5592_WPSOffice_Level2"/>
      <w:bookmarkStart w:id="103" w:name="_Toc15707_WPSOffice_Level2"/>
      <w:bookmarkStart w:id="104" w:name="_Toc23306"/>
      <w:r>
        <w:rPr>
          <w:rFonts w:hint="eastAsia"/>
          <w:color w:val="auto"/>
          <w:highlight w:val="none"/>
          <w:lang w:val="en-US" w:eastAsia="zh-CN"/>
        </w:rPr>
        <w:t>7.1</w:t>
      </w:r>
      <w:bookmarkEnd w:id="101"/>
      <w:bookmarkEnd w:id="102"/>
      <w:r>
        <w:rPr>
          <w:rFonts w:hint="eastAsia"/>
          <w:color w:val="auto"/>
          <w:highlight w:val="none"/>
          <w:lang w:val="en-US" w:eastAsia="zh-CN"/>
        </w:rPr>
        <w:t>质量保证</w:t>
      </w:r>
      <w:bookmarkEnd w:id="103"/>
      <w:bookmarkEnd w:id="104"/>
    </w:p>
    <w:p>
      <w:pPr>
        <w:spacing w:line="360" w:lineRule="auto"/>
        <w:rPr>
          <w:rFonts w:hint="eastAsia"/>
          <w:color w:val="auto"/>
          <w:highlight w:val="none"/>
        </w:rPr>
      </w:pPr>
      <w:r>
        <w:rPr>
          <w:rFonts w:hint="eastAsia"/>
          <w:color w:val="auto"/>
          <w:highlight w:val="none"/>
        </w:rPr>
        <w:t>7.1.1通用部分</w:t>
      </w:r>
    </w:p>
    <w:p>
      <w:pPr>
        <w:spacing w:line="360" w:lineRule="auto"/>
        <w:rPr>
          <w:rFonts w:hint="eastAsia"/>
          <w:color w:val="auto"/>
          <w:highlight w:val="none"/>
        </w:rPr>
      </w:pPr>
      <w:r>
        <w:rPr>
          <w:rFonts w:hint="eastAsia"/>
          <w:color w:val="auto"/>
          <w:highlight w:val="none"/>
          <w:lang w:eastAsia="zh-CN"/>
        </w:rPr>
        <w:t>维修</w:t>
      </w:r>
      <w:r>
        <w:rPr>
          <w:rFonts w:hint="eastAsia"/>
          <w:color w:val="auto"/>
          <w:highlight w:val="none"/>
        </w:rPr>
        <w:t>完毕经</w:t>
      </w:r>
      <w:r>
        <w:rPr>
          <w:rFonts w:hint="eastAsia"/>
          <w:color w:val="auto"/>
          <w:highlight w:val="none"/>
          <w:lang w:eastAsia="zh-CN"/>
        </w:rPr>
        <w:t>投标人</w:t>
      </w:r>
      <w:r>
        <w:rPr>
          <w:rFonts w:hint="eastAsia"/>
          <w:color w:val="auto"/>
          <w:highlight w:val="none"/>
        </w:rPr>
        <w:t>自检合格，</w:t>
      </w:r>
      <w:r>
        <w:rPr>
          <w:rFonts w:hint="eastAsia"/>
          <w:color w:val="auto"/>
          <w:highlight w:val="none"/>
          <w:lang w:eastAsia="zh-CN"/>
        </w:rPr>
        <w:t>采购人</w:t>
      </w:r>
      <w:r>
        <w:rPr>
          <w:rFonts w:hint="eastAsia"/>
          <w:color w:val="auto"/>
          <w:highlight w:val="none"/>
        </w:rPr>
        <w:t>进行质量检验，达不到</w:t>
      </w:r>
      <w:r>
        <w:rPr>
          <w:rFonts w:hint="eastAsia"/>
          <w:color w:val="auto"/>
          <w:highlight w:val="none"/>
          <w:lang w:eastAsia="zh-CN"/>
        </w:rPr>
        <w:t>技术</w:t>
      </w:r>
      <w:r>
        <w:rPr>
          <w:rFonts w:hint="eastAsia"/>
          <w:color w:val="auto"/>
          <w:highlight w:val="none"/>
        </w:rPr>
        <w:t>要求的，</w:t>
      </w:r>
      <w:r>
        <w:rPr>
          <w:rFonts w:hint="eastAsia"/>
          <w:color w:val="auto"/>
          <w:highlight w:val="none"/>
          <w:lang w:eastAsia="zh-CN"/>
        </w:rPr>
        <w:t>投标人</w:t>
      </w:r>
      <w:r>
        <w:rPr>
          <w:rFonts w:hint="eastAsia"/>
          <w:color w:val="auto"/>
          <w:highlight w:val="none"/>
        </w:rPr>
        <w:t>应负责进行</w:t>
      </w:r>
      <w:r>
        <w:rPr>
          <w:rFonts w:hint="eastAsia"/>
          <w:color w:val="auto"/>
          <w:highlight w:val="none"/>
          <w:lang w:eastAsia="zh-CN"/>
        </w:rPr>
        <w:t>再加工</w:t>
      </w:r>
      <w:r>
        <w:rPr>
          <w:rFonts w:hint="eastAsia"/>
          <w:color w:val="auto"/>
          <w:highlight w:val="none"/>
        </w:rPr>
        <w:t>维修，并承担所产生的全部费用。</w:t>
      </w:r>
    </w:p>
    <w:p>
      <w:pPr>
        <w:spacing w:line="360" w:lineRule="auto"/>
        <w:rPr>
          <w:rFonts w:hint="eastAsia"/>
          <w:color w:val="auto"/>
          <w:highlight w:val="none"/>
        </w:rPr>
      </w:pPr>
      <w:r>
        <w:rPr>
          <w:rFonts w:hint="eastAsia"/>
          <w:color w:val="auto"/>
          <w:highlight w:val="none"/>
          <w:lang w:eastAsia="zh-CN"/>
        </w:rPr>
        <w:t>投标人</w:t>
      </w:r>
      <w:r>
        <w:rPr>
          <w:rFonts w:hint="eastAsia"/>
          <w:color w:val="auto"/>
          <w:highlight w:val="none"/>
        </w:rPr>
        <w:t>应实行</w:t>
      </w:r>
      <w:r>
        <w:rPr>
          <w:rFonts w:hint="eastAsia"/>
          <w:color w:val="auto"/>
          <w:highlight w:val="none"/>
          <w:lang w:eastAsia="zh-CN"/>
        </w:rPr>
        <w:t>质量保证期</w:t>
      </w:r>
      <w:r>
        <w:rPr>
          <w:rFonts w:hint="eastAsia"/>
          <w:color w:val="auto"/>
          <w:highlight w:val="none"/>
        </w:rPr>
        <w:t>内的无偿修复(人为损坏</w:t>
      </w:r>
      <w:r>
        <w:rPr>
          <w:rFonts w:hint="eastAsia"/>
          <w:color w:val="auto"/>
          <w:highlight w:val="none"/>
          <w:lang w:val="en-US" w:eastAsia="zh-CN"/>
        </w:rPr>
        <w:t>和正常磨损除外</w:t>
      </w:r>
      <w:r>
        <w:rPr>
          <w:rFonts w:hint="eastAsia"/>
          <w:color w:val="auto"/>
          <w:highlight w:val="none"/>
        </w:rPr>
        <w:t>)工作。</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）投标人</w:t>
      </w:r>
      <w:r>
        <w:rPr>
          <w:rFonts w:hint="eastAsia"/>
          <w:color w:val="auto"/>
          <w:highlight w:val="none"/>
        </w:rPr>
        <w:t>应加强成品保护。</w:t>
      </w:r>
    </w:p>
    <w:p>
      <w:pPr>
        <w:spacing w:line="360" w:lineRule="auto"/>
        <w:rPr>
          <w:rFonts w:hint="eastAsia"/>
          <w:color w:val="auto"/>
          <w:highlight w:val="none"/>
        </w:rPr>
      </w:pPr>
      <w:bookmarkStart w:id="105" w:name="_Toc106733221"/>
      <w:bookmarkStart w:id="106" w:name="_Toc41062949"/>
      <w:bookmarkStart w:id="107" w:name="_Toc30614607"/>
      <w:bookmarkStart w:id="108" w:name="_Toc39046760"/>
      <w:bookmarkStart w:id="109" w:name="_Toc119374342"/>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）投标人</w:t>
      </w:r>
      <w:r>
        <w:rPr>
          <w:rFonts w:hint="eastAsia"/>
          <w:color w:val="auto"/>
          <w:highlight w:val="none"/>
        </w:rPr>
        <w:t>应遵守</w:t>
      </w:r>
      <w:r>
        <w:rPr>
          <w:rFonts w:hint="eastAsia"/>
          <w:color w:val="auto"/>
          <w:highlight w:val="none"/>
          <w:lang w:eastAsia="zh-CN"/>
        </w:rPr>
        <w:t>采购人</w:t>
      </w:r>
      <w:r>
        <w:rPr>
          <w:rFonts w:hint="eastAsia"/>
          <w:color w:val="auto"/>
          <w:highlight w:val="none"/>
        </w:rPr>
        <w:t>质量管理</w:t>
      </w:r>
      <w:r>
        <w:rPr>
          <w:rFonts w:hint="eastAsia"/>
          <w:color w:val="auto"/>
          <w:highlight w:val="none"/>
          <w:lang w:eastAsia="zh-CN"/>
        </w:rPr>
        <w:t>相关</w:t>
      </w:r>
      <w:r>
        <w:rPr>
          <w:rFonts w:hint="eastAsia"/>
          <w:color w:val="auto"/>
          <w:highlight w:val="none"/>
        </w:rPr>
        <w:t>规定</w:t>
      </w:r>
      <w:r>
        <w:rPr>
          <w:rFonts w:hint="eastAsia"/>
          <w:color w:val="auto"/>
          <w:highlight w:val="none"/>
          <w:lang w:eastAsia="zh-CN"/>
        </w:rPr>
        <w:t>。采购人</w:t>
      </w:r>
      <w:r>
        <w:rPr>
          <w:rFonts w:hint="eastAsia"/>
          <w:color w:val="auto"/>
          <w:highlight w:val="none"/>
        </w:rPr>
        <w:t>有权依据相关规定对</w:t>
      </w:r>
      <w:r>
        <w:rPr>
          <w:rFonts w:hint="eastAsia"/>
          <w:color w:val="auto"/>
          <w:highlight w:val="none"/>
          <w:lang w:eastAsia="zh-CN"/>
        </w:rPr>
        <w:t>投标人</w:t>
      </w:r>
      <w:r>
        <w:rPr>
          <w:rFonts w:hint="eastAsia"/>
          <w:color w:val="auto"/>
          <w:highlight w:val="none"/>
        </w:rPr>
        <w:t>违规</w:t>
      </w:r>
      <w:r>
        <w:rPr>
          <w:rFonts w:hint="eastAsia"/>
          <w:color w:val="auto"/>
          <w:highlight w:val="none"/>
          <w:lang w:eastAsia="zh-CN"/>
        </w:rPr>
        <w:t>行为</w:t>
      </w:r>
      <w:r>
        <w:rPr>
          <w:rFonts w:hint="eastAsia"/>
          <w:color w:val="auto"/>
          <w:highlight w:val="none"/>
        </w:rPr>
        <w:t>进行考核。</w:t>
      </w:r>
      <w:bookmarkEnd w:id="105"/>
      <w:bookmarkEnd w:id="106"/>
      <w:bookmarkEnd w:id="107"/>
      <w:bookmarkEnd w:id="108"/>
      <w:bookmarkEnd w:id="109"/>
    </w:p>
    <w:p>
      <w:pPr>
        <w:spacing w:line="360" w:lineRule="auto"/>
        <w:rPr>
          <w:rFonts w:hint="eastAsia"/>
          <w:color w:val="auto"/>
          <w:highlight w:val="none"/>
          <w:lang w:val="en-US" w:eastAsia="zh-CN"/>
        </w:rPr>
      </w:pPr>
      <w:r>
        <w:rPr>
          <w:rFonts w:hint="eastAsia"/>
          <w:color w:val="auto"/>
          <w:highlight w:val="none"/>
          <w:lang w:val="en-US" w:eastAsia="zh-CN"/>
        </w:rPr>
        <w:t>7.1.2专用部分</w:t>
      </w:r>
    </w:p>
    <w:p>
      <w:pPr>
        <w:keepNext w:val="0"/>
        <w:keepLines w:val="0"/>
        <w:pageBreakBefore w:val="0"/>
        <w:widowControl w:val="0"/>
        <w:numPr>
          <w:ilvl w:val="0"/>
          <w:numId w:val="0"/>
        </w:numPr>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textAlignment w:val="auto"/>
        <w:outlineLvl w:val="9"/>
        <w:rPr>
          <w:rFonts w:hint="eastAsia"/>
          <w:color w:val="auto"/>
          <w:highlight w:val="none"/>
          <w:lang w:val="en-US" w:eastAsia="zh-CN"/>
        </w:rPr>
      </w:pPr>
      <w:bookmarkStart w:id="110" w:name="_Toc4394_WPSOffice_Level2"/>
      <w:bookmarkStart w:id="111" w:name="_Toc6051_WPSOffice_Level2"/>
      <w:bookmarkStart w:id="112" w:name="_Toc17820_WPSOffice_Level2"/>
      <w:bookmarkStart w:id="113" w:name="_Toc7531"/>
      <w:r>
        <w:rPr>
          <w:rFonts w:hint="eastAsia" w:ascii="宋体" w:hAnsi="宋体" w:cs="宋体"/>
          <w:color w:val="auto"/>
          <w:szCs w:val="22"/>
          <w:highlight w:val="none"/>
          <w:lang w:val="en-US" w:eastAsia="zh-CN"/>
        </w:rPr>
        <w:t>投标人</w:t>
      </w:r>
      <w:r>
        <w:rPr>
          <w:rFonts w:hint="eastAsia" w:ascii="宋体" w:hAnsi="宋体" w:eastAsia="宋体" w:cs="宋体"/>
          <w:color w:val="auto"/>
          <w:szCs w:val="22"/>
          <w:highlight w:val="none"/>
          <w:lang w:val="en-US" w:eastAsia="zh-CN"/>
        </w:rPr>
        <w:t>应提供优质的服务，保质保量完成以上规定的业务内容，如</w:t>
      </w:r>
      <w:r>
        <w:rPr>
          <w:rFonts w:hint="eastAsia" w:ascii="宋体" w:hAnsi="宋体" w:cs="宋体"/>
          <w:color w:val="auto"/>
          <w:szCs w:val="22"/>
          <w:highlight w:val="none"/>
          <w:lang w:val="en-US" w:eastAsia="zh-CN"/>
        </w:rPr>
        <w:t>投标人</w:t>
      </w:r>
      <w:r>
        <w:rPr>
          <w:rFonts w:hint="eastAsia" w:ascii="宋体" w:hAnsi="宋体" w:eastAsia="宋体" w:cs="宋体"/>
          <w:color w:val="auto"/>
          <w:szCs w:val="22"/>
          <w:highlight w:val="none"/>
          <w:lang w:val="en-US" w:eastAsia="zh-CN"/>
        </w:rPr>
        <w:t>不作为，采购人可将</w:t>
      </w:r>
      <w:r>
        <w:rPr>
          <w:rFonts w:hint="eastAsia" w:ascii="宋体" w:hAnsi="宋体" w:cs="宋体"/>
          <w:color w:val="auto"/>
          <w:szCs w:val="22"/>
          <w:highlight w:val="none"/>
          <w:lang w:val="en-US" w:eastAsia="zh-CN"/>
        </w:rPr>
        <w:t>投标人</w:t>
      </w:r>
      <w:r>
        <w:rPr>
          <w:rFonts w:hint="eastAsia" w:ascii="宋体" w:hAnsi="宋体" w:eastAsia="宋体" w:cs="宋体"/>
          <w:color w:val="auto"/>
          <w:szCs w:val="22"/>
          <w:highlight w:val="none"/>
          <w:lang w:val="en-US" w:eastAsia="zh-CN"/>
        </w:rPr>
        <w:t>列入招标黑名单，在采购人今后的任何招标中不接受其投标。并有权更换服务人员。</w:t>
      </w:r>
    </w:p>
    <w:p>
      <w:pPr>
        <w:spacing w:line="360" w:lineRule="auto"/>
        <w:rPr>
          <w:rFonts w:hint="eastAsia"/>
          <w:color w:val="auto"/>
          <w:highlight w:val="none"/>
          <w:lang w:val="en-US" w:eastAsia="zh-CN"/>
        </w:rPr>
      </w:pPr>
      <w:r>
        <w:rPr>
          <w:rFonts w:hint="eastAsia"/>
          <w:color w:val="auto"/>
          <w:highlight w:val="none"/>
          <w:lang w:val="en-US" w:eastAsia="zh-CN"/>
        </w:rPr>
        <w:t>7.2</w:t>
      </w:r>
      <w:bookmarkEnd w:id="110"/>
      <w:bookmarkEnd w:id="111"/>
      <w:r>
        <w:rPr>
          <w:rFonts w:hint="eastAsia"/>
          <w:color w:val="auto"/>
          <w:highlight w:val="none"/>
          <w:lang w:val="en-US" w:eastAsia="zh-CN"/>
        </w:rPr>
        <w:t>验收</w:t>
      </w:r>
      <w:bookmarkEnd w:id="112"/>
      <w:bookmarkEnd w:id="113"/>
    </w:p>
    <w:p>
      <w:pPr>
        <w:spacing w:line="360" w:lineRule="auto"/>
        <w:rPr>
          <w:rFonts w:hint="eastAsia"/>
          <w:color w:val="auto"/>
          <w:highlight w:val="none"/>
        </w:rPr>
      </w:pPr>
      <w:r>
        <w:rPr>
          <w:rFonts w:hint="eastAsia"/>
          <w:color w:val="auto"/>
          <w:highlight w:val="none"/>
        </w:rPr>
        <w:t>7.2.1通用部分</w:t>
      </w:r>
    </w:p>
    <w:p>
      <w:pPr>
        <w:spacing w:line="36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）项目完成后，投标人应自检合格，自检记录齐全，方可报采购人进行质量验收。</w:t>
      </w:r>
    </w:p>
    <w:p>
      <w:pPr>
        <w:spacing w:line="360" w:lineRule="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质量</w:t>
      </w:r>
      <w:r>
        <w:rPr>
          <w:rFonts w:hint="eastAsia"/>
          <w:color w:val="auto"/>
          <w:highlight w:val="none"/>
          <w:lang w:eastAsia="zh-CN"/>
        </w:rPr>
        <w:t>验收</w:t>
      </w:r>
      <w:r>
        <w:rPr>
          <w:rFonts w:hint="eastAsia"/>
          <w:color w:val="auto"/>
          <w:highlight w:val="none"/>
        </w:rPr>
        <w:t>标准均按采购人提供的标准或相关规定执行（或</w:t>
      </w:r>
      <w:r>
        <w:rPr>
          <w:rFonts w:hint="eastAsia"/>
          <w:color w:val="auto"/>
          <w:highlight w:val="none"/>
          <w:lang w:eastAsia="zh-CN"/>
        </w:rPr>
        <w:t>投标人</w:t>
      </w:r>
      <w:r>
        <w:rPr>
          <w:rFonts w:hint="eastAsia"/>
          <w:color w:val="auto"/>
          <w:highlight w:val="none"/>
        </w:rPr>
        <w:t>制定，采购人审核确认的标准）</w:t>
      </w:r>
      <w:r>
        <w:rPr>
          <w:rFonts w:hint="eastAsia"/>
          <w:color w:val="auto"/>
          <w:highlight w:val="none"/>
          <w:lang w:eastAsia="zh-CN"/>
        </w:rPr>
        <w:t>。</w:t>
      </w:r>
      <w:r>
        <w:rPr>
          <w:rFonts w:hint="eastAsia"/>
          <w:color w:val="auto"/>
          <w:highlight w:val="none"/>
        </w:rPr>
        <w:t>若遇采购人没有提供质量</w:t>
      </w:r>
      <w:r>
        <w:rPr>
          <w:rFonts w:hint="eastAsia"/>
          <w:color w:val="auto"/>
          <w:highlight w:val="none"/>
          <w:lang w:eastAsia="zh-CN"/>
        </w:rPr>
        <w:t>验收</w:t>
      </w:r>
      <w:r>
        <w:rPr>
          <w:rFonts w:hint="eastAsia"/>
          <w:color w:val="auto"/>
          <w:highlight w:val="none"/>
        </w:rPr>
        <w:t>标准的，可按照国家和行业相关标准或设备制造厂家标准执行，如遇冲突，就高的标准执行。</w:t>
      </w:r>
    </w:p>
    <w:p>
      <w:pPr>
        <w:spacing w:line="360" w:lineRule="auto"/>
        <w:rPr>
          <w:rFonts w:hint="eastAsia"/>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双方代表在会同检验中对检验记录不能取得一致意见时，可由双方委托权威的第三方检验机构／双方权威检验机构联合进行检验。检验结果对双方都有约束力，检验费用由责任方负担。</w:t>
      </w:r>
    </w:p>
    <w:p>
      <w:pPr>
        <w:spacing w:line="360" w:lineRule="auto"/>
        <w:rPr>
          <w:rFonts w:hint="eastAsia"/>
          <w:color w:val="auto"/>
          <w:highlight w:val="none"/>
        </w:rPr>
      </w:pPr>
      <w:r>
        <w:rPr>
          <w:rFonts w:hint="eastAsia"/>
          <w:color w:val="auto"/>
          <w:highlight w:val="none"/>
        </w:rPr>
        <w:t>7.2.2专用部分</w:t>
      </w:r>
    </w:p>
    <w:p>
      <w:pPr>
        <w:pageBreakBefore w:val="0"/>
        <w:kinsoku/>
        <w:wordWrap/>
        <w:overflowPunct/>
        <w:autoSpaceDE/>
        <w:autoSpaceDN/>
        <w:bidi w:val="0"/>
        <w:adjustRightInd w:val="0"/>
        <w:snapToGrid w:val="0"/>
        <w:spacing w:line="360" w:lineRule="auto"/>
        <w:textAlignment w:val="auto"/>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由采购人根据业务内容、业务质量标准要求及采购人相关规章制度，对</w:t>
      </w:r>
      <w:r>
        <w:rPr>
          <w:rFonts w:hint="eastAsia" w:ascii="宋体" w:hAnsi="宋体" w:cs="宋体"/>
          <w:color w:val="auto"/>
          <w:szCs w:val="22"/>
          <w:highlight w:val="none"/>
          <w:lang w:val="en-US" w:eastAsia="zh-CN"/>
        </w:rPr>
        <w:t>投标人</w:t>
      </w:r>
      <w:r>
        <w:rPr>
          <w:rFonts w:hint="eastAsia" w:ascii="宋体" w:hAnsi="宋体" w:eastAsia="宋体" w:cs="宋体"/>
          <w:color w:val="auto"/>
          <w:szCs w:val="22"/>
          <w:highlight w:val="none"/>
          <w:lang w:val="en-US" w:eastAsia="zh-CN"/>
        </w:rPr>
        <w:t>完成业务的质量和数量进行评定，按月形成结果确认。交由采购人按月或多月据实结算，作为结算依据。</w:t>
      </w:r>
    </w:p>
    <w:p>
      <w:bookmarkStart w:id="114" w:name="_GoBack"/>
      <w:bookmarkEnd w:id="1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CCoAeuGQIAACEEAAAOAAAA&#10;AAAAAAEAIAAAAB8BAABkcnMvZTJvRG9jLnhtbFBLBQYAAAAABgAGAFkBAACqBQAAAAA=&#10;">
              <v:fill on="f" focussize="0,0"/>
              <v:stroke on="f" weight="0.5pt"/>
              <v:imagedata o:title=""/>
              <o:lock v:ext="edit" aspectratio="f"/>
              <v:textbox inset="0mm,0mm,0mm,0mm" style="mso-fit-shape-to-text:t;">
                <w:txbxContent>
                  <w:p>
                    <w:pPr>
                      <w:pStyle w:val="3"/>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B6FD8"/>
    <w:rsid w:val="488B6F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widowControl w:val="0"/>
      <w:spacing w:before="340" w:after="330" w:line="576"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header"/>
    <w:basedOn w:val="1"/>
    <w:next w:val="3"/>
    <w:qFormat/>
    <w:uiPriority w:val="0"/>
    <w:pPr>
      <w:pBdr>
        <w:bottom w:val="single" w:color="auto" w:sz="6" w:space="1"/>
      </w:pBdr>
      <w:tabs>
        <w:tab w:val="center" w:pos="4153"/>
        <w:tab w:val="right" w:pos="8306"/>
      </w:tabs>
      <w:snapToGrid w:val="0"/>
      <w:jc w:val="center"/>
    </w:pPr>
    <w:rPr>
      <w:sz w:val="18"/>
      <w:szCs w:val="18"/>
    </w:rPr>
  </w:style>
  <w:style w:type="paragraph" w:styleId="3">
    <w:name w:val="footer"/>
    <w:basedOn w:val="1"/>
    <w:next w:val="4"/>
    <w:qFormat/>
    <w:uiPriority w:val="0"/>
    <w:pPr>
      <w:tabs>
        <w:tab w:val="center" w:pos="4153"/>
        <w:tab w:val="right" w:pos="8306"/>
      </w:tabs>
      <w:snapToGrid w:val="0"/>
      <w:jc w:val="left"/>
    </w:pPr>
    <w:rPr>
      <w:sz w:val="18"/>
      <w:szCs w:val="18"/>
    </w:rPr>
  </w:style>
  <w:style w:type="paragraph" w:styleId="4">
    <w:name w:val="toc 1"/>
    <w:basedOn w:val="1"/>
    <w:next w:val="1"/>
    <w:qFormat/>
    <w:uiPriority w:val="39"/>
    <w:pPr>
      <w:tabs>
        <w:tab w:val="left" w:pos="1050"/>
        <w:tab w:val="right" w:leader="dot" w:pos="9061"/>
      </w:tabs>
      <w:spacing w:line="360"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2020-04-13T07:54:00Z</dcterms:created>
  <dc:creator>工程公司:李远</dc:creator>
  <cp:lastModifiedBy>工程公司:李远</cp:lastModifiedBy>
  <dcterms:modified xsi:type="dcterms:W3CDTF">2020-04-13T07:55:32Z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