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0"/>
        </w:numPr>
        <w:spacing w:beforeLines="100" w:afterLines="50" w:line="360" w:lineRule="auto"/>
        <w:ind w:leftChars="0"/>
        <w:jc w:val="center"/>
        <w:rPr>
          <w:rFonts w:hint="eastAsia" w:ascii="宋体" w:hAnsi="宋体"/>
          <w:color w:val="auto"/>
          <w:sz w:val="36"/>
          <w:szCs w:val="36"/>
          <w:lang w:val="en-US" w:eastAsia="zh-CN"/>
        </w:rPr>
      </w:pPr>
      <w:bookmarkStart w:id="2" w:name="_GoBack"/>
      <w:r>
        <w:rPr>
          <w:rFonts w:hint="eastAsia" w:asciiTheme="minorEastAsia" w:hAnsiTheme="minorEastAsia" w:eastAsiaTheme="minorEastAsia"/>
          <w:b/>
          <w:color w:val="auto"/>
          <w:sz w:val="36"/>
          <w:szCs w:val="36"/>
          <w:lang w:eastAsia="zh-CN"/>
        </w:rPr>
        <w:t>技术附件</w:t>
      </w:r>
    </w:p>
    <w:p>
      <w:pPr>
        <w:pStyle w:val="2"/>
        <w:spacing w:beforeLines="100" w:afterLines="50"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highlight w:val="none"/>
        </w:rPr>
        <w:t>工程概况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煤制油分公司气化装置因粗渣含水量高，接渣及拉运过程沥水严重；气化一区、七区拉渣区域渣池小（一区3m*4m、七区1m*1.5m，三区和五区5.6m*8.5m）及地沟排水系统功能不健全；过滤机滤饼排放装车地坪普遍损坏，过滤机厂房北侧地坪无地沟，地面无法进行冲洗等问题，造成现场频繁积渣且不易处理、废水溢流频繁且易窜至雨水系统导致雨水超标；七区滤饼厂房出口地面坡度大、冬季地面易结冰导致车辆行驶侧滑及人员滑倒；以上问题严重影响气化装置的安全文明生产，为尽快消除隐患，完善装置功能，改善现场文明生产被动局面，急需对目前暴露出的问题进行整治。主要改造内容为：气化一区将原有3m*4m*3m渣池拆除、扩容至5*12m*3m，气化七区将新建渣池，容积为5*12m*3m，渣池增加机械搅拌及气力搅拌设施；黑水一区-六区过滤机厂房北侧道路以南新增地沟，汇入过滤机厂房门口地沟；气化七区框架北侧和东侧各增加一条地沟，东侧增加一条地沟与原捞渣机地沟相连；七区黑水过滤机新增重载路面抬升高度，路面抬高约300mm，对应过滤机厂房出来的地面坡度较原坡度减缓。过滤机渣车出仓区域改为承重地坪；气化一区-七区渣车出仓南北向普通地坪改为100吨承重路。</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caps/>
          <w:color w:val="auto"/>
          <w:kern w:val="28"/>
          <w:sz w:val="21"/>
          <w:szCs w:val="21"/>
          <w:highlight w:val="none"/>
          <w:lang w:val="en-US" w:eastAsia="zh-CN" w:bidi="ar-SA"/>
        </w:rPr>
        <w:t xml:space="preserve">1.1工作范围 </w:t>
      </w:r>
      <w:r>
        <w:rPr>
          <w:rFonts w:hint="eastAsia" w:ascii="宋体" w:hAnsi="宋体" w:eastAsia="宋体" w:cs="宋体"/>
          <w:color w:val="auto"/>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1.1.1气化一区扩容渣池：气化一区将原有3m*4m*3m渣池拆除，在原址新建5*12m*3m渣池一座，渣池增加机械搅拌及气力搅拌设施，渣水通过液下泵一路送澄清槽、一路送气化框架下地沟冲洗；</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1.1.2黑水一区至六区新增地沟：过滤机厂房北侧道路以南新增地沟，汇入过滤机厂房原有渣池。地沟宽200mm，起始深度200mm；</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1.1.3气化七区新增渣池：气化七区将新建渣池，容积为5*12m*3m，渣池增加机械搅拌及气力搅拌设施，渣水通过液下泵一路送澄清槽、一路送气化框架下用于地沟冲洗；在气化七区框架北侧增加一条地沟，确保灰渣运行过程中，路面灰渣可及时冲洗路面使灰渣流入地沟；在气化七区框架东侧增加一条地沟与原捞渣机地沟相连，便于回收捞渣机周围渣水到新沉渣池；</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1.1.4黑水七区过滤接渣路面改造：七区黑水过滤机新增重载路面抬升高度，路面抬高约300mm，对应过滤机厂房出来的地面坡度较原坡度减缓；过滤机渣车出仓区域改为承重地坪；</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1.1.5气化一区-七区渣道改造：采用南北向拉渣，渣车出仓南北向普通地坪改为100吨承重路。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caps/>
          <w:color w:val="auto"/>
          <w:kern w:val="28"/>
          <w:sz w:val="21"/>
          <w:szCs w:val="21"/>
          <w:highlight w:val="none"/>
          <w:lang w:val="en-US" w:eastAsia="zh-CN" w:bidi="ar-SA"/>
        </w:rPr>
      </w:pPr>
      <w:r>
        <w:rPr>
          <w:rFonts w:hint="eastAsia" w:ascii="宋体" w:hAnsi="宋体" w:eastAsia="宋体" w:cs="宋体"/>
          <w:b/>
          <w:caps/>
          <w:color w:val="auto"/>
          <w:kern w:val="28"/>
          <w:sz w:val="21"/>
          <w:szCs w:val="21"/>
          <w:highlight w:val="none"/>
          <w:lang w:val="en-US" w:eastAsia="zh-CN" w:bidi="ar-SA"/>
        </w:rPr>
        <w:t>1.2工作内容</w:t>
      </w:r>
    </w:p>
    <w:p>
      <w:pPr>
        <w:spacing w:line="360" w:lineRule="auto"/>
        <w:ind w:firstLine="420" w:firstLineChars="20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u w:val="none"/>
          <w:lang w:val="en-US" w:eastAsia="zh-CN"/>
        </w:rPr>
        <w:t>1.2.1施工承包商需完成施工图纸、设计变更、设计联络单、工程委托单等文件范围内所有建筑及安装工程，及保证设计文件实施所产生的设备、设施的拆除及恢复工作，包括：水池、水沟、道路、地坪的建筑、结构工程的施工；钢结构（沟盖板）制作、防腐、除锈、安装及防火；设备（含吊装、内件安装）、管道、电气、仪表、给排水、地下管网等安装、调试，试压及伴热、单机试运行、吹扫和水冲洗、防腐保温，设备及管道标识，现场到货设备的卸车（包括将设备、材料从发包人仓库到施工现场的装卸、运输）；</w:t>
      </w:r>
      <w:r>
        <w:rPr>
          <w:rFonts w:hint="eastAsia" w:ascii="宋体" w:hAnsi="宋体" w:eastAsia="宋体" w:cs="宋体"/>
          <w:color w:val="auto"/>
          <w:sz w:val="21"/>
          <w:szCs w:val="21"/>
          <w:lang w:val="en-US" w:eastAsia="zh-CN"/>
        </w:rPr>
        <w:t>原有设施拆除、地坪破除以及所产生的废料、垃圾的清运等。其中无损检测不在本次招标范围内，但需施工承包商配合完成相应的辅助工作；</w:t>
      </w:r>
    </w:p>
    <w:p>
      <w:pPr>
        <w:spacing w:line="360" w:lineRule="auto"/>
        <w:ind w:firstLine="420" w:firstLineChars="200"/>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1.2.2</w:t>
      </w:r>
      <w:r>
        <w:rPr>
          <w:rFonts w:hint="eastAsia" w:ascii="宋体" w:hAnsi="宋体" w:eastAsia="宋体" w:cs="宋体"/>
          <w:color w:val="auto"/>
          <w:sz w:val="21"/>
          <w:szCs w:val="21"/>
          <w:u w:val="none"/>
          <w:lang w:val="en-US" w:eastAsia="zh-CN"/>
        </w:rPr>
        <w:t>设</w:t>
      </w:r>
      <w:r>
        <w:rPr>
          <w:rFonts w:hint="eastAsia" w:ascii="宋体" w:hAnsi="宋体" w:eastAsia="宋体" w:cs="宋体"/>
          <w:color w:val="auto"/>
          <w:sz w:val="21"/>
          <w:szCs w:val="21"/>
          <w:lang w:val="en-US" w:eastAsia="zh-CN"/>
        </w:rPr>
        <w:t>备、材料供应范围：详见供货矩阵；</w:t>
      </w:r>
    </w:p>
    <w:p>
      <w:p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u w:val="none"/>
          <w:lang w:val="en-US" w:eastAsia="zh-CN"/>
        </w:rPr>
        <w:t>1.2.3发</w:t>
      </w:r>
      <w:r>
        <w:rPr>
          <w:rFonts w:hint="eastAsia" w:ascii="宋体" w:hAnsi="宋体" w:eastAsia="宋体" w:cs="宋体"/>
          <w:color w:val="auto"/>
          <w:sz w:val="21"/>
          <w:szCs w:val="21"/>
          <w:highlight w:val="none"/>
          <w:lang w:val="en-US" w:eastAsia="zh-CN"/>
        </w:rPr>
        <w:t>包人可根据现场实际情况调配</w:t>
      </w:r>
      <w:r>
        <w:rPr>
          <w:rFonts w:hint="eastAsia" w:ascii="宋体" w:hAnsi="宋体" w:eastAsia="宋体" w:cs="宋体"/>
          <w:color w:val="auto"/>
          <w:sz w:val="21"/>
          <w:szCs w:val="21"/>
          <w:lang w:val="en-US" w:eastAsia="zh-CN"/>
        </w:rPr>
        <w:t>施工承</w:t>
      </w:r>
      <w:r>
        <w:rPr>
          <w:rFonts w:hint="eastAsia" w:ascii="宋体" w:hAnsi="宋体" w:eastAsia="宋体" w:cs="宋体"/>
          <w:color w:val="auto"/>
          <w:sz w:val="21"/>
          <w:szCs w:val="21"/>
          <w:u w:val="none"/>
          <w:lang w:val="en-US" w:eastAsia="zh-CN"/>
        </w:rPr>
        <w:t>包商</w:t>
      </w:r>
      <w:r>
        <w:rPr>
          <w:rFonts w:hint="eastAsia" w:ascii="宋体" w:hAnsi="宋体" w:eastAsia="宋体" w:cs="宋体"/>
          <w:color w:val="auto"/>
          <w:sz w:val="21"/>
          <w:szCs w:val="21"/>
          <w:highlight w:val="none"/>
          <w:lang w:val="en-US" w:eastAsia="zh-CN"/>
        </w:rPr>
        <w:t>施工资源。</w:t>
      </w:r>
    </w:p>
    <w:p>
      <w:pPr>
        <w:pStyle w:val="2"/>
        <w:spacing w:before="312" w:after="156"/>
        <w:rPr>
          <w:rFonts w:hint="eastAsia" w:ascii="宋体" w:hAnsi="宋体" w:eastAsia="宋体" w:cs="宋体"/>
          <w:color w:val="auto"/>
          <w:sz w:val="21"/>
          <w:szCs w:val="21"/>
        </w:rPr>
      </w:pPr>
      <w:bookmarkStart w:id="0" w:name="_Toc178587993"/>
      <w:bookmarkEnd w:id="0"/>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责任和义务</w:t>
      </w:r>
    </w:p>
    <w:p>
      <w:pPr>
        <w:spacing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是工程项目的最终接收者。在工程项目施工建设过程中，</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属于工程最高的决策管理层，有责任在项目的施工过程中提供便利，与承包人共同按进度目标完成项目的建设。</w:t>
      </w:r>
    </w:p>
    <w:p>
      <w:pPr>
        <w:spacing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rPr>
        <w:t>在本工程中</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的主要责任及义务是：</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caps/>
          <w:color w:val="auto"/>
          <w:kern w:val="28"/>
          <w:sz w:val="21"/>
          <w:szCs w:val="21"/>
          <w:highlight w:val="none"/>
          <w:lang w:val="en-US" w:eastAsia="zh-CN" w:bidi="ar-SA"/>
        </w:rPr>
      </w:pPr>
      <w:r>
        <w:rPr>
          <w:rFonts w:hint="eastAsia" w:ascii="宋体" w:hAnsi="宋体" w:eastAsia="宋体" w:cs="宋体"/>
          <w:b/>
          <w:caps/>
          <w:color w:val="auto"/>
          <w:kern w:val="28"/>
          <w:sz w:val="21"/>
          <w:szCs w:val="21"/>
          <w:highlight w:val="none"/>
          <w:lang w:val="en-US" w:eastAsia="zh-CN" w:bidi="ar-SA"/>
        </w:rPr>
        <w:t>2.1 场地及道路</w:t>
      </w:r>
    </w:p>
    <w:p>
      <w:pPr>
        <w:spacing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2.1.1</w:t>
      </w:r>
      <w:r>
        <w:rPr>
          <w:rFonts w:hint="eastAsia" w:ascii="宋体" w:hAnsi="宋体" w:eastAsia="宋体" w:cs="宋体"/>
          <w:color w:val="auto"/>
          <w:sz w:val="21"/>
          <w:szCs w:val="21"/>
        </w:rPr>
        <w:t>负责项目工地的“四通一平”，即提供</w:t>
      </w:r>
      <w:r>
        <w:rPr>
          <w:rFonts w:hint="eastAsia" w:ascii="宋体" w:hAnsi="宋体" w:eastAsia="宋体" w:cs="宋体"/>
          <w:color w:val="auto"/>
          <w:sz w:val="21"/>
          <w:szCs w:val="21"/>
          <w:lang w:eastAsia="zh-CN"/>
        </w:rPr>
        <w:t>临</w:t>
      </w:r>
      <w:r>
        <w:rPr>
          <w:rFonts w:hint="eastAsia" w:ascii="宋体" w:hAnsi="宋体" w:eastAsia="宋体" w:cs="宋体"/>
          <w:color w:val="auto"/>
          <w:sz w:val="21"/>
          <w:szCs w:val="21"/>
        </w:rPr>
        <w:t>电、</w:t>
      </w:r>
      <w:r>
        <w:rPr>
          <w:rFonts w:hint="eastAsia" w:ascii="宋体" w:hAnsi="宋体" w:eastAsia="宋体" w:cs="宋体"/>
          <w:color w:val="auto"/>
          <w:sz w:val="21"/>
          <w:szCs w:val="21"/>
          <w:lang w:eastAsia="zh-CN"/>
        </w:rPr>
        <w:t>临</w:t>
      </w:r>
      <w:r>
        <w:rPr>
          <w:rFonts w:hint="eastAsia" w:ascii="宋体" w:hAnsi="宋体" w:eastAsia="宋体" w:cs="宋体"/>
          <w:color w:val="auto"/>
          <w:sz w:val="21"/>
          <w:szCs w:val="21"/>
        </w:rPr>
        <w:t>水、道路、通信就近接驳处，一次场坪；</w:t>
      </w:r>
    </w:p>
    <w:p>
      <w:pPr>
        <w:spacing w:line="360" w:lineRule="auto"/>
        <w:ind w:firstLine="409" w:firstLineChars="195"/>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2.1.2</w:t>
      </w:r>
      <w:r>
        <w:rPr>
          <w:rFonts w:hint="eastAsia" w:ascii="宋体" w:hAnsi="宋体" w:eastAsia="宋体" w:cs="宋体"/>
          <w:color w:val="auto"/>
          <w:sz w:val="21"/>
          <w:szCs w:val="21"/>
        </w:rPr>
        <w:t>工程所需的临时用地、临时储存空地及运输道路由</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提供，承包人向</w:t>
      </w:r>
      <w:r>
        <w:rPr>
          <w:rFonts w:hint="eastAsia" w:ascii="宋体" w:hAnsi="宋体" w:eastAsia="宋体" w:cs="宋体"/>
          <w:color w:val="auto"/>
          <w:sz w:val="21"/>
          <w:szCs w:val="21"/>
          <w:lang w:eastAsia="zh-CN"/>
        </w:rPr>
        <w:t>发包人书面</w:t>
      </w:r>
      <w:r>
        <w:rPr>
          <w:rFonts w:hint="eastAsia" w:ascii="宋体" w:hAnsi="宋体" w:eastAsia="宋体" w:cs="宋体"/>
          <w:color w:val="auto"/>
          <w:sz w:val="21"/>
          <w:szCs w:val="21"/>
        </w:rPr>
        <w:t>申请，获得</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批准后使用</w:t>
      </w:r>
      <w:r>
        <w:rPr>
          <w:rFonts w:hint="eastAsia" w:ascii="宋体" w:hAnsi="宋体" w:eastAsia="宋体" w:cs="宋体"/>
          <w:color w:val="auto"/>
          <w:sz w:val="21"/>
          <w:szCs w:val="21"/>
          <w:lang w:eastAsia="zh-CN"/>
        </w:rPr>
        <w:t>；</w:t>
      </w:r>
    </w:p>
    <w:p>
      <w:pPr>
        <w:spacing w:line="360" w:lineRule="auto"/>
        <w:ind w:firstLine="409" w:firstLineChars="195"/>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2.1.3</w:t>
      </w:r>
      <w:r>
        <w:rPr>
          <w:rFonts w:hint="eastAsia" w:ascii="宋体" w:hAnsi="宋体" w:eastAsia="宋体" w:cs="宋体"/>
          <w:color w:val="auto"/>
          <w:sz w:val="21"/>
          <w:szCs w:val="21"/>
        </w:rPr>
        <w:t>负责提供现场地形图、工程现场的一级水准点与坐标控制位置，并以书面的形式交付承包人</w:t>
      </w:r>
      <w:r>
        <w:rPr>
          <w:rFonts w:hint="eastAsia" w:ascii="宋体" w:hAnsi="宋体" w:eastAsia="宋体" w:cs="宋体"/>
          <w:color w:val="auto"/>
          <w:sz w:val="21"/>
          <w:szCs w:val="21"/>
          <w:lang w:eastAsia="zh-CN"/>
        </w:rPr>
        <w:t>；</w:t>
      </w:r>
    </w:p>
    <w:p>
      <w:pPr>
        <w:spacing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2.1.4</w:t>
      </w:r>
      <w:r>
        <w:rPr>
          <w:rFonts w:hint="eastAsia" w:ascii="宋体" w:hAnsi="宋体" w:eastAsia="宋体" w:cs="宋体"/>
          <w:color w:val="auto"/>
          <w:sz w:val="21"/>
          <w:szCs w:val="21"/>
        </w:rPr>
        <w:t>负责装置界区范围内的工程地质详勘并向承包人提供符合规范和工程设计要求的详勘报告。</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caps/>
          <w:color w:val="auto"/>
          <w:kern w:val="28"/>
          <w:sz w:val="21"/>
          <w:szCs w:val="21"/>
          <w:highlight w:val="none"/>
          <w:lang w:val="en-US" w:eastAsia="zh-CN" w:bidi="ar-SA"/>
        </w:rPr>
      </w:pPr>
      <w:r>
        <w:rPr>
          <w:rFonts w:hint="eastAsia" w:ascii="宋体" w:hAnsi="宋体" w:eastAsia="宋体" w:cs="宋体"/>
          <w:b/>
          <w:caps/>
          <w:color w:val="auto"/>
          <w:kern w:val="28"/>
          <w:sz w:val="21"/>
          <w:szCs w:val="21"/>
          <w:highlight w:val="none"/>
          <w:lang w:val="en-US" w:eastAsia="zh-CN" w:bidi="ar-SA"/>
        </w:rPr>
        <w:t>2.2用水、供电、排水、用气/汽</w:t>
      </w:r>
    </w:p>
    <w:p>
      <w:pPr>
        <w:pStyle w:val="56"/>
        <w:numPr>
          <w:ilvl w:val="0"/>
          <w:numId w:val="0"/>
        </w:numPr>
        <w:spacing w:line="360" w:lineRule="auto"/>
        <w:ind w:left="470" w:leftChars="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2.2.1</w:t>
      </w:r>
      <w:r>
        <w:rPr>
          <w:rFonts w:hint="eastAsia" w:ascii="宋体" w:hAnsi="宋体" w:eastAsia="宋体" w:cs="宋体"/>
          <w:color w:val="auto"/>
          <w:sz w:val="21"/>
          <w:szCs w:val="21"/>
        </w:rPr>
        <w:t>现场施工用水</w:t>
      </w:r>
    </w:p>
    <w:p>
      <w:pPr>
        <w:spacing w:line="360" w:lineRule="auto"/>
        <w:ind w:firstLine="411" w:firstLineChars="196"/>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指定施工临时用水接水点，供水界面接口以</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指定的接水点为界，水表及阀门、管道等设施由承包人建设并维护。现场施工、生活用水由</w:t>
      </w:r>
      <w:r>
        <w:rPr>
          <w:rFonts w:hint="eastAsia" w:ascii="宋体" w:hAnsi="宋体" w:eastAsia="宋体" w:cs="宋体"/>
          <w:color w:val="auto"/>
          <w:sz w:val="21"/>
          <w:szCs w:val="21"/>
          <w:lang w:eastAsia="zh-CN"/>
        </w:rPr>
        <w:t>发包人无</w:t>
      </w:r>
      <w:r>
        <w:rPr>
          <w:rFonts w:hint="eastAsia" w:ascii="宋体" w:hAnsi="宋体" w:eastAsia="宋体" w:cs="宋体"/>
          <w:color w:val="auto"/>
          <w:sz w:val="21"/>
          <w:szCs w:val="21"/>
        </w:rPr>
        <w:t>偿提供</w:t>
      </w:r>
      <w:r>
        <w:rPr>
          <w:rFonts w:hint="eastAsia" w:ascii="宋体" w:hAnsi="宋体" w:eastAsia="宋体" w:cs="宋体"/>
          <w:color w:val="auto"/>
          <w:sz w:val="21"/>
          <w:szCs w:val="21"/>
          <w:lang w:eastAsia="zh-CN"/>
        </w:rPr>
        <w:t>；</w:t>
      </w:r>
    </w:p>
    <w:p>
      <w:pPr>
        <w:pStyle w:val="56"/>
        <w:numPr>
          <w:ilvl w:val="0"/>
          <w:numId w:val="0"/>
        </w:numPr>
        <w:spacing w:line="360" w:lineRule="auto"/>
        <w:ind w:left="470" w:leftChars="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2.2.2</w:t>
      </w:r>
      <w:r>
        <w:rPr>
          <w:rFonts w:hint="eastAsia" w:ascii="宋体" w:hAnsi="宋体" w:eastAsia="宋体" w:cs="宋体"/>
          <w:color w:val="auto"/>
          <w:sz w:val="21"/>
          <w:szCs w:val="21"/>
        </w:rPr>
        <w:t>现场施工供电</w:t>
      </w:r>
    </w:p>
    <w:p>
      <w:pPr>
        <w:spacing w:line="360" w:lineRule="auto"/>
        <w:ind w:firstLine="411" w:firstLineChars="196"/>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为承包人</w:t>
      </w:r>
      <w:r>
        <w:rPr>
          <w:rFonts w:hint="eastAsia" w:ascii="宋体" w:hAnsi="宋体" w:eastAsia="宋体" w:cs="宋体"/>
          <w:color w:val="auto"/>
          <w:sz w:val="21"/>
          <w:szCs w:val="21"/>
          <w:lang w:eastAsia="zh-CN"/>
        </w:rPr>
        <w:t>协调</w:t>
      </w:r>
      <w:r>
        <w:rPr>
          <w:rFonts w:hint="eastAsia" w:ascii="宋体" w:hAnsi="宋体" w:eastAsia="宋体" w:cs="宋体"/>
          <w:color w:val="auto"/>
          <w:sz w:val="21"/>
          <w:szCs w:val="21"/>
        </w:rPr>
        <w:t>临电接入点，接入点下侧至施工的所有供电设施（</w:t>
      </w:r>
      <w:r>
        <w:rPr>
          <w:rFonts w:hint="eastAsia" w:ascii="宋体" w:hAnsi="宋体" w:eastAsia="宋体" w:cs="宋体"/>
          <w:color w:val="auto"/>
          <w:sz w:val="21"/>
          <w:szCs w:val="21"/>
          <w:lang w:eastAsia="zh-CN"/>
        </w:rPr>
        <w:t>根据现场实际情况配备相应的</w:t>
      </w:r>
      <w:r>
        <w:rPr>
          <w:rFonts w:hint="eastAsia" w:ascii="宋体" w:hAnsi="宋体" w:eastAsia="宋体" w:cs="宋体"/>
          <w:color w:val="auto"/>
          <w:sz w:val="21"/>
          <w:szCs w:val="21"/>
        </w:rPr>
        <w:t>电缆、箱式变压器、配电柜、电容器柜、计量装置等</w:t>
      </w:r>
      <w:r>
        <w:rPr>
          <w:rFonts w:hint="eastAsia" w:ascii="宋体" w:hAnsi="宋体" w:eastAsia="宋体" w:cs="宋体"/>
          <w:color w:val="auto"/>
          <w:sz w:val="21"/>
          <w:szCs w:val="21"/>
          <w:lang w:eastAsia="zh-CN"/>
        </w:rPr>
        <w:t>设施</w:t>
      </w:r>
      <w:r>
        <w:rPr>
          <w:rFonts w:hint="eastAsia" w:ascii="宋体" w:hAnsi="宋体" w:eastAsia="宋体" w:cs="宋体"/>
          <w:color w:val="auto"/>
          <w:sz w:val="21"/>
          <w:szCs w:val="21"/>
        </w:rPr>
        <w:t>）均为承包人采购、施工及维护。现场施工、生活用电由</w:t>
      </w:r>
      <w:r>
        <w:rPr>
          <w:rFonts w:hint="eastAsia" w:ascii="宋体" w:hAnsi="宋体" w:eastAsia="宋体" w:cs="宋体"/>
          <w:color w:val="auto"/>
          <w:sz w:val="21"/>
          <w:szCs w:val="21"/>
          <w:lang w:eastAsia="zh-CN"/>
        </w:rPr>
        <w:t>发包人无</w:t>
      </w:r>
      <w:r>
        <w:rPr>
          <w:rFonts w:hint="eastAsia" w:ascii="宋体" w:hAnsi="宋体" w:eastAsia="宋体" w:cs="宋体"/>
          <w:color w:val="auto"/>
          <w:sz w:val="21"/>
          <w:szCs w:val="21"/>
        </w:rPr>
        <w:t>偿提</w:t>
      </w:r>
      <w:r>
        <w:rPr>
          <w:rFonts w:hint="eastAsia" w:ascii="宋体" w:hAnsi="宋体" w:eastAsia="宋体" w:cs="宋体"/>
          <w:color w:val="auto"/>
          <w:sz w:val="21"/>
          <w:szCs w:val="21"/>
          <w:highlight w:val="none"/>
        </w:rPr>
        <w:t>供</w:t>
      </w:r>
      <w:r>
        <w:rPr>
          <w:rFonts w:hint="eastAsia" w:ascii="宋体" w:hAnsi="宋体" w:eastAsia="宋体" w:cs="宋体"/>
          <w:color w:val="auto"/>
          <w:sz w:val="21"/>
          <w:szCs w:val="21"/>
          <w:highlight w:val="none"/>
          <w:lang w:eastAsia="zh-CN"/>
        </w:rPr>
        <w:t>；</w:t>
      </w:r>
    </w:p>
    <w:p>
      <w:pPr>
        <w:pStyle w:val="56"/>
        <w:numPr>
          <w:ilvl w:val="0"/>
          <w:numId w:val="0"/>
        </w:numPr>
        <w:spacing w:line="360" w:lineRule="auto"/>
        <w:ind w:left="470" w:leftChars="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2.2.3</w:t>
      </w:r>
      <w:r>
        <w:rPr>
          <w:rFonts w:hint="eastAsia" w:ascii="宋体" w:hAnsi="宋体" w:eastAsia="宋体" w:cs="宋体"/>
          <w:color w:val="auto"/>
          <w:sz w:val="21"/>
          <w:szCs w:val="21"/>
        </w:rPr>
        <w:t>排水</w:t>
      </w:r>
    </w:p>
    <w:p>
      <w:pPr>
        <w:spacing w:line="360" w:lineRule="auto"/>
        <w:ind w:firstLine="411" w:firstLineChars="196"/>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施工区内的临时排水就近接入临时或永久排水系统；临时排水系统由承包人负责施工与维护</w:t>
      </w:r>
      <w:r>
        <w:rPr>
          <w:rFonts w:hint="eastAsia" w:ascii="宋体" w:hAnsi="宋体" w:eastAsia="宋体" w:cs="宋体"/>
          <w:color w:val="auto"/>
          <w:sz w:val="21"/>
          <w:szCs w:val="21"/>
          <w:lang w:eastAsia="zh-CN"/>
        </w:rPr>
        <w:t>；</w:t>
      </w:r>
    </w:p>
    <w:p>
      <w:pPr>
        <w:pStyle w:val="56"/>
        <w:numPr>
          <w:ilvl w:val="0"/>
          <w:numId w:val="0"/>
        </w:numPr>
        <w:spacing w:line="360" w:lineRule="auto"/>
        <w:ind w:left="470" w:leftChars="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2.2.4</w:t>
      </w:r>
      <w:r>
        <w:rPr>
          <w:rFonts w:hint="eastAsia" w:ascii="宋体" w:hAnsi="宋体" w:eastAsia="宋体" w:cs="宋体"/>
          <w:color w:val="auto"/>
          <w:sz w:val="21"/>
          <w:szCs w:val="21"/>
        </w:rPr>
        <w:t>单机试车用水、用电、用气/汽</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无偿提供吹扫及单机试车所用的空气、蒸汽、氮气及单机试车所需的水、电；</w:t>
      </w:r>
    </w:p>
    <w:p>
      <w:pPr>
        <w:pStyle w:val="56"/>
        <w:numPr>
          <w:ilvl w:val="0"/>
          <w:numId w:val="0"/>
        </w:numPr>
        <w:spacing w:line="360" w:lineRule="auto"/>
        <w:ind w:left="470" w:leftChars="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2.2.5</w:t>
      </w:r>
      <w:r>
        <w:rPr>
          <w:rFonts w:hint="eastAsia" w:ascii="宋体" w:hAnsi="宋体" w:eastAsia="宋体" w:cs="宋体"/>
          <w:color w:val="auto"/>
          <w:sz w:val="21"/>
          <w:szCs w:val="21"/>
        </w:rPr>
        <w:t>施工用水的主干网系统，由承包人自行负责施工并维护。</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caps/>
          <w:color w:val="auto"/>
          <w:kern w:val="28"/>
          <w:sz w:val="21"/>
          <w:szCs w:val="21"/>
          <w:highlight w:val="none"/>
          <w:lang w:val="en-US" w:eastAsia="zh-CN" w:bidi="ar-SA"/>
        </w:rPr>
      </w:pPr>
      <w:r>
        <w:rPr>
          <w:rFonts w:hint="eastAsia" w:ascii="宋体" w:hAnsi="宋体" w:eastAsia="宋体" w:cs="宋体"/>
          <w:b/>
          <w:caps/>
          <w:color w:val="auto"/>
          <w:kern w:val="28"/>
          <w:sz w:val="21"/>
          <w:szCs w:val="21"/>
          <w:highlight w:val="none"/>
          <w:lang w:val="en-US" w:eastAsia="zh-CN" w:bidi="ar-SA"/>
        </w:rPr>
        <w:t>2.3临时设施</w:t>
      </w:r>
    </w:p>
    <w:p>
      <w:pPr>
        <w:spacing w:line="360" w:lineRule="auto"/>
        <w:ind w:firstLine="411" w:firstLineChars="196"/>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2.3.1</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负责指定和协调承包人临时设施的布置区域。承包人在装置界区内或</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提供的临建场地上，修建办公、仓储、预制、施工等设施，承包人自行承担其费用</w:t>
      </w:r>
      <w:r>
        <w:rPr>
          <w:rFonts w:hint="eastAsia" w:ascii="宋体" w:hAnsi="宋体" w:eastAsia="宋体" w:cs="宋体"/>
          <w:color w:val="auto"/>
          <w:sz w:val="21"/>
          <w:szCs w:val="21"/>
          <w:lang w:eastAsia="zh-CN"/>
        </w:rPr>
        <w:t>；</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2.3.2</w:t>
      </w:r>
      <w:r>
        <w:rPr>
          <w:rFonts w:hint="eastAsia" w:ascii="宋体" w:hAnsi="宋体" w:eastAsia="宋体" w:cs="宋体"/>
          <w:color w:val="auto"/>
          <w:sz w:val="21"/>
          <w:szCs w:val="21"/>
        </w:rPr>
        <w:t>工程建设中所需的临时建设用地及运输道路等，由承包人提供相关的申请，</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批准后，由承包人实施</w:t>
      </w:r>
      <w:r>
        <w:rPr>
          <w:rFonts w:hint="eastAsia" w:ascii="宋体" w:hAnsi="宋体" w:eastAsia="宋体" w:cs="宋体"/>
          <w:color w:val="auto"/>
          <w:sz w:val="21"/>
          <w:szCs w:val="21"/>
          <w:lang w:eastAsia="zh-CN"/>
        </w:rPr>
        <w:t>；</w:t>
      </w:r>
    </w:p>
    <w:p>
      <w:pPr>
        <w:spacing w:line="360" w:lineRule="auto"/>
        <w:ind w:firstLine="411" w:firstLineChars="196"/>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2.3.3</w:t>
      </w:r>
      <w:r>
        <w:rPr>
          <w:rFonts w:hint="eastAsia" w:ascii="宋体" w:hAnsi="宋体" w:eastAsia="宋体" w:cs="宋体"/>
          <w:color w:val="auto"/>
          <w:sz w:val="21"/>
          <w:szCs w:val="21"/>
          <w:highlight w:val="none"/>
        </w:rPr>
        <w:t>按照</w:t>
      </w:r>
      <w:r>
        <w:rPr>
          <w:rFonts w:hint="eastAsia" w:ascii="宋体" w:hAnsi="宋体" w:eastAsia="宋体" w:cs="宋体"/>
          <w:color w:val="auto"/>
          <w:sz w:val="21"/>
          <w:szCs w:val="21"/>
          <w:highlight w:val="none"/>
          <w:lang w:eastAsia="zh-CN"/>
        </w:rPr>
        <w:t>发包人</w:t>
      </w:r>
      <w:r>
        <w:rPr>
          <w:rFonts w:hint="eastAsia" w:ascii="宋体" w:hAnsi="宋体" w:eastAsia="宋体" w:cs="宋体"/>
          <w:color w:val="auto"/>
          <w:sz w:val="21"/>
          <w:szCs w:val="21"/>
          <w:highlight w:val="none"/>
        </w:rPr>
        <w:t>的统一规划，承包人负责施工区域道路的维护</w:t>
      </w:r>
      <w:r>
        <w:rPr>
          <w:rFonts w:hint="eastAsia" w:ascii="宋体" w:hAnsi="宋体" w:eastAsia="宋体" w:cs="宋体"/>
          <w:color w:val="auto"/>
          <w:sz w:val="21"/>
          <w:szCs w:val="21"/>
          <w:highlight w:val="none"/>
          <w:lang w:eastAsia="zh-CN"/>
        </w:rPr>
        <w:t>；</w:t>
      </w:r>
    </w:p>
    <w:p>
      <w:pPr>
        <w:spacing w:line="360" w:lineRule="auto"/>
        <w:ind w:firstLine="411" w:firstLineChars="196"/>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2.3.4</w:t>
      </w:r>
      <w:r>
        <w:rPr>
          <w:rFonts w:hint="eastAsia" w:ascii="宋体" w:hAnsi="宋体" w:eastAsia="宋体" w:cs="宋体"/>
          <w:color w:val="auto"/>
          <w:sz w:val="21"/>
          <w:szCs w:val="21"/>
          <w:lang w:eastAsia="zh-CN"/>
        </w:rPr>
        <w:t>生活区需施工单位自行考虑，业主不提供生活区临时用地；</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caps/>
          <w:color w:val="auto"/>
          <w:kern w:val="28"/>
          <w:sz w:val="21"/>
          <w:szCs w:val="21"/>
          <w:highlight w:val="none"/>
          <w:lang w:val="en-US" w:eastAsia="zh-CN" w:bidi="ar-SA"/>
        </w:rPr>
      </w:pPr>
      <w:r>
        <w:rPr>
          <w:rFonts w:hint="eastAsia" w:ascii="宋体" w:hAnsi="宋体" w:eastAsia="宋体" w:cs="宋体"/>
          <w:b/>
          <w:caps/>
          <w:color w:val="auto"/>
          <w:kern w:val="28"/>
          <w:sz w:val="21"/>
          <w:szCs w:val="21"/>
          <w:highlight w:val="none"/>
          <w:lang w:val="en-US" w:eastAsia="zh-CN" w:bidi="ar-SA"/>
        </w:rPr>
        <w:t>2.4许可证、执照、批准文件</w:t>
      </w:r>
    </w:p>
    <w:p>
      <w:pPr>
        <w:pStyle w:val="56"/>
        <w:numPr>
          <w:ilvl w:val="0"/>
          <w:numId w:val="0"/>
        </w:num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2.4.1</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负责办理工程施工建设过程中所需的政府审批文件，承包人协助</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提供审批需要的有关资料，详细明细如下：</w:t>
      </w:r>
    </w:p>
    <w:p>
      <w:pPr>
        <w:pStyle w:val="56"/>
        <w:numPr>
          <w:ilvl w:val="0"/>
          <w:numId w:val="0"/>
        </w:numPr>
        <w:spacing w:line="360" w:lineRule="auto"/>
        <w:ind w:left="470" w:leftChars="0"/>
        <w:jc w:val="left"/>
        <w:rPr>
          <w:rFonts w:hint="eastAsia" w:ascii="宋体" w:hAnsi="宋体" w:eastAsia="宋体" w:cs="宋体"/>
          <w:color w:val="auto"/>
          <w:sz w:val="21"/>
          <w:szCs w:val="21"/>
        </w:rPr>
      </w:pPr>
    </w:p>
    <w:tbl>
      <w:tblPr>
        <w:tblStyle w:val="45"/>
        <w:tblW w:w="8800" w:type="dxa"/>
        <w:tblInd w:w="97" w:type="dxa"/>
        <w:tblLayout w:type="fixed"/>
        <w:tblCellMar>
          <w:top w:w="0" w:type="dxa"/>
          <w:left w:w="108" w:type="dxa"/>
          <w:bottom w:w="0" w:type="dxa"/>
          <w:right w:w="108" w:type="dxa"/>
        </w:tblCellMar>
      </w:tblPr>
      <w:tblGrid>
        <w:gridCol w:w="775"/>
        <w:gridCol w:w="8025"/>
      </w:tblGrid>
      <w:tr>
        <w:tblPrEx>
          <w:tblLayout w:type="fixed"/>
          <w:tblCellMar>
            <w:top w:w="0" w:type="dxa"/>
            <w:left w:w="108" w:type="dxa"/>
            <w:bottom w:w="0" w:type="dxa"/>
            <w:right w:w="108" w:type="dxa"/>
          </w:tblCellMar>
        </w:tblPrEx>
        <w:trPr>
          <w:trHeight w:val="285" w:hRule="atLeast"/>
        </w:trPr>
        <w:tc>
          <w:tcPr>
            <w:tcW w:w="775" w:type="dxa"/>
            <w:tcBorders>
              <w:top w:val="single" w:color="000000" w:sz="4" w:space="0"/>
              <w:left w:val="single" w:color="000000" w:sz="4" w:space="0"/>
              <w:bottom w:val="single" w:color="auto" w:sz="4" w:space="0"/>
              <w:right w:val="single" w:color="auto" w:sz="4" w:space="0"/>
            </w:tcBorders>
          </w:tcPr>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序号</w:t>
            </w:r>
          </w:p>
        </w:tc>
        <w:tc>
          <w:tcPr>
            <w:tcW w:w="8025" w:type="dxa"/>
            <w:tcBorders>
              <w:top w:val="single" w:color="000000"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firstLine="495" w:firstLineChars="236"/>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工作内容</w:t>
            </w:r>
          </w:p>
        </w:tc>
      </w:tr>
      <w:tr>
        <w:tblPrEx>
          <w:tblLayout w:type="fixed"/>
          <w:tblCellMar>
            <w:top w:w="0" w:type="dxa"/>
            <w:left w:w="108" w:type="dxa"/>
            <w:bottom w:w="0" w:type="dxa"/>
            <w:right w:w="108" w:type="dxa"/>
          </w:tblCellMar>
        </w:tblPrEx>
        <w:trPr>
          <w:trHeight w:val="397" w:hRule="atLeast"/>
        </w:trPr>
        <w:tc>
          <w:tcPr>
            <w:tcW w:w="775" w:type="dxa"/>
            <w:tcBorders>
              <w:top w:val="nil"/>
              <w:left w:val="single" w:color="000000"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p>
        </w:tc>
        <w:tc>
          <w:tcPr>
            <w:tcW w:w="802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highlight w:val="none"/>
              </w:rPr>
              <w:t>压力容器/压力管道等特种设备的安装监检，</w:t>
            </w:r>
            <w:r>
              <w:rPr>
                <w:rFonts w:hint="eastAsia" w:ascii="宋体" w:hAnsi="宋体" w:eastAsia="宋体" w:cs="宋体"/>
                <w:color w:val="auto"/>
                <w:kern w:val="0"/>
                <w:sz w:val="21"/>
                <w:szCs w:val="21"/>
              </w:rPr>
              <w:t>办理特种设备使用登记证及使用证</w:t>
            </w:r>
            <w:r>
              <w:rPr>
                <w:rFonts w:hint="eastAsia" w:ascii="宋体" w:hAnsi="宋体" w:eastAsia="宋体" w:cs="宋体"/>
                <w:color w:val="auto"/>
                <w:kern w:val="0"/>
                <w:sz w:val="21"/>
                <w:szCs w:val="21"/>
                <w:lang w:eastAsia="zh-CN"/>
              </w:rPr>
              <w:t>。</w:t>
            </w:r>
          </w:p>
        </w:tc>
      </w:tr>
      <w:tr>
        <w:tblPrEx>
          <w:tblLayout w:type="fixed"/>
          <w:tblCellMar>
            <w:top w:w="0" w:type="dxa"/>
            <w:left w:w="108" w:type="dxa"/>
            <w:bottom w:w="0" w:type="dxa"/>
            <w:right w:w="108" w:type="dxa"/>
          </w:tblCellMar>
        </w:tblPrEx>
        <w:trPr>
          <w:trHeight w:val="450" w:hRule="atLeast"/>
        </w:trPr>
        <w:tc>
          <w:tcPr>
            <w:tcW w:w="775" w:type="dxa"/>
            <w:tcBorders>
              <w:top w:val="nil"/>
              <w:left w:val="single" w:color="000000"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p>
        </w:tc>
        <w:tc>
          <w:tcPr>
            <w:tcW w:w="802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tabs>
                <w:tab w:val="center" w:pos="4153"/>
                <w:tab w:val="right" w:pos="8306"/>
              </w:tabs>
              <w:snapToGrid w:val="0"/>
              <w:spacing w:before="0" w:beforeAutospacing="0" w:after="0" w:afterAutospacing="0" w:line="360" w:lineRule="auto"/>
              <w:ind w:left="0" w:right="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质量监督单位委托，履行质量监督程序</w:t>
            </w:r>
          </w:p>
        </w:tc>
      </w:tr>
      <w:tr>
        <w:tblPrEx>
          <w:tblLayout w:type="fixed"/>
          <w:tblCellMar>
            <w:top w:w="0" w:type="dxa"/>
            <w:left w:w="108" w:type="dxa"/>
            <w:bottom w:w="0" w:type="dxa"/>
            <w:right w:w="108" w:type="dxa"/>
          </w:tblCellMar>
        </w:tblPrEx>
        <w:trPr>
          <w:trHeight w:val="285" w:hRule="atLeast"/>
        </w:trPr>
        <w:tc>
          <w:tcPr>
            <w:tcW w:w="775" w:type="dxa"/>
            <w:tcBorders>
              <w:top w:val="nil"/>
              <w:left w:val="single" w:color="000000"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p>
        </w:tc>
        <w:tc>
          <w:tcPr>
            <w:tcW w:w="802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计量许可证</w:t>
            </w:r>
          </w:p>
        </w:tc>
      </w:tr>
      <w:tr>
        <w:tblPrEx>
          <w:tblLayout w:type="fixed"/>
          <w:tblCellMar>
            <w:top w:w="0" w:type="dxa"/>
            <w:left w:w="108" w:type="dxa"/>
            <w:bottom w:w="0" w:type="dxa"/>
            <w:right w:w="108" w:type="dxa"/>
          </w:tblCellMar>
        </w:tblPrEx>
        <w:trPr>
          <w:trHeight w:val="285" w:hRule="atLeast"/>
        </w:trPr>
        <w:tc>
          <w:tcPr>
            <w:tcW w:w="775" w:type="dxa"/>
            <w:tcBorders>
              <w:top w:val="nil"/>
              <w:left w:val="single" w:color="000000"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w:t>
            </w:r>
          </w:p>
        </w:tc>
        <w:tc>
          <w:tcPr>
            <w:tcW w:w="802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消防设计审查和工程验收</w:t>
            </w:r>
          </w:p>
        </w:tc>
      </w:tr>
      <w:tr>
        <w:tblPrEx>
          <w:tblLayout w:type="fixed"/>
          <w:tblCellMar>
            <w:top w:w="0" w:type="dxa"/>
            <w:left w:w="108" w:type="dxa"/>
            <w:bottom w:w="0" w:type="dxa"/>
            <w:right w:w="108" w:type="dxa"/>
          </w:tblCellMar>
        </w:tblPrEx>
        <w:trPr>
          <w:trHeight w:val="285" w:hRule="atLeast"/>
        </w:trPr>
        <w:tc>
          <w:tcPr>
            <w:tcW w:w="775" w:type="dxa"/>
            <w:tcBorders>
              <w:top w:val="nil"/>
              <w:left w:val="single" w:color="000000"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w:t>
            </w:r>
          </w:p>
        </w:tc>
        <w:tc>
          <w:tcPr>
            <w:tcW w:w="802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消防验收/档案验收/水土保持设施验收/职业卫生验收/安全设施验收/环保验收/审计/项目竣工验收</w:t>
            </w:r>
          </w:p>
        </w:tc>
      </w:tr>
    </w:tbl>
    <w:p>
      <w:pPr>
        <w:pStyle w:val="56"/>
        <w:numPr>
          <w:ilvl w:val="0"/>
          <w:numId w:val="0"/>
        </w:numPr>
        <w:spacing w:line="360" w:lineRule="auto"/>
        <w:ind w:left="470" w:leftChars="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2.4.2</w:t>
      </w:r>
      <w:r>
        <w:rPr>
          <w:rFonts w:hint="eastAsia" w:ascii="宋体" w:hAnsi="宋体" w:eastAsia="宋体" w:cs="宋体"/>
          <w:color w:val="auto"/>
          <w:sz w:val="21"/>
          <w:szCs w:val="21"/>
        </w:rPr>
        <w:t>负责提供准确的气象条件、地质条件等；</w:t>
      </w:r>
    </w:p>
    <w:p>
      <w:pPr>
        <w:pStyle w:val="56"/>
        <w:numPr>
          <w:ilvl w:val="0"/>
          <w:numId w:val="0"/>
        </w:numPr>
        <w:spacing w:line="360" w:lineRule="auto"/>
        <w:ind w:left="470" w:leftChars="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2.4.3</w:t>
      </w:r>
      <w:r>
        <w:rPr>
          <w:rFonts w:hint="eastAsia" w:ascii="宋体" w:hAnsi="宋体" w:eastAsia="宋体" w:cs="宋体"/>
          <w:color w:val="auto"/>
          <w:sz w:val="21"/>
          <w:szCs w:val="21"/>
        </w:rPr>
        <w:t>协助承包人办理工程建设所需的施工许可证；</w:t>
      </w:r>
    </w:p>
    <w:p>
      <w:pPr>
        <w:pStyle w:val="56"/>
        <w:numPr>
          <w:ilvl w:val="0"/>
          <w:numId w:val="0"/>
        </w:numPr>
        <w:spacing w:line="360" w:lineRule="auto"/>
        <w:ind w:left="470" w:leftChars="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2.4.5</w:t>
      </w:r>
      <w:r>
        <w:rPr>
          <w:rFonts w:hint="eastAsia" w:ascii="宋体" w:hAnsi="宋体" w:eastAsia="宋体" w:cs="宋体"/>
          <w:color w:val="auto"/>
          <w:sz w:val="21"/>
          <w:szCs w:val="21"/>
        </w:rPr>
        <w:t>项目建设施工期内，有义务协助承包人处理有关与政府、地方各部门之间的协调；</w:t>
      </w:r>
    </w:p>
    <w:p>
      <w:pPr>
        <w:pStyle w:val="56"/>
        <w:numPr>
          <w:ilvl w:val="0"/>
          <w:numId w:val="0"/>
        </w:numPr>
        <w:spacing w:line="360" w:lineRule="auto"/>
        <w:ind w:left="470" w:leftChars="0"/>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2.4.6</w:t>
      </w:r>
      <w:r>
        <w:rPr>
          <w:rFonts w:hint="eastAsia" w:ascii="宋体" w:hAnsi="宋体" w:eastAsia="宋体" w:cs="宋体"/>
          <w:color w:val="auto"/>
          <w:sz w:val="21"/>
          <w:szCs w:val="21"/>
        </w:rPr>
        <w:t>协助处理工程现场周围地下管线和邻近建筑物、构筑物保护</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caps/>
          <w:color w:val="auto"/>
          <w:kern w:val="28"/>
          <w:sz w:val="21"/>
          <w:szCs w:val="21"/>
          <w:highlight w:val="none"/>
          <w:lang w:val="en-US" w:eastAsia="zh-CN" w:bidi="ar-SA"/>
        </w:rPr>
      </w:pPr>
      <w:r>
        <w:rPr>
          <w:rFonts w:hint="eastAsia" w:ascii="宋体" w:hAnsi="宋体" w:eastAsia="宋体" w:cs="宋体"/>
          <w:b/>
          <w:caps/>
          <w:color w:val="auto"/>
          <w:kern w:val="28"/>
          <w:sz w:val="21"/>
          <w:szCs w:val="21"/>
          <w:highlight w:val="none"/>
          <w:lang w:val="en-US" w:eastAsia="zh-CN" w:bidi="ar-SA"/>
        </w:rPr>
        <w:t>2.5其他</w:t>
      </w:r>
    </w:p>
    <w:p>
      <w:pPr>
        <w:pStyle w:val="56"/>
        <w:numPr>
          <w:ilvl w:val="0"/>
          <w:numId w:val="0"/>
        </w:numPr>
        <w:spacing w:line="360" w:lineRule="auto"/>
        <w:ind w:left="470" w:leftChars="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2.5.1</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有权依据合同、工程建设文件、国家有关法律法规和标准、规范等相关规定对合同的执行情况进行监督；</w:t>
      </w:r>
    </w:p>
    <w:p>
      <w:pPr>
        <w:pStyle w:val="56"/>
        <w:numPr>
          <w:ilvl w:val="0"/>
          <w:numId w:val="0"/>
        </w:numPr>
        <w:spacing w:line="360" w:lineRule="auto"/>
        <w:ind w:left="470" w:leftChars="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2.5.2</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参与承包人推荐的供应商、分包单位考察；承包人选择合格供应商短名单和框架协议外的供货单位及分包单位时，必须经过</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批准。</w:t>
      </w:r>
    </w:p>
    <w:p>
      <w:pPr>
        <w:pStyle w:val="56"/>
        <w:numPr>
          <w:ilvl w:val="0"/>
          <w:numId w:val="0"/>
        </w:numPr>
        <w:spacing w:line="360" w:lineRule="auto"/>
        <w:ind w:left="470" w:leftChars="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2.5.3</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负责临时堆场的指定,由承包人负责建设；</w:t>
      </w:r>
    </w:p>
    <w:p>
      <w:pPr>
        <w:pStyle w:val="56"/>
        <w:numPr>
          <w:ilvl w:val="0"/>
          <w:numId w:val="0"/>
        </w:numPr>
        <w:spacing w:line="360" w:lineRule="auto"/>
        <w:ind w:left="470" w:leftChars="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2.5.4</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负责项目界区内装置联动试车、投料试车等工作；</w:t>
      </w:r>
    </w:p>
    <w:p>
      <w:pPr>
        <w:pStyle w:val="56"/>
        <w:numPr>
          <w:ilvl w:val="0"/>
          <w:numId w:val="0"/>
        </w:numPr>
        <w:spacing w:line="360" w:lineRule="auto"/>
        <w:ind w:left="470" w:leftChars="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2.5.5</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负责组织装置性能考核及验收；</w:t>
      </w:r>
    </w:p>
    <w:p>
      <w:pPr>
        <w:pStyle w:val="56"/>
        <w:numPr>
          <w:ilvl w:val="0"/>
          <w:numId w:val="0"/>
        </w:numPr>
        <w:spacing w:line="360" w:lineRule="auto"/>
        <w:ind w:left="470" w:leftChars="0"/>
        <w:jc w:val="left"/>
        <w:rPr>
          <w:rFonts w:hint="eastAsia" w:ascii="宋体" w:hAnsi="宋体" w:eastAsia="宋体" w:cs="宋体"/>
          <w:color w:val="auto"/>
          <w:sz w:val="21"/>
          <w:szCs w:val="21"/>
        </w:rPr>
      </w:pPr>
      <w:r>
        <w:rPr>
          <w:rFonts w:hint="eastAsia" w:ascii="宋体" w:hAnsi="宋体" w:eastAsia="宋体" w:cs="宋体"/>
          <w:color w:val="auto"/>
          <w:sz w:val="21"/>
          <w:szCs w:val="21"/>
          <w:highlight w:val="none"/>
          <w:lang w:val="en-US" w:eastAsia="zh-CN"/>
        </w:rPr>
        <w:t>2.5.6</w:t>
      </w:r>
      <w:r>
        <w:rPr>
          <w:rFonts w:hint="eastAsia" w:ascii="宋体" w:hAnsi="宋体" w:eastAsia="宋体" w:cs="宋体"/>
          <w:color w:val="auto"/>
          <w:sz w:val="21"/>
          <w:szCs w:val="21"/>
          <w:highlight w:val="none"/>
          <w:lang w:eastAsia="zh-CN"/>
        </w:rPr>
        <w:t>发包人</w:t>
      </w:r>
      <w:r>
        <w:rPr>
          <w:rFonts w:hint="eastAsia" w:ascii="宋体" w:hAnsi="宋体" w:eastAsia="宋体" w:cs="宋体"/>
          <w:color w:val="auto"/>
          <w:sz w:val="21"/>
          <w:szCs w:val="21"/>
          <w:highlight w:val="none"/>
        </w:rPr>
        <w:t>负责取得特种设备（不含起重机械）</w:t>
      </w:r>
      <w:r>
        <w:rPr>
          <w:rFonts w:hint="eastAsia" w:ascii="宋体" w:hAnsi="宋体" w:eastAsia="宋体" w:cs="宋体"/>
          <w:color w:val="auto"/>
          <w:sz w:val="21"/>
          <w:szCs w:val="21"/>
          <w:highlight w:val="none"/>
          <w:lang w:eastAsia="zh-CN"/>
        </w:rPr>
        <w:t>办理注册登记</w:t>
      </w:r>
      <w:r>
        <w:rPr>
          <w:rFonts w:hint="eastAsia" w:ascii="宋体" w:hAnsi="宋体" w:eastAsia="宋体" w:cs="宋体"/>
          <w:color w:val="auto"/>
          <w:sz w:val="21"/>
          <w:szCs w:val="21"/>
          <w:highlight w:val="none"/>
        </w:rPr>
        <w:t>，承包人</w:t>
      </w:r>
      <w:r>
        <w:rPr>
          <w:rFonts w:hint="eastAsia" w:ascii="宋体" w:hAnsi="宋体" w:eastAsia="宋体" w:cs="宋体"/>
          <w:color w:val="auto"/>
          <w:sz w:val="21"/>
          <w:szCs w:val="21"/>
          <w:highlight w:val="none"/>
          <w:lang w:eastAsia="zh-CN"/>
        </w:rPr>
        <w:t>负责特种设备告知、监督检验，配合发包人取得特种设备使用证。</w:t>
      </w:r>
    </w:p>
    <w:p>
      <w:pPr>
        <w:pStyle w:val="56"/>
        <w:numPr>
          <w:ilvl w:val="0"/>
          <w:numId w:val="0"/>
        </w:numPr>
        <w:spacing w:line="360" w:lineRule="auto"/>
        <w:ind w:left="470" w:leftChars="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2.5.7</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负责协调承包人间、工程监理及相关单位的工作关系；</w:t>
      </w:r>
    </w:p>
    <w:p>
      <w:pPr>
        <w:pStyle w:val="56"/>
        <w:numPr>
          <w:ilvl w:val="0"/>
          <w:numId w:val="0"/>
        </w:numPr>
        <w:spacing w:line="360" w:lineRule="auto"/>
        <w:ind w:left="470" w:leftChars="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2.5.8</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负责项目开工会议的组织工作；</w:t>
      </w:r>
    </w:p>
    <w:p>
      <w:pPr>
        <w:pStyle w:val="56"/>
        <w:numPr>
          <w:ilvl w:val="0"/>
          <w:numId w:val="0"/>
        </w:numPr>
        <w:spacing w:line="360" w:lineRule="auto"/>
        <w:ind w:left="470" w:leftChars="0"/>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2.5.9</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负责审批承包人提供的项目进度总计划。</w:t>
      </w:r>
    </w:p>
    <w:p>
      <w:pPr>
        <w:pStyle w:val="2"/>
        <w:numPr>
          <w:ilvl w:val="0"/>
          <w:numId w:val="0"/>
        </w:numPr>
        <w:spacing w:beforeLines="100" w:afterLines="50"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.承包人责任和义务</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承包人需完成以下条款和所有技术附件要求的所有工作，包括但不限于：</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.1确保按</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批准的进度控制计划、质量控制体系和本质安全控制体系的要求进行工程建设；负责编制装置的施工组织设计、工程进度计划及分项计划，以满足施工要求；</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.2服从</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以及</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委托的工程监理及相关方的监督管理，执行</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制定的各项规章制度；</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.3参加</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或监理主持召开的项目会议，提供项目施工各级进度计划和为保证项目运行而编制的管理制度；</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.4按要求的标准规范、项目所在地的法律、法规及标准进行施工；</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.5负责承包范围内各分包商的管理及控制；</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.6负责承包人工作范围内的所有施工文件的收集、整理、归档；</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.7负责组织承包项目的系统调校，包括电、仪及DCS和PLC的操作系统、控制系统、安全系统的调校与整定，并保证项目与界区外的接口正确无误；</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.8负责工程现场周围地下管线、电缆和邻近建筑物、构筑物的保护及标示；</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9</w:t>
      </w:r>
      <w:r>
        <w:rPr>
          <w:rFonts w:hint="eastAsia" w:ascii="宋体" w:hAnsi="宋体" w:eastAsia="宋体" w:cs="宋体"/>
          <w:color w:val="auto"/>
          <w:sz w:val="21"/>
          <w:szCs w:val="21"/>
        </w:rPr>
        <w:t>施工许可及监督检验</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承包人应按照中华人民共和国法律和当地政府的要求办理与本工作范围有关的各类许可证，并负责安排由当地政府部门要求的各种检验。</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rPr>
        <w:t>各类许可证包括但不限于：外地企业入宁许可证、外地人员注册、纳税登记、施工许可证报审、施工安全监督管理委托、特种设备质量监督告知及各项报验、工程质量监督报验等。</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10</w:t>
      </w:r>
      <w:r>
        <w:rPr>
          <w:rFonts w:hint="eastAsia" w:ascii="宋体" w:hAnsi="宋体" w:eastAsia="宋体" w:cs="宋体"/>
          <w:color w:val="auto"/>
          <w:sz w:val="21"/>
          <w:szCs w:val="21"/>
        </w:rPr>
        <w:t>负责组织施工承包范围内工程结算的编制工作；</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负责整改三查四定/工程中交/单位工程验收/性能考核/竣工验收等过程中发现的施工质量缺陷问题；并有义务做好设计缺陷等问题整改的相关配合工作；</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负责组织承包范围内的单机试车,并做好联动试车的配合工作，保证符合有关施工验收规范要求；</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负责装置吹扫和清洗等过程中盲板、临时管道，加固设施等工作的施工，配合</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或专业承包人）完成装置吹扫和清洗、系统气密、装置水联运，负责投料试车前的填料等装填和投料试车过程中的设备及管道法兰连接件的热紧工作，负责投料试车阶段及产出合格产品后的应生产要求的装置保运工作，负责质量保证期内的质量缺陷整改工作；</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 承包范围内设备、管道的喷涂标识，具体做法按</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相关规定实施；</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负责联动试车过程的保运工作，包括消漏、拆装盲板、故障排除等工作。</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 xml:space="preserve">其它 </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 1 \* GB2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⑴</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负责到宁夏相关的政府部门办理外地单位入宁施工许可证等；</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 2 \* GB2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⑵</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负责进行项目进度分解计划的编制、执行；</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 3 \* GB2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⑶</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项目施工过程中按国家、地方、行业和</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的相关要求进行施工现场的本质安全管理；</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 4 \* GB2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⑷</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负责界区内现场施工的照明、未办理交付手续的设备、工程看管等工作；</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 5 \* GB2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⑸</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对于现场内施工人员工作时间和其工作是否符合所有现场规定和规范的日常管理，由承包人全责管理。在现场施工过程中，承包人必须持有的相关许可证，特种人员必须持有地区和国家政府颁发的资格证书（法律或行业证书）；</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 6 \* GB2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⑹</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承包人应对自行带入现场的所有移动式设备和临时设备的使用负责。其责任包括应使移动式和临时设备达到现场安全操作要求，进行定期维护和修理，测试和认证，及为设备加燃油或机油。</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 7 \* GB2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⑺</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承包人在合同执行过程中对其施工人员、设备、材料和工具的安全、防火和保护负责。对于承包人为完成施工所进行的安装、建造和预制中所使用的，但由</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指定的代表或第三方供应商发出的设备、材料和工具，承包人负有同样的责任。在卸载、操作或施工过程中发生的任何损坏都应进行书面记录，并将通知</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或其指定的代表。承包人对于上述设备、材料和工具的接收应备有记录。</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 8 \* GB2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⑻</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承包人应实施有效的现场内务管理政策，保证所有道路、办公区域、堆场、仓库和加工区域没有垃圾和废料。所有施工过程中产生、泄漏或者溢出的固体或液体废料都应依照本文件或其附件所规定的规范进行汇报、管理和处理，并应符合所有地方和国家法律规定。在本项目现场禁止燃烧和倾倒废料。</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对挖出的废料提供临时堆放位置。在规定范围工程结束后，包括办公室、设备、材料和废料在内的所有临时设施将被搬离现场，使现场保持整洁。如果承包人的清理工作未能达到</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的要求，</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或其指定的代表将进行此项工作，费用由承包人承担。</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 9 \* GB2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⑼</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在工程完工时，设计院负责竣工图的编制与审核，承包人负责以书面形式提供施工过程中所发生的所有变更。（变更所指内容包括但不限于：设计及工程变更、施工图纸审查澄清、工程联络单修改及澄清、</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委托等）。承包人负责竣工图的组卷、归档工作。</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 10 \* GB2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⑽</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对于重大施工范围或施工实施的问题、说明或意见应以书面形式提交</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或其指定的代表。</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 11 \* GB2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⑾</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施工工作必须执行本文件及其附件中规定的现行规范、标准以及管理规定和许可证制度。依照工程的整体要求，施工期间，承包人应充分考虑当地的各种条件，根据现场需要按</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的要求采取各种合理的措施，确保工程安全、质量和进度满足项目的要求。</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 12 \* GB2 </w:instrText>
      </w:r>
      <w:r>
        <w:rPr>
          <w:rFonts w:hint="eastAsia" w:ascii="宋体" w:hAnsi="宋体" w:eastAsia="宋体" w:cs="宋体"/>
          <w:color w:val="auto"/>
          <w:sz w:val="21"/>
          <w:szCs w:val="21"/>
        </w:rPr>
        <w:fldChar w:fldCharType="separate"/>
      </w:r>
      <w:r>
        <w:rPr>
          <w:rFonts w:hint="eastAsia" w:ascii="宋体" w:hAnsi="宋体" w:eastAsia="宋体" w:cs="宋体"/>
          <w:color w:val="auto"/>
          <w:sz w:val="21"/>
          <w:szCs w:val="21"/>
        </w:rPr>
        <w:t>⑿</w:t>
      </w:r>
      <w:r>
        <w:rPr>
          <w:rFonts w:hint="eastAsia" w:ascii="宋体" w:hAnsi="宋体" w:eastAsia="宋体" w:cs="宋体"/>
          <w:color w:val="auto"/>
          <w:sz w:val="21"/>
          <w:szCs w:val="21"/>
        </w:rPr>
        <w:fldChar w:fldCharType="end"/>
      </w:r>
      <w:r>
        <w:rPr>
          <w:rFonts w:hint="eastAsia" w:ascii="宋体" w:hAnsi="宋体" w:eastAsia="宋体" w:cs="宋体"/>
          <w:color w:val="auto"/>
          <w:sz w:val="21"/>
          <w:szCs w:val="21"/>
        </w:rPr>
        <w:t>在设备安装或调试阶段,</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将安排某些供货商代表提供现场安装和调试指导服务,承包人应按照</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的要求提供必要的工具、机械和劳动力配合这些供货商代表的工作。</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(13)</w:t>
      </w:r>
      <w:r>
        <w:rPr>
          <w:rFonts w:hint="eastAsia" w:ascii="宋体" w:hAnsi="宋体" w:eastAsia="宋体" w:cs="宋体"/>
          <w:color w:val="auto"/>
          <w:sz w:val="21"/>
          <w:szCs w:val="21"/>
        </w:rPr>
        <w:t>管道及小型钢结构从招标人临时货物堆场或中标人库房至防腐厂的运输、从防腐厂出厂的工艺管道和小型钢结构至施工现场的运输及卸车工作由承包人负责。</w:t>
      </w:r>
    </w:p>
    <w:p>
      <w:pPr>
        <w:numPr>
          <w:ilvl w:val="0"/>
          <w:numId w:val="0"/>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(14)</w:t>
      </w:r>
      <w:r>
        <w:rPr>
          <w:rFonts w:hint="eastAsia" w:ascii="宋体" w:hAnsi="宋体" w:eastAsia="宋体" w:cs="宋体"/>
          <w:color w:val="auto"/>
          <w:sz w:val="21"/>
          <w:szCs w:val="21"/>
          <w:highlight w:val="none"/>
          <w:lang w:eastAsia="zh-CN"/>
        </w:rPr>
        <w:t>承包人应及时清理现场施工垃圾，垃圾清运委托具有当地市容管理中心出具相关证明资质的单位进行垃圾清运，所有费用包含在投标报价中。</w:t>
      </w:r>
    </w:p>
    <w:p>
      <w:pPr>
        <w:pStyle w:val="2"/>
        <w:numPr>
          <w:ilvl w:val="0"/>
          <w:numId w:val="0"/>
        </w:numPr>
        <w:spacing w:beforeLines="100" w:afterLines="50" w:line="360" w:lineRule="auto"/>
        <w:rPr>
          <w:rFonts w:hint="eastAsia" w:ascii="宋体" w:hAnsi="宋体" w:eastAsia="宋体" w:cs="宋体"/>
          <w:caps w:val="0"/>
          <w:color w:val="auto"/>
          <w:kern w:val="2"/>
          <w:sz w:val="21"/>
          <w:szCs w:val="21"/>
        </w:rPr>
      </w:pPr>
      <w:r>
        <w:rPr>
          <w:rFonts w:hint="eastAsia" w:ascii="宋体" w:hAnsi="宋体" w:eastAsia="宋体" w:cs="宋体"/>
          <w:caps w:val="0"/>
          <w:color w:val="auto"/>
          <w:kern w:val="2"/>
          <w:sz w:val="21"/>
          <w:szCs w:val="21"/>
          <w:lang w:val="en-US" w:eastAsia="zh-CN"/>
        </w:rPr>
        <w:t>4</w:t>
      </w:r>
      <w:r>
        <w:rPr>
          <w:rFonts w:hint="eastAsia" w:ascii="宋体" w:hAnsi="宋体" w:eastAsia="宋体" w:cs="宋体"/>
          <w:caps w:val="0"/>
          <w:color w:val="auto"/>
          <w:kern w:val="2"/>
          <w:sz w:val="21"/>
          <w:szCs w:val="21"/>
        </w:rPr>
        <w:t>.工作界面</w:t>
      </w:r>
    </w:p>
    <w:p>
      <w:pPr>
        <w:spacing w:line="360" w:lineRule="auto"/>
        <w:ind w:firstLine="411" w:firstLineChars="196"/>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“气化装置新增渣池及地沟工程”所涉及</w:t>
      </w:r>
      <w:r>
        <w:rPr>
          <w:rFonts w:hint="eastAsia" w:ascii="宋体" w:hAnsi="宋体" w:eastAsia="宋体" w:cs="宋体"/>
          <w:color w:val="auto"/>
          <w:sz w:val="21"/>
          <w:szCs w:val="21"/>
          <w:highlight w:val="none"/>
        </w:rPr>
        <w:t>的设计图纸</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设计变更</w:t>
      </w:r>
      <w:r>
        <w:rPr>
          <w:rFonts w:hint="eastAsia" w:ascii="宋体" w:hAnsi="宋体" w:eastAsia="宋体" w:cs="宋体"/>
          <w:color w:val="auto"/>
          <w:sz w:val="21"/>
          <w:szCs w:val="21"/>
          <w:highlight w:val="none"/>
          <w:lang w:eastAsia="zh-CN"/>
        </w:rPr>
        <w:t>、工程委托单</w:t>
      </w:r>
      <w:r>
        <w:rPr>
          <w:rFonts w:hint="eastAsia" w:ascii="宋体" w:hAnsi="宋体" w:eastAsia="宋体" w:cs="宋体"/>
          <w:color w:val="auto"/>
          <w:sz w:val="21"/>
          <w:szCs w:val="21"/>
          <w:highlight w:val="none"/>
        </w:rPr>
        <w:t>，均由承包人负责实施；</w:t>
      </w:r>
      <w:r>
        <w:rPr>
          <w:rFonts w:hint="eastAsia" w:ascii="宋体" w:hAnsi="宋体" w:eastAsia="宋体" w:cs="宋体"/>
          <w:color w:val="auto"/>
          <w:sz w:val="21"/>
          <w:szCs w:val="21"/>
          <w:highlight w:val="none"/>
          <w:lang w:eastAsia="zh-CN"/>
        </w:rPr>
        <w:t>其他</w:t>
      </w:r>
      <w:r>
        <w:rPr>
          <w:rFonts w:hint="eastAsia" w:ascii="宋体" w:hAnsi="宋体" w:eastAsia="宋体" w:cs="宋体"/>
          <w:color w:val="auto"/>
          <w:sz w:val="21"/>
          <w:szCs w:val="21"/>
          <w:highlight w:val="none"/>
        </w:rPr>
        <w:t>未明确事宜，由</w:t>
      </w:r>
      <w:r>
        <w:rPr>
          <w:rFonts w:hint="eastAsia" w:ascii="宋体" w:hAnsi="宋体" w:eastAsia="宋体" w:cs="宋体"/>
          <w:color w:val="auto"/>
          <w:sz w:val="21"/>
          <w:szCs w:val="21"/>
          <w:highlight w:val="none"/>
          <w:lang w:eastAsia="zh-CN"/>
        </w:rPr>
        <w:t>发包人</w:t>
      </w:r>
      <w:r>
        <w:rPr>
          <w:rFonts w:hint="eastAsia" w:ascii="宋体" w:hAnsi="宋体" w:eastAsia="宋体" w:cs="宋体"/>
          <w:color w:val="auto"/>
          <w:sz w:val="21"/>
          <w:szCs w:val="21"/>
          <w:highlight w:val="none"/>
        </w:rPr>
        <w:t>负责最终解释。</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caps/>
          <w:color w:val="auto"/>
          <w:kern w:val="28"/>
          <w:sz w:val="21"/>
          <w:szCs w:val="21"/>
          <w:highlight w:val="none"/>
          <w:lang w:val="en-US" w:eastAsia="zh-CN" w:bidi="ar-SA"/>
        </w:rPr>
      </w:pPr>
      <w:r>
        <w:rPr>
          <w:rFonts w:hint="eastAsia" w:ascii="宋体" w:hAnsi="宋体" w:eastAsia="宋体" w:cs="宋体"/>
          <w:b/>
          <w:caps/>
          <w:color w:val="auto"/>
          <w:kern w:val="28"/>
          <w:sz w:val="21"/>
          <w:szCs w:val="21"/>
          <w:highlight w:val="none"/>
          <w:lang w:val="en-US" w:eastAsia="zh-CN" w:bidi="ar-SA"/>
        </w:rPr>
        <w:t>4.1测量控制点</w:t>
      </w:r>
    </w:p>
    <w:p>
      <w:pPr>
        <w:spacing w:line="360" w:lineRule="auto"/>
        <w:ind w:firstLine="411" w:firstLineChars="196"/>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w:t>
      </w:r>
      <w:r>
        <w:rPr>
          <w:rFonts w:hint="eastAsia" w:ascii="宋体" w:hAnsi="宋体" w:eastAsia="宋体" w:cs="宋体"/>
          <w:color w:val="auto"/>
          <w:sz w:val="21"/>
          <w:szCs w:val="21"/>
          <w:highlight w:val="none"/>
          <w:lang w:eastAsia="zh-CN"/>
        </w:rPr>
        <w:t>发包人提供。</w:t>
      </w:r>
      <w:r>
        <w:rPr>
          <w:rFonts w:hint="eastAsia" w:ascii="宋体" w:hAnsi="宋体" w:eastAsia="宋体" w:cs="宋体"/>
          <w:color w:val="auto"/>
          <w:sz w:val="21"/>
          <w:szCs w:val="21"/>
          <w:highlight w:val="none"/>
        </w:rPr>
        <w:t>承包人</w:t>
      </w:r>
      <w:r>
        <w:rPr>
          <w:rFonts w:hint="eastAsia" w:ascii="宋体" w:hAnsi="宋体" w:eastAsia="宋体" w:cs="宋体"/>
          <w:color w:val="auto"/>
          <w:sz w:val="21"/>
          <w:szCs w:val="21"/>
          <w:highlight w:val="none"/>
          <w:lang w:eastAsia="zh-CN"/>
        </w:rPr>
        <w:t>根据发包人提供</w:t>
      </w:r>
      <w:r>
        <w:rPr>
          <w:rFonts w:hint="eastAsia" w:ascii="宋体" w:hAnsi="宋体" w:eastAsia="宋体" w:cs="宋体"/>
          <w:color w:val="auto"/>
          <w:sz w:val="21"/>
          <w:szCs w:val="21"/>
          <w:highlight w:val="none"/>
        </w:rPr>
        <w:t>基准点进行</w:t>
      </w:r>
      <w:r>
        <w:rPr>
          <w:rFonts w:hint="eastAsia" w:ascii="宋体" w:hAnsi="宋体" w:eastAsia="宋体" w:cs="宋体"/>
          <w:color w:val="auto"/>
          <w:sz w:val="21"/>
          <w:szCs w:val="21"/>
          <w:highlight w:val="none"/>
          <w:lang w:eastAsia="zh-CN"/>
        </w:rPr>
        <w:t>控制点的布设，报监理、工程管理部校核后方可使用</w:t>
      </w:r>
      <w:r>
        <w:rPr>
          <w:rFonts w:hint="eastAsia" w:ascii="宋体" w:hAnsi="宋体" w:eastAsia="宋体" w:cs="宋体"/>
          <w:color w:val="auto"/>
          <w:sz w:val="21"/>
          <w:szCs w:val="21"/>
          <w:highlight w:val="none"/>
        </w:rPr>
        <w:t>，确保</w:t>
      </w:r>
      <w:r>
        <w:rPr>
          <w:rFonts w:hint="eastAsia" w:ascii="宋体" w:hAnsi="宋体" w:eastAsia="宋体" w:cs="宋体"/>
          <w:color w:val="auto"/>
          <w:sz w:val="21"/>
          <w:szCs w:val="21"/>
          <w:highlight w:val="none"/>
          <w:lang w:eastAsia="zh-CN"/>
        </w:rPr>
        <w:t>控制点</w:t>
      </w:r>
      <w:r>
        <w:rPr>
          <w:rFonts w:hint="eastAsia" w:ascii="宋体" w:hAnsi="宋体" w:eastAsia="宋体" w:cs="宋体"/>
          <w:color w:val="auto"/>
          <w:sz w:val="21"/>
          <w:szCs w:val="21"/>
          <w:highlight w:val="none"/>
        </w:rPr>
        <w:t>准确。</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caps/>
          <w:color w:val="auto"/>
          <w:kern w:val="28"/>
          <w:sz w:val="21"/>
          <w:szCs w:val="21"/>
          <w:highlight w:val="none"/>
          <w:lang w:val="en-US" w:eastAsia="zh-CN" w:bidi="ar-SA"/>
        </w:rPr>
      </w:pPr>
      <w:r>
        <w:rPr>
          <w:rFonts w:hint="eastAsia" w:ascii="宋体" w:hAnsi="宋体" w:eastAsia="宋体" w:cs="宋体"/>
          <w:b/>
          <w:caps/>
          <w:color w:val="auto"/>
          <w:kern w:val="28"/>
          <w:sz w:val="21"/>
          <w:szCs w:val="21"/>
          <w:highlight w:val="none"/>
          <w:lang w:val="en-US" w:eastAsia="zh-CN" w:bidi="ar-SA"/>
        </w:rPr>
        <w:t>4.2给排水及消防专业界面</w:t>
      </w:r>
    </w:p>
    <w:p>
      <w:pPr>
        <w:spacing w:line="360" w:lineRule="auto"/>
        <w:ind w:firstLine="411" w:firstLineChars="196"/>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.1压力流管线（如循环水、消防水、生活水、生产水等）与合同装置范围外系统管道施工交界点位于主管道交界处,承包人负责与主管道碰头；不能进行强度试验的焊口，经</w:t>
      </w:r>
      <w:r>
        <w:rPr>
          <w:rFonts w:hint="eastAsia" w:ascii="宋体" w:hAnsi="宋体" w:eastAsia="宋体" w:cs="宋体"/>
          <w:color w:val="auto"/>
          <w:sz w:val="21"/>
          <w:szCs w:val="21"/>
          <w:lang w:eastAsia="zh-CN"/>
        </w:rPr>
        <w:t>发包人和设计</w:t>
      </w:r>
      <w:r>
        <w:rPr>
          <w:rFonts w:hint="eastAsia" w:ascii="宋体" w:hAnsi="宋体" w:eastAsia="宋体" w:cs="宋体"/>
          <w:color w:val="auto"/>
          <w:sz w:val="21"/>
          <w:szCs w:val="21"/>
        </w:rPr>
        <w:t>批准后</w:t>
      </w:r>
      <w:r>
        <w:rPr>
          <w:rFonts w:hint="eastAsia" w:ascii="宋体" w:hAnsi="宋体" w:eastAsia="宋体" w:cs="宋体"/>
          <w:color w:val="auto"/>
          <w:sz w:val="21"/>
          <w:szCs w:val="21"/>
          <w:lang w:eastAsia="zh-CN"/>
        </w:rPr>
        <w:t>进行检测；</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.2重力流管线与合同装置外系统主管道施工交界点为合同装置外主管道最近的检查井（不含检查井）。</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caps/>
          <w:color w:val="auto"/>
          <w:kern w:val="28"/>
          <w:sz w:val="21"/>
          <w:szCs w:val="21"/>
          <w:highlight w:val="none"/>
          <w:lang w:val="en-US" w:eastAsia="zh-CN" w:bidi="ar-SA"/>
        </w:rPr>
      </w:pPr>
      <w:r>
        <w:rPr>
          <w:rFonts w:hint="eastAsia" w:ascii="宋体" w:hAnsi="宋体" w:eastAsia="宋体" w:cs="宋体"/>
          <w:b/>
          <w:caps/>
          <w:color w:val="auto"/>
          <w:kern w:val="28"/>
          <w:sz w:val="21"/>
          <w:szCs w:val="21"/>
          <w:highlight w:val="none"/>
          <w:lang w:val="en-US" w:eastAsia="zh-CN" w:bidi="ar-SA"/>
        </w:rPr>
        <w:t>4.3工艺管道界面</w:t>
      </w:r>
    </w:p>
    <w:p>
      <w:pPr>
        <w:spacing w:line="360" w:lineRule="auto"/>
        <w:ind w:firstLine="411" w:firstLineChars="196"/>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.1装置范围内与界外管道的交界点为界外主管碰口处（含三通安装），碰口工作由承包人负责实施，要求碰口焊缝100%检测并负责后续管道试压并配合管道冲洗</w:t>
      </w:r>
      <w:r>
        <w:rPr>
          <w:rFonts w:hint="eastAsia" w:ascii="宋体" w:hAnsi="宋体" w:eastAsia="宋体" w:cs="宋体"/>
          <w:color w:val="auto"/>
          <w:sz w:val="21"/>
          <w:szCs w:val="21"/>
          <w:lang w:eastAsia="zh-CN"/>
        </w:rPr>
        <w:t>；</w:t>
      </w:r>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.2管道起点与终点均同属一个主项装置且管道无分支或与其他装置无关，其走向如超出界区范围的部分，均由同一承包人负责施工，不作界面划分。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caps/>
          <w:color w:val="auto"/>
          <w:kern w:val="28"/>
          <w:sz w:val="21"/>
          <w:szCs w:val="21"/>
          <w:highlight w:val="none"/>
          <w:lang w:val="en-US" w:eastAsia="zh-CN" w:bidi="ar-SA"/>
        </w:rPr>
      </w:pPr>
      <w:bookmarkStart w:id="1" w:name="_Toc360438670"/>
      <w:r>
        <w:rPr>
          <w:rFonts w:hint="eastAsia" w:ascii="宋体" w:hAnsi="宋体" w:eastAsia="宋体" w:cs="宋体"/>
          <w:b/>
          <w:caps/>
          <w:color w:val="auto"/>
          <w:kern w:val="28"/>
          <w:sz w:val="21"/>
          <w:szCs w:val="21"/>
          <w:highlight w:val="none"/>
          <w:lang w:val="en-US" w:eastAsia="zh-CN" w:bidi="ar-SA"/>
        </w:rPr>
        <w:t>4.4设备工作界面</w:t>
      </w:r>
      <w:bookmarkEnd w:id="1"/>
    </w:p>
    <w:p>
      <w:pPr>
        <w:spacing w:line="360" w:lineRule="auto"/>
        <w:ind w:firstLine="411" w:firstLineChars="196"/>
        <w:jc w:val="left"/>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.1吊装前承包人需进行其它工序（如梯子平台、保温安装等）施工的设备，现场放置时由承包人提供临时支垫材料、人力、机具配合卸车；</w:t>
      </w:r>
    </w:p>
    <w:p>
      <w:pPr>
        <w:spacing w:line="360" w:lineRule="auto"/>
        <w:ind w:firstLine="411" w:firstLineChars="196"/>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.2 由</w:t>
      </w:r>
      <w:r>
        <w:rPr>
          <w:rFonts w:hint="eastAsia" w:ascii="宋体" w:hAnsi="宋体" w:eastAsia="宋体" w:cs="宋体"/>
          <w:color w:val="auto"/>
          <w:sz w:val="21"/>
          <w:szCs w:val="21"/>
          <w:lang w:eastAsia="zh-CN"/>
        </w:rPr>
        <w:t>发包人</w:t>
      </w:r>
      <w:r>
        <w:rPr>
          <w:rFonts w:hint="eastAsia" w:ascii="宋体" w:hAnsi="宋体" w:eastAsia="宋体" w:cs="宋体"/>
          <w:color w:val="auto"/>
          <w:sz w:val="21"/>
          <w:szCs w:val="21"/>
        </w:rPr>
        <w:t>堆场或库房运至承包人指定地点的物资，</w:t>
      </w:r>
      <w:r>
        <w:rPr>
          <w:rFonts w:hint="eastAsia" w:ascii="宋体" w:hAnsi="宋体" w:eastAsia="宋体" w:cs="宋体"/>
          <w:color w:val="auto"/>
          <w:sz w:val="21"/>
          <w:szCs w:val="21"/>
          <w:highlight w:val="none"/>
        </w:rPr>
        <w:t>由承包人负责装车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运输和卸车工作。由</w:t>
      </w:r>
      <w:r>
        <w:rPr>
          <w:rFonts w:hint="eastAsia" w:ascii="宋体" w:hAnsi="宋体" w:eastAsia="宋体" w:cs="宋体"/>
          <w:color w:val="auto"/>
          <w:sz w:val="21"/>
          <w:szCs w:val="21"/>
          <w:highlight w:val="none"/>
          <w:lang w:eastAsia="zh-CN"/>
        </w:rPr>
        <w:t>发包人</w:t>
      </w:r>
      <w:r>
        <w:rPr>
          <w:rFonts w:hint="eastAsia" w:ascii="宋体" w:hAnsi="宋体" w:eastAsia="宋体" w:cs="宋体"/>
          <w:color w:val="auto"/>
          <w:sz w:val="21"/>
          <w:szCs w:val="21"/>
          <w:highlight w:val="none"/>
        </w:rPr>
        <w:t>采购的设备、材料的工装需返厂回收的，由承包人</w:t>
      </w:r>
      <w:r>
        <w:rPr>
          <w:rFonts w:hint="eastAsia" w:ascii="宋体" w:hAnsi="宋体" w:eastAsia="宋体" w:cs="宋体"/>
          <w:color w:val="auto"/>
          <w:sz w:val="21"/>
          <w:szCs w:val="21"/>
          <w:highlight w:val="none"/>
          <w:lang w:eastAsia="zh-CN"/>
        </w:rPr>
        <w:t>协助</w:t>
      </w:r>
      <w:r>
        <w:rPr>
          <w:rFonts w:hint="eastAsia" w:ascii="宋体" w:hAnsi="宋体" w:eastAsia="宋体" w:cs="宋体"/>
          <w:color w:val="auto"/>
          <w:sz w:val="21"/>
          <w:szCs w:val="21"/>
          <w:highlight w:val="none"/>
        </w:rPr>
        <w:t>装车；其他需回收的材料、部件、工装</w:t>
      </w:r>
      <w:r>
        <w:rPr>
          <w:rFonts w:hint="eastAsia" w:ascii="宋体" w:hAnsi="宋体" w:eastAsia="宋体" w:cs="宋体"/>
          <w:color w:val="auto"/>
          <w:sz w:val="21"/>
          <w:szCs w:val="21"/>
          <w:highlight w:val="none"/>
          <w:lang w:eastAsia="zh-CN"/>
        </w:rPr>
        <w:t>、废料</w:t>
      </w:r>
      <w:r>
        <w:rPr>
          <w:rFonts w:hint="eastAsia" w:ascii="宋体" w:hAnsi="宋体" w:eastAsia="宋体" w:cs="宋体"/>
          <w:color w:val="auto"/>
          <w:sz w:val="21"/>
          <w:szCs w:val="21"/>
          <w:highlight w:val="none"/>
        </w:rPr>
        <w:t>等，由承包人负责运至</w:t>
      </w:r>
      <w:r>
        <w:rPr>
          <w:rFonts w:hint="eastAsia" w:ascii="宋体" w:hAnsi="宋体" w:eastAsia="宋体" w:cs="宋体"/>
          <w:color w:val="auto"/>
          <w:sz w:val="21"/>
          <w:szCs w:val="21"/>
          <w:highlight w:val="none"/>
          <w:lang w:eastAsia="zh-CN"/>
        </w:rPr>
        <w:t>发包人</w:t>
      </w:r>
      <w:r>
        <w:rPr>
          <w:rFonts w:hint="eastAsia" w:ascii="宋体" w:hAnsi="宋体" w:eastAsia="宋体" w:cs="宋体"/>
          <w:color w:val="auto"/>
          <w:sz w:val="21"/>
          <w:szCs w:val="21"/>
          <w:highlight w:val="none"/>
        </w:rPr>
        <w:t>指定地点</w:t>
      </w:r>
      <w:r>
        <w:rPr>
          <w:rFonts w:hint="eastAsia" w:ascii="宋体" w:hAnsi="宋体" w:eastAsia="宋体" w:cs="宋体"/>
          <w:color w:val="auto"/>
          <w:sz w:val="21"/>
          <w:szCs w:val="21"/>
          <w:highlight w:val="none"/>
          <w:lang w:eastAsia="zh-CN"/>
        </w:rPr>
        <w:t>；</w:t>
      </w:r>
    </w:p>
    <w:p>
      <w:pPr>
        <w:spacing w:line="360" w:lineRule="auto"/>
        <w:ind w:firstLine="411" w:firstLineChars="196"/>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highlight w:val="none"/>
        </w:rPr>
        <w:t>机泵的地脚螺栓由</w:t>
      </w:r>
      <w:r>
        <w:rPr>
          <w:rFonts w:hint="eastAsia" w:ascii="宋体" w:hAnsi="宋体" w:eastAsia="宋体" w:cs="宋体"/>
          <w:color w:val="auto"/>
          <w:sz w:val="21"/>
          <w:szCs w:val="21"/>
          <w:highlight w:val="none"/>
          <w:lang w:eastAsia="zh-CN"/>
        </w:rPr>
        <w:t>发包人</w:t>
      </w:r>
      <w:r>
        <w:rPr>
          <w:rFonts w:hint="eastAsia" w:ascii="宋体" w:hAnsi="宋体" w:eastAsia="宋体" w:cs="宋体"/>
          <w:color w:val="auto"/>
          <w:sz w:val="21"/>
          <w:szCs w:val="21"/>
          <w:highlight w:val="none"/>
        </w:rPr>
        <w:t>提供，其他设备及构筑物的地脚螺栓均由承包人提供。</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caps/>
          <w:color w:val="auto"/>
          <w:kern w:val="28"/>
          <w:sz w:val="21"/>
          <w:szCs w:val="21"/>
          <w:highlight w:val="none"/>
          <w:lang w:val="en-US" w:eastAsia="zh-CN" w:bidi="ar-SA"/>
        </w:rPr>
      </w:pPr>
      <w:r>
        <w:rPr>
          <w:rFonts w:hint="eastAsia" w:ascii="宋体" w:hAnsi="宋体" w:eastAsia="宋体" w:cs="宋体"/>
          <w:b/>
          <w:caps/>
          <w:color w:val="auto"/>
          <w:kern w:val="28"/>
          <w:sz w:val="21"/>
          <w:szCs w:val="21"/>
          <w:highlight w:val="none"/>
          <w:lang w:val="en-US" w:eastAsia="zh-CN" w:bidi="ar-SA"/>
        </w:rPr>
        <w:t>4.5电气界面</w:t>
      </w:r>
    </w:p>
    <w:p>
      <w:pPr>
        <w:spacing w:line="360" w:lineRule="auto"/>
        <w:ind w:firstLine="411" w:firstLineChars="196"/>
        <w:jc w:val="left"/>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.1电缆桥架施工的界面为合同装置界区范围外主桥架连接处</w:t>
      </w:r>
      <w:r>
        <w:rPr>
          <w:rFonts w:hint="eastAsia" w:ascii="宋体" w:hAnsi="宋体" w:eastAsia="宋体" w:cs="宋体"/>
          <w:color w:val="auto"/>
          <w:sz w:val="21"/>
          <w:szCs w:val="21"/>
          <w:lang w:eastAsia="zh-CN"/>
        </w:rPr>
        <w:t>；</w:t>
      </w:r>
    </w:p>
    <w:p>
      <w:pPr>
        <w:spacing w:line="360" w:lineRule="auto"/>
        <w:ind w:firstLine="411" w:firstLineChars="196"/>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highlight w:val="none"/>
        </w:rPr>
        <w:t>.2电源进线、控制电缆及光缆的界面划分：</w:t>
      </w:r>
    </w:p>
    <w:p>
      <w:pPr>
        <w:spacing w:line="360" w:lineRule="auto"/>
        <w:ind w:firstLine="525" w:firstLineChars="25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高压电源引自</w:t>
      </w:r>
      <w:r>
        <w:rPr>
          <w:rFonts w:hint="eastAsia" w:ascii="宋体" w:hAnsi="宋体" w:eastAsia="宋体" w:cs="宋体"/>
          <w:color w:val="auto"/>
          <w:sz w:val="21"/>
          <w:szCs w:val="21"/>
          <w:highlight w:val="none"/>
          <w:lang w:eastAsia="zh-CN"/>
        </w:rPr>
        <w:t>装置内就近</w:t>
      </w:r>
      <w:r>
        <w:rPr>
          <w:rFonts w:hint="eastAsia" w:ascii="宋体" w:hAnsi="宋体" w:eastAsia="宋体" w:cs="宋体"/>
          <w:color w:val="auto"/>
          <w:sz w:val="21"/>
          <w:szCs w:val="21"/>
          <w:highlight w:val="none"/>
        </w:rPr>
        <w:t>变电所，电源电缆以高压配电柜出线端子为界，电源电缆的敷设、</w:t>
      </w:r>
      <w:r>
        <w:rPr>
          <w:rFonts w:hint="eastAsia" w:ascii="宋体" w:hAnsi="宋体" w:eastAsia="宋体" w:cs="宋体"/>
          <w:color w:val="auto"/>
          <w:sz w:val="21"/>
          <w:szCs w:val="21"/>
          <w:highlight w:val="none"/>
          <w:lang w:eastAsia="zh-CN"/>
        </w:rPr>
        <w:t>电缆终端制作、接线、进出线封堵</w:t>
      </w:r>
      <w:r>
        <w:rPr>
          <w:rFonts w:hint="eastAsia" w:ascii="宋体" w:hAnsi="宋体" w:eastAsia="宋体" w:cs="宋体"/>
          <w:color w:val="auto"/>
          <w:sz w:val="21"/>
          <w:szCs w:val="21"/>
          <w:highlight w:val="none"/>
        </w:rPr>
        <w:t>及调试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检试验工作由承包人负责；控制电缆或光缆以区域变电所高压配电柜保护出线端子为界，控制电缆及光纤的敷设、出线端子</w:t>
      </w:r>
      <w:r>
        <w:rPr>
          <w:rFonts w:hint="eastAsia" w:ascii="宋体" w:hAnsi="宋体" w:eastAsia="宋体" w:cs="宋体"/>
          <w:color w:val="auto"/>
          <w:sz w:val="21"/>
          <w:szCs w:val="21"/>
          <w:highlight w:val="none"/>
          <w:lang w:eastAsia="zh-CN"/>
        </w:rPr>
        <w:t>接线、进出线封堵</w:t>
      </w:r>
      <w:r>
        <w:rPr>
          <w:rFonts w:hint="eastAsia" w:ascii="宋体" w:hAnsi="宋体" w:eastAsia="宋体" w:cs="宋体"/>
          <w:color w:val="auto"/>
          <w:sz w:val="21"/>
          <w:szCs w:val="21"/>
          <w:highlight w:val="none"/>
        </w:rPr>
        <w:t>及调试工作由承包人负责；微机监控系统界面划分以区域变电所的微机监控系统接口的光纤盒为界</w:t>
      </w:r>
      <w:r>
        <w:rPr>
          <w:rFonts w:hint="eastAsia" w:ascii="宋体" w:hAnsi="宋体" w:eastAsia="宋体" w:cs="宋体"/>
          <w:color w:val="auto"/>
          <w:sz w:val="21"/>
          <w:szCs w:val="21"/>
          <w:highlight w:val="none"/>
          <w:lang w:eastAsia="zh-CN"/>
        </w:rPr>
        <w:t>，光纤端接及熔接</w:t>
      </w:r>
      <w:r>
        <w:rPr>
          <w:rFonts w:hint="eastAsia" w:ascii="宋体" w:hAnsi="宋体" w:eastAsia="宋体" w:cs="宋体"/>
          <w:color w:val="auto"/>
          <w:sz w:val="21"/>
          <w:szCs w:val="21"/>
          <w:highlight w:val="none"/>
        </w:rPr>
        <w:t>由承包人负责。</w:t>
      </w:r>
      <w:r>
        <w:rPr>
          <w:rFonts w:hint="eastAsia" w:ascii="宋体" w:hAnsi="宋体" w:eastAsia="宋体" w:cs="宋体"/>
          <w:color w:val="auto"/>
          <w:sz w:val="21"/>
          <w:szCs w:val="21"/>
          <w:highlight w:val="none"/>
          <w:lang w:eastAsia="zh-CN"/>
        </w:rPr>
        <w:t>上述分界点后，位于工作范围内所有电气设备和线缆的安装、敷设、端接、调试及装置中交前的维护和成品保护均属于承包人的工作范围。</w:t>
      </w:r>
    </w:p>
    <w:p>
      <w:pPr>
        <w:spacing w:line="360" w:lineRule="auto"/>
        <w:ind w:firstLine="525" w:firstLineChars="25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线变组保护屏的施工、保护屏所需的二次电缆及电源线施工属于承包人的工作范围，变压器本体及本体保护属于承包人的工作范围并配合完成线变组光差保护调试。</w:t>
      </w:r>
    </w:p>
    <w:p>
      <w:pPr>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highlight w:val="none"/>
          <w:lang w:eastAsia="zh-CN"/>
        </w:rPr>
        <w:t>.3承包人负责工作范围内的接地网的施工，并负责与其他界区或全厂主接地干线的连通。</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caps/>
          <w:color w:val="auto"/>
          <w:kern w:val="28"/>
          <w:sz w:val="21"/>
          <w:szCs w:val="21"/>
          <w:highlight w:val="none"/>
          <w:lang w:val="en-US" w:eastAsia="zh-CN" w:bidi="ar-SA"/>
        </w:rPr>
      </w:pPr>
      <w:r>
        <w:rPr>
          <w:rFonts w:hint="eastAsia" w:ascii="宋体" w:hAnsi="宋体" w:eastAsia="宋体" w:cs="宋体"/>
          <w:b/>
          <w:caps/>
          <w:color w:val="auto"/>
          <w:kern w:val="28"/>
          <w:sz w:val="21"/>
          <w:szCs w:val="21"/>
          <w:highlight w:val="none"/>
          <w:lang w:val="en-US" w:eastAsia="zh-CN" w:bidi="ar-SA"/>
        </w:rPr>
        <w:t>4.6仪表界面</w:t>
      </w:r>
    </w:p>
    <w:p>
      <w:pPr>
        <w:keepNext w:val="0"/>
        <w:keepLines w:val="0"/>
        <w:widowControl/>
        <w:suppressLineNumbers w:val="0"/>
        <w:spacing w:before="0" w:beforeAutospacing="0" w:after="0" w:afterAutospacing="0" w:line="360" w:lineRule="auto"/>
        <w:ind w:left="0" w:right="0" w:firstLine="47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.1</w:t>
      </w:r>
      <w:r>
        <w:rPr>
          <w:rFonts w:hint="eastAsia" w:ascii="宋体" w:hAnsi="宋体" w:eastAsia="宋体" w:cs="宋体"/>
          <w:color w:val="auto"/>
          <w:kern w:val="0"/>
          <w:sz w:val="21"/>
          <w:szCs w:val="21"/>
          <w:highlight w:val="none"/>
          <w:lang w:val="en-US" w:eastAsia="zh-CN" w:bidi="ar"/>
        </w:rPr>
        <w:t>机柜室盘柜、操作台、操作站等的安装，不同控制系统盘柜间的配线，机柜室内盘柜第一道接线端子至装置一侧的所有安装工程，机柜室与装置变电所间的电缆，机柜室与装置空调间的电缆，机柜室盘柜、操作站、操作台的接地、供电电缆，机柜室至装置区内各标段现场仪表设备的电缆，进出线的封堵等安装工程，均由承包人负责；</w:t>
      </w:r>
    </w:p>
    <w:p>
      <w:pPr>
        <w:spacing w:line="360" w:lineRule="auto"/>
        <w:ind w:firstLine="411" w:firstLineChars="196"/>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.2装置各标段电缆桥架施工的界面为界外主桥架连接处</w:t>
      </w:r>
      <w:r>
        <w:rPr>
          <w:rFonts w:hint="eastAsia" w:ascii="宋体" w:hAnsi="宋体" w:eastAsia="宋体" w:cs="宋体"/>
          <w:color w:val="auto"/>
          <w:sz w:val="21"/>
          <w:szCs w:val="21"/>
          <w:highlight w:val="none"/>
          <w:lang w:eastAsia="zh-CN"/>
        </w:rPr>
        <w:t>；</w:t>
      </w:r>
    </w:p>
    <w:p>
      <w:pPr>
        <w:keepNext w:val="0"/>
        <w:keepLines w:val="0"/>
        <w:widowControl/>
        <w:suppressLineNumbers w:val="0"/>
        <w:spacing w:before="0" w:beforeAutospacing="0" w:after="0" w:afterAutospacing="0" w:line="360" w:lineRule="auto"/>
        <w:ind w:left="0" w:right="0" w:firstLine="47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.3</w:t>
      </w:r>
      <w:r>
        <w:rPr>
          <w:rFonts w:hint="eastAsia" w:ascii="宋体" w:hAnsi="宋体" w:eastAsia="宋体" w:cs="宋体"/>
          <w:color w:val="auto"/>
          <w:kern w:val="0"/>
          <w:sz w:val="21"/>
          <w:szCs w:val="21"/>
          <w:highlight w:val="none"/>
          <w:lang w:val="en-US" w:eastAsia="zh-CN" w:bidi="ar"/>
        </w:rPr>
        <w:t>装置区至装置外主管廊间仪表设备、电缆安装及调试由承包人负责；</w:t>
      </w:r>
    </w:p>
    <w:p>
      <w:pPr>
        <w:keepNext w:val="0"/>
        <w:keepLines w:val="0"/>
        <w:widowControl/>
        <w:suppressLineNumbers w:val="0"/>
        <w:spacing w:before="0" w:beforeAutospacing="0" w:after="0" w:afterAutospacing="0" w:line="360" w:lineRule="auto"/>
        <w:ind w:left="0" w:right="0" w:firstLine="47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kern w:val="0"/>
          <w:sz w:val="21"/>
          <w:szCs w:val="21"/>
          <w:highlight w:val="none"/>
          <w:lang w:val="en-US" w:eastAsia="zh-CN" w:bidi="ar"/>
        </w:rPr>
        <w:t>.4装置区内各标段现场仪表设备、电缆安装及调试由承包人负责；</w:t>
      </w:r>
    </w:p>
    <w:p>
      <w:pPr>
        <w:keepNext w:val="0"/>
        <w:keepLines w:val="0"/>
        <w:widowControl/>
        <w:suppressLineNumbers w:val="0"/>
        <w:spacing w:before="0" w:beforeAutospacing="0" w:after="0" w:afterAutospacing="0"/>
        <w:ind w:left="0" w:righ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.5</w:t>
      </w:r>
      <w:r>
        <w:rPr>
          <w:rFonts w:hint="eastAsia" w:ascii="宋体" w:hAnsi="宋体" w:eastAsia="宋体" w:cs="宋体"/>
          <w:color w:val="auto"/>
          <w:kern w:val="0"/>
          <w:sz w:val="21"/>
          <w:szCs w:val="21"/>
          <w:highlight w:val="none"/>
          <w:lang w:val="en-US" w:eastAsia="zh-CN" w:bidi="ar"/>
        </w:rPr>
        <w:t>通讯电缆、光缆、设备的安装、敷设、熔接、端接、调试由承包人负责；</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caps/>
          <w:color w:val="auto"/>
          <w:kern w:val="28"/>
          <w:sz w:val="21"/>
          <w:szCs w:val="21"/>
          <w:highlight w:val="none"/>
          <w:lang w:val="en-US" w:eastAsia="zh-CN" w:bidi="ar-SA"/>
        </w:rPr>
      </w:pPr>
      <w:r>
        <w:rPr>
          <w:rFonts w:hint="eastAsia" w:ascii="宋体" w:hAnsi="宋体" w:eastAsia="宋体" w:cs="宋体"/>
          <w:b/>
          <w:caps/>
          <w:color w:val="auto"/>
          <w:kern w:val="28"/>
          <w:sz w:val="21"/>
          <w:szCs w:val="21"/>
          <w:highlight w:val="none"/>
          <w:lang w:val="en-US" w:eastAsia="zh-CN" w:bidi="ar-SA"/>
        </w:rPr>
        <w:t>4.7其他工作界面</w:t>
      </w:r>
    </w:p>
    <w:p>
      <w:pPr>
        <w:spacing w:line="360" w:lineRule="auto"/>
        <w:ind w:firstLine="493" w:firstLineChars="235"/>
        <w:jc w:val="left"/>
        <w:rPr>
          <w:rFonts w:hint="eastAsia" w:asciiTheme="minorEastAsia" w:hAnsiTheme="minorEastAsia" w:eastAsiaTheme="minorEastAsia" w:cstheme="minorEastAsia"/>
          <w:color w:val="auto"/>
          <w:sz w:val="24"/>
          <w:highlight w:val="none"/>
        </w:rPr>
      </w:pPr>
      <w:r>
        <w:rPr>
          <w:rFonts w:hint="eastAsia" w:ascii="宋体" w:hAnsi="宋体" w:eastAsia="宋体" w:cs="宋体"/>
          <w:color w:val="auto"/>
          <w:sz w:val="21"/>
          <w:szCs w:val="21"/>
          <w:highlight w:val="none"/>
          <w:lang w:eastAsia="zh-CN"/>
        </w:rPr>
        <w:t>无损检测由发包人直接委托，施工承包商负责</w:t>
      </w:r>
      <w:r>
        <w:rPr>
          <w:rFonts w:hint="eastAsia" w:ascii="宋体" w:hAnsi="宋体" w:eastAsia="宋体" w:cs="宋体"/>
          <w:color w:val="auto"/>
          <w:sz w:val="21"/>
          <w:szCs w:val="21"/>
          <w:highlight w:val="none"/>
        </w:rPr>
        <w:t>配合无损检测及配合</w:t>
      </w:r>
      <w:r>
        <w:rPr>
          <w:rFonts w:hint="eastAsia" w:ascii="宋体" w:hAnsi="宋体" w:eastAsia="宋体" w:cs="宋体"/>
          <w:color w:val="auto"/>
          <w:sz w:val="21"/>
          <w:szCs w:val="21"/>
          <w:highlight w:val="none"/>
          <w:lang w:eastAsia="zh-CN"/>
        </w:rPr>
        <w:t>发包人</w:t>
      </w:r>
      <w:r>
        <w:rPr>
          <w:rFonts w:hint="eastAsia" w:ascii="宋体" w:hAnsi="宋体" w:eastAsia="宋体" w:cs="宋体"/>
          <w:color w:val="auto"/>
          <w:sz w:val="21"/>
          <w:szCs w:val="21"/>
          <w:highlight w:val="none"/>
        </w:rPr>
        <w:t>第三方检测所需的脚手架搭设</w:t>
      </w:r>
      <w:r>
        <w:rPr>
          <w:rFonts w:hint="eastAsia" w:ascii="宋体" w:hAnsi="宋体" w:eastAsia="宋体" w:cs="宋体"/>
          <w:color w:val="auto"/>
          <w:sz w:val="21"/>
          <w:szCs w:val="21"/>
          <w:highlight w:val="none"/>
          <w:lang w:eastAsia="zh-CN"/>
        </w:rPr>
        <w:t>、打磨、照明。</w:t>
      </w:r>
    </w:p>
    <w:p>
      <w:pPr>
        <w:spacing w:line="360" w:lineRule="auto"/>
        <w:rPr>
          <w:rFonts w:ascii="宋体" w:hAnsi="宋体" w:eastAsia="宋体" w:cs="宋体"/>
          <w:color w:val="auto"/>
          <w:kern w:val="0"/>
          <w:sz w:val="24"/>
          <w:szCs w:val="24"/>
        </w:rPr>
      </w:pPr>
    </w:p>
    <w:bookmarkEnd w:id="2"/>
    <w:sectPr>
      <w:head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Sim Sun+ 2">
    <w:altName w:val="宋体"/>
    <w:panose1 w:val="00000000000000000000"/>
    <w:charset w:val="86"/>
    <w:family w:val="swiss"/>
    <w:pitch w:val="default"/>
    <w:sig w:usb0="00000000" w:usb1="00000000" w:usb2="00000010" w:usb3="00000000" w:csb0="00040000" w:csb1="00000000"/>
  </w:font>
  <w:font w:name="Arial Unicode MS">
    <w:panose1 w:val="020B0604020202020204"/>
    <w:charset w:val="86"/>
    <w:family w:val="roman"/>
    <w:pitch w:val="default"/>
    <w:sig w:usb0="FFFFFFFF" w:usb1="E9FFFFFF" w:usb2="0000003F" w:usb3="00000000" w:csb0="603F01FF" w:csb1="FFFF0000"/>
  </w:font>
  <w:font w:name="华文宋体">
    <w:panose1 w:val="02010600040101010101"/>
    <w:charset w:val="86"/>
    <w:family w:val="auto"/>
    <w:pitch w:val="default"/>
    <w:sig w:usb0="00000287" w:usb1="080F0000" w:usb2="00000000" w:usb3="00000000" w:csb0="0004009F" w:csb1="DFD70000"/>
  </w:font>
  <w:font w:name="仿宋体">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Bdr>
        <w:bottom w:val="none" w:color="auto" w:sz="0" w:space="1"/>
      </w:pBdr>
      <w:rPr>
        <w:rFonts w:hint="eastAsia" w:eastAsiaTheme="minor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364D1F"/>
    <w:multiLevelType w:val="multilevel"/>
    <w:tmpl w:val="42364D1F"/>
    <w:lvl w:ilvl="0" w:tentative="0">
      <w:start w:val="1"/>
      <w:numFmt w:val="decimal"/>
      <w:pStyle w:val="2"/>
      <w:isLgl/>
      <w:lvlText w:val="%1."/>
      <w:lvlJc w:val="left"/>
      <w:pPr>
        <w:tabs>
          <w:tab w:val="left" w:pos="340"/>
        </w:tabs>
        <w:ind w:left="340" w:hanging="340"/>
      </w:pPr>
      <w:rPr>
        <w:rFonts w:hint="eastAsia"/>
      </w:rPr>
    </w:lvl>
    <w:lvl w:ilvl="1" w:tentative="0">
      <w:start w:val="1"/>
      <w:numFmt w:val="decimal"/>
      <w:pStyle w:val="3"/>
      <w:isLgl/>
      <w:lvlText w:val="%1.%2"/>
      <w:lvlJc w:val="left"/>
      <w:pPr>
        <w:tabs>
          <w:tab w:val="left" w:pos="511"/>
        </w:tabs>
        <w:ind w:left="511" w:hanging="227"/>
      </w:pPr>
      <w:rPr>
        <w:rFonts w:hint="default"/>
        <w:sz w:val="24"/>
        <w:szCs w:val="24"/>
      </w:rPr>
    </w:lvl>
    <w:lvl w:ilvl="2" w:tentative="0">
      <w:start w:val="1"/>
      <w:numFmt w:val="decimal"/>
      <w:lvlText w:val="%1.%2.%3"/>
      <w:lvlJc w:val="left"/>
      <w:pPr>
        <w:tabs>
          <w:tab w:val="left" w:pos="738"/>
        </w:tabs>
        <w:ind w:left="738" w:hanging="738"/>
      </w:pPr>
      <w:rPr>
        <w:rFonts w:hint="default" w:ascii="Arial" w:hAnsi="Arial" w:cs="Arial"/>
        <w:b w:val="0"/>
        <w:dstrike w:val="0"/>
        <w:sz w:val="22"/>
        <w:szCs w:val="22"/>
        <w:lang w:val="en-US"/>
      </w:rPr>
    </w:lvl>
    <w:lvl w:ilvl="3" w:tentative="0">
      <w:start w:val="1"/>
      <w:numFmt w:val="decimal"/>
      <w:lvlText w:val="%1.%2.%3.%4"/>
      <w:lvlJc w:val="left"/>
      <w:pPr>
        <w:tabs>
          <w:tab w:val="left" w:pos="1764"/>
        </w:tabs>
        <w:ind w:left="1254" w:hanging="624"/>
      </w:pPr>
      <w:rPr>
        <w:rFonts w:hint="default" w:ascii="Arial" w:hAnsi="Arial" w:eastAsia="宋体" w:cs="Arial"/>
        <w:b w:val="0"/>
        <w:color w:val="auto"/>
        <w:sz w:val="22"/>
        <w:szCs w:val="22"/>
      </w:rPr>
    </w:lvl>
    <w:lvl w:ilvl="4" w:tentative="0">
      <w:start w:val="1"/>
      <w:numFmt w:val="decimal"/>
      <w:lvlText w:val="%1.%2.%3.%4.%5"/>
      <w:lvlJc w:val="left"/>
      <w:pPr>
        <w:tabs>
          <w:tab w:val="left" w:pos="3909"/>
        </w:tabs>
        <w:ind w:left="3909" w:hanging="1080"/>
      </w:pPr>
      <w:rPr>
        <w:rFonts w:hint="default"/>
      </w:rPr>
    </w:lvl>
    <w:lvl w:ilvl="5" w:tentative="0">
      <w:start w:val="1"/>
      <w:numFmt w:val="decimal"/>
      <w:lvlText w:val="%1.%2.%3.%4.%5.%6"/>
      <w:lvlJc w:val="left"/>
      <w:pPr>
        <w:tabs>
          <w:tab w:val="left" w:pos="4629"/>
        </w:tabs>
        <w:ind w:left="4629" w:hanging="1080"/>
      </w:pPr>
      <w:rPr>
        <w:rFonts w:hint="default"/>
      </w:rPr>
    </w:lvl>
    <w:lvl w:ilvl="6" w:tentative="0">
      <w:start w:val="1"/>
      <w:numFmt w:val="decimal"/>
      <w:lvlText w:val="%1.%2.%3.%4.%5.%6.%7"/>
      <w:lvlJc w:val="left"/>
      <w:pPr>
        <w:tabs>
          <w:tab w:val="left" w:pos="5709"/>
        </w:tabs>
        <w:ind w:left="5709" w:hanging="1440"/>
      </w:pPr>
      <w:rPr>
        <w:rFonts w:hint="default"/>
      </w:rPr>
    </w:lvl>
    <w:lvl w:ilvl="7" w:tentative="0">
      <w:start w:val="1"/>
      <w:numFmt w:val="decimal"/>
      <w:lvlText w:val="%1.%2.%3.%4.%5.%6.%7.%8"/>
      <w:lvlJc w:val="left"/>
      <w:pPr>
        <w:tabs>
          <w:tab w:val="left" w:pos="6429"/>
        </w:tabs>
        <w:ind w:left="6429" w:hanging="1440"/>
      </w:pPr>
      <w:rPr>
        <w:rFonts w:hint="default"/>
      </w:rPr>
    </w:lvl>
    <w:lvl w:ilvl="8" w:tentative="0">
      <w:start w:val="1"/>
      <w:numFmt w:val="decimal"/>
      <w:lvlText w:val="%1.%2.%3.%4.%5.%6.%7.%8.%9"/>
      <w:lvlJc w:val="left"/>
      <w:pPr>
        <w:tabs>
          <w:tab w:val="left" w:pos="7149"/>
        </w:tabs>
        <w:ind w:left="7149" w:hanging="1440"/>
      </w:pPr>
      <w:rPr>
        <w:rFonts w:hint="default"/>
      </w:rPr>
    </w:lvl>
  </w:abstractNum>
  <w:abstractNum w:abstractNumId="1">
    <w:nsid w:val="519D2C5A"/>
    <w:multiLevelType w:val="multilevel"/>
    <w:tmpl w:val="519D2C5A"/>
    <w:lvl w:ilvl="0" w:tentative="0">
      <w:start w:val="1"/>
      <w:numFmt w:val="bullet"/>
      <w:pStyle w:val="23"/>
      <w:lvlText w:val=""/>
      <w:lvlJc w:val="left"/>
      <w:pPr>
        <w:tabs>
          <w:tab w:val="left" w:pos="680"/>
        </w:tabs>
        <w:ind w:left="680" w:hanging="396"/>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6C345436"/>
    <w:multiLevelType w:val="multilevel"/>
    <w:tmpl w:val="6C345436"/>
    <w:lvl w:ilvl="0" w:tentative="0">
      <w:start w:val="5"/>
      <w:numFmt w:val="decimal"/>
      <w:isLgl/>
      <w:lvlText w:val="%1."/>
      <w:lvlJc w:val="left"/>
      <w:pPr>
        <w:tabs>
          <w:tab w:val="left" w:pos="425"/>
        </w:tabs>
        <w:ind w:left="425" w:hanging="425"/>
      </w:pPr>
      <w:rPr>
        <w:rFonts w:hint="default" w:ascii="Times New Roman" w:hAnsi="Times New Roman" w:eastAsia="华文宋体"/>
        <w:b/>
        <w:i w:val="0"/>
        <w:sz w:val="28"/>
        <w:szCs w:val="28"/>
      </w:rPr>
    </w:lvl>
    <w:lvl w:ilvl="1" w:tentative="0">
      <w:start w:val="1"/>
      <w:numFmt w:val="decimal"/>
      <w:pStyle w:val="176"/>
      <w:lvlText w:val="%1.%2."/>
      <w:lvlJc w:val="left"/>
      <w:pPr>
        <w:tabs>
          <w:tab w:val="left" w:pos="567"/>
        </w:tabs>
        <w:ind w:left="567" w:hanging="567"/>
      </w:pPr>
      <w:rPr>
        <w:rFonts w:hint="eastAsia"/>
        <w:b/>
        <w:i w:val="0"/>
      </w:rPr>
    </w:lvl>
    <w:lvl w:ilvl="2" w:tentative="0">
      <w:start w:val="1"/>
      <w:numFmt w:val="decimal"/>
      <w:pStyle w:val="177"/>
      <w:lvlText w:val="%1.%2.%3."/>
      <w:lvlJc w:val="left"/>
      <w:pPr>
        <w:tabs>
          <w:tab w:val="left" w:pos="709"/>
        </w:tabs>
        <w:ind w:left="709" w:hanging="709"/>
      </w:pPr>
      <w:rPr>
        <w:rFonts w:hint="eastAsia"/>
        <w:b/>
        <w:i w:val="0"/>
      </w:rPr>
    </w:lvl>
    <w:lvl w:ilvl="3" w:tentative="0">
      <w:start w:val="1"/>
      <w:numFmt w:val="decimal"/>
      <w:lvlText w:val="%1.%2.%3.%4."/>
      <w:lvlJc w:val="left"/>
      <w:pPr>
        <w:tabs>
          <w:tab w:val="left" w:pos="851"/>
        </w:tabs>
        <w:ind w:left="851" w:hanging="851"/>
      </w:pPr>
      <w:rPr>
        <w:rFonts w:hint="eastAsia"/>
        <w:b w:val="0"/>
        <w:i w:val="0"/>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F04"/>
    <w:rsid w:val="00001B4F"/>
    <w:rsid w:val="00005571"/>
    <w:rsid w:val="00020E21"/>
    <w:rsid w:val="00022DE8"/>
    <w:rsid w:val="00027D8D"/>
    <w:rsid w:val="00042B3E"/>
    <w:rsid w:val="00042BE7"/>
    <w:rsid w:val="000517EF"/>
    <w:rsid w:val="000712AC"/>
    <w:rsid w:val="0008519E"/>
    <w:rsid w:val="00086639"/>
    <w:rsid w:val="00090EFC"/>
    <w:rsid w:val="00093B52"/>
    <w:rsid w:val="000A26EE"/>
    <w:rsid w:val="000B3475"/>
    <w:rsid w:val="000C2577"/>
    <w:rsid w:val="000D4D10"/>
    <w:rsid w:val="000D5E51"/>
    <w:rsid w:val="000F63F6"/>
    <w:rsid w:val="000F75E3"/>
    <w:rsid w:val="00103EA5"/>
    <w:rsid w:val="00104BD3"/>
    <w:rsid w:val="0010681A"/>
    <w:rsid w:val="00107DE1"/>
    <w:rsid w:val="0013217E"/>
    <w:rsid w:val="0013543B"/>
    <w:rsid w:val="001457E6"/>
    <w:rsid w:val="001470B7"/>
    <w:rsid w:val="001600CC"/>
    <w:rsid w:val="00160B84"/>
    <w:rsid w:val="0016469A"/>
    <w:rsid w:val="00164FD3"/>
    <w:rsid w:val="00167FDB"/>
    <w:rsid w:val="00182F7E"/>
    <w:rsid w:val="0018542A"/>
    <w:rsid w:val="00193A13"/>
    <w:rsid w:val="001C5F30"/>
    <w:rsid w:val="001D1227"/>
    <w:rsid w:val="001D5E64"/>
    <w:rsid w:val="001E22B5"/>
    <w:rsid w:val="001F1221"/>
    <w:rsid w:val="001F2D13"/>
    <w:rsid w:val="00202F8C"/>
    <w:rsid w:val="00204319"/>
    <w:rsid w:val="002100D5"/>
    <w:rsid w:val="00215356"/>
    <w:rsid w:val="002212BC"/>
    <w:rsid w:val="00222AF3"/>
    <w:rsid w:val="0022534F"/>
    <w:rsid w:val="002269D7"/>
    <w:rsid w:val="00247DB9"/>
    <w:rsid w:val="002553D7"/>
    <w:rsid w:val="002560DA"/>
    <w:rsid w:val="00271A64"/>
    <w:rsid w:val="002766EC"/>
    <w:rsid w:val="00277F0C"/>
    <w:rsid w:val="002825A3"/>
    <w:rsid w:val="00282A8A"/>
    <w:rsid w:val="00283152"/>
    <w:rsid w:val="00285767"/>
    <w:rsid w:val="00290345"/>
    <w:rsid w:val="00291760"/>
    <w:rsid w:val="00292149"/>
    <w:rsid w:val="002A2C3F"/>
    <w:rsid w:val="002A6FA2"/>
    <w:rsid w:val="002B4A6A"/>
    <w:rsid w:val="002B5E49"/>
    <w:rsid w:val="002C0FD9"/>
    <w:rsid w:val="002C1264"/>
    <w:rsid w:val="002C548F"/>
    <w:rsid w:val="002E4977"/>
    <w:rsid w:val="002F5876"/>
    <w:rsid w:val="003139C5"/>
    <w:rsid w:val="00321AF6"/>
    <w:rsid w:val="003437F5"/>
    <w:rsid w:val="0034540D"/>
    <w:rsid w:val="00354EA4"/>
    <w:rsid w:val="00356270"/>
    <w:rsid w:val="003619DD"/>
    <w:rsid w:val="00362583"/>
    <w:rsid w:val="003820F1"/>
    <w:rsid w:val="00383C13"/>
    <w:rsid w:val="00384912"/>
    <w:rsid w:val="003872FE"/>
    <w:rsid w:val="00391D45"/>
    <w:rsid w:val="003A3152"/>
    <w:rsid w:val="003A7358"/>
    <w:rsid w:val="003C1492"/>
    <w:rsid w:val="003C1E27"/>
    <w:rsid w:val="003C59C1"/>
    <w:rsid w:val="003C6F12"/>
    <w:rsid w:val="003C770C"/>
    <w:rsid w:val="003D4C8D"/>
    <w:rsid w:val="00400A5F"/>
    <w:rsid w:val="004109B1"/>
    <w:rsid w:val="0041382E"/>
    <w:rsid w:val="00413A36"/>
    <w:rsid w:val="00416742"/>
    <w:rsid w:val="00421BE2"/>
    <w:rsid w:val="00426018"/>
    <w:rsid w:val="004314EC"/>
    <w:rsid w:val="004407B2"/>
    <w:rsid w:val="00443D72"/>
    <w:rsid w:val="00443E14"/>
    <w:rsid w:val="00446FBE"/>
    <w:rsid w:val="00455BAA"/>
    <w:rsid w:val="00481489"/>
    <w:rsid w:val="0048198B"/>
    <w:rsid w:val="004824BE"/>
    <w:rsid w:val="00483C80"/>
    <w:rsid w:val="004947C5"/>
    <w:rsid w:val="004A1182"/>
    <w:rsid w:val="004A27CE"/>
    <w:rsid w:val="004A4C0C"/>
    <w:rsid w:val="004A5DA9"/>
    <w:rsid w:val="004B3158"/>
    <w:rsid w:val="004B41F2"/>
    <w:rsid w:val="004B496D"/>
    <w:rsid w:val="004B59A0"/>
    <w:rsid w:val="004C2122"/>
    <w:rsid w:val="004C3E2E"/>
    <w:rsid w:val="004C4FF6"/>
    <w:rsid w:val="004D1ED3"/>
    <w:rsid w:val="004D316F"/>
    <w:rsid w:val="004D776C"/>
    <w:rsid w:val="004D7FFA"/>
    <w:rsid w:val="004E20D5"/>
    <w:rsid w:val="00503D50"/>
    <w:rsid w:val="00504433"/>
    <w:rsid w:val="005116E4"/>
    <w:rsid w:val="00514B0C"/>
    <w:rsid w:val="0051574A"/>
    <w:rsid w:val="00536768"/>
    <w:rsid w:val="0053720F"/>
    <w:rsid w:val="00542949"/>
    <w:rsid w:val="0055104B"/>
    <w:rsid w:val="005517FB"/>
    <w:rsid w:val="00551FBF"/>
    <w:rsid w:val="00561DE4"/>
    <w:rsid w:val="005626E6"/>
    <w:rsid w:val="0059145B"/>
    <w:rsid w:val="00594046"/>
    <w:rsid w:val="005A04EB"/>
    <w:rsid w:val="005A16F6"/>
    <w:rsid w:val="005A2D1D"/>
    <w:rsid w:val="005B000A"/>
    <w:rsid w:val="005B314B"/>
    <w:rsid w:val="005B49C8"/>
    <w:rsid w:val="005C2E0E"/>
    <w:rsid w:val="005C5C8F"/>
    <w:rsid w:val="005C6A12"/>
    <w:rsid w:val="005D1F41"/>
    <w:rsid w:val="005D7CB4"/>
    <w:rsid w:val="005E1F81"/>
    <w:rsid w:val="00617612"/>
    <w:rsid w:val="00623118"/>
    <w:rsid w:val="00626CAE"/>
    <w:rsid w:val="006400ED"/>
    <w:rsid w:val="006632C5"/>
    <w:rsid w:val="006645B5"/>
    <w:rsid w:val="00672591"/>
    <w:rsid w:val="006750C6"/>
    <w:rsid w:val="00681C5E"/>
    <w:rsid w:val="006852DF"/>
    <w:rsid w:val="00687F35"/>
    <w:rsid w:val="00690516"/>
    <w:rsid w:val="006A2C12"/>
    <w:rsid w:val="006A5F5D"/>
    <w:rsid w:val="006A6E48"/>
    <w:rsid w:val="006B7F89"/>
    <w:rsid w:val="006C044B"/>
    <w:rsid w:val="006C1ADD"/>
    <w:rsid w:val="006C67EB"/>
    <w:rsid w:val="006D04C9"/>
    <w:rsid w:val="006D7B69"/>
    <w:rsid w:val="006E6190"/>
    <w:rsid w:val="006F4515"/>
    <w:rsid w:val="006F6A9A"/>
    <w:rsid w:val="006F71A4"/>
    <w:rsid w:val="00704951"/>
    <w:rsid w:val="007103FF"/>
    <w:rsid w:val="00725893"/>
    <w:rsid w:val="0072601F"/>
    <w:rsid w:val="00726B2B"/>
    <w:rsid w:val="0074076F"/>
    <w:rsid w:val="007551B6"/>
    <w:rsid w:val="0075588C"/>
    <w:rsid w:val="0076217E"/>
    <w:rsid w:val="00762FB3"/>
    <w:rsid w:val="0076568B"/>
    <w:rsid w:val="00774680"/>
    <w:rsid w:val="00780899"/>
    <w:rsid w:val="00786452"/>
    <w:rsid w:val="00793055"/>
    <w:rsid w:val="007B2146"/>
    <w:rsid w:val="007C7314"/>
    <w:rsid w:val="007D1AA1"/>
    <w:rsid w:val="007D4866"/>
    <w:rsid w:val="007E4476"/>
    <w:rsid w:val="007E64B4"/>
    <w:rsid w:val="007F043F"/>
    <w:rsid w:val="007F057F"/>
    <w:rsid w:val="00801807"/>
    <w:rsid w:val="00802C3D"/>
    <w:rsid w:val="008045E9"/>
    <w:rsid w:val="00811D37"/>
    <w:rsid w:val="008175AB"/>
    <w:rsid w:val="0083215B"/>
    <w:rsid w:val="0085140A"/>
    <w:rsid w:val="008710C3"/>
    <w:rsid w:val="00872F7D"/>
    <w:rsid w:val="00873E0F"/>
    <w:rsid w:val="00884F1E"/>
    <w:rsid w:val="008A28E6"/>
    <w:rsid w:val="008B03CA"/>
    <w:rsid w:val="008B0590"/>
    <w:rsid w:val="008B6966"/>
    <w:rsid w:val="008B732E"/>
    <w:rsid w:val="008B7DA1"/>
    <w:rsid w:val="008C7F26"/>
    <w:rsid w:val="008D0B80"/>
    <w:rsid w:val="008D3BDF"/>
    <w:rsid w:val="008D5746"/>
    <w:rsid w:val="008E3852"/>
    <w:rsid w:val="008E514E"/>
    <w:rsid w:val="008F585C"/>
    <w:rsid w:val="00905C82"/>
    <w:rsid w:val="00910F04"/>
    <w:rsid w:val="009145A3"/>
    <w:rsid w:val="00920E08"/>
    <w:rsid w:val="00921307"/>
    <w:rsid w:val="00921C71"/>
    <w:rsid w:val="00924B6E"/>
    <w:rsid w:val="0094531B"/>
    <w:rsid w:val="00963CFE"/>
    <w:rsid w:val="00965B95"/>
    <w:rsid w:val="009758B9"/>
    <w:rsid w:val="00977E83"/>
    <w:rsid w:val="00984E96"/>
    <w:rsid w:val="00984F23"/>
    <w:rsid w:val="009873FE"/>
    <w:rsid w:val="009901C5"/>
    <w:rsid w:val="0099196F"/>
    <w:rsid w:val="009A00E6"/>
    <w:rsid w:val="009A48FA"/>
    <w:rsid w:val="009B311A"/>
    <w:rsid w:val="009B7135"/>
    <w:rsid w:val="009C3AAC"/>
    <w:rsid w:val="009E0F1E"/>
    <w:rsid w:val="009E409B"/>
    <w:rsid w:val="009F1070"/>
    <w:rsid w:val="00A020CB"/>
    <w:rsid w:val="00A073D3"/>
    <w:rsid w:val="00A10B67"/>
    <w:rsid w:val="00A209BA"/>
    <w:rsid w:val="00A214FE"/>
    <w:rsid w:val="00A252BE"/>
    <w:rsid w:val="00A26742"/>
    <w:rsid w:val="00A27096"/>
    <w:rsid w:val="00A36DEF"/>
    <w:rsid w:val="00A5570D"/>
    <w:rsid w:val="00A75E2A"/>
    <w:rsid w:val="00A75E2E"/>
    <w:rsid w:val="00A75EC4"/>
    <w:rsid w:val="00A927C7"/>
    <w:rsid w:val="00A94DDF"/>
    <w:rsid w:val="00AA1290"/>
    <w:rsid w:val="00AB18EE"/>
    <w:rsid w:val="00AB3342"/>
    <w:rsid w:val="00AB4E24"/>
    <w:rsid w:val="00AB67AF"/>
    <w:rsid w:val="00AB6C2F"/>
    <w:rsid w:val="00AD0958"/>
    <w:rsid w:val="00AD233B"/>
    <w:rsid w:val="00AD297F"/>
    <w:rsid w:val="00AD410B"/>
    <w:rsid w:val="00AD7235"/>
    <w:rsid w:val="00AD7AE4"/>
    <w:rsid w:val="00AE38D8"/>
    <w:rsid w:val="00AE532B"/>
    <w:rsid w:val="00AF0025"/>
    <w:rsid w:val="00AF5A79"/>
    <w:rsid w:val="00B072DE"/>
    <w:rsid w:val="00B117A4"/>
    <w:rsid w:val="00B1389E"/>
    <w:rsid w:val="00B17948"/>
    <w:rsid w:val="00B24E2E"/>
    <w:rsid w:val="00B2693A"/>
    <w:rsid w:val="00B32C37"/>
    <w:rsid w:val="00B41049"/>
    <w:rsid w:val="00B435B8"/>
    <w:rsid w:val="00B47787"/>
    <w:rsid w:val="00B637AE"/>
    <w:rsid w:val="00B71ACA"/>
    <w:rsid w:val="00B7268E"/>
    <w:rsid w:val="00B77AEE"/>
    <w:rsid w:val="00B8075A"/>
    <w:rsid w:val="00B826BF"/>
    <w:rsid w:val="00B84792"/>
    <w:rsid w:val="00B92F03"/>
    <w:rsid w:val="00BA450C"/>
    <w:rsid w:val="00BB5173"/>
    <w:rsid w:val="00BB5C5A"/>
    <w:rsid w:val="00BC4FBE"/>
    <w:rsid w:val="00BC5FF7"/>
    <w:rsid w:val="00BD5445"/>
    <w:rsid w:val="00BE674D"/>
    <w:rsid w:val="00BE714D"/>
    <w:rsid w:val="00BF724C"/>
    <w:rsid w:val="00C07A73"/>
    <w:rsid w:val="00C108B3"/>
    <w:rsid w:val="00C14AFA"/>
    <w:rsid w:val="00C168EA"/>
    <w:rsid w:val="00C22181"/>
    <w:rsid w:val="00C22330"/>
    <w:rsid w:val="00C325A0"/>
    <w:rsid w:val="00C35229"/>
    <w:rsid w:val="00C43597"/>
    <w:rsid w:val="00C56B57"/>
    <w:rsid w:val="00C66432"/>
    <w:rsid w:val="00C73677"/>
    <w:rsid w:val="00C814CF"/>
    <w:rsid w:val="00C853FF"/>
    <w:rsid w:val="00C970B0"/>
    <w:rsid w:val="00CC150B"/>
    <w:rsid w:val="00CC2B1E"/>
    <w:rsid w:val="00CC6A1E"/>
    <w:rsid w:val="00CD1816"/>
    <w:rsid w:val="00CD2006"/>
    <w:rsid w:val="00CD3846"/>
    <w:rsid w:val="00CD5587"/>
    <w:rsid w:val="00CE1AA8"/>
    <w:rsid w:val="00CE4B39"/>
    <w:rsid w:val="00CF33F1"/>
    <w:rsid w:val="00D0539B"/>
    <w:rsid w:val="00D11FFA"/>
    <w:rsid w:val="00D13F2B"/>
    <w:rsid w:val="00D26AA7"/>
    <w:rsid w:val="00D53490"/>
    <w:rsid w:val="00D57CA2"/>
    <w:rsid w:val="00D60F50"/>
    <w:rsid w:val="00D64076"/>
    <w:rsid w:val="00D65DC2"/>
    <w:rsid w:val="00D77B3A"/>
    <w:rsid w:val="00D822B0"/>
    <w:rsid w:val="00D8434E"/>
    <w:rsid w:val="00D86A1A"/>
    <w:rsid w:val="00D91637"/>
    <w:rsid w:val="00D9321A"/>
    <w:rsid w:val="00D93FC5"/>
    <w:rsid w:val="00DA1710"/>
    <w:rsid w:val="00DA24E5"/>
    <w:rsid w:val="00DA4A46"/>
    <w:rsid w:val="00DB32DA"/>
    <w:rsid w:val="00DC5E7B"/>
    <w:rsid w:val="00DD03CA"/>
    <w:rsid w:val="00DD5205"/>
    <w:rsid w:val="00DE0B0E"/>
    <w:rsid w:val="00DE5537"/>
    <w:rsid w:val="00DF24E1"/>
    <w:rsid w:val="00E0354E"/>
    <w:rsid w:val="00E03CCD"/>
    <w:rsid w:val="00E06827"/>
    <w:rsid w:val="00E13EFA"/>
    <w:rsid w:val="00E325EE"/>
    <w:rsid w:val="00E42C2E"/>
    <w:rsid w:val="00E446EC"/>
    <w:rsid w:val="00E458B2"/>
    <w:rsid w:val="00E62C62"/>
    <w:rsid w:val="00E63DD0"/>
    <w:rsid w:val="00E70727"/>
    <w:rsid w:val="00E70C52"/>
    <w:rsid w:val="00E74168"/>
    <w:rsid w:val="00E80268"/>
    <w:rsid w:val="00E82443"/>
    <w:rsid w:val="00EA1F27"/>
    <w:rsid w:val="00EA25E0"/>
    <w:rsid w:val="00EA79C7"/>
    <w:rsid w:val="00EB51A5"/>
    <w:rsid w:val="00ED20EA"/>
    <w:rsid w:val="00ED555A"/>
    <w:rsid w:val="00ED75C7"/>
    <w:rsid w:val="00EE6420"/>
    <w:rsid w:val="00EE7EAE"/>
    <w:rsid w:val="00F0120D"/>
    <w:rsid w:val="00F15641"/>
    <w:rsid w:val="00F35941"/>
    <w:rsid w:val="00F41B93"/>
    <w:rsid w:val="00F42748"/>
    <w:rsid w:val="00F4484C"/>
    <w:rsid w:val="00F60EF1"/>
    <w:rsid w:val="00F668E7"/>
    <w:rsid w:val="00F709DF"/>
    <w:rsid w:val="00F72013"/>
    <w:rsid w:val="00F73D3C"/>
    <w:rsid w:val="00F90249"/>
    <w:rsid w:val="00F9312F"/>
    <w:rsid w:val="00F940B0"/>
    <w:rsid w:val="00F96260"/>
    <w:rsid w:val="00FB252D"/>
    <w:rsid w:val="00FD2D47"/>
    <w:rsid w:val="00FD2F3C"/>
    <w:rsid w:val="00FD55A3"/>
    <w:rsid w:val="00FE11D8"/>
    <w:rsid w:val="00FE1E9D"/>
    <w:rsid w:val="00FF244F"/>
    <w:rsid w:val="00FF2FAB"/>
    <w:rsid w:val="00FF7DEE"/>
    <w:rsid w:val="03606C90"/>
    <w:rsid w:val="03A04F08"/>
    <w:rsid w:val="07255A09"/>
    <w:rsid w:val="090A24CA"/>
    <w:rsid w:val="090B4B40"/>
    <w:rsid w:val="09ED2210"/>
    <w:rsid w:val="0B7B21F9"/>
    <w:rsid w:val="0D9006F7"/>
    <w:rsid w:val="0EBD5288"/>
    <w:rsid w:val="0F256094"/>
    <w:rsid w:val="0F5A003D"/>
    <w:rsid w:val="0F69586F"/>
    <w:rsid w:val="10655132"/>
    <w:rsid w:val="10FB1B9C"/>
    <w:rsid w:val="12C4608C"/>
    <w:rsid w:val="13AE0BB6"/>
    <w:rsid w:val="15A8221D"/>
    <w:rsid w:val="1663528F"/>
    <w:rsid w:val="1676136C"/>
    <w:rsid w:val="16ED791B"/>
    <w:rsid w:val="17B43D57"/>
    <w:rsid w:val="188F4DF2"/>
    <w:rsid w:val="189239DE"/>
    <w:rsid w:val="195370FA"/>
    <w:rsid w:val="19550DBD"/>
    <w:rsid w:val="1AF56563"/>
    <w:rsid w:val="1BD92B12"/>
    <w:rsid w:val="1C821393"/>
    <w:rsid w:val="1CD73F26"/>
    <w:rsid w:val="1DA00818"/>
    <w:rsid w:val="1E0739D0"/>
    <w:rsid w:val="1FCA47F1"/>
    <w:rsid w:val="20AE1FE7"/>
    <w:rsid w:val="211C3A86"/>
    <w:rsid w:val="22686EB5"/>
    <w:rsid w:val="22A936D8"/>
    <w:rsid w:val="23D60BD7"/>
    <w:rsid w:val="253300DD"/>
    <w:rsid w:val="253411AB"/>
    <w:rsid w:val="25DF7019"/>
    <w:rsid w:val="263804C7"/>
    <w:rsid w:val="27F84FBE"/>
    <w:rsid w:val="280B2969"/>
    <w:rsid w:val="29B616C2"/>
    <w:rsid w:val="29F86B25"/>
    <w:rsid w:val="2A2F2764"/>
    <w:rsid w:val="2A3C498C"/>
    <w:rsid w:val="2F374658"/>
    <w:rsid w:val="345C532F"/>
    <w:rsid w:val="34B8627E"/>
    <w:rsid w:val="36C21E83"/>
    <w:rsid w:val="380F72DC"/>
    <w:rsid w:val="381515E6"/>
    <w:rsid w:val="38874905"/>
    <w:rsid w:val="3A055F24"/>
    <w:rsid w:val="3ABC1A55"/>
    <w:rsid w:val="3BB37167"/>
    <w:rsid w:val="3C56157E"/>
    <w:rsid w:val="3C9549F7"/>
    <w:rsid w:val="3C9A524A"/>
    <w:rsid w:val="3D3E24B1"/>
    <w:rsid w:val="3E1B00D0"/>
    <w:rsid w:val="3E3B5161"/>
    <w:rsid w:val="40F429BC"/>
    <w:rsid w:val="41DB6339"/>
    <w:rsid w:val="42CC25EE"/>
    <w:rsid w:val="43691B6E"/>
    <w:rsid w:val="459718E2"/>
    <w:rsid w:val="45A053CD"/>
    <w:rsid w:val="46053055"/>
    <w:rsid w:val="49872CA5"/>
    <w:rsid w:val="4A995A39"/>
    <w:rsid w:val="4B770F47"/>
    <w:rsid w:val="4BAC5F15"/>
    <w:rsid w:val="4C0D7083"/>
    <w:rsid w:val="4D3D735B"/>
    <w:rsid w:val="4E9A5C44"/>
    <w:rsid w:val="4EB83ED0"/>
    <w:rsid w:val="51903BAA"/>
    <w:rsid w:val="52F736D1"/>
    <w:rsid w:val="536668DA"/>
    <w:rsid w:val="53902CC8"/>
    <w:rsid w:val="545502C4"/>
    <w:rsid w:val="548A62CC"/>
    <w:rsid w:val="5532541A"/>
    <w:rsid w:val="5568660D"/>
    <w:rsid w:val="57F04E89"/>
    <w:rsid w:val="59BC49F6"/>
    <w:rsid w:val="5C0B3DB0"/>
    <w:rsid w:val="5C5B1ABA"/>
    <w:rsid w:val="5D9404C0"/>
    <w:rsid w:val="60180B0D"/>
    <w:rsid w:val="603F3413"/>
    <w:rsid w:val="61606B91"/>
    <w:rsid w:val="61AA7FFB"/>
    <w:rsid w:val="61C86202"/>
    <w:rsid w:val="62781E4A"/>
    <w:rsid w:val="643E3DA8"/>
    <w:rsid w:val="64577962"/>
    <w:rsid w:val="64B9368F"/>
    <w:rsid w:val="65B07D27"/>
    <w:rsid w:val="65D8121B"/>
    <w:rsid w:val="67364519"/>
    <w:rsid w:val="67426FB8"/>
    <w:rsid w:val="685651C4"/>
    <w:rsid w:val="6BE00F79"/>
    <w:rsid w:val="6BEC26F4"/>
    <w:rsid w:val="6CAF5F40"/>
    <w:rsid w:val="6CDB5EFA"/>
    <w:rsid w:val="6D3F6112"/>
    <w:rsid w:val="6D6A0D25"/>
    <w:rsid w:val="6D9A0824"/>
    <w:rsid w:val="6DC86FC1"/>
    <w:rsid w:val="6E7970E7"/>
    <w:rsid w:val="6E927DB8"/>
    <w:rsid w:val="6EFF2516"/>
    <w:rsid w:val="6F801DC4"/>
    <w:rsid w:val="70363A64"/>
    <w:rsid w:val="70E1763C"/>
    <w:rsid w:val="71B2417B"/>
    <w:rsid w:val="7250760F"/>
    <w:rsid w:val="755039F6"/>
    <w:rsid w:val="76D65FB2"/>
    <w:rsid w:val="77895D66"/>
    <w:rsid w:val="78602916"/>
    <w:rsid w:val="7C1E5C2D"/>
    <w:rsid w:val="7CA74B74"/>
    <w:rsid w:val="7CC03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7"/>
    <w:qFormat/>
    <w:uiPriority w:val="0"/>
    <w:pPr>
      <w:keepNext/>
      <w:widowControl/>
      <w:numPr>
        <w:ilvl w:val="0"/>
        <w:numId w:val="1"/>
      </w:numPr>
      <w:spacing w:before="240" w:after="240" w:line="288" w:lineRule="auto"/>
      <w:outlineLvl w:val="0"/>
    </w:pPr>
    <w:rPr>
      <w:rFonts w:ascii="Arial" w:hAnsi="Arial" w:eastAsia="宋体" w:cs="Times New Roman"/>
      <w:b/>
      <w:caps/>
      <w:kern w:val="28"/>
      <w:sz w:val="24"/>
      <w:szCs w:val="24"/>
    </w:rPr>
  </w:style>
  <w:style w:type="paragraph" w:styleId="3">
    <w:name w:val="heading 2"/>
    <w:basedOn w:val="1"/>
    <w:next w:val="1"/>
    <w:link w:val="48"/>
    <w:qFormat/>
    <w:uiPriority w:val="0"/>
    <w:pPr>
      <w:keepNext/>
      <w:numPr>
        <w:ilvl w:val="1"/>
        <w:numId w:val="1"/>
      </w:numPr>
      <w:spacing w:before="120" w:after="120" w:line="288" w:lineRule="auto"/>
      <w:outlineLvl w:val="1"/>
    </w:pPr>
    <w:rPr>
      <w:rFonts w:ascii="Arial" w:hAnsi="Arial" w:eastAsia="宋体" w:cs="Times New Roman"/>
      <w:b/>
      <w:kern w:val="0"/>
      <w:szCs w:val="24"/>
    </w:rPr>
  </w:style>
  <w:style w:type="paragraph" w:styleId="4">
    <w:name w:val="heading 3"/>
    <w:basedOn w:val="1"/>
    <w:next w:val="5"/>
    <w:link w:val="50"/>
    <w:qFormat/>
    <w:uiPriority w:val="9"/>
    <w:pPr>
      <w:keepNext/>
      <w:keepLines/>
      <w:tabs>
        <w:tab w:val="left" w:pos="720"/>
      </w:tabs>
      <w:spacing w:line="300" w:lineRule="auto"/>
      <w:ind w:left="720" w:hanging="720"/>
      <w:outlineLvl w:val="2"/>
    </w:pPr>
    <w:rPr>
      <w:rFonts w:asciiTheme="majorHAnsi" w:hAnsiTheme="majorHAnsi" w:eastAsiaTheme="majorEastAsia" w:cstheme="majorBidi"/>
      <w:b/>
      <w:bCs/>
      <w:sz w:val="28"/>
      <w:szCs w:val="28"/>
    </w:rPr>
  </w:style>
  <w:style w:type="paragraph" w:styleId="5">
    <w:name w:val="heading 4"/>
    <w:basedOn w:val="1"/>
    <w:next w:val="1"/>
    <w:link w:val="49"/>
    <w:qFormat/>
    <w:uiPriority w:val="9"/>
    <w:pPr>
      <w:keepNext/>
      <w:keepLines/>
      <w:tabs>
        <w:tab w:val="left" w:pos="864"/>
      </w:tabs>
      <w:spacing w:line="460" w:lineRule="exact"/>
      <w:ind w:left="864" w:hanging="864"/>
      <w:outlineLvl w:val="3"/>
    </w:pPr>
    <w:rPr>
      <w:rFonts w:ascii="宋体" w:hAnsi="Arial" w:eastAsia="宋体" w:cs="Times New Roman"/>
      <w:bCs/>
      <w:sz w:val="24"/>
      <w:szCs w:val="24"/>
    </w:rPr>
  </w:style>
  <w:style w:type="paragraph" w:styleId="6">
    <w:name w:val="heading 5"/>
    <w:basedOn w:val="1"/>
    <w:next w:val="1"/>
    <w:link w:val="51"/>
    <w:qFormat/>
    <w:uiPriority w:val="9"/>
    <w:pPr>
      <w:keepNext/>
      <w:keepLines/>
      <w:tabs>
        <w:tab w:val="left" w:pos="1008"/>
      </w:tabs>
      <w:spacing w:before="280" w:after="290" w:line="376" w:lineRule="auto"/>
      <w:ind w:left="1008" w:hanging="1008"/>
      <w:outlineLvl w:val="4"/>
    </w:pPr>
    <w:rPr>
      <w:rFonts w:ascii="Times New Roman" w:hAnsi="Times New Roman" w:eastAsia="宋体" w:cs="Times New Roman"/>
      <w:bCs/>
      <w:sz w:val="24"/>
      <w:szCs w:val="24"/>
    </w:rPr>
  </w:style>
  <w:style w:type="paragraph" w:styleId="7">
    <w:name w:val="heading 6"/>
    <w:basedOn w:val="1"/>
    <w:next w:val="1"/>
    <w:link w:val="52"/>
    <w:qFormat/>
    <w:uiPriority w:val="9"/>
    <w:pPr>
      <w:keepNext/>
      <w:keepLines/>
      <w:tabs>
        <w:tab w:val="left" w:pos="1152"/>
      </w:tabs>
      <w:spacing w:before="240" w:after="64" w:line="320" w:lineRule="auto"/>
      <w:ind w:left="1152" w:hanging="1152"/>
      <w:outlineLvl w:val="5"/>
    </w:pPr>
    <w:rPr>
      <w:rFonts w:ascii="Arial" w:hAnsi="Arial" w:eastAsia="黑体" w:cs="Times New Roman"/>
      <w:b/>
      <w:bCs/>
      <w:sz w:val="24"/>
      <w:szCs w:val="24"/>
    </w:rPr>
  </w:style>
  <w:style w:type="paragraph" w:styleId="8">
    <w:name w:val="heading 7"/>
    <w:basedOn w:val="1"/>
    <w:next w:val="1"/>
    <w:link w:val="53"/>
    <w:qFormat/>
    <w:uiPriority w:val="0"/>
    <w:pPr>
      <w:keepNext/>
      <w:keepLines/>
      <w:tabs>
        <w:tab w:val="left" w:pos="1296"/>
      </w:tabs>
      <w:spacing w:before="240" w:after="64" w:line="320" w:lineRule="auto"/>
      <w:ind w:left="1296" w:hanging="1296"/>
      <w:outlineLvl w:val="6"/>
    </w:pPr>
    <w:rPr>
      <w:rFonts w:ascii="Times New Roman" w:hAnsi="Times New Roman" w:eastAsia="宋体" w:cs="Times New Roman"/>
      <w:b/>
      <w:bCs/>
      <w:sz w:val="24"/>
      <w:szCs w:val="24"/>
    </w:rPr>
  </w:style>
  <w:style w:type="paragraph" w:styleId="9">
    <w:name w:val="heading 8"/>
    <w:basedOn w:val="1"/>
    <w:next w:val="1"/>
    <w:link w:val="54"/>
    <w:qFormat/>
    <w:uiPriority w:val="0"/>
    <w:pPr>
      <w:keepNext/>
      <w:keepLines/>
      <w:tabs>
        <w:tab w:val="left" w:pos="1440"/>
      </w:tabs>
      <w:spacing w:before="240" w:after="64" w:line="320" w:lineRule="auto"/>
      <w:ind w:left="1440" w:hanging="1440"/>
      <w:outlineLvl w:val="7"/>
    </w:pPr>
    <w:rPr>
      <w:rFonts w:ascii="Arial" w:hAnsi="Arial" w:eastAsia="黑体" w:cs="Times New Roman"/>
      <w:sz w:val="24"/>
      <w:szCs w:val="24"/>
    </w:rPr>
  </w:style>
  <w:style w:type="paragraph" w:styleId="10">
    <w:name w:val="heading 9"/>
    <w:basedOn w:val="1"/>
    <w:next w:val="1"/>
    <w:link w:val="55"/>
    <w:qFormat/>
    <w:uiPriority w:val="0"/>
    <w:pPr>
      <w:keepNext/>
      <w:keepLines/>
      <w:tabs>
        <w:tab w:val="left" w:pos="1584"/>
      </w:tabs>
      <w:spacing w:before="240" w:after="64" w:line="320" w:lineRule="auto"/>
      <w:ind w:left="1584" w:hanging="1584"/>
      <w:outlineLvl w:val="8"/>
    </w:pPr>
    <w:rPr>
      <w:rFonts w:ascii="Arial" w:hAnsi="Arial" w:eastAsia="黑体" w:cs="Times New Roman"/>
      <w:szCs w:val="21"/>
    </w:rPr>
  </w:style>
  <w:style w:type="character" w:default="1" w:styleId="39">
    <w:name w:val="Default Paragraph Font"/>
    <w:unhideWhenUsed/>
    <w:qFormat/>
    <w:uiPriority w:val="1"/>
  </w:style>
  <w:style w:type="table" w:default="1" w:styleId="45">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11">
    <w:name w:val="annotation subject"/>
    <w:basedOn w:val="12"/>
    <w:next w:val="12"/>
    <w:link w:val="170"/>
    <w:semiHidden/>
    <w:qFormat/>
    <w:uiPriority w:val="99"/>
    <w:rPr>
      <w:b/>
      <w:bCs/>
    </w:rPr>
  </w:style>
  <w:style w:type="paragraph" w:styleId="12">
    <w:name w:val="annotation text"/>
    <w:basedOn w:val="1"/>
    <w:link w:val="169"/>
    <w:semiHidden/>
    <w:qFormat/>
    <w:uiPriority w:val="99"/>
    <w:pPr>
      <w:jc w:val="left"/>
    </w:pPr>
    <w:rPr>
      <w:rFonts w:ascii="Times New Roman" w:hAnsi="Times New Roman" w:eastAsia="宋体" w:cs="Times New Roman"/>
      <w:szCs w:val="24"/>
    </w:rPr>
  </w:style>
  <w:style w:type="paragraph" w:styleId="13">
    <w:name w:val="Body Text First Indent"/>
    <w:basedOn w:val="14"/>
    <w:link w:val="63"/>
    <w:qFormat/>
    <w:uiPriority w:val="0"/>
    <w:pPr>
      <w:spacing w:after="0" w:line="440" w:lineRule="exact"/>
      <w:ind w:firstLine="204" w:firstLineChars="204"/>
    </w:pPr>
    <w:rPr>
      <w:sz w:val="24"/>
    </w:rPr>
  </w:style>
  <w:style w:type="paragraph" w:styleId="14">
    <w:name w:val="Body Text"/>
    <w:basedOn w:val="1"/>
    <w:link w:val="62"/>
    <w:qFormat/>
    <w:uiPriority w:val="0"/>
    <w:pPr>
      <w:spacing w:after="120"/>
    </w:pPr>
    <w:rPr>
      <w:rFonts w:ascii="Times New Roman" w:hAnsi="Times New Roman" w:eastAsia="宋体" w:cs="Times New Roman"/>
      <w:szCs w:val="24"/>
    </w:rPr>
  </w:style>
  <w:style w:type="paragraph" w:styleId="15">
    <w:name w:val="List Bullet 4"/>
    <w:basedOn w:val="1"/>
    <w:qFormat/>
    <w:uiPriority w:val="0"/>
    <w:pPr>
      <w:tabs>
        <w:tab w:val="left" w:pos="1209"/>
      </w:tabs>
      <w:ind w:left="1209" w:hanging="360"/>
    </w:pPr>
    <w:rPr>
      <w:rFonts w:ascii="Times New Roman" w:hAnsi="Times New Roman" w:eastAsia="宋体" w:cs="Times New Roman"/>
      <w:szCs w:val="24"/>
    </w:rPr>
  </w:style>
  <w:style w:type="paragraph" w:styleId="16">
    <w:name w:val="List Number"/>
    <w:basedOn w:val="1"/>
    <w:qFormat/>
    <w:uiPriority w:val="0"/>
    <w:pPr>
      <w:tabs>
        <w:tab w:val="left" w:pos="964"/>
      </w:tabs>
      <w:spacing w:before="240" w:line="240" w:lineRule="atLeast"/>
      <w:ind w:left="964" w:hanging="482"/>
      <w:jc w:val="left"/>
    </w:pPr>
    <w:rPr>
      <w:rFonts w:ascii="Arial" w:hAnsi="Arial" w:eastAsia="宋体" w:cs="Times New Roman"/>
      <w:sz w:val="24"/>
      <w:szCs w:val="20"/>
    </w:rPr>
  </w:style>
  <w:style w:type="paragraph" w:styleId="17">
    <w:name w:val="Normal Indent"/>
    <w:basedOn w:val="1"/>
    <w:qFormat/>
    <w:uiPriority w:val="0"/>
    <w:pPr>
      <w:ind w:firstLine="420" w:firstLineChars="200"/>
    </w:pPr>
    <w:rPr>
      <w:rFonts w:ascii="Times New Roman" w:hAnsi="Times New Roman" w:eastAsia="宋体" w:cs="Times New Roman"/>
      <w:szCs w:val="24"/>
    </w:rPr>
  </w:style>
  <w:style w:type="paragraph" w:styleId="18">
    <w:name w:val="List Bullet"/>
    <w:basedOn w:val="1"/>
    <w:qFormat/>
    <w:uiPriority w:val="0"/>
    <w:pPr>
      <w:tabs>
        <w:tab w:val="left" w:pos="360"/>
      </w:tabs>
      <w:ind w:left="360" w:hanging="360"/>
    </w:pPr>
    <w:rPr>
      <w:rFonts w:ascii="Times New Roman" w:hAnsi="Times New Roman" w:eastAsia="宋体" w:cs="Times New Roman"/>
      <w:szCs w:val="24"/>
    </w:rPr>
  </w:style>
  <w:style w:type="paragraph" w:styleId="19">
    <w:name w:val="Document Map"/>
    <w:basedOn w:val="1"/>
    <w:link w:val="60"/>
    <w:unhideWhenUsed/>
    <w:qFormat/>
    <w:uiPriority w:val="99"/>
    <w:rPr>
      <w:rFonts w:ascii="宋体" w:eastAsia="宋体"/>
      <w:sz w:val="18"/>
      <w:szCs w:val="18"/>
    </w:rPr>
  </w:style>
  <w:style w:type="paragraph" w:styleId="20">
    <w:name w:val="List Bullet 3"/>
    <w:basedOn w:val="1"/>
    <w:qFormat/>
    <w:uiPriority w:val="0"/>
    <w:pPr>
      <w:tabs>
        <w:tab w:val="left" w:pos="1200"/>
      </w:tabs>
      <w:ind w:left="1200" w:leftChars="400" w:hanging="360" w:hangingChars="200"/>
    </w:pPr>
    <w:rPr>
      <w:rFonts w:ascii="Times New Roman" w:hAnsi="Times New Roman" w:eastAsia="宋体" w:cs="Times New Roman"/>
      <w:szCs w:val="20"/>
    </w:rPr>
  </w:style>
  <w:style w:type="paragraph" w:styleId="21">
    <w:name w:val="Body Text Indent"/>
    <w:basedOn w:val="1"/>
    <w:link w:val="75"/>
    <w:qFormat/>
    <w:uiPriority w:val="0"/>
    <w:pPr>
      <w:ind w:firstLine="560"/>
    </w:pPr>
    <w:rPr>
      <w:rFonts w:ascii="宋体" w:hAnsi="Times New Roman" w:eastAsia="宋体" w:cs="Times New Roman"/>
      <w:sz w:val="28"/>
      <w:szCs w:val="20"/>
    </w:rPr>
  </w:style>
  <w:style w:type="paragraph" w:styleId="22">
    <w:name w:val="Block Text"/>
    <w:basedOn w:val="1"/>
    <w:qFormat/>
    <w:uiPriority w:val="0"/>
    <w:pPr>
      <w:adjustRightInd w:val="0"/>
      <w:spacing w:line="420" w:lineRule="exact"/>
      <w:ind w:left="145" w:right="-5"/>
      <w:textAlignment w:val="baseline"/>
    </w:pPr>
    <w:rPr>
      <w:rFonts w:ascii="宋体" w:hAnsi="宋体" w:eastAsia="宋体" w:cs="Times New Roman"/>
      <w:caps/>
      <w:kern w:val="0"/>
      <w:sz w:val="24"/>
      <w:szCs w:val="28"/>
    </w:rPr>
  </w:style>
  <w:style w:type="paragraph" w:styleId="23">
    <w:name w:val="List Bullet 2"/>
    <w:basedOn w:val="1"/>
    <w:qFormat/>
    <w:uiPriority w:val="0"/>
    <w:pPr>
      <w:numPr>
        <w:ilvl w:val="0"/>
        <w:numId w:val="2"/>
      </w:numPr>
      <w:tabs>
        <w:tab w:val="left" w:pos="688"/>
        <w:tab w:val="clear" w:pos="680"/>
      </w:tabs>
      <w:spacing w:line="440" w:lineRule="exact"/>
    </w:pPr>
    <w:rPr>
      <w:rFonts w:ascii="Times New Roman" w:hAnsi="Times New Roman" w:eastAsia="宋体" w:cs="Times New Roman"/>
      <w:sz w:val="24"/>
      <w:szCs w:val="24"/>
    </w:rPr>
  </w:style>
  <w:style w:type="paragraph" w:styleId="24">
    <w:name w:val="toc 3"/>
    <w:basedOn w:val="1"/>
    <w:next w:val="1"/>
    <w:semiHidden/>
    <w:qFormat/>
    <w:uiPriority w:val="0"/>
    <w:pPr>
      <w:ind w:left="400" w:leftChars="400"/>
    </w:pPr>
    <w:rPr>
      <w:rFonts w:ascii="Times New Roman" w:hAnsi="Times New Roman" w:eastAsia="宋体" w:cs="Times New Roman"/>
      <w:szCs w:val="24"/>
    </w:rPr>
  </w:style>
  <w:style w:type="paragraph" w:styleId="25">
    <w:name w:val="Plain Text"/>
    <w:basedOn w:val="1"/>
    <w:link w:val="73"/>
    <w:qFormat/>
    <w:uiPriority w:val="0"/>
    <w:rPr>
      <w:rFonts w:ascii="宋体" w:hAnsi="Courier New" w:eastAsia="宋体" w:cs="Times New Roman"/>
      <w:sz w:val="28"/>
      <w:szCs w:val="20"/>
    </w:rPr>
  </w:style>
  <w:style w:type="paragraph" w:styleId="26">
    <w:name w:val="Date"/>
    <w:basedOn w:val="1"/>
    <w:next w:val="1"/>
    <w:link w:val="88"/>
    <w:qFormat/>
    <w:uiPriority w:val="0"/>
    <w:rPr>
      <w:rFonts w:ascii="宋体" w:hAnsi="Times New Roman" w:eastAsia="宋体" w:cs="Times New Roman"/>
      <w:sz w:val="28"/>
      <w:szCs w:val="20"/>
    </w:rPr>
  </w:style>
  <w:style w:type="paragraph" w:styleId="27">
    <w:name w:val="Body Text Indent 2"/>
    <w:basedOn w:val="1"/>
    <w:link w:val="89"/>
    <w:qFormat/>
    <w:uiPriority w:val="0"/>
    <w:pPr>
      <w:spacing w:line="440" w:lineRule="atLeast"/>
      <w:ind w:firstLine="480" w:firstLineChars="200"/>
    </w:pPr>
    <w:rPr>
      <w:rFonts w:ascii="宋体" w:hAnsi="宋体" w:eastAsia="宋体" w:cs="Times New Roman"/>
      <w:sz w:val="24"/>
      <w:szCs w:val="24"/>
    </w:rPr>
  </w:style>
  <w:style w:type="paragraph" w:styleId="28">
    <w:name w:val="Balloon Text"/>
    <w:basedOn w:val="1"/>
    <w:link w:val="59"/>
    <w:unhideWhenUsed/>
    <w:qFormat/>
    <w:uiPriority w:val="0"/>
    <w:rPr>
      <w:sz w:val="18"/>
      <w:szCs w:val="18"/>
    </w:rPr>
  </w:style>
  <w:style w:type="paragraph" w:styleId="29">
    <w:name w:val="footer"/>
    <w:basedOn w:val="1"/>
    <w:link w:val="58"/>
    <w:unhideWhenUsed/>
    <w:qFormat/>
    <w:uiPriority w:val="0"/>
    <w:pPr>
      <w:tabs>
        <w:tab w:val="center" w:pos="4153"/>
        <w:tab w:val="right" w:pos="8306"/>
      </w:tabs>
      <w:snapToGrid w:val="0"/>
      <w:jc w:val="left"/>
    </w:pPr>
    <w:rPr>
      <w:sz w:val="18"/>
      <w:szCs w:val="18"/>
    </w:rPr>
  </w:style>
  <w:style w:type="paragraph" w:styleId="30">
    <w:name w:val="header"/>
    <w:basedOn w:val="1"/>
    <w:link w:val="57"/>
    <w:unhideWhenUsed/>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semiHidden/>
    <w:qFormat/>
    <w:uiPriority w:val="0"/>
    <w:pPr>
      <w:tabs>
        <w:tab w:val="right" w:leader="middleDot" w:pos="8372"/>
      </w:tabs>
      <w:spacing w:before="120" w:after="120" w:line="440" w:lineRule="exact"/>
      <w:jc w:val="left"/>
      <w:outlineLvl w:val="0"/>
    </w:pPr>
    <w:rPr>
      <w:rFonts w:ascii="Times New Roman" w:hAnsi="Times New Roman" w:eastAsia="宋体" w:cs="Times New Roman"/>
      <w:bCs/>
      <w:caps/>
      <w:szCs w:val="21"/>
    </w:rPr>
  </w:style>
  <w:style w:type="paragraph" w:styleId="32">
    <w:name w:val="List"/>
    <w:basedOn w:val="1"/>
    <w:qFormat/>
    <w:uiPriority w:val="0"/>
    <w:pPr>
      <w:tabs>
        <w:tab w:val="left" w:pos="567"/>
        <w:tab w:val="left" w:pos="720"/>
      </w:tabs>
      <w:snapToGrid w:val="0"/>
      <w:ind w:left="680" w:hanging="680"/>
    </w:pPr>
    <w:rPr>
      <w:rFonts w:ascii="Times New Roman" w:hAnsi="Times New Roman" w:eastAsia="宋体" w:cs="Times New Roman"/>
      <w:sz w:val="28"/>
      <w:szCs w:val="20"/>
    </w:rPr>
  </w:style>
  <w:style w:type="paragraph" w:styleId="33">
    <w:name w:val="Body Text Indent 3"/>
    <w:basedOn w:val="1"/>
    <w:link w:val="74"/>
    <w:qFormat/>
    <w:uiPriority w:val="0"/>
    <w:pPr>
      <w:spacing w:line="500" w:lineRule="exact"/>
      <w:ind w:firstLine="582"/>
    </w:pPr>
    <w:rPr>
      <w:rFonts w:ascii="宋体" w:hAnsi="Times New Roman" w:eastAsia="宋体" w:cs="Times New Roman"/>
      <w:sz w:val="28"/>
      <w:szCs w:val="20"/>
    </w:rPr>
  </w:style>
  <w:style w:type="paragraph" w:styleId="34">
    <w:name w:val="toc 2"/>
    <w:basedOn w:val="1"/>
    <w:next w:val="1"/>
    <w:semiHidden/>
    <w:qFormat/>
    <w:uiPriority w:val="0"/>
    <w:pPr>
      <w:tabs>
        <w:tab w:val="left" w:pos="859"/>
        <w:tab w:val="right" w:leader="dot" w:pos="8777"/>
      </w:tabs>
      <w:ind w:left="210"/>
      <w:jc w:val="left"/>
    </w:pPr>
    <w:rPr>
      <w:rFonts w:ascii="Times New Roman" w:hAnsi="Times New Roman" w:eastAsia="宋体" w:cs="Times New Roman"/>
      <w:smallCaps/>
      <w:szCs w:val="21"/>
    </w:rPr>
  </w:style>
  <w:style w:type="paragraph" w:styleId="35">
    <w:name w:val="Body Text 2"/>
    <w:basedOn w:val="1"/>
    <w:link w:val="95"/>
    <w:qFormat/>
    <w:uiPriority w:val="0"/>
    <w:pPr>
      <w:spacing w:line="360" w:lineRule="auto"/>
    </w:pPr>
    <w:rPr>
      <w:rFonts w:ascii="Times New Roman" w:hAnsi="Times New Roman" w:eastAsia="宋体" w:cs="Times New Roman"/>
      <w:sz w:val="24"/>
      <w:szCs w:val="24"/>
    </w:rPr>
  </w:style>
  <w:style w:type="paragraph" w:styleId="36">
    <w:name w:val="HTML Preformatted"/>
    <w:basedOn w:val="1"/>
    <w:link w:val="179"/>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37">
    <w:name w:val="Normal (Web)"/>
    <w:basedOn w:val="1"/>
    <w:qFormat/>
    <w:uiPriority w:val="99"/>
    <w:pPr>
      <w:widowControl/>
      <w:spacing w:before="100" w:beforeAutospacing="1" w:after="100" w:afterAutospacing="1"/>
      <w:jc w:val="left"/>
    </w:pPr>
    <w:rPr>
      <w:rFonts w:ascii="宋体" w:hAnsi="宋体" w:eastAsia="宋体" w:cs="Times New Roman"/>
      <w:kern w:val="0"/>
      <w:sz w:val="24"/>
      <w:szCs w:val="24"/>
    </w:rPr>
  </w:style>
  <w:style w:type="paragraph" w:styleId="38">
    <w:name w:val="Title"/>
    <w:basedOn w:val="1"/>
    <w:link w:val="102"/>
    <w:qFormat/>
    <w:uiPriority w:val="0"/>
    <w:pPr>
      <w:spacing w:before="240" w:after="60"/>
      <w:jc w:val="center"/>
      <w:outlineLvl w:val="0"/>
    </w:pPr>
    <w:rPr>
      <w:rFonts w:ascii="Arial" w:hAnsi="Arial" w:eastAsia="宋体" w:cs="Arial"/>
      <w:b/>
      <w:bCs/>
      <w:sz w:val="32"/>
      <w:szCs w:val="32"/>
    </w:rPr>
  </w:style>
  <w:style w:type="character" w:styleId="40">
    <w:name w:val="page number"/>
    <w:basedOn w:val="39"/>
    <w:qFormat/>
    <w:uiPriority w:val="0"/>
  </w:style>
  <w:style w:type="character" w:styleId="41">
    <w:name w:val="FollowedHyperlink"/>
    <w:basedOn w:val="39"/>
    <w:qFormat/>
    <w:uiPriority w:val="0"/>
    <w:rPr>
      <w:color w:val="800080"/>
      <w:u w:val="single"/>
    </w:rPr>
  </w:style>
  <w:style w:type="character" w:styleId="42">
    <w:name w:val="Emphasis"/>
    <w:basedOn w:val="39"/>
    <w:qFormat/>
    <w:uiPriority w:val="20"/>
    <w:rPr>
      <w:color w:val="CC0033"/>
    </w:rPr>
  </w:style>
  <w:style w:type="character" w:styleId="43">
    <w:name w:val="Hyperlink"/>
    <w:basedOn w:val="39"/>
    <w:qFormat/>
    <w:uiPriority w:val="0"/>
    <w:rPr>
      <w:color w:val="0000FF"/>
      <w:u w:val="single"/>
    </w:rPr>
  </w:style>
  <w:style w:type="character" w:styleId="44">
    <w:name w:val="annotation reference"/>
    <w:basedOn w:val="39"/>
    <w:semiHidden/>
    <w:qFormat/>
    <w:uiPriority w:val="99"/>
    <w:rPr>
      <w:sz w:val="21"/>
      <w:szCs w:val="21"/>
    </w:rPr>
  </w:style>
  <w:style w:type="table" w:styleId="46">
    <w:name w:val="Table Grid"/>
    <w:basedOn w:val="45"/>
    <w:qFormat/>
    <w:uiPriority w:val="0"/>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47">
    <w:name w:val="标题 1 Char"/>
    <w:basedOn w:val="39"/>
    <w:link w:val="2"/>
    <w:qFormat/>
    <w:uiPriority w:val="0"/>
    <w:rPr>
      <w:rFonts w:ascii="Arial" w:hAnsi="Arial" w:eastAsia="宋体" w:cs="Times New Roman"/>
      <w:b/>
      <w:caps/>
      <w:kern w:val="28"/>
      <w:sz w:val="24"/>
      <w:szCs w:val="24"/>
    </w:rPr>
  </w:style>
  <w:style w:type="character" w:customStyle="1" w:styleId="48">
    <w:name w:val="标题 2 Char"/>
    <w:basedOn w:val="39"/>
    <w:link w:val="3"/>
    <w:qFormat/>
    <w:uiPriority w:val="0"/>
    <w:rPr>
      <w:rFonts w:ascii="Arial" w:hAnsi="Arial" w:eastAsia="宋体" w:cs="Times New Roman"/>
      <w:b/>
      <w:kern w:val="0"/>
      <w:szCs w:val="24"/>
    </w:rPr>
  </w:style>
  <w:style w:type="character" w:customStyle="1" w:styleId="49">
    <w:name w:val="标题 4 Char"/>
    <w:basedOn w:val="39"/>
    <w:link w:val="5"/>
    <w:qFormat/>
    <w:uiPriority w:val="9"/>
    <w:rPr>
      <w:rFonts w:ascii="宋体" w:hAnsi="Arial" w:eastAsia="宋体" w:cs="Times New Roman"/>
      <w:bCs/>
      <w:sz w:val="24"/>
      <w:szCs w:val="24"/>
    </w:rPr>
  </w:style>
  <w:style w:type="character" w:customStyle="1" w:styleId="50">
    <w:name w:val="标题 3 Char"/>
    <w:basedOn w:val="39"/>
    <w:link w:val="4"/>
    <w:qFormat/>
    <w:uiPriority w:val="9"/>
    <w:rPr>
      <w:rFonts w:asciiTheme="majorHAnsi" w:hAnsiTheme="majorHAnsi" w:eastAsiaTheme="majorEastAsia" w:cstheme="majorBidi"/>
      <w:b/>
      <w:bCs/>
      <w:sz w:val="28"/>
      <w:szCs w:val="28"/>
    </w:rPr>
  </w:style>
  <w:style w:type="character" w:customStyle="1" w:styleId="51">
    <w:name w:val="标题 5 Char"/>
    <w:basedOn w:val="39"/>
    <w:link w:val="6"/>
    <w:qFormat/>
    <w:uiPriority w:val="9"/>
    <w:rPr>
      <w:rFonts w:ascii="Times New Roman" w:hAnsi="Times New Roman" w:eastAsia="宋体" w:cs="Times New Roman"/>
      <w:bCs/>
      <w:sz w:val="24"/>
      <w:szCs w:val="24"/>
    </w:rPr>
  </w:style>
  <w:style w:type="character" w:customStyle="1" w:styleId="52">
    <w:name w:val="标题 6 Char"/>
    <w:basedOn w:val="39"/>
    <w:link w:val="7"/>
    <w:qFormat/>
    <w:uiPriority w:val="9"/>
    <w:rPr>
      <w:rFonts w:ascii="Arial" w:hAnsi="Arial" w:eastAsia="黑体" w:cs="Times New Roman"/>
      <w:b/>
      <w:bCs/>
      <w:sz w:val="24"/>
      <w:szCs w:val="24"/>
    </w:rPr>
  </w:style>
  <w:style w:type="character" w:customStyle="1" w:styleId="53">
    <w:name w:val="标题 7 Char"/>
    <w:basedOn w:val="39"/>
    <w:link w:val="8"/>
    <w:qFormat/>
    <w:uiPriority w:val="0"/>
    <w:rPr>
      <w:rFonts w:ascii="Times New Roman" w:hAnsi="Times New Roman" w:eastAsia="宋体" w:cs="Times New Roman"/>
      <w:b/>
      <w:bCs/>
      <w:sz w:val="24"/>
      <w:szCs w:val="24"/>
    </w:rPr>
  </w:style>
  <w:style w:type="character" w:customStyle="1" w:styleId="54">
    <w:name w:val="标题 8 Char"/>
    <w:basedOn w:val="39"/>
    <w:link w:val="9"/>
    <w:qFormat/>
    <w:uiPriority w:val="0"/>
    <w:rPr>
      <w:rFonts w:ascii="Arial" w:hAnsi="Arial" w:eastAsia="黑体" w:cs="Times New Roman"/>
      <w:sz w:val="24"/>
      <w:szCs w:val="24"/>
    </w:rPr>
  </w:style>
  <w:style w:type="character" w:customStyle="1" w:styleId="55">
    <w:name w:val="标题 9 Char"/>
    <w:basedOn w:val="39"/>
    <w:link w:val="10"/>
    <w:qFormat/>
    <w:uiPriority w:val="0"/>
    <w:rPr>
      <w:rFonts w:ascii="Arial" w:hAnsi="Arial" w:eastAsia="黑体" w:cs="Times New Roman"/>
      <w:szCs w:val="21"/>
    </w:rPr>
  </w:style>
  <w:style w:type="paragraph" w:customStyle="1" w:styleId="56">
    <w:name w:val="List Paragraph"/>
    <w:basedOn w:val="1"/>
    <w:qFormat/>
    <w:uiPriority w:val="34"/>
    <w:pPr>
      <w:ind w:firstLine="420" w:firstLineChars="200"/>
    </w:pPr>
  </w:style>
  <w:style w:type="character" w:customStyle="1" w:styleId="57">
    <w:name w:val="页眉 Char"/>
    <w:basedOn w:val="39"/>
    <w:link w:val="30"/>
    <w:qFormat/>
    <w:uiPriority w:val="99"/>
    <w:rPr>
      <w:sz w:val="18"/>
      <w:szCs w:val="18"/>
    </w:rPr>
  </w:style>
  <w:style w:type="character" w:customStyle="1" w:styleId="58">
    <w:name w:val="页脚 Char"/>
    <w:basedOn w:val="39"/>
    <w:link w:val="29"/>
    <w:qFormat/>
    <w:uiPriority w:val="0"/>
    <w:rPr>
      <w:sz w:val="18"/>
      <w:szCs w:val="18"/>
    </w:rPr>
  </w:style>
  <w:style w:type="character" w:customStyle="1" w:styleId="59">
    <w:name w:val="批注框文本 Char"/>
    <w:basedOn w:val="39"/>
    <w:link w:val="28"/>
    <w:qFormat/>
    <w:uiPriority w:val="0"/>
    <w:rPr>
      <w:sz w:val="18"/>
      <w:szCs w:val="18"/>
    </w:rPr>
  </w:style>
  <w:style w:type="character" w:customStyle="1" w:styleId="60">
    <w:name w:val="文档结构图 Char"/>
    <w:basedOn w:val="39"/>
    <w:link w:val="19"/>
    <w:semiHidden/>
    <w:qFormat/>
    <w:uiPriority w:val="99"/>
    <w:rPr>
      <w:rFonts w:ascii="宋体" w:eastAsia="宋体"/>
      <w:sz w:val="18"/>
      <w:szCs w:val="18"/>
    </w:rPr>
  </w:style>
  <w:style w:type="character" w:customStyle="1" w:styleId="61">
    <w:name w:val="标题 3 Char2"/>
    <w:basedOn w:val="39"/>
    <w:qFormat/>
    <w:uiPriority w:val="0"/>
    <w:rPr>
      <w:rFonts w:ascii="宋体" w:eastAsia="宋体"/>
      <w:bCs/>
      <w:kern w:val="2"/>
      <w:sz w:val="24"/>
      <w:szCs w:val="24"/>
      <w:lang w:val="en-US" w:eastAsia="zh-CN" w:bidi="ar-SA"/>
    </w:rPr>
  </w:style>
  <w:style w:type="character" w:customStyle="1" w:styleId="62">
    <w:name w:val="正文文本 Char"/>
    <w:basedOn w:val="39"/>
    <w:link w:val="14"/>
    <w:qFormat/>
    <w:uiPriority w:val="0"/>
    <w:rPr>
      <w:rFonts w:ascii="Times New Roman" w:hAnsi="Times New Roman" w:eastAsia="宋体" w:cs="Times New Roman"/>
      <w:szCs w:val="24"/>
    </w:rPr>
  </w:style>
  <w:style w:type="character" w:customStyle="1" w:styleId="63">
    <w:name w:val="正文首行缩进 Char"/>
    <w:basedOn w:val="62"/>
    <w:link w:val="13"/>
    <w:qFormat/>
    <w:uiPriority w:val="0"/>
    <w:rPr>
      <w:rFonts w:ascii="Times New Roman" w:hAnsi="Times New Roman" w:eastAsia="宋体" w:cs="Times New Roman"/>
      <w:sz w:val="24"/>
      <w:szCs w:val="24"/>
    </w:rPr>
  </w:style>
  <w:style w:type="paragraph" w:customStyle="1" w:styleId="64">
    <w:name w:val="Bullet 2"/>
    <w:basedOn w:val="1"/>
    <w:next w:val="1"/>
    <w:qFormat/>
    <w:uiPriority w:val="0"/>
    <w:pPr>
      <w:widowControl/>
      <w:tabs>
        <w:tab w:val="left" w:pos="1440"/>
      </w:tabs>
      <w:ind w:left="2880" w:hanging="720"/>
      <w:jc w:val="left"/>
    </w:pPr>
    <w:rPr>
      <w:rFonts w:ascii="Arial" w:hAnsi="Arial" w:eastAsia="宋体" w:cs="Times New Roman"/>
      <w:kern w:val="0"/>
      <w:sz w:val="20"/>
      <w:szCs w:val="20"/>
      <w:lang w:eastAsia="en-US"/>
    </w:rPr>
  </w:style>
  <w:style w:type="paragraph" w:customStyle="1" w:styleId="65">
    <w:name w:val="Bullet 3"/>
    <w:basedOn w:val="1"/>
    <w:next w:val="1"/>
    <w:qFormat/>
    <w:uiPriority w:val="0"/>
    <w:pPr>
      <w:widowControl/>
      <w:tabs>
        <w:tab w:val="left" w:pos="1440"/>
      </w:tabs>
      <w:ind w:left="3600" w:hanging="720"/>
      <w:jc w:val="left"/>
    </w:pPr>
    <w:rPr>
      <w:rFonts w:ascii="Arial" w:hAnsi="Arial" w:eastAsia="宋体" w:cs="Times New Roman"/>
      <w:kern w:val="0"/>
      <w:sz w:val="20"/>
      <w:szCs w:val="20"/>
      <w:lang w:eastAsia="en-US"/>
    </w:rPr>
  </w:style>
  <w:style w:type="paragraph" w:customStyle="1" w:styleId="66">
    <w:name w:val="Bullet 4"/>
    <w:basedOn w:val="1"/>
    <w:next w:val="1"/>
    <w:qFormat/>
    <w:uiPriority w:val="0"/>
    <w:pPr>
      <w:widowControl/>
      <w:tabs>
        <w:tab w:val="left" w:pos="1440"/>
      </w:tabs>
      <w:ind w:left="4320" w:hanging="720"/>
      <w:jc w:val="left"/>
    </w:pPr>
    <w:rPr>
      <w:rFonts w:ascii="Arial" w:hAnsi="Arial" w:eastAsia="宋体" w:cs="Times New Roman"/>
      <w:kern w:val="0"/>
      <w:sz w:val="20"/>
      <w:szCs w:val="20"/>
      <w:lang w:eastAsia="en-US"/>
    </w:rPr>
  </w:style>
  <w:style w:type="paragraph" w:customStyle="1" w:styleId="67">
    <w:name w:val="Bullet 5"/>
    <w:basedOn w:val="1"/>
    <w:next w:val="1"/>
    <w:qFormat/>
    <w:uiPriority w:val="0"/>
    <w:pPr>
      <w:widowControl/>
      <w:tabs>
        <w:tab w:val="left" w:pos="1440"/>
      </w:tabs>
      <w:ind w:left="5041" w:hanging="720"/>
      <w:jc w:val="left"/>
    </w:pPr>
    <w:rPr>
      <w:rFonts w:ascii="Arial" w:hAnsi="Arial" w:eastAsia="宋体" w:cs="Times New Roman"/>
      <w:kern w:val="0"/>
      <w:sz w:val="20"/>
      <w:szCs w:val="20"/>
      <w:lang w:eastAsia="en-US"/>
    </w:rPr>
  </w:style>
  <w:style w:type="paragraph" w:customStyle="1" w:styleId="68">
    <w:name w:val="Bullet level 1"/>
    <w:basedOn w:val="1"/>
    <w:qFormat/>
    <w:uiPriority w:val="0"/>
    <w:pPr>
      <w:tabs>
        <w:tab w:val="left" w:pos="360"/>
      </w:tabs>
      <w:wordWrap w:val="0"/>
      <w:spacing w:before="120"/>
      <w:ind w:left="360" w:hanging="360"/>
      <w:jc w:val="left"/>
    </w:pPr>
    <w:rPr>
      <w:rFonts w:ascii="Arial" w:hAnsi="Arial" w:eastAsia="宋体" w:cs="Times New Roman"/>
      <w:sz w:val="22"/>
      <w:szCs w:val="20"/>
    </w:rPr>
  </w:style>
  <w:style w:type="paragraph" w:customStyle="1" w:styleId="69">
    <w:name w:val="表格内容"/>
    <w:basedOn w:val="1"/>
    <w:qFormat/>
    <w:uiPriority w:val="0"/>
    <w:pPr>
      <w:overflowPunct w:val="0"/>
      <w:adjustRightInd w:val="0"/>
      <w:snapToGrid w:val="0"/>
      <w:spacing w:after="120" w:line="440" w:lineRule="exact"/>
      <w:jc w:val="left"/>
      <w:textAlignment w:val="baseline"/>
    </w:pPr>
    <w:rPr>
      <w:rFonts w:ascii="Arial" w:hAnsi="Arial" w:eastAsia="楷体_GB2312" w:cs="Times New Roman"/>
      <w:kern w:val="0"/>
      <w:sz w:val="24"/>
      <w:szCs w:val="20"/>
    </w:rPr>
  </w:style>
  <w:style w:type="paragraph" w:customStyle="1" w:styleId="70">
    <w:name w:val="初设正文"/>
    <w:basedOn w:val="1"/>
    <w:qFormat/>
    <w:uiPriority w:val="0"/>
    <w:pPr>
      <w:spacing w:after="120" w:line="440" w:lineRule="exact"/>
      <w:ind w:left="425" w:firstLine="425"/>
    </w:pPr>
    <w:rPr>
      <w:rFonts w:ascii="Arial" w:hAnsi="Arial" w:eastAsia="宋体" w:cs="Times New Roman"/>
      <w:kern w:val="0"/>
      <w:sz w:val="24"/>
      <w:szCs w:val="20"/>
    </w:rPr>
  </w:style>
  <w:style w:type="paragraph" w:customStyle="1" w:styleId="71">
    <w:name w:val="样式 表格内容 + (中文) 宋体 居中"/>
    <w:basedOn w:val="69"/>
    <w:qFormat/>
    <w:uiPriority w:val="0"/>
    <w:pPr>
      <w:jc w:val="center"/>
    </w:pPr>
    <w:rPr>
      <w:rFonts w:eastAsia="宋体"/>
      <w:sz w:val="21"/>
      <w:szCs w:val="21"/>
    </w:rPr>
  </w:style>
  <w:style w:type="paragraph" w:customStyle="1" w:styleId="72">
    <w:name w:val="样式 表格内容 + 宋体"/>
    <w:basedOn w:val="69"/>
    <w:qFormat/>
    <w:uiPriority w:val="0"/>
    <w:rPr>
      <w:rFonts w:eastAsia="宋体"/>
      <w:sz w:val="21"/>
      <w:szCs w:val="21"/>
    </w:rPr>
  </w:style>
  <w:style w:type="character" w:customStyle="1" w:styleId="73">
    <w:name w:val="纯文本 Char"/>
    <w:basedOn w:val="39"/>
    <w:link w:val="25"/>
    <w:qFormat/>
    <w:uiPriority w:val="0"/>
    <w:rPr>
      <w:rFonts w:ascii="宋体" w:hAnsi="Courier New" w:eastAsia="宋体" w:cs="Times New Roman"/>
      <w:sz w:val="28"/>
      <w:szCs w:val="20"/>
    </w:rPr>
  </w:style>
  <w:style w:type="character" w:customStyle="1" w:styleId="74">
    <w:name w:val="正文文本缩进 3 Char"/>
    <w:basedOn w:val="39"/>
    <w:link w:val="33"/>
    <w:qFormat/>
    <w:uiPriority w:val="0"/>
    <w:rPr>
      <w:rFonts w:ascii="宋体" w:hAnsi="Times New Roman" w:eastAsia="宋体" w:cs="Times New Roman"/>
      <w:sz w:val="28"/>
      <w:szCs w:val="20"/>
    </w:rPr>
  </w:style>
  <w:style w:type="character" w:customStyle="1" w:styleId="75">
    <w:name w:val="正文文本缩进 Char"/>
    <w:basedOn w:val="39"/>
    <w:link w:val="21"/>
    <w:qFormat/>
    <w:uiPriority w:val="0"/>
    <w:rPr>
      <w:rFonts w:ascii="宋体" w:hAnsi="Times New Roman" w:eastAsia="宋体" w:cs="Times New Roman"/>
      <w:sz w:val="28"/>
      <w:szCs w:val="20"/>
    </w:rPr>
  </w:style>
  <w:style w:type="character" w:customStyle="1" w:styleId="76">
    <w:name w:val="列表项目符号 2 Char Char"/>
    <w:basedOn w:val="39"/>
    <w:qFormat/>
    <w:uiPriority w:val="0"/>
    <w:rPr>
      <w:rFonts w:eastAsia="宋体"/>
      <w:kern w:val="2"/>
      <w:sz w:val="24"/>
      <w:szCs w:val="24"/>
      <w:lang w:val="en-US" w:eastAsia="zh-CN" w:bidi="ar-SA"/>
    </w:rPr>
  </w:style>
  <w:style w:type="paragraph" w:customStyle="1" w:styleId="77">
    <w:name w:val="华陆正文1"/>
    <w:basedOn w:val="1"/>
    <w:qFormat/>
    <w:uiPriority w:val="0"/>
    <w:pPr>
      <w:spacing w:line="440" w:lineRule="exact"/>
      <w:ind w:firstLine="438" w:firstLineChars="200"/>
    </w:pPr>
    <w:rPr>
      <w:rFonts w:ascii="宋体" w:hAnsi="宋体" w:eastAsia="宋体" w:cs="Times New Roman"/>
      <w:snapToGrid w:val="0"/>
      <w:color w:val="000000"/>
      <w:kern w:val="0"/>
      <w:sz w:val="24"/>
      <w:szCs w:val="24"/>
    </w:rPr>
  </w:style>
  <w:style w:type="paragraph" w:customStyle="1" w:styleId="78">
    <w:name w:val="华陆表格"/>
    <w:basedOn w:val="1"/>
    <w:qFormat/>
    <w:uiPriority w:val="0"/>
    <w:pPr>
      <w:spacing w:line="360" w:lineRule="exact"/>
      <w:jc w:val="center"/>
    </w:pPr>
    <w:rPr>
      <w:rFonts w:ascii="宋体" w:hAnsi="宋体" w:eastAsia="宋体" w:cs="Times New Roman"/>
      <w:snapToGrid w:val="0"/>
      <w:kern w:val="0"/>
      <w:szCs w:val="21"/>
    </w:rPr>
  </w:style>
  <w:style w:type="paragraph" w:customStyle="1" w:styleId="79">
    <w:name w:val="日期1"/>
    <w:basedOn w:val="1"/>
    <w:next w:val="1"/>
    <w:qFormat/>
    <w:uiPriority w:val="0"/>
    <w:pPr>
      <w:adjustRightInd w:val="0"/>
      <w:spacing w:line="360" w:lineRule="atLeast"/>
      <w:textAlignment w:val="baseline"/>
    </w:pPr>
    <w:rPr>
      <w:rFonts w:ascii="宋体" w:hAnsi="Times New Roman" w:eastAsia="宋体" w:cs="Times New Roman"/>
      <w:kern w:val="0"/>
      <w:sz w:val="28"/>
      <w:szCs w:val="20"/>
    </w:rPr>
  </w:style>
  <w:style w:type="paragraph" w:customStyle="1" w:styleId="80">
    <w:name w:val="Char"/>
    <w:basedOn w:val="1"/>
    <w:qFormat/>
    <w:uiPriority w:val="0"/>
    <w:rPr>
      <w:rFonts w:ascii="Times New Roman" w:hAnsi="Times New Roman" w:eastAsia="宋体" w:cs="Times New Roman"/>
      <w:szCs w:val="24"/>
    </w:rPr>
  </w:style>
  <w:style w:type="paragraph" w:customStyle="1" w:styleId="81">
    <w:name w:val="表格"/>
    <w:qFormat/>
    <w:uiPriority w:val="0"/>
    <w:pPr>
      <w:widowControl w:val="0"/>
      <w:topLinePunct/>
      <w:spacing w:line="360" w:lineRule="exact"/>
      <w:jc w:val="center"/>
    </w:pPr>
    <w:rPr>
      <w:rFonts w:ascii="宋体" w:hAnsi="宋体" w:eastAsia="宋体" w:cs="Times New Roman"/>
      <w:kern w:val="0"/>
      <w:sz w:val="21"/>
      <w:szCs w:val="21"/>
      <w:lang w:val="en-GB" w:eastAsia="zh-CN" w:bidi="ar-SA"/>
    </w:rPr>
  </w:style>
  <w:style w:type="paragraph" w:customStyle="1" w:styleId="82">
    <w:name w:val="华陆正文"/>
    <w:basedOn w:val="1"/>
    <w:qFormat/>
    <w:uiPriority w:val="0"/>
    <w:pPr>
      <w:tabs>
        <w:tab w:val="left" w:pos="8595"/>
      </w:tabs>
      <w:spacing w:afterLines="50" w:line="400" w:lineRule="atLeast"/>
      <w:ind w:firstLine="442" w:firstLineChars="200"/>
    </w:pPr>
    <w:rPr>
      <w:rFonts w:ascii="宋体" w:hAnsi="宋体" w:eastAsia="宋体" w:cs="宋体"/>
      <w:bCs/>
      <w:color w:val="000000"/>
      <w:kern w:val="0"/>
      <w:sz w:val="24"/>
      <w:szCs w:val="28"/>
      <w:lang w:val="en-GB"/>
    </w:rPr>
  </w:style>
  <w:style w:type="character" w:customStyle="1" w:styleId="83">
    <w:name w:val="华陆正文 Char"/>
    <w:basedOn w:val="39"/>
    <w:qFormat/>
    <w:uiPriority w:val="0"/>
    <w:rPr>
      <w:rFonts w:ascii="宋体" w:hAnsi="宋体" w:eastAsia="宋体" w:cs="宋体"/>
      <w:bCs/>
      <w:color w:val="000000"/>
      <w:sz w:val="24"/>
      <w:szCs w:val="28"/>
      <w:lang w:val="en-GB" w:eastAsia="zh-CN" w:bidi="ar-SA"/>
    </w:rPr>
  </w:style>
  <w:style w:type="paragraph" w:customStyle="1" w:styleId="84">
    <w:name w:val="华陆正文 +"/>
    <w:basedOn w:val="82"/>
    <w:qFormat/>
    <w:uiPriority w:val="0"/>
    <w:pPr>
      <w:ind w:firstLine="0" w:firstLineChars="0"/>
    </w:pPr>
  </w:style>
  <w:style w:type="paragraph" w:customStyle="1" w:styleId="85">
    <w:name w:val="样式 正文（首行缩进两字） + 宋体 小四 行距: 固定值 22 磅"/>
    <w:basedOn w:val="1"/>
    <w:next w:val="1"/>
    <w:qFormat/>
    <w:uiPriority w:val="0"/>
    <w:pPr>
      <w:spacing w:line="440" w:lineRule="exact"/>
      <w:ind w:firstLine="480" w:firstLineChars="200"/>
    </w:pPr>
    <w:rPr>
      <w:rFonts w:ascii="宋体" w:hAnsi="宋体" w:eastAsia="宋体" w:cs="Times New Roman"/>
      <w:sz w:val="24"/>
      <w:szCs w:val="20"/>
    </w:rPr>
  </w:style>
  <w:style w:type="paragraph" w:customStyle="1" w:styleId="86">
    <w:name w:val="正文文本 21"/>
    <w:basedOn w:val="1"/>
    <w:qFormat/>
    <w:uiPriority w:val="0"/>
    <w:pPr>
      <w:tabs>
        <w:tab w:val="left" w:pos="567"/>
      </w:tabs>
      <w:adjustRightInd w:val="0"/>
      <w:spacing w:line="410" w:lineRule="atLeast"/>
      <w:ind w:firstLine="480"/>
      <w:textAlignment w:val="baseline"/>
    </w:pPr>
    <w:rPr>
      <w:rFonts w:ascii="宋体" w:hAnsi="Times New Roman" w:eastAsia="宋体" w:cs="Times New Roman"/>
      <w:kern w:val="0"/>
      <w:sz w:val="24"/>
      <w:szCs w:val="20"/>
    </w:rPr>
  </w:style>
  <w:style w:type="paragraph" w:customStyle="1" w:styleId="87">
    <w:name w:val="文本框"/>
    <w:qFormat/>
    <w:uiPriority w:val="0"/>
    <w:pPr>
      <w:spacing w:line="312" w:lineRule="exact"/>
      <w:jc w:val="center"/>
    </w:pPr>
    <w:rPr>
      <w:rFonts w:ascii="Times New Roman" w:hAnsi="Times New Roman" w:eastAsia="宋体" w:cs="Times New Roman"/>
      <w:kern w:val="0"/>
      <w:sz w:val="24"/>
      <w:szCs w:val="20"/>
      <w:lang w:val="en-US" w:eastAsia="zh-CN" w:bidi="ar-SA"/>
    </w:rPr>
  </w:style>
  <w:style w:type="character" w:customStyle="1" w:styleId="88">
    <w:name w:val="日期 Char"/>
    <w:basedOn w:val="39"/>
    <w:link w:val="26"/>
    <w:qFormat/>
    <w:uiPriority w:val="0"/>
    <w:rPr>
      <w:rFonts w:ascii="宋体" w:hAnsi="Times New Roman" w:eastAsia="宋体" w:cs="Times New Roman"/>
      <w:sz w:val="28"/>
      <w:szCs w:val="20"/>
    </w:rPr>
  </w:style>
  <w:style w:type="character" w:customStyle="1" w:styleId="89">
    <w:name w:val="正文文本缩进 2 Char"/>
    <w:basedOn w:val="39"/>
    <w:link w:val="27"/>
    <w:qFormat/>
    <w:uiPriority w:val="0"/>
    <w:rPr>
      <w:rFonts w:ascii="宋体" w:hAnsi="宋体" w:eastAsia="宋体" w:cs="Times New Roman"/>
      <w:sz w:val="24"/>
      <w:szCs w:val="24"/>
    </w:rPr>
  </w:style>
  <w:style w:type="paragraph" w:customStyle="1" w:styleId="90">
    <w:name w:val="表格文字"/>
    <w:next w:val="14"/>
    <w:qFormat/>
    <w:uiPriority w:val="0"/>
    <w:pPr>
      <w:jc w:val="center"/>
    </w:pPr>
    <w:rPr>
      <w:rFonts w:ascii="Times New Roman" w:hAnsi="Times New Roman" w:eastAsia="楷体_GB2312" w:cs="Times New Roman"/>
      <w:bCs/>
      <w:kern w:val="0"/>
      <w:sz w:val="24"/>
      <w:szCs w:val="20"/>
      <w:lang w:val="en-US" w:eastAsia="zh-CN" w:bidi="ar-SA"/>
    </w:rPr>
  </w:style>
  <w:style w:type="character" w:customStyle="1" w:styleId="91">
    <w:name w:val="gray_91"/>
    <w:basedOn w:val="39"/>
    <w:qFormat/>
    <w:uiPriority w:val="0"/>
    <w:rPr>
      <w:rFonts w:hint="default"/>
      <w:color w:val="666666"/>
      <w:sz w:val="18"/>
      <w:szCs w:val="18"/>
    </w:rPr>
  </w:style>
  <w:style w:type="paragraph" w:customStyle="1" w:styleId="92">
    <w:name w:val="Default"/>
    <w:qFormat/>
    <w:uiPriority w:val="0"/>
    <w:pPr>
      <w:widowControl w:val="0"/>
      <w:autoSpaceDE w:val="0"/>
      <w:autoSpaceDN w:val="0"/>
      <w:adjustRightInd w:val="0"/>
    </w:pPr>
    <w:rPr>
      <w:rFonts w:ascii="Sim Sun+ 2" w:hAnsi="Times New Roman" w:eastAsia="Sim Sun+ 2" w:cs="Sim Sun+ 2"/>
      <w:color w:val="000000"/>
      <w:kern w:val="0"/>
      <w:sz w:val="24"/>
      <w:szCs w:val="24"/>
      <w:lang w:val="en-US" w:eastAsia="zh-CN" w:bidi="ar-SA"/>
    </w:rPr>
  </w:style>
  <w:style w:type="paragraph" w:customStyle="1" w:styleId="93">
    <w:name w:val="CM10"/>
    <w:basedOn w:val="92"/>
    <w:next w:val="92"/>
    <w:qFormat/>
    <w:uiPriority w:val="0"/>
    <w:pPr>
      <w:spacing w:after="470"/>
    </w:pPr>
    <w:rPr>
      <w:color w:val="auto"/>
    </w:rPr>
  </w:style>
  <w:style w:type="paragraph" w:customStyle="1" w:styleId="94">
    <w:name w:val="CM2"/>
    <w:basedOn w:val="92"/>
    <w:next w:val="92"/>
    <w:qFormat/>
    <w:uiPriority w:val="0"/>
    <w:pPr>
      <w:spacing w:line="653" w:lineRule="atLeast"/>
    </w:pPr>
    <w:rPr>
      <w:color w:val="auto"/>
    </w:rPr>
  </w:style>
  <w:style w:type="character" w:customStyle="1" w:styleId="95">
    <w:name w:val="正文文本 2 Char"/>
    <w:basedOn w:val="39"/>
    <w:link w:val="35"/>
    <w:qFormat/>
    <w:uiPriority w:val="0"/>
    <w:rPr>
      <w:rFonts w:ascii="Times New Roman" w:hAnsi="Times New Roman" w:eastAsia="宋体" w:cs="Times New Roman"/>
      <w:sz w:val="24"/>
      <w:szCs w:val="24"/>
    </w:rPr>
  </w:style>
  <w:style w:type="paragraph" w:customStyle="1" w:styleId="96">
    <w:name w:val="样式 华陆正文 + 五号 黑色"/>
    <w:basedOn w:val="82"/>
    <w:qFormat/>
    <w:uiPriority w:val="0"/>
    <w:pPr>
      <w:ind w:firstLine="0" w:firstLineChars="0"/>
    </w:pPr>
    <w:rPr>
      <w:sz w:val="21"/>
    </w:rPr>
  </w:style>
  <w:style w:type="paragraph" w:customStyle="1" w:styleId="97">
    <w:name w:val="font5"/>
    <w:basedOn w:val="1"/>
    <w:qFormat/>
    <w:uiPriority w:val="0"/>
    <w:pPr>
      <w:widowControl/>
      <w:spacing w:before="100" w:beforeAutospacing="1" w:after="100" w:afterAutospacing="1"/>
      <w:jc w:val="left"/>
    </w:pPr>
    <w:rPr>
      <w:rFonts w:ascii="Times New Roman" w:hAnsi="Times New Roman" w:eastAsia="宋体" w:cs="Times New Roman"/>
      <w:kern w:val="0"/>
      <w:sz w:val="20"/>
      <w:szCs w:val="20"/>
    </w:rPr>
  </w:style>
  <w:style w:type="paragraph" w:customStyle="1" w:styleId="98">
    <w:name w:val="正文1"/>
    <w:basedOn w:val="1"/>
    <w:qFormat/>
    <w:uiPriority w:val="0"/>
    <w:pPr>
      <w:snapToGrid w:val="0"/>
      <w:spacing w:beforeLines="10" w:line="440" w:lineRule="atLeast"/>
      <w:ind w:firstLine="567"/>
    </w:pPr>
    <w:rPr>
      <w:rFonts w:ascii="Times New Roman" w:hAnsi="Times New Roman" w:eastAsia="宋体" w:cs="Times New Roman"/>
      <w:sz w:val="24"/>
      <w:szCs w:val="24"/>
    </w:rPr>
  </w:style>
  <w:style w:type="paragraph" w:customStyle="1" w:styleId="99">
    <w:name w:val="样式 正文1 + 段前: 0.1 行"/>
    <w:basedOn w:val="98"/>
    <w:qFormat/>
    <w:uiPriority w:val="0"/>
    <w:pPr>
      <w:ind w:firstLine="510"/>
    </w:pPr>
    <w:rPr>
      <w:szCs w:val="20"/>
    </w:rPr>
  </w:style>
  <w:style w:type="paragraph" w:customStyle="1" w:styleId="100">
    <w:name w:val="基准标题"/>
    <w:basedOn w:val="14"/>
    <w:next w:val="14"/>
    <w:qFormat/>
    <w:uiPriority w:val="0"/>
    <w:pPr>
      <w:spacing w:after="0" w:line="440" w:lineRule="exact"/>
      <w:jc w:val="center"/>
    </w:pPr>
    <w:rPr>
      <w:rFonts w:ascii="宋体" w:hAnsi="宋体"/>
      <w:color w:val="000000"/>
    </w:rPr>
  </w:style>
  <w:style w:type="paragraph" w:customStyle="1" w:styleId="101">
    <w:name w:val="正文缩进1"/>
    <w:qFormat/>
    <w:uiPriority w:val="0"/>
    <w:pPr>
      <w:widowControl w:val="0"/>
      <w:adjustRightInd w:val="0"/>
      <w:spacing w:before="120" w:after="120" w:line="360" w:lineRule="atLeast"/>
      <w:ind w:left="340" w:firstLine="567"/>
      <w:jc w:val="both"/>
      <w:textAlignment w:val="baseline"/>
    </w:pPr>
    <w:rPr>
      <w:rFonts w:ascii="Arial" w:hAnsi="Arial" w:eastAsia="宋体" w:cs="Times New Roman"/>
      <w:kern w:val="0"/>
      <w:sz w:val="24"/>
      <w:szCs w:val="20"/>
      <w:lang w:val="en-US" w:eastAsia="zh-CN" w:bidi="ar-SA"/>
    </w:rPr>
  </w:style>
  <w:style w:type="character" w:customStyle="1" w:styleId="102">
    <w:name w:val="标题 Char"/>
    <w:basedOn w:val="39"/>
    <w:link w:val="38"/>
    <w:qFormat/>
    <w:uiPriority w:val="0"/>
    <w:rPr>
      <w:rFonts w:ascii="Arial" w:hAnsi="Arial" w:eastAsia="宋体" w:cs="Arial"/>
      <w:b/>
      <w:bCs/>
      <w:sz w:val="32"/>
      <w:szCs w:val="32"/>
    </w:rPr>
  </w:style>
  <w:style w:type="paragraph" w:customStyle="1" w:styleId="103">
    <w:name w:val="可研报告正文"/>
    <w:basedOn w:val="1"/>
    <w:qFormat/>
    <w:uiPriority w:val="0"/>
    <w:pPr>
      <w:tabs>
        <w:tab w:val="left" w:pos="5880"/>
      </w:tabs>
      <w:spacing w:beforeLines="50" w:line="440" w:lineRule="exact"/>
      <w:ind w:left="425" w:firstLine="482"/>
    </w:pPr>
    <w:rPr>
      <w:rFonts w:ascii="Times New Roman" w:hAnsi="Times New Roman" w:eastAsia="宋体" w:cs="Times New Roman"/>
      <w:sz w:val="24"/>
      <w:szCs w:val="24"/>
    </w:rPr>
  </w:style>
  <w:style w:type="character" w:customStyle="1" w:styleId="104">
    <w:name w:val="可研报告正文 Char"/>
    <w:basedOn w:val="39"/>
    <w:qFormat/>
    <w:uiPriority w:val="0"/>
    <w:rPr>
      <w:rFonts w:eastAsia="宋体"/>
      <w:kern w:val="2"/>
      <w:sz w:val="24"/>
      <w:szCs w:val="24"/>
      <w:lang w:val="en-US" w:eastAsia="zh-CN" w:bidi="ar-SA"/>
    </w:rPr>
  </w:style>
  <w:style w:type="paragraph" w:customStyle="1" w:styleId="105">
    <w:name w:val="标题 3 + Arial 小四 非加粗 段前: 0 磅 段后: 6 磅 行距: 固定值 22 磅"/>
    <w:basedOn w:val="4"/>
    <w:next w:val="1"/>
    <w:qFormat/>
    <w:uiPriority w:val="0"/>
    <w:pPr>
      <w:tabs>
        <w:tab w:val="clear" w:pos="720"/>
      </w:tabs>
      <w:spacing w:after="120"/>
      <w:ind w:left="0" w:firstLine="0"/>
    </w:pPr>
    <w:rPr>
      <w:rFonts w:ascii="Arial" w:hAnsi="Arial"/>
      <w:bCs w:val="0"/>
      <w:szCs w:val="20"/>
    </w:rPr>
  </w:style>
  <w:style w:type="paragraph" w:customStyle="1" w:styleId="106">
    <w:name w:val="样式 宋体 小四 首行缩进:  0.74 厘米 行距: 1.5 倍行距"/>
    <w:basedOn w:val="1"/>
    <w:qFormat/>
    <w:uiPriority w:val="0"/>
    <w:pPr>
      <w:tabs>
        <w:tab w:val="left" w:pos="851"/>
      </w:tabs>
      <w:spacing w:line="360" w:lineRule="auto"/>
      <w:ind w:left="851" w:hanging="454"/>
    </w:pPr>
    <w:rPr>
      <w:rFonts w:ascii="Arial" w:hAnsi="Arial" w:eastAsia="宋体" w:cs="Times New Roman"/>
      <w:sz w:val="24"/>
      <w:szCs w:val="24"/>
    </w:rPr>
  </w:style>
  <w:style w:type="paragraph" w:customStyle="1" w:styleId="107">
    <w:name w:val="样式 宋体 小四 黑色 行距: 固定值 22 磅"/>
    <w:basedOn w:val="1"/>
    <w:qFormat/>
    <w:uiPriority w:val="0"/>
    <w:pPr>
      <w:spacing w:line="440" w:lineRule="exact"/>
    </w:pPr>
    <w:rPr>
      <w:rFonts w:ascii="Arial" w:hAnsi="Arial" w:eastAsia="宋体" w:cs="Times New Roman"/>
      <w:color w:val="000000"/>
      <w:sz w:val="24"/>
      <w:szCs w:val="24"/>
    </w:rPr>
  </w:style>
  <w:style w:type="paragraph" w:customStyle="1" w:styleId="108">
    <w:name w:val="样式 左侧:  1.5 厘米 首行缩进:  0 厘米"/>
    <w:basedOn w:val="1"/>
    <w:qFormat/>
    <w:uiPriority w:val="0"/>
    <w:pPr>
      <w:spacing w:after="120" w:line="440" w:lineRule="exact"/>
      <w:ind w:left="851"/>
    </w:pPr>
    <w:rPr>
      <w:rFonts w:ascii="Arial" w:hAnsi="Arial" w:eastAsia="宋体" w:cs="Times New Roman"/>
      <w:kern w:val="0"/>
      <w:sz w:val="24"/>
      <w:szCs w:val="20"/>
    </w:rPr>
  </w:style>
  <w:style w:type="paragraph" w:customStyle="1" w:styleId="109">
    <w:name w:val="样式 正文 + 左侧:  0 厘米 悬挂缩进: 2 字符"/>
    <w:basedOn w:val="1"/>
    <w:qFormat/>
    <w:uiPriority w:val="0"/>
    <w:pPr>
      <w:widowControl/>
      <w:spacing w:after="120" w:line="440" w:lineRule="exact"/>
      <w:ind w:left="851" w:firstLine="200" w:firstLineChars="200"/>
      <w:jc w:val="left"/>
    </w:pPr>
    <w:rPr>
      <w:rFonts w:ascii="Arial" w:hAnsi="Arial" w:eastAsia="宋体" w:cs="Times New Roman"/>
      <w:kern w:val="0"/>
      <w:sz w:val="24"/>
      <w:szCs w:val="24"/>
    </w:rPr>
  </w:style>
  <w:style w:type="paragraph" w:customStyle="1" w:styleId="110">
    <w:name w:val="样式 样式 左侧:  1.5 厘米1 + 首行缩进:  2 字符"/>
    <w:basedOn w:val="1"/>
    <w:qFormat/>
    <w:uiPriority w:val="0"/>
    <w:pPr>
      <w:spacing w:after="120" w:line="440" w:lineRule="exact"/>
      <w:ind w:left="851"/>
    </w:pPr>
    <w:rPr>
      <w:rFonts w:ascii="Arial" w:hAnsi="Arial" w:eastAsia="宋体" w:cs="Times New Roman"/>
      <w:kern w:val="0"/>
      <w:sz w:val="24"/>
      <w:szCs w:val="20"/>
    </w:rPr>
  </w:style>
  <w:style w:type="paragraph" w:customStyle="1" w:styleId="111">
    <w:name w:val="样式 左侧:  1.5 厘米"/>
    <w:basedOn w:val="1"/>
    <w:qFormat/>
    <w:uiPriority w:val="0"/>
    <w:pPr>
      <w:spacing w:after="120" w:line="440" w:lineRule="exact"/>
      <w:ind w:left="851"/>
    </w:pPr>
    <w:rPr>
      <w:rFonts w:ascii="Arial" w:hAnsi="Arial" w:eastAsia="宋体" w:cs="Times New Roman"/>
      <w:kern w:val="0"/>
      <w:sz w:val="24"/>
      <w:szCs w:val="20"/>
    </w:rPr>
  </w:style>
  <w:style w:type="paragraph" w:customStyle="1" w:styleId="112">
    <w:name w:val="表格标题"/>
    <w:basedOn w:val="1"/>
    <w:qFormat/>
    <w:uiPriority w:val="0"/>
    <w:pPr>
      <w:adjustRightInd w:val="0"/>
      <w:snapToGrid w:val="0"/>
      <w:spacing w:before="120" w:after="120" w:line="440" w:lineRule="exact"/>
      <w:jc w:val="center"/>
    </w:pPr>
    <w:rPr>
      <w:rFonts w:ascii="Times New Roman" w:hAnsi="Times New Roman" w:eastAsia="楷体_GB2312" w:cs="Times New Roman"/>
      <w:b/>
      <w:kern w:val="0"/>
      <w:sz w:val="28"/>
      <w:szCs w:val="20"/>
    </w:rPr>
  </w:style>
  <w:style w:type="paragraph" w:customStyle="1" w:styleId="113">
    <w:name w:val="样式 宋体 左侧:  0.74 厘米 行距: 1.5 倍行距"/>
    <w:basedOn w:val="1"/>
    <w:qFormat/>
    <w:uiPriority w:val="0"/>
    <w:pPr>
      <w:spacing w:after="120" w:line="440" w:lineRule="exact"/>
      <w:ind w:left="851"/>
    </w:pPr>
    <w:rPr>
      <w:rFonts w:ascii="Times New Roman" w:hAnsi="Times New Roman" w:eastAsia="宋体" w:cs="Times New Roman"/>
      <w:sz w:val="24"/>
      <w:szCs w:val="24"/>
    </w:rPr>
  </w:style>
  <w:style w:type="paragraph" w:customStyle="1" w:styleId="114">
    <w:name w:val="样式 样式 左侧:  1.5 厘米 首行缩进:  0 厘米 + 左侧:  0 厘米"/>
    <w:basedOn w:val="108"/>
    <w:qFormat/>
    <w:uiPriority w:val="0"/>
    <w:pPr>
      <w:ind w:left="0" w:firstLine="200" w:firstLineChars="200"/>
    </w:pPr>
  </w:style>
  <w:style w:type="paragraph" w:customStyle="1" w:styleId="115">
    <w:name w:val="样式1"/>
    <w:basedOn w:val="1"/>
    <w:link w:val="182"/>
    <w:qFormat/>
    <w:uiPriority w:val="0"/>
    <w:pPr>
      <w:tabs>
        <w:tab w:val="left" w:pos="851"/>
      </w:tabs>
      <w:spacing w:after="120" w:line="440" w:lineRule="exact"/>
      <w:ind w:left="851" w:hanging="511"/>
    </w:pPr>
    <w:rPr>
      <w:rFonts w:ascii="Arial" w:hAnsi="Arial" w:eastAsia="宋体" w:cs="Times New Roman"/>
      <w:sz w:val="24"/>
      <w:szCs w:val="24"/>
    </w:rPr>
  </w:style>
  <w:style w:type="character" w:customStyle="1" w:styleId="116">
    <w:name w:val="样式 左侧:  1.5 厘米 首行缩进:  0 厘米 Char"/>
    <w:basedOn w:val="39"/>
    <w:qFormat/>
    <w:uiPriority w:val="0"/>
    <w:rPr>
      <w:rFonts w:ascii="Arial" w:hAnsi="Arial" w:eastAsia="宋体"/>
      <w:sz w:val="24"/>
      <w:lang w:val="en-US" w:eastAsia="zh-CN" w:bidi="ar-SA"/>
    </w:rPr>
  </w:style>
  <w:style w:type="character" w:customStyle="1" w:styleId="117">
    <w:name w:val="样式 样式 左侧:  1.5 厘米 首行缩进:  0 厘米 + 左侧:  0 厘米 Char"/>
    <w:basedOn w:val="116"/>
    <w:qFormat/>
    <w:uiPriority w:val="0"/>
    <w:rPr>
      <w:rFonts w:ascii="Arial" w:hAnsi="Arial" w:eastAsia="宋体" w:cs="宋体"/>
      <w:sz w:val="24"/>
      <w:lang w:val="en-US" w:eastAsia="zh-CN" w:bidi="ar-SA"/>
    </w:rPr>
  </w:style>
  <w:style w:type="character" w:customStyle="1" w:styleId="118">
    <w:name w:val="初设正文 Char"/>
    <w:basedOn w:val="117"/>
    <w:qFormat/>
    <w:uiPriority w:val="0"/>
    <w:rPr>
      <w:rFonts w:ascii="Arial" w:hAnsi="Arial" w:eastAsia="宋体" w:cs="宋体"/>
      <w:sz w:val="24"/>
      <w:lang w:val="en-US" w:eastAsia="zh-CN" w:bidi="ar-SA"/>
    </w:rPr>
  </w:style>
  <w:style w:type="paragraph" w:customStyle="1" w:styleId="119">
    <w:name w:val="样式 初设正文 + 首行缩进:  0.85 厘米"/>
    <w:basedOn w:val="70"/>
    <w:qFormat/>
    <w:uiPriority w:val="0"/>
  </w:style>
  <w:style w:type="paragraph" w:customStyle="1" w:styleId="120">
    <w:name w:val="样式 首行缩进:  0.75 厘米"/>
    <w:basedOn w:val="1"/>
    <w:qFormat/>
    <w:uiPriority w:val="0"/>
    <w:pPr>
      <w:spacing w:line="440" w:lineRule="exact"/>
      <w:ind w:firstLine="425"/>
    </w:pPr>
    <w:rPr>
      <w:rFonts w:ascii="Times New Roman" w:hAnsi="Times New Roman" w:eastAsia="宋体" w:cs="Times New Roman"/>
      <w:sz w:val="24"/>
      <w:szCs w:val="20"/>
    </w:rPr>
  </w:style>
  <w:style w:type="paragraph" w:customStyle="1" w:styleId="121">
    <w:name w:val="样式2"/>
    <w:basedOn w:val="1"/>
    <w:qFormat/>
    <w:uiPriority w:val="0"/>
    <w:pPr>
      <w:tabs>
        <w:tab w:val="left" w:pos="851"/>
      </w:tabs>
      <w:spacing w:line="440" w:lineRule="exact"/>
      <w:ind w:left="851" w:hanging="567" w:firstLineChars="200"/>
    </w:pPr>
    <w:rPr>
      <w:rFonts w:ascii="Arial" w:hAnsi="Arial" w:eastAsia="宋体" w:cs="Arial"/>
      <w:sz w:val="24"/>
      <w:szCs w:val="20"/>
    </w:rPr>
  </w:style>
  <w:style w:type="paragraph" w:customStyle="1" w:styleId="122">
    <w:name w:val="样式 Arial 首行缩进:  1.01 厘米 行距: 最小值 20 磅"/>
    <w:basedOn w:val="1"/>
    <w:qFormat/>
    <w:uiPriority w:val="0"/>
    <w:pPr>
      <w:spacing w:line="400" w:lineRule="atLeast"/>
    </w:pPr>
    <w:rPr>
      <w:rFonts w:ascii="Arial" w:hAnsi="Arial" w:eastAsia="宋体" w:cs="Times New Roman"/>
      <w:sz w:val="24"/>
      <w:szCs w:val="20"/>
    </w:rPr>
  </w:style>
  <w:style w:type="paragraph" w:customStyle="1" w:styleId="123">
    <w:name w:val="样式 样式 首行缩进:  0.75 厘米 + 首行缩进:  2 字符"/>
    <w:basedOn w:val="120"/>
    <w:qFormat/>
    <w:uiPriority w:val="0"/>
    <w:pPr>
      <w:ind w:left="851" w:firstLine="200" w:firstLineChars="200"/>
    </w:pPr>
    <w:rPr>
      <w:rFonts w:ascii="Arial" w:hAnsi="Arial"/>
    </w:rPr>
  </w:style>
  <w:style w:type="paragraph" w:customStyle="1" w:styleId="124">
    <w:name w:val="1"/>
    <w:basedOn w:val="1"/>
    <w:next w:val="17"/>
    <w:qFormat/>
    <w:uiPriority w:val="0"/>
    <w:pPr>
      <w:ind w:firstLine="420"/>
    </w:pPr>
    <w:rPr>
      <w:rFonts w:ascii="Times New Roman" w:hAnsi="Times New Roman" w:eastAsia="宋体" w:cs="Times New Roman"/>
      <w:szCs w:val="20"/>
    </w:rPr>
  </w:style>
  <w:style w:type="paragraph" w:customStyle="1" w:styleId="125">
    <w:name w:val="2"/>
    <w:basedOn w:val="1"/>
    <w:next w:val="25"/>
    <w:qFormat/>
    <w:uiPriority w:val="0"/>
    <w:pPr>
      <w:spacing w:line="360" w:lineRule="auto"/>
    </w:pPr>
    <w:rPr>
      <w:rFonts w:ascii="宋体" w:hAnsi="Courier New" w:eastAsia="宋体" w:cs="Times New Roman"/>
      <w:szCs w:val="21"/>
    </w:rPr>
  </w:style>
  <w:style w:type="paragraph" w:customStyle="1" w:styleId="126">
    <w:name w:val="首行缩进"/>
    <w:basedOn w:val="1"/>
    <w:qFormat/>
    <w:uiPriority w:val="0"/>
    <w:pPr>
      <w:spacing w:after="120"/>
      <w:ind w:left="200" w:leftChars="200" w:firstLine="420"/>
    </w:pPr>
    <w:rPr>
      <w:rFonts w:ascii="Times New Roman" w:hAnsi="Times New Roman" w:eastAsia="宋体" w:cs="Times New Roman"/>
      <w:sz w:val="16"/>
      <w:szCs w:val="16"/>
    </w:rPr>
  </w:style>
  <w:style w:type="paragraph" w:customStyle="1" w:styleId="127">
    <w:name w:val="图纸目录"/>
    <w:basedOn w:val="70"/>
    <w:qFormat/>
    <w:uiPriority w:val="0"/>
    <w:pPr>
      <w:tabs>
        <w:tab w:val="right" w:leader="dot" w:pos="8505"/>
      </w:tabs>
    </w:pPr>
  </w:style>
  <w:style w:type="character" w:customStyle="1" w:styleId="128">
    <w:name w:val="样式 左侧:  1.5 厘米 首行缩进:  0 厘米 Char1"/>
    <w:basedOn w:val="39"/>
    <w:qFormat/>
    <w:uiPriority w:val="0"/>
    <w:rPr>
      <w:rFonts w:ascii="Arial" w:hAnsi="Arial" w:eastAsia="宋体"/>
      <w:sz w:val="24"/>
      <w:lang w:val="en-US" w:eastAsia="zh-CN" w:bidi="ar-SA"/>
    </w:rPr>
  </w:style>
  <w:style w:type="character" w:customStyle="1" w:styleId="129">
    <w:name w:val="样式 样式 左侧:  1.5 厘米 首行缩进:  0 厘米 + 左侧:  0 厘米 Char1"/>
    <w:basedOn w:val="128"/>
    <w:qFormat/>
    <w:uiPriority w:val="0"/>
    <w:rPr>
      <w:rFonts w:ascii="Arial" w:hAnsi="Arial" w:eastAsia="宋体" w:cs="宋体"/>
      <w:sz w:val="24"/>
      <w:lang w:val="en-US" w:eastAsia="zh-CN" w:bidi="ar-SA"/>
    </w:rPr>
  </w:style>
  <w:style w:type="character" w:customStyle="1" w:styleId="130">
    <w:name w:val="初设正文 Char1"/>
    <w:basedOn w:val="129"/>
    <w:qFormat/>
    <w:uiPriority w:val="0"/>
    <w:rPr>
      <w:rFonts w:ascii="Arial" w:hAnsi="Arial" w:eastAsia="宋体" w:cs="宋体"/>
      <w:sz w:val="24"/>
      <w:lang w:val="en-US" w:eastAsia="zh-CN" w:bidi="ar-SA"/>
    </w:rPr>
  </w:style>
  <w:style w:type="character" w:customStyle="1" w:styleId="131">
    <w:name w:val="图纸目录 Char"/>
    <w:basedOn w:val="130"/>
    <w:qFormat/>
    <w:uiPriority w:val="0"/>
    <w:rPr>
      <w:rFonts w:ascii="Arial" w:hAnsi="Arial" w:eastAsia="宋体" w:cs="宋体"/>
      <w:sz w:val="24"/>
      <w:lang w:val="en-US" w:eastAsia="zh-CN" w:bidi="ar-SA"/>
    </w:rPr>
  </w:style>
  <w:style w:type="paragraph" w:customStyle="1" w:styleId="132">
    <w:name w:val="font6"/>
    <w:basedOn w:val="1"/>
    <w:qFormat/>
    <w:uiPriority w:val="0"/>
    <w:pPr>
      <w:widowControl/>
      <w:spacing w:before="100" w:beforeAutospacing="1" w:after="100" w:afterAutospacing="1"/>
      <w:jc w:val="left"/>
    </w:pPr>
    <w:rPr>
      <w:rFonts w:hint="eastAsia" w:ascii="宋体" w:hAnsi="宋体" w:eastAsia="宋体" w:cs="Arial Unicode MS"/>
      <w:kern w:val="0"/>
      <w:sz w:val="18"/>
      <w:szCs w:val="18"/>
    </w:rPr>
  </w:style>
  <w:style w:type="paragraph" w:customStyle="1" w:styleId="133">
    <w:name w:val="xl24"/>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Cs w:val="21"/>
    </w:rPr>
  </w:style>
  <w:style w:type="paragraph" w:customStyle="1" w:styleId="134">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kern w:val="0"/>
      <w:szCs w:val="21"/>
    </w:rPr>
  </w:style>
  <w:style w:type="paragraph" w:customStyle="1" w:styleId="135">
    <w:name w:val="xl26"/>
    <w:basedOn w:val="1"/>
    <w:qFormat/>
    <w:uiPriority w:val="0"/>
    <w:pPr>
      <w:widowControl/>
      <w:pBdr>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kern w:val="0"/>
      <w:szCs w:val="21"/>
    </w:rPr>
  </w:style>
  <w:style w:type="paragraph" w:customStyle="1" w:styleId="136">
    <w:name w:val="xl27"/>
    <w:basedOn w:val="1"/>
    <w:qFormat/>
    <w:uiPriority w:val="0"/>
    <w:pPr>
      <w:widowControl/>
      <w:pBdr>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kern w:val="0"/>
      <w:sz w:val="24"/>
      <w:szCs w:val="24"/>
    </w:rPr>
  </w:style>
  <w:style w:type="paragraph" w:customStyle="1" w:styleId="137">
    <w:name w:val="xl2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Cs w:val="21"/>
    </w:rPr>
  </w:style>
  <w:style w:type="paragraph" w:customStyle="1" w:styleId="138">
    <w:name w:val="xl29"/>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Cs w:val="21"/>
    </w:rPr>
  </w:style>
  <w:style w:type="paragraph" w:customStyle="1" w:styleId="139">
    <w:name w:val="xl3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Cs w:val="21"/>
    </w:rPr>
  </w:style>
  <w:style w:type="paragraph" w:customStyle="1" w:styleId="140">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Cs w:val="21"/>
    </w:rPr>
  </w:style>
  <w:style w:type="paragraph" w:customStyle="1" w:styleId="141">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Cs w:val="21"/>
    </w:rPr>
  </w:style>
  <w:style w:type="paragraph" w:customStyle="1" w:styleId="142">
    <w:name w:val="xl33"/>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Arial Unicode MS" w:hAnsi="Arial Unicode MS" w:eastAsia="Arial Unicode MS" w:cs="Arial Unicode MS"/>
      <w:kern w:val="0"/>
      <w:szCs w:val="21"/>
    </w:rPr>
  </w:style>
  <w:style w:type="paragraph" w:customStyle="1" w:styleId="143">
    <w:name w:val="xl34"/>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Cs w:val="21"/>
    </w:rPr>
  </w:style>
  <w:style w:type="paragraph" w:customStyle="1" w:styleId="144">
    <w:name w:val="xl35"/>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Cs w:val="21"/>
    </w:rPr>
  </w:style>
  <w:style w:type="paragraph" w:customStyle="1" w:styleId="145">
    <w:name w:val="样式 宋体 小四 加粗"/>
    <w:basedOn w:val="1"/>
    <w:qFormat/>
    <w:uiPriority w:val="0"/>
    <w:pPr>
      <w:spacing w:line="440" w:lineRule="exact"/>
      <w:jc w:val="left"/>
    </w:pPr>
    <w:rPr>
      <w:rFonts w:ascii="宋体" w:hAnsi="宋体" w:eastAsia="宋体" w:cs="Times New Roman"/>
      <w:sz w:val="24"/>
      <w:szCs w:val="24"/>
    </w:rPr>
  </w:style>
  <w:style w:type="character" w:customStyle="1" w:styleId="146">
    <w:name w:val="标题 1 Char1"/>
    <w:basedOn w:val="39"/>
    <w:qFormat/>
    <w:uiPriority w:val="0"/>
    <w:rPr>
      <w:rFonts w:ascii="宋体" w:hAnsi="宋体" w:eastAsia="宋体"/>
      <w:b/>
      <w:kern w:val="2"/>
      <w:sz w:val="24"/>
      <w:szCs w:val="24"/>
      <w:lang w:val="en-US" w:eastAsia="zh-CN" w:bidi="ar-SA"/>
    </w:rPr>
  </w:style>
  <w:style w:type="character" w:customStyle="1" w:styleId="147">
    <w:name w:val="华陆正文 Char1"/>
    <w:basedOn w:val="39"/>
    <w:qFormat/>
    <w:uiPriority w:val="0"/>
    <w:rPr>
      <w:rFonts w:ascii="宋体" w:hAnsi="宋体" w:eastAsia="宋体"/>
      <w:kern w:val="2"/>
      <w:sz w:val="24"/>
      <w:szCs w:val="24"/>
      <w:lang w:val="en-US" w:eastAsia="zh-CN" w:bidi="ar-SA"/>
    </w:rPr>
  </w:style>
  <w:style w:type="paragraph" w:customStyle="1" w:styleId="148">
    <w:name w:val="CM11"/>
    <w:basedOn w:val="92"/>
    <w:next w:val="92"/>
    <w:qFormat/>
    <w:uiPriority w:val="0"/>
    <w:pPr>
      <w:spacing w:after="270"/>
    </w:pPr>
    <w:rPr>
      <w:color w:val="auto"/>
    </w:rPr>
  </w:style>
  <w:style w:type="character" w:customStyle="1" w:styleId="149">
    <w:name w:val="样式 华陆正文 + 五号 黑色 Char"/>
    <w:basedOn w:val="147"/>
    <w:qFormat/>
    <w:uiPriority w:val="0"/>
    <w:rPr>
      <w:rFonts w:ascii="宋体" w:hAnsi="宋体" w:eastAsia="宋体"/>
      <w:color w:val="000000"/>
      <w:kern w:val="2"/>
      <w:sz w:val="21"/>
      <w:szCs w:val="24"/>
      <w:lang w:val="en-US" w:eastAsia="zh-CN" w:bidi="ar-SA"/>
    </w:rPr>
  </w:style>
  <w:style w:type="paragraph" w:customStyle="1" w:styleId="150">
    <w:name w:val="样式 华陆正文 + +"/>
    <w:basedOn w:val="84"/>
    <w:qFormat/>
    <w:uiPriority w:val="0"/>
  </w:style>
  <w:style w:type="character" w:customStyle="1" w:styleId="151">
    <w:name w:val="样式 华陆正文 + + Char"/>
    <w:basedOn w:val="39"/>
    <w:qFormat/>
    <w:uiPriority w:val="0"/>
    <w:rPr>
      <w:rFonts w:ascii="宋体" w:hAnsi="宋体" w:eastAsia="宋体"/>
      <w:color w:val="000000"/>
      <w:kern w:val="2"/>
      <w:sz w:val="24"/>
      <w:szCs w:val="24"/>
      <w:lang w:val="en-US" w:eastAsia="zh-CN" w:bidi="ar-SA"/>
    </w:rPr>
  </w:style>
  <w:style w:type="paragraph" w:customStyle="1" w:styleId="152">
    <w:name w:val="正文表格"/>
    <w:basedOn w:val="1"/>
    <w:qFormat/>
    <w:uiPriority w:val="0"/>
    <w:pPr>
      <w:keepNext/>
      <w:keepLines/>
      <w:tabs>
        <w:tab w:val="center" w:pos="6804"/>
      </w:tabs>
      <w:overflowPunct w:val="0"/>
      <w:adjustRightInd w:val="0"/>
      <w:spacing w:before="80"/>
      <w:jc w:val="center"/>
      <w:textAlignment w:val="bottom"/>
    </w:pPr>
    <w:rPr>
      <w:rFonts w:ascii="Times New Roman" w:hAnsi="Times New Roman" w:eastAsia="宋体" w:cs="Times New Roman"/>
      <w:kern w:val="0"/>
      <w:sz w:val="28"/>
      <w:szCs w:val="20"/>
    </w:rPr>
  </w:style>
  <w:style w:type="paragraph" w:customStyle="1" w:styleId="153">
    <w:name w:val="!Texte courant"/>
    <w:qFormat/>
    <w:uiPriority w:val="0"/>
    <w:pPr>
      <w:spacing w:before="120" w:line="280" w:lineRule="atLeast"/>
      <w:jc w:val="both"/>
    </w:pPr>
    <w:rPr>
      <w:rFonts w:ascii="Times New Roman" w:hAnsi="Times New Roman" w:eastAsia="宋体" w:cs="Times New Roman"/>
      <w:kern w:val="0"/>
      <w:sz w:val="24"/>
      <w:szCs w:val="20"/>
      <w:lang w:val="fr-FR" w:eastAsia="en-US" w:bidi="ar-SA"/>
    </w:rPr>
  </w:style>
  <w:style w:type="paragraph" w:customStyle="1" w:styleId="154">
    <w:name w:val="正文2"/>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155">
    <w:name w:val="xl36"/>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Cs w:val="21"/>
    </w:rPr>
  </w:style>
  <w:style w:type="paragraph" w:customStyle="1" w:styleId="156">
    <w:name w:val="正文21"/>
    <w:basedOn w:val="1"/>
    <w:qFormat/>
    <w:uiPriority w:val="0"/>
    <w:pPr>
      <w:snapToGrid w:val="0"/>
      <w:spacing w:after="240" w:line="360" w:lineRule="auto"/>
    </w:pPr>
    <w:rPr>
      <w:rFonts w:ascii="Times New Roman" w:hAnsi="Times New Roman" w:eastAsia="宋体" w:cs="Times New Roman"/>
      <w:position w:val="16"/>
      <w:sz w:val="28"/>
      <w:szCs w:val="20"/>
    </w:rPr>
  </w:style>
  <w:style w:type="paragraph" w:customStyle="1" w:styleId="157">
    <w:name w:val="样式 标题 3Gliederung3条条标题1.1.13h33rd levelH3l3CTlevel_3P..."/>
    <w:basedOn w:val="4"/>
    <w:qFormat/>
    <w:uiPriority w:val="0"/>
  </w:style>
  <w:style w:type="character" w:customStyle="1" w:styleId="158">
    <w:name w:val="样式 标题 3Gliederung3条条标题1.1.13h33rd levelH3l3CTlevel_3P... Char"/>
    <w:basedOn w:val="61"/>
    <w:qFormat/>
    <w:uiPriority w:val="0"/>
    <w:rPr>
      <w:rFonts w:ascii="宋体" w:eastAsia="宋体"/>
      <w:kern w:val="2"/>
      <w:sz w:val="24"/>
      <w:szCs w:val="24"/>
      <w:lang w:val="en-US" w:eastAsia="zh-CN" w:bidi="ar-SA"/>
    </w:rPr>
  </w:style>
  <w:style w:type="paragraph" w:customStyle="1" w:styleId="159">
    <w:name w:val="样式 标题 3Gliederung3条条标题1.1.13h33rd levelH3l3CTlevel_3P...1"/>
    <w:basedOn w:val="4"/>
    <w:qFormat/>
    <w:uiPriority w:val="0"/>
  </w:style>
  <w:style w:type="character" w:customStyle="1" w:styleId="160">
    <w:name w:val="样式 标题 3Gliederung3条条标题1.1.13h33rd levelH3l3CTlevel_3P...1 Char"/>
    <w:basedOn w:val="61"/>
    <w:qFormat/>
    <w:uiPriority w:val="0"/>
    <w:rPr>
      <w:rFonts w:ascii="宋体" w:eastAsia="宋体"/>
      <w:kern w:val="2"/>
      <w:sz w:val="24"/>
      <w:szCs w:val="24"/>
      <w:lang w:val="en-US" w:eastAsia="zh-CN" w:bidi="ar-SA"/>
    </w:rPr>
  </w:style>
  <w:style w:type="paragraph" w:customStyle="1" w:styleId="161">
    <w:name w:val="样式 标题 3Gliederung3条条标题1.1.13h33rd levelH3l3CTlevel_3P...2"/>
    <w:basedOn w:val="4"/>
    <w:qFormat/>
    <w:uiPriority w:val="0"/>
  </w:style>
  <w:style w:type="character" w:customStyle="1" w:styleId="162">
    <w:name w:val="样式 标题 3Gliederung3条条标题1.1.13h33rd levelH3l3CTlevel_3P...2 Char"/>
    <w:basedOn w:val="61"/>
    <w:qFormat/>
    <w:uiPriority w:val="0"/>
    <w:rPr>
      <w:rFonts w:ascii="宋体" w:eastAsia="宋体"/>
      <w:kern w:val="2"/>
      <w:sz w:val="24"/>
      <w:szCs w:val="24"/>
      <w:lang w:val="en-US" w:eastAsia="zh-CN" w:bidi="ar-SA"/>
    </w:rPr>
  </w:style>
  <w:style w:type="paragraph" w:customStyle="1" w:styleId="163">
    <w:name w:val="样式 标题 3Gliederung3条条标题1.1.13h33rd levelH3l3CTlevel_3P...3"/>
    <w:basedOn w:val="4"/>
    <w:qFormat/>
    <w:uiPriority w:val="0"/>
  </w:style>
  <w:style w:type="character" w:customStyle="1" w:styleId="164">
    <w:name w:val="样式 标题 3Gliederung3条条标题1.1.13h33rd levelH3l3CTlevel_3P...3 Char"/>
    <w:basedOn w:val="61"/>
    <w:qFormat/>
    <w:uiPriority w:val="0"/>
    <w:rPr>
      <w:rFonts w:ascii="宋体" w:eastAsia="宋体"/>
      <w:kern w:val="2"/>
      <w:sz w:val="24"/>
      <w:szCs w:val="24"/>
      <w:lang w:val="en-US" w:eastAsia="zh-CN" w:bidi="ar-SA"/>
    </w:rPr>
  </w:style>
  <w:style w:type="paragraph" w:customStyle="1" w:styleId="165">
    <w:name w:val="样式 标题 4Gliederung4§1.1.1.1. + 加粗"/>
    <w:basedOn w:val="5"/>
    <w:qFormat/>
    <w:uiPriority w:val="0"/>
  </w:style>
  <w:style w:type="character" w:customStyle="1" w:styleId="166">
    <w:name w:val="样式 标题 4Gliederung4§1.1.1.1. + 加粗 Char"/>
    <w:basedOn w:val="49"/>
    <w:qFormat/>
    <w:uiPriority w:val="0"/>
    <w:rPr>
      <w:rFonts w:ascii="宋体" w:hAnsi="Arial" w:eastAsia="宋体" w:cs="Times New Roman"/>
      <w:kern w:val="2"/>
      <w:sz w:val="24"/>
      <w:szCs w:val="24"/>
      <w:lang w:val="en-US" w:eastAsia="zh-CN" w:bidi="ar-SA"/>
    </w:rPr>
  </w:style>
  <w:style w:type="paragraph" w:customStyle="1" w:styleId="167">
    <w:name w:val="Char1"/>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168">
    <w:name w:val="_Style 13"/>
    <w:basedOn w:val="1"/>
    <w:next w:val="25"/>
    <w:qFormat/>
    <w:uiPriority w:val="0"/>
    <w:rPr>
      <w:rFonts w:hint="eastAsia" w:ascii="宋体" w:hAnsi="Courier New" w:eastAsia="宋体" w:cs="Times New Roman"/>
      <w:szCs w:val="20"/>
    </w:rPr>
  </w:style>
  <w:style w:type="character" w:customStyle="1" w:styleId="169">
    <w:name w:val="批注文字 Char"/>
    <w:basedOn w:val="39"/>
    <w:link w:val="12"/>
    <w:semiHidden/>
    <w:qFormat/>
    <w:uiPriority w:val="99"/>
    <w:rPr>
      <w:rFonts w:ascii="Times New Roman" w:hAnsi="Times New Roman" w:eastAsia="宋体" w:cs="Times New Roman"/>
      <w:szCs w:val="24"/>
    </w:rPr>
  </w:style>
  <w:style w:type="character" w:customStyle="1" w:styleId="170">
    <w:name w:val="批注主题 Char"/>
    <w:basedOn w:val="169"/>
    <w:link w:val="11"/>
    <w:semiHidden/>
    <w:qFormat/>
    <w:uiPriority w:val="99"/>
    <w:rPr>
      <w:rFonts w:ascii="Times New Roman" w:hAnsi="Times New Roman" w:eastAsia="宋体" w:cs="Times New Roman"/>
      <w:b/>
      <w:bCs/>
      <w:szCs w:val="24"/>
    </w:rPr>
  </w:style>
  <w:style w:type="paragraph" w:customStyle="1" w:styleId="171">
    <w:name w:val="Char Char Char Char Char Char Char"/>
    <w:basedOn w:val="1"/>
    <w:qFormat/>
    <w:uiPriority w:val="0"/>
    <w:rPr>
      <w:rFonts w:ascii="Times New Roman" w:hAnsi="Times New Roman" w:eastAsia="宋体" w:cs="Times New Roman"/>
      <w:szCs w:val="21"/>
    </w:rPr>
  </w:style>
  <w:style w:type="character" w:customStyle="1" w:styleId="172">
    <w:name w:val="msoins"/>
    <w:basedOn w:val="39"/>
    <w:qFormat/>
    <w:uiPriority w:val="0"/>
  </w:style>
  <w:style w:type="paragraph" w:customStyle="1" w:styleId="173">
    <w:name w:val="表格文字居中"/>
    <w:basedOn w:val="1"/>
    <w:qFormat/>
    <w:uiPriority w:val="0"/>
    <w:pPr>
      <w:jc w:val="center"/>
    </w:pPr>
    <w:rPr>
      <w:rFonts w:ascii="宋体" w:hAnsi="Times New Roman" w:eastAsia="宋体" w:cs="Times New Roman"/>
      <w:szCs w:val="21"/>
    </w:rPr>
  </w:style>
  <w:style w:type="character" w:customStyle="1" w:styleId="174">
    <w:name w:val="Placeholder Text"/>
    <w:basedOn w:val="39"/>
    <w:semiHidden/>
    <w:qFormat/>
    <w:uiPriority w:val="99"/>
    <w:rPr>
      <w:color w:val="808080"/>
    </w:rPr>
  </w:style>
  <w:style w:type="paragraph" w:customStyle="1" w:styleId="175">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paragraph" w:customStyle="1" w:styleId="176">
    <w:name w:val="样式1-1"/>
    <w:basedOn w:val="1"/>
    <w:qFormat/>
    <w:uiPriority w:val="0"/>
    <w:pPr>
      <w:numPr>
        <w:ilvl w:val="1"/>
        <w:numId w:val="3"/>
      </w:numPr>
    </w:pPr>
    <w:rPr>
      <w:rFonts w:ascii="Calibri" w:hAnsi="Calibri" w:eastAsia="宋体" w:cs="Times New Roman"/>
    </w:rPr>
  </w:style>
  <w:style w:type="paragraph" w:customStyle="1" w:styleId="177">
    <w:name w:val="样式11.1.1"/>
    <w:basedOn w:val="1"/>
    <w:qFormat/>
    <w:uiPriority w:val="0"/>
    <w:pPr>
      <w:numPr>
        <w:ilvl w:val="2"/>
        <w:numId w:val="3"/>
      </w:numPr>
    </w:pPr>
    <w:rPr>
      <w:rFonts w:ascii="Calibri" w:hAnsi="Calibri" w:eastAsia="宋体" w:cs="Times New Roman"/>
    </w:rPr>
  </w:style>
  <w:style w:type="paragraph" w:customStyle="1" w:styleId="178">
    <w:name w:val="gb1"/>
    <w:basedOn w:val="1"/>
    <w:qFormat/>
    <w:uiPriority w:val="0"/>
    <w:pPr>
      <w:widowControl/>
      <w:tabs>
        <w:tab w:val="left" w:pos="227"/>
      </w:tabs>
      <w:overflowPunct w:val="0"/>
      <w:autoSpaceDE w:val="0"/>
      <w:autoSpaceDN w:val="0"/>
      <w:adjustRightInd w:val="0"/>
      <w:spacing w:before="120" w:after="120"/>
      <w:jc w:val="left"/>
      <w:textAlignment w:val="baseline"/>
    </w:pPr>
    <w:rPr>
      <w:rFonts w:ascii="Arial" w:hAnsi="Arial" w:eastAsia="仿宋体" w:cs="Times New Roman"/>
      <w:kern w:val="0"/>
      <w:sz w:val="24"/>
      <w:szCs w:val="20"/>
    </w:rPr>
  </w:style>
  <w:style w:type="character" w:customStyle="1" w:styleId="179">
    <w:name w:val="HTML 预设格式 Char"/>
    <w:basedOn w:val="39"/>
    <w:link w:val="36"/>
    <w:qFormat/>
    <w:uiPriority w:val="99"/>
    <w:rPr>
      <w:rFonts w:ascii="宋体" w:hAnsi="宋体" w:eastAsia="宋体" w:cs="宋体"/>
      <w:kern w:val="0"/>
      <w:sz w:val="24"/>
      <w:szCs w:val="24"/>
    </w:rPr>
  </w:style>
  <w:style w:type="character" w:customStyle="1" w:styleId="180">
    <w:name w:val="ask-title"/>
    <w:basedOn w:val="39"/>
    <w:qFormat/>
    <w:uiPriority w:val="0"/>
  </w:style>
  <w:style w:type="character" w:customStyle="1" w:styleId="181">
    <w:name w:val="apple-converted-space"/>
    <w:basedOn w:val="39"/>
    <w:qFormat/>
    <w:uiPriority w:val="0"/>
  </w:style>
  <w:style w:type="character" w:customStyle="1" w:styleId="182">
    <w:name w:val="样式1 Char"/>
    <w:basedOn w:val="39"/>
    <w:link w:val="115"/>
    <w:qFormat/>
    <w:uiPriority w:val="0"/>
    <w:rPr>
      <w:rFonts w:ascii="Arial" w:hAnsi="Arial" w:eastAsia="宋体"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11EE23-3625-41A1-A22D-0394CA5E1EA3}">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11</Pages>
  <Words>1217</Words>
  <Characters>6942</Characters>
  <Lines>57</Lines>
  <Paragraphs>16</Paragraphs>
  <TotalTime>75</TotalTime>
  <ScaleCrop>false</ScaleCrop>
  <LinksUpToDate>false</LinksUpToDate>
  <CharactersWithSpaces>8143</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2014-03-12T10:45:00Z</dcterms:created>
  <dc:creator>tianzhongming</dc:creator>
  <cp:lastModifiedBy>何强</cp:lastModifiedBy>
  <cp:lastPrinted>2014-04-19T06:04:00Z</cp:lastPrinted>
  <dcterms:modified xsi:type="dcterms:W3CDTF">2020-04-14T03:25:43Z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