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公告附件：</w:t>
      </w:r>
    </w:p>
    <w:p>
      <w:pPr>
        <w:spacing w:line="360" w:lineRule="auto"/>
        <w:ind w:firstLine="422" w:firstLineChars="200"/>
        <w:jc w:val="center"/>
        <w:outlineLvl w:val="2"/>
        <w:rPr>
          <w:rFonts w:hint="default" w:ascii="Times New Roman" w:hAnsi="Times New Roman" w:eastAsia="宋体" w:cs="Times New Roman"/>
          <w:b/>
          <w:bCs/>
          <w:color w:val="FF0000"/>
          <w:sz w:val="21"/>
          <w:szCs w:val="21"/>
        </w:rPr>
      </w:pPr>
      <w:bookmarkStart w:id="0" w:name="_Toc30059"/>
      <w:r>
        <w:rPr>
          <w:rFonts w:hint="default" w:ascii="Times New Roman" w:hAnsi="Times New Roman" w:eastAsia="宋体" w:cs="Times New Roman"/>
          <w:b/>
          <w:bCs/>
          <w:sz w:val="21"/>
          <w:szCs w:val="21"/>
          <w:lang w:eastAsia="zh-CN"/>
        </w:rPr>
        <w:t>第一包：</w:t>
      </w:r>
      <w:r>
        <w:rPr>
          <w:rFonts w:hint="default" w:ascii="Times New Roman" w:hAnsi="Times New Roman" w:eastAsia="宋体" w:cs="Times New Roman"/>
          <w:b/>
          <w:bCs/>
          <w:sz w:val="21"/>
          <w:szCs w:val="21"/>
          <w:lang w:val="en-US" w:eastAsia="zh-CN"/>
        </w:rPr>
        <w:t>SF33900卡车轻量化免维护厢斗</w:t>
      </w:r>
      <w:r>
        <w:rPr>
          <w:rFonts w:hint="default" w:ascii="Times New Roman" w:hAnsi="Times New Roman" w:eastAsia="宋体" w:cs="Times New Roman"/>
          <w:b/>
          <w:bCs/>
          <w:sz w:val="21"/>
          <w:szCs w:val="21"/>
          <w:lang w:eastAsia="zh-CN"/>
        </w:rPr>
        <w:t>高端开发</w:t>
      </w:r>
      <w:r>
        <w:rPr>
          <w:rFonts w:hint="default" w:ascii="Times New Roman" w:hAnsi="Times New Roman" w:eastAsia="宋体" w:cs="Times New Roman"/>
          <w:b/>
          <w:bCs/>
          <w:sz w:val="21"/>
          <w:szCs w:val="21"/>
        </w:rPr>
        <w:t>技术要求</w:t>
      </w:r>
      <w:bookmarkEnd w:id="0"/>
    </w:p>
    <w:p>
      <w:pPr>
        <w:bidi w:val="0"/>
        <w:spacing w:line="360" w:lineRule="auto"/>
        <w:rPr>
          <w:rFonts w:hint="eastAsia" w:ascii="仿宋" w:hAnsi="仿宋" w:eastAsia="仿宋" w:cs="仿宋"/>
          <w:b/>
          <w:bCs/>
          <w:lang w:val="en-US" w:eastAsia="zh-CN"/>
        </w:rPr>
      </w:pPr>
      <w:bookmarkStart w:id="1" w:name="_Toc17189"/>
      <w:r>
        <w:rPr>
          <w:rFonts w:hint="eastAsia" w:ascii="仿宋" w:hAnsi="仿宋" w:eastAsia="仿宋" w:cs="仿宋"/>
          <w:b/>
          <w:bCs/>
          <w:lang w:val="en-US" w:eastAsia="zh-CN"/>
        </w:rPr>
        <w:t>1.项目简介及制造厂家能力要求</w:t>
      </w:r>
    </w:p>
    <w:p>
      <w:pPr>
        <w:bidi w:val="0"/>
        <w:spacing w:line="360" w:lineRule="auto"/>
        <w:rPr>
          <w:rFonts w:hint="eastAsia" w:ascii="仿宋" w:hAnsi="仿宋" w:eastAsia="仿宋" w:cs="仿宋"/>
          <w:b/>
          <w:bCs/>
          <w:lang w:val="en-US" w:eastAsia="zh-CN"/>
        </w:rPr>
      </w:pPr>
      <w:r>
        <w:rPr>
          <w:rFonts w:hint="eastAsia" w:ascii="仿宋" w:hAnsi="仿宋" w:eastAsia="仿宋" w:cs="仿宋"/>
          <w:b/>
          <w:bCs/>
          <w:lang w:val="en-US" w:eastAsia="zh-CN"/>
        </w:rPr>
        <w:t>1.1项目简介</w:t>
      </w:r>
    </w:p>
    <w:p>
      <w:pPr>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黑岱沟</w:t>
      </w:r>
      <w:r>
        <w:rPr>
          <w:rFonts w:hint="eastAsia" w:ascii="仿宋" w:hAnsi="仿宋" w:eastAsia="仿宋" w:cs="仿宋"/>
          <w:color w:val="auto"/>
          <w:sz w:val="21"/>
          <w:szCs w:val="21"/>
        </w:rPr>
        <w:t>露天煤矿</w:t>
      </w:r>
      <w:r>
        <w:rPr>
          <w:rFonts w:hint="eastAsia" w:ascii="仿宋" w:hAnsi="仿宋" w:eastAsia="仿宋" w:cs="仿宋"/>
          <w:color w:val="auto"/>
          <w:sz w:val="21"/>
          <w:szCs w:val="21"/>
          <w:lang w:val="en-US" w:eastAsia="zh-CN"/>
        </w:rPr>
        <w:t>使用</w:t>
      </w:r>
      <w:r>
        <w:rPr>
          <w:rFonts w:hint="eastAsia" w:ascii="仿宋" w:hAnsi="仿宋" w:eastAsia="仿宋" w:cs="仿宋"/>
          <w:color w:val="auto"/>
          <w:sz w:val="21"/>
          <w:szCs w:val="21"/>
        </w:rPr>
        <w:t>的</w:t>
      </w:r>
      <w:r>
        <w:rPr>
          <w:rFonts w:hint="eastAsia" w:ascii="仿宋" w:hAnsi="仿宋" w:eastAsia="仿宋" w:cs="仿宋"/>
          <w:color w:val="auto"/>
          <w:sz w:val="21"/>
          <w:szCs w:val="21"/>
          <w:lang w:val="en-US" w:eastAsia="zh-CN"/>
        </w:rPr>
        <w:t>SF33900卡车</w:t>
      </w: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其原装厢斗重量约为38吨（含耐磨板），且原装厢斗的纵梁、举升油缸安装座等部位开裂较频繁，为了提高卡车载重量、减少厢斗后期维护工作，</w:t>
      </w:r>
      <w:r>
        <w:rPr>
          <w:rFonts w:hint="eastAsia" w:ascii="仿宋" w:hAnsi="仿宋" w:eastAsia="仿宋" w:cs="仿宋"/>
          <w:color w:val="auto"/>
          <w:sz w:val="21"/>
          <w:szCs w:val="21"/>
        </w:rPr>
        <w:t>我公司计划高端开发</w:t>
      </w:r>
      <w:r>
        <w:rPr>
          <w:rFonts w:hint="eastAsia" w:ascii="仿宋" w:hAnsi="仿宋" w:eastAsia="仿宋" w:cs="仿宋"/>
          <w:color w:val="auto"/>
          <w:sz w:val="21"/>
          <w:szCs w:val="21"/>
          <w:lang w:val="en-US" w:eastAsia="zh-CN"/>
        </w:rPr>
        <w:t>1批SF33900卡车轻量化免维护厢斗</w:t>
      </w:r>
      <w:r>
        <w:rPr>
          <w:rFonts w:hint="eastAsia" w:ascii="仿宋" w:hAnsi="仿宋" w:eastAsia="仿宋" w:cs="仿宋"/>
          <w:color w:val="auto"/>
          <w:sz w:val="21"/>
          <w:szCs w:val="21"/>
        </w:rPr>
        <w:t>，开发工作包括配件的测绘、设计、制造、运输、质量保证等，均由投标人承担。</w:t>
      </w:r>
    </w:p>
    <w:p>
      <w:pPr>
        <w:spacing w:line="360" w:lineRule="auto"/>
        <w:ind w:firstLine="420" w:firstLineChars="200"/>
        <w:rPr>
          <w:rFonts w:hint="eastAsia" w:ascii="仿宋" w:hAnsi="仿宋" w:eastAsia="仿宋" w:cs="仿宋"/>
          <w:color w:val="FF0000"/>
          <w:sz w:val="21"/>
          <w:szCs w:val="21"/>
          <w:lang w:eastAsia="zh-CN"/>
        </w:rPr>
      </w:pPr>
      <w:r>
        <w:rPr>
          <w:rFonts w:hint="eastAsia" w:ascii="仿宋" w:hAnsi="仿宋" w:eastAsia="仿宋" w:cs="仿宋"/>
          <w:color w:val="auto"/>
          <w:sz w:val="21"/>
          <w:szCs w:val="21"/>
        </w:rPr>
        <w:t>本项目开发配件</w:t>
      </w:r>
      <w:r>
        <w:rPr>
          <w:rFonts w:hint="eastAsia" w:ascii="仿宋" w:hAnsi="仿宋" w:eastAsia="仿宋" w:cs="仿宋"/>
          <w:color w:val="auto"/>
          <w:sz w:val="21"/>
          <w:szCs w:val="21"/>
          <w:lang w:val="en-US" w:eastAsia="zh-CN"/>
        </w:rPr>
        <w:t>的描述及数量</w:t>
      </w:r>
      <w:r>
        <w:rPr>
          <w:rFonts w:hint="eastAsia" w:ascii="仿宋" w:hAnsi="仿宋" w:eastAsia="仿宋" w:cs="仿宋"/>
          <w:color w:val="auto"/>
          <w:sz w:val="21"/>
          <w:szCs w:val="21"/>
        </w:rPr>
        <w:t>详见下表，要求高端开发试制配件（以下简称“试件”）</w:t>
      </w:r>
      <w:r>
        <w:rPr>
          <w:rFonts w:hint="eastAsia" w:ascii="仿宋" w:hAnsi="仿宋" w:eastAsia="仿宋" w:cs="仿宋"/>
          <w:color w:val="auto"/>
          <w:sz w:val="21"/>
          <w:szCs w:val="21"/>
          <w:lang w:val="en-US" w:eastAsia="zh-CN"/>
        </w:rPr>
        <w:t>的</w:t>
      </w:r>
      <w:r>
        <w:rPr>
          <w:rFonts w:hint="eastAsia" w:ascii="仿宋" w:hAnsi="仿宋" w:eastAsia="仿宋" w:cs="仿宋"/>
          <w:color w:val="auto"/>
          <w:sz w:val="21"/>
          <w:szCs w:val="21"/>
        </w:rPr>
        <w:t>必须与</w:t>
      </w:r>
      <w:r>
        <w:rPr>
          <w:rFonts w:hint="eastAsia" w:ascii="仿宋" w:hAnsi="仿宋" w:eastAsia="仿宋" w:cs="仿宋"/>
          <w:color w:val="auto"/>
          <w:sz w:val="21"/>
          <w:szCs w:val="21"/>
          <w:lang w:eastAsia="zh-CN"/>
        </w:rPr>
        <w:t>原装配件</w:t>
      </w:r>
      <w:r>
        <w:rPr>
          <w:rFonts w:hint="eastAsia" w:ascii="仿宋" w:hAnsi="仿宋" w:eastAsia="仿宋" w:cs="仿宋"/>
          <w:color w:val="auto"/>
          <w:sz w:val="21"/>
          <w:szCs w:val="21"/>
        </w:rPr>
        <w:t>装配参数一致</w:t>
      </w:r>
      <w:r>
        <w:rPr>
          <w:rFonts w:hint="eastAsia" w:ascii="仿宋" w:hAnsi="仿宋" w:eastAsia="仿宋" w:cs="仿宋"/>
          <w:color w:val="auto"/>
          <w:sz w:val="21"/>
          <w:szCs w:val="21"/>
          <w:lang w:eastAsia="zh-CN"/>
        </w:rPr>
        <w:t>。</w:t>
      </w:r>
    </w:p>
    <w:tbl>
      <w:tblPr>
        <w:tblStyle w:val="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62"/>
        <w:gridCol w:w="1110"/>
        <w:gridCol w:w="4807"/>
        <w:gridCol w:w="751"/>
        <w:gridCol w:w="13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962"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序号</w:t>
            </w:r>
          </w:p>
        </w:tc>
        <w:tc>
          <w:tcPr>
            <w:tcW w:w="111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物料编码</w:t>
            </w:r>
          </w:p>
        </w:tc>
        <w:tc>
          <w:tcPr>
            <w:tcW w:w="4807"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物料描述</w:t>
            </w:r>
          </w:p>
        </w:tc>
        <w:tc>
          <w:tcPr>
            <w:tcW w:w="75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单位</w:t>
            </w:r>
          </w:p>
        </w:tc>
        <w:tc>
          <w:tcPr>
            <w:tcW w:w="130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需求数量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jc w:val="center"/>
        </w:trPr>
        <w:tc>
          <w:tcPr>
            <w:tcW w:w="962"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仿宋" w:hAnsi="仿宋" w:eastAsia="仿宋" w:cs="仿宋"/>
                <w:i w:val="0"/>
                <w:color w:val="000000"/>
                <w:sz w:val="21"/>
                <w:szCs w:val="21"/>
                <w:u w:val="none"/>
              </w:rPr>
            </w:pPr>
          </w:p>
        </w:tc>
        <w:tc>
          <w:tcPr>
            <w:tcW w:w="111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仿宋" w:hAnsi="仿宋" w:eastAsia="仿宋" w:cs="仿宋"/>
                <w:i w:val="0"/>
                <w:color w:val="000000"/>
                <w:sz w:val="21"/>
                <w:szCs w:val="21"/>
                <w:u w:val="none"/>
              </w:rPr>
            </w:pPr>
          </w:p>
        </w:tc>
        <w:tc>
          <w:tcPr>
            <w:tcW w:w="4807"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仿宋" w:hAnsi="仿宋" w:eastAsia="仿宋" w:cs="仿宋"/>
                <w:i w:val="0"/>
                <w:color w:val="000000"/>
                <w:sz w:val="21"/>
                <w:szCs w:val="21"/>
                <w:u w:val="none"/>
              </w:rPr>
            </w:pPr>
          </w:p>
        </w:tc>
        <w:tc>
          <w:tcPr>
            <w:tcW w:w="75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仿宋" w:hAnsi="仿宋" w:eastAsia="仿宋" w:cs="仿宋"/>
                <w:i w:val="0"/>
                <w:color w:val="000000"/>
                <w:sz w:val="21"/>
                <w:szCs w:val="21"/>
                <w:u w:val="none"/>
              </w:rPr>
            </w:pPr>
          </w:p>
        </w:tc>
        <w:tc>
          <w:tcPr>
            <w:tcW w:w="130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仿宋" w:hAnsi="仿宋" w:eastAsia="仿宋" w:cs="仿宋"/>
                <w:i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96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仿宋" w:hAnsi="仿宋" w:eastAsia="仿宋" w:cs="仿宋"/>
                <w:i w:val="0"/>
                <w:color w:val="000000"/>
                <w:sz w:val="21"/>
                <w:szCs w:val="21"/>
                <w:u w:val="none"/>
                <w:lang w:val="en-US" w:eastAsia="zh-CN"/>
              </w:rPr>
            </w:pPr>
            <w:r>
              <w:rPr>
                <w:rFonts w:hint="eastAsia" w:ascii="仿宋" w:hAnsi="仿宋" w:eastAsia="仿宋" w:cs="仿宋"/>
                <w:i w:val="0"/>
                <w:color w:val="000000"/>
                <w:sz w:val="21"/>
                <w:szCs w:val="21"/>
                <w:u w:val="none"/>
                <w:lang w:val="en-US" w:eastAsia="zh-CN"/>
              </w:rPr>
              <w:t>1</w:t>
            </w:r>
          </w:p>
        </w:tc>
        <w:tc>
          <w:tcPr>
            <w:tcW w:w="11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10734561</w:t>
            </w:r>
          </w:p>
        </w:tc>
        <w:tc>
          <w:tcPr>
            <w:tcW w:w="480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厢斗总成110立方\SF33900-8500000\卡车\SF33900\国产</w:t>
            </w:r>
          </w:p>
        </w:tc>
        <w:tc>
          <w:tcPr>
            <w:tcW w:w="7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台</w:t>
            </w:r>
          </w:p>
        </w:tc>
        <w:tc>
          <w:tcPr>
            <w:tcW w:w="130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widowControl/>
              <w:suppressLineNumbers w:val="0"/>
              <w:spacing w:line="360" w:lineRule="auto"/>
              <w:jc w:val="center"/>
              <w:textAlignment w:val="center"/>
              <w:rPr>
                <w:rFonts w:hint="eastAsia" w:ascii="仿宋" w:hAnsi="仿宋" w:eastAsia="仿宋" w:cs="仿宋"/>
                <w:i w:val="0"/>
                <w:color w:val="000000"/>
                <w:sz w:val="21"/>
                <w:szCs w:val="21"/>
                <w:u w:val="none"/>
              </w:rPr>
            </w:pPr>
            <w:r>
              <w:rPr>
                <w:rFonts w:hint="eastAsia" w:ascii="仿宋" w:hAnsi="仿宋" w:eastAsia="仿宋" w:cs="仿宋"/>
                <w:i w:val="0"/>
                <w:color w:val="000000"/>
                <w:kern w:val="0"/>
                <w:sz w:val="21"/>
                <w:szCs w:val="21"/>
                <w:u w:val="none"/>
                <w:lang w:val="en-US" w:eastAsia="zh-CN" w:bidi="ar"/>
              </w:rPr>
              <w:t>2</w:t>
            </w:r>
          </w:p>
        </w:tc>
      </w:tr>
      <w:bookmarkEnd w:id="1"/>
    </w:tbl>
    <w:p>
      <w:pPr>
        <w:bidi w:val="0"/>
        <w:spacing w:line="360" w:lineRule="auto"/>
        <w:rPr>
          <w:rFonts w:hint="eastAsia" w:ascii="仿宋" w:hAnsi="仿宋" w:eastAsia="仿宋" w:cs="仿宋"/>
          <w:b/>
          <w:bCs/>
          <w:lang w:val="en-US" w:eastAsia="zh-CN"/>
        </w:rPr>
      </w:pPr>
      <w:bookmarkStart w:id="2" w:name="_Toc17296"/>
      <w:r>
        <w:rPr>
          <w:rFonts w:hint="eastAsia" w:ascii="仿宋" w:hAnsi="仿宋" w:eastAsia="仿宋" w:cs="仿宋"/>
          <w:b/>
          <w:bCs/>
          <w:lang w:val="en-US" w:eastAsia="zh-CN"/>
        </w:rPr>
        <w:t>2.技术部分</w:t>
      </w:r>
      <w:bookmarkEnd w:id="2"/>
    </w:p>
    <w:p>
      <w:pPr>
        <w:bidi w:val="0"/>
        <w:spacing w:line="360" w:lineRule="auto"/>
        <w:rPr>
          <w:rFonts w:hint="eastAsia" w:ascii="仿宋" w:hAnsi="仿宋" w:eastAsia="仿宋" w:cs="仿宋"/>
          <w:b/>
          <w:bCs/>
          <w:lang w:val="en-US" w:eastAsia="zh-CN"/>
        </w:rPr>
      </w:pPr>
      <w:r>
        <w:rPr>
          <w:rFonts w:hint="eastAsia" w:ascii="仿宋" w:hAnsi="仿宋" w:eastAsia="仿宋" w:cs="仿宋"/>
          <w:b/>
          <w:bCs/>
          <w:lang w:val="en-US" w:eastAsia="zh-CN"/>
        </w:rPr>
        <w:t>2.1投标产品技术规格、参数要求</w:t>
      </w:r>
    </w:p>
    <w:p>
      <w:pPr>
        <w:bidi w:val="0"/>
        <w:spacing w:line="360" w:lineRule="auto"/>
        <w:rPr>
          <w:rFonts w:hint="eastAsia" w:ascii="仿宋" w:hAnsi="仿宋" w:eastAsia="仿宋" w:cs="仿宋"/>
          <w:b w:val="0"/>
          <w:bCs/>
          <w:color w:val="FF0000"/>
          <w:sz w:val="21"/>
          <w:szCs w:val="21"/>
          <w:lang w:eastAsia="zh-CN"/>
        </w:rPr>
      </w:pPr>
      <w:r>
        <w:rPr>
          <w:rFonts w:hint="eastAsia" w:ascii="仿宋" w:hAnsi="仿宋" w:eastAsia="仿宋" w:cs="仿宋"/>
          <w:b w:val="0"/>
          <w:bCs/>
          <w:color w:val="auto"/>
          <w:kern w:val="2"/>
          <w:sz w:val="21"/>
          <w:szCs w:val="21"/>
          <w:highlight w:val="none"/>
          <w:lang w:val="en-US" w:eastAsia="zh-CN" w:bidi="ar-SA"/>
        </w:rPr>
        <w:t>*2.1.1试件与对应原装配件使用工况相同，满足耐磨、使用频繁、灰尘大、振动强、冲击强等特点，要求试件具有符合所有工况的性能</w:t>
      </w:r>
      <w:r>
        <w:rPr>
          <w:rFonts w:hint="eastAsia" w:ascii="仿宋" w:hAnsi="仿宋" w:eastAsia="仿宋" w:cs="仿宋"/>
          <w:b w:val="0"/>
          <w:bCs/>
          <w:color w:val="auto"/>
          <w:sz w:val="21"/>
          <w:szCs w:val="21"/>
        </w:rPr>
        <w:t>。试件</w:t>
      </w:r>
      <w:r>
        <w:rPr>
          <w:rFonts w:hint="eastAsia" w:ascii="仿宋" w:hAnsi="仿宋" w:eastAsia="仿宋" w:cs="仿宋"/>
          <w:b w:val="0"/>
          <w:bCs/>
          <w:color w:val="auto"/>
          <w:sz w:val="21"/>
          <w:szCs w:val="21"/>
          <w:lang w:val="en-US" w:eastAsia="zh-CN"/>
        </w:rPr>
        <w:t>的</w:t>
      </w:r>
      <w:r>
        <w:rPr>
          <w:rFonts w:hint="eastAsia" w:ascii="仿宋" w:hAnsi="仿宋" w:eastAsia="仿宋" w:cs="仿宋"/>
          <w:b w:val="0"/>
          <w:bCs/>
          <w:color w:val="auto"/>
          <w:sz w:val="21"/>
          <w:szCs w:val="21"/>
        </w:rPr>
        <w:t>安装尺寸与</w:t>
      </w:r>
      <w:r>
        <w:rPr>
          <w:rFonts w:hint="eastAsia" w:ascii="仿宋" w:hAnsi="仿宋" w:eastAsia="仿宋" w:cs="仿宋"/>
          <w:b w:val="0"/>
          <w:bCs/>
          <w:color w:val="auto"/>
          <w:sz w:val="21"/>
          <w:szCs w:val="21"/>
          <w:lang w:eastAsia="zh-CN"/>
        </w:rPr>
        <w:t>原装配件</w:t>
      </w:r>
      <w:r>
        <w:rPr>
          <w:rFonts w:hint="eastAsia" w:ascii="仿宋" w:hAnsi="仿宋" w:eastAsia="仿宋" w:cs="仿宋"/>
          <w:b w:val="0"/>
          <w:bCs/>
          <w:color w:val="auto"/>
          <w:sz w:val="21"/>
          <w:szCs w:val="21"/>
        </w:rPr>
        <w:t>一致，与</w:t>
      </w:r>
      <w:r>
        <w:rPr>
          <w:rFonts w:hint="eastAsia" w:ascii="仿宋" w:hAnsi="仿宋" w:eastAsia="仿宋" w:cs="仿宋"/>
          <w:b w:val="0"/>
          <w:bCs/>
          <w:color w:val="auto"/>
          <w:sz w:val="21"/>
          <w:szCs w:val="21"/>
          <w:lang w:eastAsia="zh-CN"/>
        </w:rPr>
        <w:t>原装配件</w:t>
      </w:r>
      <w:r>
        <w:rPr>
          <w:rFonts w:hint="eastAsia" w:ascii="仿宋" w:hAnsi="仿宋" w:eastAsia="仿宋" w:cs="仿宋"/>
          <w:b w:val="0"/>
          <w:bCs/>
          <w:color w:val="auto"/>
          <w:sz w:val="21"/>
          <w:szCs w:val="21"/>
        </w:rPr>
        <w:t>实现互换</w:t>
      </w:r>
      <w:r>
        <w:rPr>
          <w:rFonts w:hint="eastAsia" w:ascii="仿宋" w:hAnsi="仿宋" w:eastAsia="仿宋" w:cs="仿宋"/>
          <w:b w:val="0"/>
          <w:bCs/>
          <w:color w:val="auto"/>
          <w:sz w:val="21"/>
          <w:szCs w:val="21"/>
          <w:highlight w:val="none"/>
        </w:rPr>
        <w:t>。</w:t>
      </w:r>
      <w:r>
        <w:rPr>
          <w:rFonts w:hint="eastAsia" w:ascii="仿宋" w:hAnsi="仿宋" w:eastAsia="仿宋" w:cs="仿宋"/>
          <w:b w:val="0"/>
          <w:bCs/>
          <w:color w:val="auto"/>
          <w:kern w:val="2"/>
          <w:sz w:val="21"/>
          <w:szCs w:val="21"/>
          <w:highlight w:val="none"/>
          <w:lang w:val="en-US" w:eastAsia="zh-CN" w:bidi="ar-SA"/>
        </w:rPr>
        <w:t>投标文件的技术部分与招标文件技术部分的查重率不得高于80%，关键*条款必须描述投标人的技术方案，否则视为实质性不响应招标文件。本包次配件寿命要高于原装配件的使用寿命，具体寿命要求详见下表：</w:t>
      </w:r>
    </w:p>
    <w:tbl>
      <w:tblPr>
        <w:tblStyle w:val="3"/>
        <w:tblW w:w="0" w:type="auto"/>
        <w:jc w:val="center"/>
        <w:tblLayout w:type="fixed"/>
        <w:tblCellMar>
          <w:top w:w="15" w:type="dxa"/>
          <w:left w:w="15" w:type="dxa"/>
          <w:bottom w:w="15" w:type="dxa"/>
          <w:right w:w="15" w:type="dxa"/>
        </w:tblCellMar>
      </w:tblPr>
      <w:tblGrid>
        <w:gridCol w:w="881"/>
        <w:gridCol w:w="4710"/>
        <w:gridCol w:w="3339"/>
      </w:tblGrid>
      <w:tr>
        <w:tblPrEx>
          <w:tblCellMar>
            <w:top w:w="15" w:type="dxa"/>
            <w:left w:w="15" w:type="dxa"/>
            <w:bottom w:w="15" w:type="dxa"/>
            <w:right w:w="15" w:type="dxa"/>
          </w:tblCellMar>
        </w:tblPrEx>
        <w:trPr>
          <w:trHeight w:val="90" w:hRule="atLeast"/>
          <w:jc w:val="center"/>
        </w:trPr>
        <w:tc>
          <w:tcPr>
            <w:tcW w:w="881"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sz w:val="21"/>
                <w:szCs w:val="21"/>
              </w:rPr>
            </w:pPr>
            <w:r>
              <w:rPr>
                <w:rFonts w:hint="eastAsia" w:ascii="仿宋" w:hAnsi="仿宋" w:eastAsia="仿宋" w:cs="仿宋"/>
                <w:kern w:val="0"/>
                <w:sz w:val="21"/>
                <w:szCs w:val="21"/>
                <w:lang w:bidi="ar"/>
              </w:rPr>
              <w:t>序号</w:t>
            </w:r>
          </w:p>
        </w:tc>
        <w:tc>
          <w:tcPr>
            <w:tcW w:w="4710"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sz w:val="21"/>
                <w:szCs w:val="21"/>
              </w:rPr>
            </w:pPr>
            <w:r>
              <w:rPr>
                <w:rFonts w:hint="eastAsia" w:ascii="仿宋" w:hAnsi="仿宋" w:eastAsia="仿宋" w:cs="仿宋"/>
                <w:kern w:val="0"/>
                <w:sz w:val="21"/>
                <w:szCs w:val="21"/>
                <w:lang w:bidi="ar"/>
              </w:rPr>
              <w:t>物料描述</w:t>
            </w:r>
          </w:p>
        </w:tc>
        <w:tc>
          <w:tcPr>
            <w:tcW w:w="3339" w:type="dxa"/>
            <w:tcBorders>
              <w:top w:val="single" w:color="auto" w:sz="4" w:space="0"/>
              <w:left w:val="single" w:color="000000" w:sz="4" w:space="0"/>
              <w:bottom w:val="single" w:color="000000" w:sz="4" w:space="0"/>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360" w:lineRule="auto"/>
              <w:jc w:val="left"/>
              <w:rPr>
                <w:rFonts w:hint="eastAsia" w:ascii="仿宋" w:hAnsi="仿宋" w:eastAsia="仿宋" w:cs="仿宋"/>
                <w:sz w:val="21"/>
                <w:szCs w:val="21"/>
                <w:highlight w:val="yellow"/>
                <w:lang w:eastAsia="zh-CN"/>
              </w:rPr>
            </w:pPr>
            <w:r>
              <w:rPr>
                <w:rFonts w:hint="eastAsia" w:ascii="仿宋" w:hAnsi="仿宋" w:eastAsia="仿宋" w:cs="仿宋"/>
                <w:sz w:val="21"/>
                <w:szCs w:val="21"/>
                <w:highlight w:val="none"/>
                <w:lang w:val="en-US" w:eastAsia="zh-CN"/>
              </w:rPr>
              <w:t>每台厢斗</w:t>
            </w:r>
            <w:r>
              <w:rPr>
                <w:rFonts w:hint="eastAsia" w:ascii="仿宋" w:hAnsi="仿宋" w:eastAsia="仿宋" w:cs="仿宋"/>
                <w:sz w:val="21"/>
                <w:szCs w:val="21"/>
                <w:highlight w:val="none"/>
                <w:lang w:eastAsia="zh-CN"/>
              </w:rPr>
              <w:t>要求</w:t>
            </w:r>
            <w:r>
              <w:rPr>
                <w:rFonts w:hint="eastAsia" w:ascii="仿宋" w:hAnsi="仿宋" w:eastAsia="仿宋" w:cs="仿宋"/>
                <w:sz w:val="21"/>
                <w:szCs w:val="21"/>
                <w:highlight w:val="none"/>
              </w:rPr>
              <w:t>使用寿命</w:t>
            </w:r>
            <w:r>
              <w:rPr>
                <w:rFonts w:hint="eastAsia" w:ascii="仿宋" w:hAnsi="仿宋" w:eastAsia="仿宋" w:cs="仿宋"/>
                <w:sz w:val="21"/>
                <w:szCs w:val="21"/>
                <w:highlight w:val="none"/>
                <w:lang w:val="en-US" w:eastAsia="zh-CN"/>
              </w:rPr>
              <w:t>（装机运行小时数）</w:t>
            </w:r>
          </w:p>
        </w:tc>
      </w:tr>
      <w:tr>
        <w:tblPrEx>
          <w:tblCellMar>
            <w:top w:w="15" w:type="dxa"/>
            <w:left w:w="15" w:type="dxa"/>
            <w:bottom w:w="15" w:type="dxa"/>
            <w:right w:w="15" w:type="dxa"/>
          </w:tblCellMar>
        </w:tblPrEx>
        <w:trPr>
          <w:trHeight w:val="144" w:hRule="atLeast"/>
          <w:jc w:val="center"/>
        </w:trPr>
        <w:tc>
          <w:tcPr>
            <w:tcW w:w="881"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sz w:val="21"/>
                <w:szCs w:val="21"/>
              </w:rPr>
            </w:pPr>
            <w:r>
              <w:rPr>
                <w:rFonts w:hint="eastAsia" w:ascii="仿宋" w:hAnsi="仿宋" w:eastAsia="仿宋" w:cs="仿宋"/>
                <w:kern w:val="0"/>
                <w:sz w:val="21"/>
                <w:szCs w:val="21"/>
                <w:lang w:bidi="ar"/>
              </w:rPr>
              <w:t>1</w:t>
            </w:r>
          </w:p>
        </w:tc>
        <w:tc>
          <w:tcPr>
            <w:tcW w:w="47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jc w:val="center"/>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厢斗总成110立方\SF33900-8500000\卡车\SF33900\国产</w:t>
            </w:r>
          </w:p>
        </w:tc>
        <w:tc>
          <w:tcPr>
            <w:tcW w:w="3339"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spacing w:line="360" w:lineRule="auto"/>
              <w:jc w:val="left"/>
              <w:textAlignment w:val="center"/>
              <w:rPr>
                <w:rFonts w:hint="eastAsia" w:ascii="仿宋" w:hAnsi="仿宋" w:eastAsia="仿宋" w:cs="仿宋"/>
                <w:kern w:val="0"/>
                <w:sz w:val="21"/>
                <w:szCs w:val="21"/>
                <w:lang w:val="en-US" w:eastAsia="zh-CN" w:bidi="ar"/>
              </w:rPr>
            </w:pPr>
            <w:r>
              <w:rPr>
                <w:rFonts w:hint="eastAsia" w:ascii="仿宋" w:hAnsi="仿宋" w:eastAsia="仿宋" w:cs="仿宋"/>
                <w:kern w:val="0"/>
                <w:sz w:val="21"/>
                <w:szCs w:val="21"/>
                <w:lang w:eastAsia="zh-CN" w:bidi="ar"/>
              </w:rPr>
              <w:t>＞</w:t>
            </w:r>
            <w:r>
              <w:rPr>
                <w:rFonts w:hint="eastAsia" w:ascii="仿宋" w:hAnsi="仿宋" w:eastAsia="仿宋" w:cs="仿宋"/>
                <w:kern w:val="0"/>
                <w:sz w:val="21"/>
                <w:szCs w:val="21"/>
                <w:lang w:val="en-US" w:eastAsia="zh-CN" w:bidi="ar"/>
              </w:rPr>
              <w:t>30000</w:t>
            </w:r>
          </w:p>
        </w:tc>
      </w:tr>
    </w:tbl>
    <w:p>
      <w:pPr>
        <w:bidi w:val="0"/>
        <w:spacing w:line="360" w:lineRule="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2.1.2工作环境</w:t>
      </w:r>
    </w:p>
    <w:p>
      <w:pPr>
        <w:spacing w:beforeLines="0" w:afterLines="0" w:line="360"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海拔高度：1300m；地形标高（开采地点）：1050～1150m。</w:t>
      </w:r>
    </w:p>
    <w:p>
      <w:pPr>
        <w:spacing w:beforeLines="0" w:afterLines="0" w:line="360"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岩石层以上的黄土层厚度40～60m。岩石性质为砂岩及泥岩，抗压强度38.93～50.8MPa，抗剪强度36.78～46.19MPa。</w:t>
      </w:r>
    </w:p>
    <w:p>
      <w:pPr>
        <w:spacing w:beforeLines="0" w:afterLines="0" w:line="360" w:lineRule="auto"/>
        <w:jc w:val="left"/>
        <w:rPr>
          <w:rFonts w:hint="eastAsia" w:ascii="仿宋" w:hAnsi="仿宋" w:eastAsia="仿宋" w:cs="仿宋"/>
          <w:b w:val="0"/>
          <w:bCs/>
          <w:color w:val="auto"/>
          <w:kern w:val="44"/>
          <w:sz w:val="21"/>
          <w:szCs w:val="21"/>
          <w:highlight w:val="none"/>
          <w:lang w:val="en-US" w:eastAsia="zh-CN" w:bidi="ar-SA"/>
        </w:rPr>
      </w:pPr>
      <w:r>
        <w:rPr>
          <w:rFonts w:hint="eastAsia" w:ascii="仿宋" w:hAnsi="仿宋" w:eastAsia="仿宋" w:cs="仿宋"/>
          <w:b w:val="0"/>
          <w:bCs/>
          <w:color w:val="auto"/>
          <w:sz w:val="21"/>
          <w:szCs w:val="21"/>
          <w:highlight w:val="none"/>
          <w:lang w:val="en-US" w:eastAsia="zh-CN"/>
        </w:rPr>
        <w:t>岩石容重：2.37t/m3；岩</w:t>
      </w:r>
      <w:r>
        <w:rPr>
          <w:rFonts w:hint="eastAsia" w:ascii="仿宋" w:hAnsi="仿宋" w:eastAsia="仿宋" w:cs="仿宋"/>
          <w:b w:val="0"/>
          <w:bCs/>
          <w:color w:val="auto"/>
          <w:kern w:val="44"/>
          <w:sz w:val="21"/>
          <w:szCs w:val="21"/>
          <w:highlight w:val="none"/>
          <w:lang w:val="en-US" w:eastAsia="zh-CN" w:bidi="ar-SA"/>
        </w:rPr>
        <w:t>石松散容重：1.756t/m3（松散系数1.35）。</w:t>
      </w:r>
    </w:p>
    <w:p>
      <w:pPr>
        <w:spacing w:beforeLines="0" w:afterLines="0" w:line="360" w:lineRule="auto"/>
        <w:jc w:val="left"/>
        <w:rPr>
          <w:rFonts w:hint="eastAsia" w:ascii="仿宋" w:hAnsi="仿宋" w:eastAsia="仿宋" w:cs="仿宋"/>
          <w:b w:val="0"/>
          <w:bCs/>
          <w:color w:val="auto"/>
          <w:kern w:val="44"/>
          <w:sz w:val="21"/>
          <w:szCs w:val="21"/>
          <w:highlight w:val="none"/>
          <w:lang w:val="en-US" w:eastAsia="zh-CN" w:bidi="ar-SA"/>
        </w:rPr>
      </w:pPr>
      <w:r>
        <w:rPr>
          <w:rFonts w:hint="eastAsia" w:ascii="仿宋" w:hAnsi="仿宋" w:eastAsia="仿宋" w:cs="仿宋"/>
          <w:b w:val="0"/>
          <w:bCs/>
          <w:color w:val="auto"/>
          <w:kern w:val="44"/>
          <w:sz w:val="21"/>
          <w:szCs w:val="21"/>
          <w:highlight w:val="none"/>
          <w:lang w:val="en-US" w:eastAsia="zh-CN" w:bidi="ar-SA"/>
        </w:rPr>
        <w:t>装载最大石块大小为：1.0～1.5m（约8公吨左右）；装车高度不大于4.5m。</w:t>
      </w:r>
    </w:p>
    <w:p>
      <w:pPr>
        <w:bidi w:val="0"/>
        <w:spacing w:line="360" w:lineRule="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2.1.3原装普通厢斗斗容：平装：110m³；堆装：140m³；载重220吨，厢斗用途：运输岩石等物料。原装普通厢斗重量为38吨（含所有附件及耐磨层），要求开发的轻量化厢斗重量不得超于31吨（含所有附件及耐磨层），并要求将减轻的厢斗重量转化为载重量，要求开发的厢斗堆装容积≥142m³，投标方在投标书提供轻量化厢斗的重量、斗容、厢斗尺寸等信息，并提供斗容计算方式。</w:t>
      </w:r>
    </w:p>
    <w:p>
      <w:pPr>
        <w:bidi w:val="0"/>
        <w:spacing w:line="360" w:lineRule="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2.1.4投标方根据卡车载重量、物料特性、装料和运行过程的冲击力等，底板、侧板、前板要求选用硬度值≥450HBW的具有极高的韧性和耐磨性能的钢板，并且合理选择设计、加工方案，保证厢斗在30000小时（发动机运行小时）内，无需停机修理、无需更换钢板，要求达到轻量化免维护目的。投标书提供厢斗各部位选用材料型号及对应的硬度（单位为HBW）、</w:t>
      </w:r>
    </w:p>
    <w:p>
      <w:pPr>
        <w:spacing w:beforeLines="0" w:afterLines="0" w:line="360" w:lineRule="auto"/>
        <w:jc w:val="left"/>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厚度。并提供轻量化免维护厢斗耐磨性分析表：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3"/>
        <w:gridCol w:w="1503"/>
        <w:gridCol w:w="2144"/>
        <w:gridCol w:w="1823"/>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ind w:left="840" w:leftChars="200" w:hanging="420" w:hangingChars="200"/>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 xml:space="preserve"> 厢斗部位</w:t>
            </w:r>
          </w:p>
        </w:tc>
        <w:tc>
          <w:tcPr>
            <w:tcW w:w="150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原始厚度（mm）</w:t>
            </w:r>
          </w:p>
        </w:tc>
        <w:tc>
          <w:tcPr>
            <w:tcW w:w="2144"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装机运行2000-3000小时磨损值（mm）</w:t>
            </w: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装机运行5000-6000小时的磨损值（mm）</w:t>
            </w: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装机运行10000-12000小时的磨损值（mm）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ind w:left="840" w:leftChars="300" w:hanging="210" w:hangingChars="100"/>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尾部底板</w:t>
            </w:r>
          </w:p>
        </w:tc>
        <w:tc>
          <w:tcPr>
            <w:tcW w:w="150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2144"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ind w:left="840" w:leftChars="300" w:hanging="210" w:hangingChars="100"/>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侧板</w:t>
            </w:r>
          </w:p>
        </w:tc>
        <w:tc>
          <w:tcPr>
            <w:tcW w:w="150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2144"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r>
    </w:tbl>
    <w:p>
      <w:pPr>
        <w:spacing w:line="360" w:lineRule="auto"/>
        <w:rPr>
          <w:rFonts w:hint="eastAsia" w:ascii="仿宋" w:hAnsi="仿宋" w:eastAsia="仿宋" w:cs="仿宋"/>
          <w:b w:val="0"/>
          <w:bCs/>
          <w:color w:val="auto"/>
          <w:sz w:val="21"/>
          <w:szCs w:val="21"/>
          <w:lang w:val="en-US" w:eastAsia="zh-CN"/>
        </w:rPr>
      </w:pPr>
    </w:p>
    <w:p>
      <w:pPr>
        <w:bidi w:val="0"/>
        <w:spacing w:line="360" w:lineRule="auto"/>
        <w:rPr>
          <w:rFonts w:hint="eastAsia" w:ascii="仿宋" w:hAnsi="仿宋" w:eastAsia="仿宋" w:cs="仿宋"/>
          <w:b w:val="0"/>
          <w:bCs/>
          <w:color w:val="0000FF"/>
          <w:sz w:val="21"/>
          <w:szCs w:val="21"/>
          <w:highlight w:val="green"/>
          <w:lang w:val="en-US" w:eastAsia="zh-CN"/>
        </w:rPr>
      </w:pPr>
      <w:r>
        <w:rPr>
          <w:rFonts w:hint="eastAsia" w:ascii="仿宋" w:hAnsi="仿宋" w:eastAsia="仿宋" w:cs="仿宋"/>
          <w:b w:val="0"/>
          <w:bCs/>
          <w:color w:val="auto"/>
          <w:sz w:val="21"/>
          <w:szCs w:val="21"/>
          <w:lang w:val="en-US" w:eastAsia="zh-CN"/>
        </w:rPr>
        <w:t>*</w:t>
      </w:r>
      <w:r>
        <w:rPr>
          <w:rFonts w:hint="eastAsia" w:ascii="仿宋" w:hAnsi="仿宋" w:eastAsia="仿宋" w:cs="仿宋"/>
          <w:b w:val="0"/>
          <w:bCs/>
          <w:color w:val="auto"/>
          <w:sz w:val="21"/>
          <w:szCs w:val="21"/>
          <w:highlight w:val="none"/>
          <w:lang w:val="en-US" w:eastAsia="zh-CN"/>
        </w:rPr>
        <w:t>2.1.5厢斗的结构：要求</w:t>
      </w:r>
      <w:r>
        <w:rPr>
          <w:rFonts w:hint="eastAsia" w:ascii="仿宋" w:hAnsi="仿宋" w:eastAsia="仿宋" w:cs="仿宋"/>
          <w:b w:val="0"/>
          <w:bCs/>
          <w:color w:val="auto"/>
          <w:sz w:val="21"/>
          <w:szCs w:val="21"/>
          <w:highlight w:val="none"/>
        </w:rPr>
        <w:t>厢斗整体圆弧设计</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缓和装载冲击，提高驾乘舒适性</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厢斗</w:t>
      </w:r>
      <w:r>
        <w:rPr>
          <w:rFonts w:hint="eastAsia" w:ascii="仿宋" w:hAnsi="仿宋" w:eastAsia="仿宋" w:cs="仿宋"/>
          <w:b w:val="0"/>
          <w:bCs/>
          <w:color w:val="auto"/>
          <w:kern w:val="44"/>
          <w:sz w:val="21"/>
          <w:szCs w:val="21"/>
          <w:highlight w:val="none"/>
          <w:lang w:val="en-US" w:eastAsia="zh-CN" w:bidi="ar-SA"/>
        </w:rPr>
        <w:t>主梁、横梁要求设计截面为H型，且所有结构梁为龙骨骨架一体设计(要求附3D结构图)，底板为整体耐磨钢板(要求附3D结构图)，要求具有很高的自然刚性；顶棚需超强设计，缓和装料时的冲击力，起保护作用，并石料倾卸时顺利倒出；侧边边沿要求加强，能承受装料的强烈冲击。</w:t>
      </w:r>
      <w:r>
        <w:rPr>
          <w:rFonts w:hint="eastAsia" w:ascii="仿宋" w:hAnsi="仿宋" w:eastAsia="仿宋" w:cs="仿宋"/>
          <w:b w:val="0"/>
          <w:bCs/>
          <w:color w:val="auto"/>
          <w:sz w:val="21"/>
          <w:szCs w:val="21"/>
          <w:highlight w:val="none"/>
          <w:lang w:val="en-US" w:eastAsia="zh-CN"/>
        </w:rPr>
        <w:t>说明厢斗制造工艺、有限元分析等。</w:t>
      </w:r>
    </w:p>
    <w:p>
      <w:pPr>
        <w:bidi w:val="0"/>
        <w:spacing w:line="360" w:lineRule="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*2.1.6满载时前、后轴荷比满足1:2分布，举升卸料时车厢重心不过中心平衡点，避免产生拔缸及不平衡等现象出现。要求投标方描述其厢斗如何达到1:2分布的要求。</w:t>
      </w:r>
    </w:p>
    <w:p>
      <w:pPr>
        <w:bidi w:val="0"/>
        <w:spacing w:line="360" w:lineRule="auto"/>
        <w:rPr>
          <w:rFonts w:hint="eastAsia" w:ascii="仿宋" w:hAnsi="仿宋" w:eastAsia="仿宋" w:cs="仿宋"/>
          <w:b w:val="0"/>
          <w:bCs/>
          <w:color w:val="auto"/>
          <w:sz w:val="21"/>
          <w:szCs w:val="21"/>
          <w:lang w:val="en-US" w:eastAsia="zh-CN"/>
        </w:rPr>
      </w:pPr>
      <w:r>
        <w:rPr>
          <w:rFonts w:hint="eastAsia" w:ascii="仿宋" w:hAnsi="仿宋" w:eastAsia="仿宋" w:cs="仿宋"/>
          <w:b w:val="0"/>
          <w:bCs/>
          <w:color w:val="auto"/>
          <w:sz w:val="21"/>
          <w:szCs w:val="21"/>
          <w:lang w:val="en-US" w:eastAsia="zh-CN"/>
        </w:rPr>
        <w:t>*2.1.7卡车厢斗必须配备满足现场使用要求的轮胎防砸保护板、后轮排石器座及链、安全绳座和橡胶缓冲垫等附件。底板、前板、侧板交接处要求设计大圆弧过度，解决占料现象。</w:t>
      </w:r>
    </w:p>
    <w:p>
      <w:pPr>
        <w:bidi w:val="0"/>
        <w:spacing w:line="360" w:lineRule="auto"/>
        <w:rPr>
          <w:rFonts w:hint="eastAsia" w:ascii="仿宋" w:hAnsi="仿宋" w:eastAsia="仿宋" w:cs="仿宋"/>
          <w:b w:val="0"/>
          <w:bCs/>
          <w:color w:val="auto"/>
          <w:sz w:val="21"/>
          <w:szCs w:val="21"/>
        </w:rPr>
      </w:pPr>
      <w:r>
        <w:rPr>
          <w:rFonts w:hint="eastAsia" w:ascii="仿宋" w:hAnsi="仿宋" w:eastAsia="仿宋" w:cs="仿宋"/>
          <w:b w:val="0"/>
          <w:bCs/>
          <w:color w:val="auto"/>
          <w:sz w:val="21"/>
          <w:szCs w:val="21"/>
          <w:lang w:val="en-US" w:eastAsia="zh-CN"/>
        </w:rPr>
        <w:t>*2.1.8</w:t>
      </w:r>
      <w:r>
        <w:rPr>
          <w:rFonts w:hint="eastAsia" w:ascii="仿宋" w:hAnsi="仿宋" w:eastAsia="仿宋" w:cs="仿宋"/>
          <w:b w:val="0"/>
          <w:bCs/>
          <w:color w:val="auto"/>
          <w:sz w:val="21"/>
          <w:szCs w:val="21"/>
        </w:rPr>
        <w:t>防腐和油漆：厢斗表面油漆颜色为黄色（颜色要求与现场使用的厢斗颜色一致）。厢斗上所有的零部件必须进行喷砂、喷漆保护，并至少上两遍底漆及两遍面漆。在运输途中或现场安装后造成厢斗漆面损伤的部位必须进行补漆。所有防腐材料和油漆采用符合国家相应标准的产品。</w:t>
      </w:r>
    </w:p>
    <w:p>
      <w:pPr>
        <w:bidi w:val="0"/>
        <w:spacing w:line="360" w:lineRule="auto"/>
        <w:rPr>
          <w:rFonts w:hint="eastAsia" w:ascii="仿宋" w:hAnsi="仿宋" w:eastAsia="仿宋" w:cs="仿宋"/>
          <w:b w:val="0"/>
          <w:bCs/>
          <w:color w:val="auto"/>
          <w:sz w:val="21"/>
          <w:szCs w:val="21"/>
        </w:rPr>
      </w:pPr>
      <w:r>
        <w:rPr>
          <w:rFonts w:hint="eastAsia" w:ascii="仿宋" w:hAnsi="仿宋" w:eastAsia="仿宋" w:cs="仿宋"/>
          <w:b w:val="0"/>
          <w:bCs/>
          <w:color w:val="auto"/>
          <w:sz w:val="21"/>
          <w:szCs w:val="21"/>
          <w:lang w:val="en-US" w:eastAsia="zh-CN"/>
        </w:rPr>
        <w:t>*2.1.9</w:t>
      </w:r>
      <w:r>
        <w:rPr>
          <w:rFonts w:hint="eastAsia" w:ascii="仿宋" w:hAnsi="仿宋" w:eastAsia="仿宋" w:cs="仿宋"/>
          <w:b w:val="0"/>
          <w:bCs/>
          <w:color w:val="auto"/>
          <w:sz w:val="21"/>
          <w:szCs w:val="21"/>
        </w:rPr>
        <w:t>要求焊缝成形美观，不得有夹渣、气孔、未焊透等缺陷。主要焊缝部位必须进行探伤处理，并出具相应的探伤报告。</w:t>
      </w:r>
    </w:p>
    <w:p>
      <w:pPr>
        <w:bidi w:val="0"/>
        <w:spacing w:line="360" w:lineRule="auto"/>
        <w:rPr>
          <w:rFonts w:hint="eastAsia" w:ascii="仿宋" w:hAnsi="仿宋" w:eastAsia="仿宋" w:cs="仿宋"/>
          <w:color w:val="auto"/>
          <w:sz w:val="21"/>
          <w:szCs w:val="21"/>
        </w:rPr>
      </w:pPr>
      <w:r>
        <w:rPr>
          <w:rFonts w:hint="eastAsia" w:ascii="仿宋" w:hAnsi="仿宋" w:eastAsia="仿宋" w:cs="仿宋"/>
          <w:b w:val="0"/>
          <w:bCs/>
          <w:color w:val="auto"/>
          <w:sz w:val="21"/>
          <w:szCs w:val="21"/>
          <w:lang w:val="en-US" w:eastAsia="zh-CN"/>
        </w:rPr>
        <w:t>*</w:t>
      </w:r>
      <w:r>
        <w:rPr>
          <w:rFonts w:hint="eastAsia" w:ascii="仿宋" w:hAnsi="仿宋" w:eastAsia="仿宋" w:cs="仿宋"/>
          <w:color w:val="auto"/>
          <w:sz w:val="21"/>
          <w:szCs w:val="21"/>
        </w:rPr>
        <w:t>2.1.</w:t>
      </w:r>
      <w:r>
        <w:rPr>
          <w:rFonts w:hint="eastAsia" w:ascii="仿宋" w:hAnsi="仿宋" w:eastAsia="仿宋" w:cs="仿宋"/>
          <w:color w:val="auto"/>
          <w:sz w:val="21"/>
          <w:szCs w:val="21"/>
          <w:lang w:val="en-US" w:eastAsia="zh-CN"/>
        </w:rPr>
        <w:t>10</w:t>
      </w:r>
      <w:r>
        <w:rPr>
          <w:rFonts w:hint="eastAsia" w:ascii="仿宋" w:hAnsi="仿宋" w:eastAsia="仿宋" w:cs="仿宋"/>
          <w:color w:val="auto"/>
          <w:sz w:val="21"/>
          <w:szCs w:val="21"/>
        </w:rPr>
        <w:t>现场测量：招标方提供测绘配件（旧件）与测绘场地，投标方自行准备所需工具并进行测绘和检测</w:t>
      </w:r>
      <w:r>
        <w:rPr>
          <w:rFonts w:hint="eastAsia" w:ascii="仿宋" w:hAnsi="仿宋" w:eastAsia="仿宋" w:cs="仿宋"/>
          <w:color w:val="auto"/>
          <w:sz w:val="21"/>
          <w:szCs w:val="21"/>
          <w:lang w:eastAsia="zh-CN"/>
        </w:rPr>
        <w:t>原装配件</w:t>
      </w:r>
      <w:r>
        <w:rPr>
          <w:rFonts w:hint="eastAsia" w:ascii="仿宋" w:hAnsi="仿宋" w:eastAsia="仿宋" w:cs="仿宋"/>
          <w:color w:val="auto"/>
          <w:sz w:val="21"/>
          <w:szCs w:val="21"/>
        </w:rPr>
        <w:t>的</w:t>
      </w:r>
      <w:r>
        <w:rPr>
          <w:rFonts w:hint="eastAsia" w:ascii="仿宋" w:hAnsi="仿宋" w:eastAsia="仿宋" w:cs="仿宋"/>
          <w:color w:val="auto"/>
          <w:sz w:val="21"/>
          <w:szCs w:val="21"/>
          <w:lang w:val="en-US" w:eastAsia="zh-CN"/>
        </w:rPr>
        <w:t>装配</w:t>
      </w:r>
      <w:r>
        <w:rPr>
          <w:rFonts w:hint="eastAsia" w:ascii="仿宋" w:hAnsi="仿宋" w:eastAsia="仿宋" w:cs="仿宋"/>
          <w:color w:val="auto"/>
          <w:sz w:val="21"/>
          <w:szCs w:val="21"/>
        </w:rPr>
        <w:t>尺寸参数和性能参数</w:t>
      </w:r>
      <w:r>
        <w:rPr>
          <w:rFonts w:hint="eastAsia" w:ascii="仿宋" w:hAnsi="仿宋" w:eastAsia="仿宋" w:cs="仿宋"/>
          <w:color w:val="auto"/>
          <w:sz w:val="21"/>
          <w:szCs w:val="21"/>
          <w:lang w:eastAsia="zh-CN"/>
        </w:rPr>
        <w:t>，并在标书中说明测绘和检测结果。</w:t>
      </w:r>
      <w:r>
        <w:rPr>
          <w:rFonts w:hint="eastAsia" w:ascii="仿宋" w:hAnsi="仿宋" w:eastAsia="仿宋" w:cs="仿宋"/>
          <w:color w:val="auto"/>
          <w:sz w:val="21"/>
          <w:szCs w:val="21"/>
        </w:rPr>
        <w:t>对</w:t>
      </w:r>
      <w:r>
        <w:rPr>
          <w:rFonts w:hint="eastAsia" w:ascii="仿宋" w:hAnsi="仿宋" w:eastAsia="仿宋" w:cs="仿宋"/>
          <w:color w:val="auto"/>
          <w:sz w:val="21"/>
          <w:szCs w:val="21"/>
          <w:lang w:eastAsia="zh-CN"/>
        </w:rPr>
        <w:t>原装配件</w:t>
      </w:r>
      <w:r>
        <w:rPr>
          <w:rFonts w:hint="eastAsia" w:ascii="仿宋" w:hAnsi="仿宋" w:eastAsia="仿宋" w:cs="仿宋"/>
          <w:color w:val="auto"/>
          <w:sz w:val="21"/>
          <w:szCs w:val="21"/>
        </w:rPr>
        <w:t>进行破坏性测绘和检测的情况，双方协商解决赔偿事宜。</w:t>
      </w:r>
    </w:p>
    <w:p>
      <w:pPr>
        <w:bidi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*2.1.</w:t>
      </w: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要求投标文件中详细说明</w:t>
      </w:r>
      <w:r>
        <w:rPr>
          <w:rFonts w:hint="eastAsia" w:ascii="仿宋" w:hAnsi="仿宋" w:eastAsia="仿宋" w:cs="仿宋"/>
          <w:color w:val="auto"/>
          <w:sz w:val="21"/>
          <w:szCs w:val="21"/>
          <w:highlight w:val="none"/>
          <w:lang w:eastAsia="zh-CN"/>
        </w:rPr>
        <w:t>开发</w:t>
      </w:r>
      <w:r>
        <w:rPr>
          <w:rFonts w:hint="eastAsia" w:ascii="仿宋" w:hAnsi="仿宋" w:eastAsia="仿宋" w:cs="仿宋"/>
          <w:color w:val="auto"/>
          <w:sz w:val="21"/>
          <w:szCs w:val="21"/>
          <w:highlight w:val="none"/>
        </w:rPr>
        <w:t>试件设计</w:t>
      </w:r>
      <w:r>
        <w:rPr>
          <w:rFonts w:hint="eastAsia" w:ascii="仿宋" w:hAnsi="仿宋" w:eastAsia="仿宋" w:cs="仿宋"/>
          <w:color w:val="auto"/>
          <w:sz w:val="21"/>
          <w:szCs w:val="21"/>
          <w:highlight w:val="none"/>
          <w:lang w:eastAsia="zh-CN"/>
        </w:rPr>
        <w:t>方案</w:t>
      </w:r>
      <w:r>
        <w:rPr>
          <w:rFonts w:hint="eastAsia" w:ascii="仿宋" w:hAnsi="仿宋" w:eastAsia="仿宋" w:cs="仿宋"/>
          <w:color w:val="auto"/>
          <w:sz w:val="21"/>
          <w:szCs w:val="21"/>
          <w:highlight w:val="none"/>
        </w:rPr>
        <w:t>、加工</w:t>
      </w:r>
      <w:r>
        <w:rPr>
          <w:rFonts w:hint="eastAsia" w:ascii="仿宋" w:hAnsi="仿宋" w:eastAsia="仿宋" w:cs="仿宋"/>
          <w:color w:val="auto"/>
          <w:sz w:val="21"/>
          <w:szCs w:val="21"/>
          <w:highlight w:val="none"/>
          <w:lang w:eastAsia="zh-CN"/>
        </w:rPr>
        <w:t>制造</w:t>
      </w:r>
      <w:r>
        <w:rPr>
          <w:rFonts w:hint="eastAsia" w:ascii="仿宋" w:hAnsi="仿宋" w:eastAsia="仿宋" w:cs="仿宋"/>
          <w:color w:val="auto"/>
          <w:sz w:val="21"/>
          <w:szCs w:val="21"/>
          <w:highlight w:val="none"/>
        </w:rPr>
        <w:t>设备、</w:t>
      </w:r>
      <w:r>
        <w:rPr>
          <w:rFonts w:hint="eastAsia" w:ascii="仿宋" w:hAnsi="仿宋" w:eastAsia="仿宋" w:cs="仿宋"/>
          <w:color w:val="auto"/>
          <w:sz w:val="21"/>
          <w:szCs w:val="21"/>
          <w:highlight w:val="none"/>
          <w:lang w:eastAsia="zh-CN"/>
        </w:rPr>
        <w:t>检测检验设备、测绘</w:t>
      </w:r>
      <w:r>
        <w:rPr>
          <w:rFonts w:hint="eastAsia" w:ascii="仿宋" w:hAnsi="仿宋" w:eastAsia="仿宋" w:cs="仿宋"/>
          <w:color w:val="auto"/>
          <w:sz w:val="21"/>
          <w:szCs w:val="21"/>
          <w:highlight w:val="none"/>
        </w:rPr>
        <w:t>图纸等信息。若不一致则视为投标人伪造资质和实质性不响应招标文件。</w:t>
      </w:r>
    </w:p>
    <w:p>
      <w:pPr>
        <w:bidi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2.1.12</w:t>
      </w:r>
      <w:r>
        <w:rPr>
          <w:rFonts w:hint="eastAsia" w:ascii="仿宋" w:hAnsi="仿宋" w:eastAsia="仿宋" w:cs="仿宋"/>
          <w:color w:val="auto"/>
          <w:sz w:val="21"/>
          <w:szCs w:val="21"/>
          <w:highlight w:val="none"/>
        </w:rPr>
        <w:t>在中标通知书下达前，招标人有权到投标人生产现场核实其加工及试验设备实物配置是否和投标文件描述一致，若不一致则视为投标人伪造资质和实质性不响应招标文件。</w:t>
      </w:r>
    </w:p>
    <w:p>
      <w:pPr>
        <w:bidi w:val="0"/>
        <w:spacing w:line="360" w:lineRule="auto"/>
        <w:rPr>
          <w:rFonts w:hint="eastAsia" w:ascii="仿宋" w:hAnsi="仿宋" w:eastAsia="仿宋" w:cs="仿宋"/>
          <w:b/>
          <w:bCs/>
          <w:lang w:val="en-US" w:eastAsia="zh-CN"/>
        </w:rPr>
      </w:pPr>
      <w:r>
        <w:rPr>
          <w:rFonts w:hint="eastAsia" w:ascii="仿宋" w:hAnsi="仿宋" w:eastAsia="仿宋" w:cs="仿宋"/>
          <w:b/>
          <w:bCs/>
          <w:lang w:val="en-US" w:eastAsia="zh-CN"/>
        </w:rPr>
        <w:t>2.2一般性技术要求</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2.2.1监造：试件在投标人工厂的制造期间，招标人将酌情派出监造人员到投标人工厂进行监造。在监造中，如发现与协议技术要求不符甚至违背的情况，投标人应进一步优化制造工艺。</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2.2.2包装与标记：试件的包装首先应符合质量、技术及长途运输的要求。因包装、运输不当造成的试件损坏、丢失由中标人负责。中标人应根据试件的工况在试件上做出便于在安装后辨认且不易磨灭的标记，标记内容为：“合同编号”、“配件号”和“高端开发试件”字样等。如果试件有外包装，其外包装上也应做出上述同样标记。</w:t>
      </w:r>
    </w:p>
    <w:p>
      <w:pPr>
        <w:bidi w:val="0"/>
        <w:spacing w:line="360" w:lineRule="auto"/>
        <w:rPr>
          <w:rFonts w:hint="eastAsia" w:ascii="仿宋" w:hAnsi="仿宋" w:eastAsia="仿宋" w:cs="仿宋"/>
          <w:b/>
          <w:bCs/>
          <w:lang w:val="en-US" w:eastAsia="zh-CN"/>
        </w:rPr>
      </w:pPr>
      <w:bookmarkStart w:id="3" w:name="_Toc16401"/>
      <w:bookmarkStart w:id="4" w:name="_Toc17034"/>
      <w:r>
        <w:rPr>
          <w:rFonts w:hint="eastAsia" w:ascii="仿宋" w:hAnsi="仿宋" w:eastAsia="仿宋" w:cs="仿宋"/>
          <w:b/>
          <w:bCs/>
          <w:lang w:val="en-US" w:eastAsia="zh-CN"/>
        </w:rPr>
        <w:t>2.3供货</w:t>
      </w:r>
      <w:bookmarkEnd w:id="3"/>
      <w:bookmarkEnd w:id="4"/>
      <w:r>
        <w:rPr>
          <w:rFonts w:hint="eastAsia" w:ascii="仿宋" w:hAnsi="仿宋" w:eastAsia="仿宋" w:cs="仿宋"/>
          <w:b/>
          <w:bCs/>
          <w:lang w:val="en-US" w:eastAsia="zh-CN"/>
        </w:rPr>
        <w:t>范围</w:t>
      </w:r>
    </w:p>
    <w:p>
      <w:pPr>
        <w:bidi w:val="0"/>
        <w:spacing w:line="360" w:lineRule="auto"/>
        <w:rPr>
          <w:rFonts w:hint="eastAsia" w:ascii="仿宋" w:hAnsi="仿宋" w:eastAsia="仿宋" w:cs="仿宋"/>
          <w:color w:val="auto"/>
          <w:sz w:val="21"/>
          <w:szCs w:val="21"/>
          <w:lang w:val="en-US" w:eastAsia="zh-CN"/>
        </w:rPr>
      </w:pPr>
      <w:bookmarkStart w:id="5" w:name="_Toc17461"/>
      <w:bookmarkStart w:id="6" w:name="_Toc1169"/>
      <w:r>
        <w:rPr>
          <w:rFonts w:hint="eastAsia" w:ascii="仿宋" w:hAnsi="仿宋" w:eastAsia="仿宋" w:cs="仿宋"/>
          <w:color w:val="auto"/>
          <w:sz w:val="21"/>
          <w:szCs w:val="21"/>
          <w:lang w:val="en-US" w:eastAsia="zh-CN"/>
        </w:rPr>
        <w:t>要求供货方提供完整的、全新的、满足本招标文件各项条款的SF33900卡车轻量化免维护厢斗2台，包含测绘、设计、制造、试验、运输、技术服务等。供货一览表格式如下，包括但不仅限于以下内容。</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
        <w:gridCol w:w="2684"/>
        <w:gridCol w:w="734"/>
        <w:gridCol w:w="997"/>
        <w:gridCol w:w="1310"/>
        <w:gridCol w:w="1142"/>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49"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序号</w:t>
            </w:r>
          </w:p>
        </w:tc>
        <w:tc>
          <w:tcPr>
            <w:tcW w:w="2684" w:type="dxa"/>
            <w:noWrap w:val="0"/>
            <w:vAlign w:val="center"/>
          </w:tcPr>
          <w:p>
            <w:pPr>
              <w:spacing w:line="360" w:lineRule="auto"/>
              <w:ind w:firstLine="630" w:firstLineChars="3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物料描述</w:t>
            </w:r>
          </w:p>
        </w:tc>
        <w:tc>
          <w:tcPr>
            <w:tcW w:w="734"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数量</w:t>
            </w:r>
          </w:p>
        </w:tc>
        <w:tc>
          <w:tcPr>
            <w:tcW w:w="997" w:type="dxa"/>
            <w:noWrap w:val="0"/>
            <w:vAlign w:val="center"/>
          </w:tcPr>
          <w:p>
            <w:pPr>
              <w:spacing w:line="360" w:lineRule="auto"/>
              <w:ind w:firstLine="210" w:firstLineChars="1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单位</w:t>
            </w:r>
          </w:p>
        </w:tc>
        <w:tc>
          <w:tcPr>
            <w:tcW w:w="1310" w:type="dxa"/>
            <w:noWrap w:val="0"/>
            <w:vAlign w:val="center"/>
          </w:tcPr>
          <w:p>
            <w:pPr>
              <w:spacing w:line="360" w:lineRule="auto"/>
              <w:ind w:firstLine="210" w:firstLineChars="1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制造厂家</w:t>
            </w:r>
          </w:p>
        </w:tc>
        <w:tc>
          <w:tcPr>
            <w:tcW w:w="1142" w:type="dxa"/>
            <w:noWrap w:val="0"/>
            <w:vAlign w:val="center"/>
          </w:tcPr>
          <w:p>
            <w:pPr>
              <w:spacing w:line="360" w:lineRule="auto"/>
              <w:ind w:firstLine="210" w:firstLineChars="1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品牌</w:t>
            </w:r>
          </w:p>
        </w:tc>
        <w:tc>
          <w:tcPr>
            <w:tcW w:w="1500"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每台承诺使用寿命（装机运行小时数）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49" w:type="dxa"/>
            <w:noWrap w:val="0"/>
            <w:vAlign w:val="center"/>
          </w:tcPr>
          <w:p>
            <w:pPr>
              <w:spacing w:line="360" w:lineRule="auto"/>
              <w:ind w:firstLine="210" w:firstLineChars="1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1</w:t>
            </w:r>
          </w:p>
        </w:tc>
        <w:tc>
          <w:tcPr>
            <w:tcW w:w="2684"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厢斗总成110立方\SF33900-8500000\卡车\SF33900\国产</w:t>
            </w:r>
          </w:p>
        </w:tc>
        <w:tc>
          <w:tcPr>
            <w:tcW w:w="734" w:type="dxa"/>
            <w:noWrap w:val="0"/>
            <w:vAlign w:val="center"/>
          </w:tcPr>
          <w:p>
            <w:pPr>
              <w:spacing w:line="360" w:lineRule="auto"/>
              <w:ind w:firstLine="210" w:firstLineChars="1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997"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台</w:t>
            </w:r>
          </w:p>
        </w:tc>
        <w:tc>
          <w:tcPr>
            <w:tcW w:w="1310"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p>
        </w:tc>
        <w:tc>
          <w:tcPr>
            <w:tcW w:w="1142"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p>
        </w:tc>
        <w:tc>
          <w:tcPr>
            <w:tcW w:w="1500" w:type="dxa"/>
            <w:noWrap w:val="0"/>
            <w:vAlign w:val="center"/>
          </w:tcPr>
          <w:p>
            <w:pPr>
              <w:spacing w:line="360" w:lineRule="auto"/>
              <w:ind w:firstLine="420" w:firstLineChars="2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＞30000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49" w:type="dxa"/>
            <w:noWrap w:val="0"/>
            <w:vAlign w:val="center"/>
          </w:tcPr>
          <w:p>
            <w:pPr>
              <w:spacing w:line="360" w:lineRule="auto"/>
              <w:ind w:firstLine="210" w:firstLineChars="1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2684"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技术资料</w:t>
            </w:r>
          </w:p>
        </w:tc>
        <w:tc>
          <w:tcPr>
            <w:tcW w:w="734" w:type="dxa"/>
            <w:noWrap w:val="0"/>
            <w:vAlign w:val="center"/>
          </w:tcPr>
          <w:p>
            <w:pPr>
              <w:spacing w:line="360" w:lineRule="auto"/>
              <w:ind w:firstLine="210" w:firstLineChars="100"/>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2</w:t>
            </w:r>
          </w:p>
        </w:tc>
        <w:tc>
          <w:tcPr>
            <w:tcW w:w="997" w:type="dxa"/>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套</w:t>
            </w:r>
          </w:p>
        </w:tc>
        <w:tc>
          <w:tcPr>
            <w:tcW w:w="3952" w:type="dxa"/>
            <w:gridSpan w:val="3"/>
            <w:noWrap w:val="0"/>
            <w:vAlign w:val="center"/>
          </w:tcPr>
          <w:p>
            <w:pPr>
              <w:spacing w:line="360" w:lineRule="auto"/>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详见2.3.2技术资料</w:t>
            </w:r>
          </w:p>
        </w:tc>
      </w:tr>
    </w:tbl>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2.3.1交货期与交货地点</w:t>
      </w:r>
      <w:bookmarkEnd w:id="5"/>
      <w:bookmarkEnd w:id="6"/>
    </w:p>
    <w:p>
      <w:pPr>
        <w:bidi w:val="0"/>
        <w:spacing w:line="360" w:lineRule="auto"/>
        <w:rPr>
          <w:rFonts w:hint="eastAsia" w:ascii="仿宋" w:hAnsi="仿宋" w:eastAsia="仿宋" w:cs="仿宋"/>
          <w:color w:val="auto"/>
          <w:sz w:val="21"/>
          <w:szCs w:val="21"/>
          <w:highlight w:val="yellow"/>
        </w:rPr>
      </w:pPr>
      <w:r>
        <w:rPr>
          <w:rFonts w:hint="eastAsia" w:ascii="仿宋" w:hAnsi="仿宋" w:eastAsia="仿宋" w:cs="仿宋"/>
          <w:color w:val="auto"/>
          <w:sz w:val="21"/>
          <w:szCs w:val="21"/>
        </w:rPr>
        <w:t>*2.3.1.1要求投标人在投标文件中说明交货期，原则上交货期为合同签订后</w:t>
      </w:r>
      <w:r>
        <w:rPr>
          <w:rFonts w:hint="eastAsia" w:ascii="仿宋" w:hAnsi="仿宋" w:eastAsia="仿宋" w:cs="仿宋"/>
          <w:color w:val="auto"/>
          <w:sz w:val="21"/>
          <w:szCs w:val="21"/>
          <w:lang w:val="en-US" w:eastAsia="zh-CN"/>
        </w:rPr>
        <w:t>60天</w:t>
      </w:r>
      <w:r>
        <w:rPr>
          <w:rFonts w:hint="eastAsia" w:ascii="仿宋" w:hAnsi="仿宋" w:eastAsia="仿宋" w:cs="仿宋"/>
          <w:color w:val="auto"/>
          <w:sz w:val="21"/>
          <w:szCs w:val="21"/>
        </w:rPr>
        <w:t>内</w:t>
      </w:r>
      <w:r>
        <w:rPr>
          <w:rFonts w:hint="eastAsia" w:ascii="仿宋" w:hAnsi="仿宋" w:eastAsia="仿宋" w:cs="仿宋"/>
          <w:color w:val="auto"/>
          <w:sz w:val="21"/>
          <w:szCs w:val="21"/>
          <w:lang w:val="en-US" w:eastAsia="zh-CN"/>
        </w:rPr>
        <w:t>全部到齐</w:t>
      </w:r>
      <w:r>
        <w:rPr>
          <w:rFonts w:hint="eastAsia" w:ascii="仿宋" w:hAnsi="仿宋" w:eastAsia="仿宋" w:cs="仿宋"/>
          <w:color w:val="auto"/>
          <w:sz w:val="21"/>
          <w:szCs w:val="21"/>
        </w:rPr>
        <w:t>。投标人不能按规定的时间准时交货，也未取得招标人同意推迟交货的，超过交货期</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0天的，视为投标人违约，取消合同。</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2.3.1.2交货地点：神华准能物资供应中心</w:t>
      </w:r>
      <w:r>
        <w:rPr>
          <w:rFonts w:hint="eastAsia" w:ascii="仿宋" w:hAnsi="仿宋" w:eastAsia="仿宋" w:cs="仿宋"/>
          <w:color w:val="auto"/>
          <w:sz w:val="21"/>
          <w:szCs w:val="21"/>
          <w:lang w:eastAsia="zh-CN"/>
        </w:rPr>
        <w:t>黑岱沟</w:t>
      </w:r>
      <w:r>
        <w:rPr>
          <w:rFonts w:hint="eastAsia" w:ascii="仿宋" w:hAnsi="仿宋" w:eastAsia="仿宋" w:cs="仿宋"/>
          <w:color w:val="auto"/>
          <w:sz w:val="21"/>
          <w:szCs w:val="21"/>
        </w:rPr>
        <w:t>供应站仓库。</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*2.3.2技术资料</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投标产品到货入库时，必须将下列材料随试件一并交与招标人，且不仅限于以下材料：</w:t>
      </w:r>
    </w:p>
    <w:p>
      <w:pPr>
        <w:numPr>
          <w:ilvl w:val="0"/>
          <w:numId w:val="1"/>
        </w:numPr>
        <w:bidi w:val="0"/>
        <w:spacing w:line="360" w:lineRule="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厢斗的</w:t>
      </w:r>
      <w:r>
        <w:rPr>
          <w:rFonts w:hint="eastAsia" w:ascii="仿宋" w:hAnsi="仿宋" w:eastAsia="仿宋" w:cs="仿宋"/>
          <w:color w:val="auto"/>
          <w:sz w:val="21"/>
          <w:szCs w:val="21"/>
        </w:rPr>
        <w:t>完整</w:t>
      </w:r>
      <w:r>
        <w:rPr>
          <w:rFonts w:hint="eastAsia" w:ascii="仿宋" w:hAnsi="仿宋" w:eastAsia="仿宋" w:cs="仿宋"/>
          <w:color w:val="auto"/>
          <w:sz w:val="21"/>
          <w:szCs w:val="21"/>
          <w:lang w:val="en-US" w:eastAsia="zh-CN"/>
        </w:rPr>
        <w:t>设计</w:t>
      </w:r>
      <w:r>
        <w:rPr>
          <w:rFonts w:hint="eastAsia" w:ascii="仿宋" w:hAnsi="仿宋" w:eastAsia="仿宋" w:cs="仿宋"/>
          <w:color w:val="auto"/>
          <w:sz w:val="21"/>
          <w:szCs w:val="21"/>
        </w:rPr>
        <w:t>图纸；</w:t>
      </w:r>
      <w:r>
        <w:rPr>
          <w:rFonts w:hint="eastAsia" w:ascii="仿宋" w:hAnsi="仿宋" w:eastAsia="仿宋" w:cs="仿宋"/>
          <w:color w:val="auto"/>
          <w:sz w:val="21"/>
          <w:szCs w:val="21"/>
          <w:lang w:val="en-US" w:eastAsia="zh-CN"/>
        </w:rPr>
        <w:t>有限元分析资料、厢斗重量、斗容等信息；</w:t>
      </w:r>
    </w:p>
    <w:p>
      <w:pPr>
        <w:numPr>
          <w:ilvl w:val="0"/>
          <w:numId w:val="0"/>
        </w:numPr>
        <w:bidi w:val="0"/>
        <w:spacing w:line="360" w:lineRule="auto"/>
        <w:rPr>
          <w:rFonts w:hint="eastAsia" w:ascii="仿宋" w:hAnsi="仿宋" w:eastAsia="仿宋" w:cs="仿宋"/>
          <w:color w:val="auto"/>
          <w:sz w:val="21"/>
          <w:szCs w:val="21"/>
          <w:lang w:eastAsia="zh-CN"/>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厢斗各部位材料型号及厚度、钢材硬度检测</w:t>
      </w:r>
      <w:r>
        <w:rPr>
          <w:rFonts w:hint="eastAsia" w:ascii="仿宋" w:hAnsi="仿宋" w:eastAsia="仿宋" w:cs="仿宋"/>
          <w:color w:val="auto"/>
          <w:sz w:val="21"/>
          <w:szCs w:val="21"/>
        </w:rPr>
        <w:t>报告</w:t>
      </w:r>
      <w:r>
        <w:rPr>
          <w:rFonts w:hint="eastAsia" w:ascii="仿宋" w:hAnsi="仿宋" w:eastAsia="仿宋" w:cs="仿宋"/>
          <w:color w:val="auto"/>
          <w:sz w:val="21"/>
          <w:szCs w:val="21"/>
          <w:lang w:eastAsia="zh-CN"/>
        </w:rPr>
        <w:t>；</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（3）详细的制造工艺、焊接工艺及重要部位探伤报告</w:t>
      </w:r>
      <w:r>
        <w:rPr>
          <w:rFonts w:hint="eastAsia" w:ascii="仿宋" w:hAnsi="仿宋" w:eastAsia="仿宋" w:cs="仿宋"/>
          <w:color w:val="auto"/>
          <w:sz w:val="21"/>
          <w:szCs w:val="21"/>
        </w:rPr>
        <w:t xml:space="preserve">； </w:t>
      </w:r>
    </w:p>
    <w:p>
      <w:pPr>
        <w:bidi w:val="0"/>
        <w:spacing w:line="360" w:lineRule="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color w:val="auto"/>
          <w:sz w:val="21"/>
          <w:szCs w:val="21"/>
          <w:lang w:val="en-US" w:eastAsia="zh-CN"/>
        </w:rPr>
        <w:t>（4）每台厢斗的产品质量（寿命）达到30000小时</w:t>
      </w:r>
      <w:r>
        <w:rPr>
          <w:rFonts w:hint="eastAsia" w:ascii="仿宋" w:hAnsi="仿宋" w:eastAsia="仿宋" w:cs="仿宋"/>
          <w:b w:val="0"/>
          <w:bCs/>
          <w:color w:val="auto"/>
          <w:sz w:val="21"/>
          <w:szCs w:val="21"/>
          <w:highlight w:val="none"/>
          <w:lang w:val="en-US" w:eastAsia="zh-CN"/>
        </w:rPr>
        <w:t>（装机运行小时数）的承诺书。</w:t>
      </w:r>
      <w:bookmarkStart w:id="7" w:name="_Toc5684"/>
      <w:bookmarkStart w:id="8" w:name="_Toc1728"/>
      <w:r>
        <w:rPr>
          <w:rFonts w:hint="eastAsia" w:ascii="仿宋" w:hAnsi="仿宋" w:eastAsia="仿宋" w:cs="仿宋"/>
          <w:b w:val="0"/>
          <w:bCs/>
          <w:color w:val="auto"/>
          <w:sz w:val="21"/>
          <w:szCs w:val="21"/>
          <w:highlight w:val="none"/>
          <w:lang w:val="en-US" w:eastAsia="zh-CN"/>
        </w:rPr>
        <w:t>承诺书保证厢斗在30000小时（装机运行小时数）内，无需停机修理、无需更换钢板，要求达到轻量化免维护目的。</w:t>
      </w:r>
    </w:p>
    <w:p>
      <w:pPr>
        <w:bidi w:val="0"/>
        <w:spacing w:line="360" w:lineRule="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（5）提供厢斗底板、侧板的磨损量最大部位的耐磨性设计值。各个验收阶段以耐磨性设计值做为验收参考值。</w:t>
      </w:r>
    </w:p>
    <w:p>
      <w:pPr>
        <w:bidi w:val="0"/>
        <w:spacing w:line="360" w:lineRule="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耐磨性分析表：</w:t>
      </w:r>
    </w:p>
    <w:bookmarkEnd w:id="7"/>
    <w:bookmarkEnd w:id="8"/>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3"/>
        <w:gridCol w:w="1503"/>
        <w:gridCol w:w="2144"/>
        <w:gridCol w:w="1823"/>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ind w:left="840" w:leftChars="200" w:hanging="420" w:hangingChars="200"/>
              <w:textAlignment w:val="auto"/>
              <w:outlineLvl w:val="9"/>
              <w:rPr>
                <w:rFonts w:hint="eastAsia" w:ascii="仿宋" w:hAnsi="仿宋" w:eastAsia="仿宋" w:cs="仿宋"/>
                <w:sz w:val="21"/>
                <w:szCs w:val="21"/>
                <w:vertAlign w:val="baseline"/>
                <w:lang w:val="en-US" w:eastAsia="zh-CN"/>
              </w:rPr>
            </w:pPr>
            <w:bookmarkStart w:id="9" w:name="_Toc5827"/>
            <w:r>
              <w:rPr>
                <w:rFonts w:hint="eastAsia" w:ascii="仿宋" w:hAnsi="仿宋" w:eastAsia="仿宋" w:cs="仿宋"/>
                <w:sz w:val="21"/>
                <w:szCs w:val="21"/>
                <w:vertAlign w:val="baseline"/>
                <w:lang w:val="en-US" w:eastAsia="zh-CN"/>
              </w:rPr>
              <w:t xml:space="preserve"> 厢斗部位</w:t>
            </w:r>
          </w:p>
        </w:tc>
        <w:tc>
          <w:tcPr>
            <w:tcW w:w="150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原始厚度（mm）</w:t>
            </w:r>
          </w:p>
        </w:tc>
        <w:tc>
          <w:tcPr>
            <w:tcW w:w="2144"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装机运行2000-3000小时磨损值（mm）</w:t>
            </w: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装机运行5000-6000小时的磨损值（mm）</w:t>
            </w: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装机运行10000-12000小时的磨损值（mm）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ind w:left="840" w:leftChars="300" w:hanging="210" w:hangingChars="100"/>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尾部底板</w:t>
            </w:r>
          </w:p>
        </w:tc>
        <w:tc>
          <w:tcPr>
            <w:tcW w:w="150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2144"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ind w:left="840" w:leftChars="300" w:hanging="210" w:hangingChars="100"/>
              <w:textAlignment w:val="auto"/>
              <w:outlineLvl w:val="9"/>
              <w:rPr>
                <w:rFonts w:hint="eastAsia" w:ascii="仿宋" w:hAnsi="仿宋" w:eastAsia="仿宋" w:cs="仿宋"/>
                <w:sz w:val="21"/>
                <w:szCs w:val="21"/>
                <w:vertAlign w:val="baseline"/>
                <w:lang w:val="en-US" w:eastAsia="zh-CN"/>
              </w:rPr>
            </w:pPr>
            <w:r>
              <w:rPr>
                <w:rFonts w:hint="eastAsia" w:ascii="仿宋" w:hAnsi="仿宋" w:eastAsia="仿宋" w:cs="仿宋"/>
                <w:sz w:val="21"/>
                <w:szCs w:val="21"/>
                <w:vertAlign w:val="baseline"/>
                <w:lang w:val="en-US" w:eastAsia="zh-CN"/>
              </w:rPr>
              <w:t>侧板</w:t>
            </w:r>
          </w:p>
        </w:tc>
        <w:tc>
          <w:tcPr>
            <w:tcW w:w="150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2144"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c>
          <w:tcPr>
            <w:tcW w:w="1823" w:type="dxa"/>
            <w:noWrap w:val="0"/>
            <w:vAlign w:val="center"/>
          </w:tcPr>
          <w:p>
            <w:pPr>
              <w:keepNext/>
              <w:keepLines/>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vertAlign w:val="baseline"/>
                <w:lang w:val="en-US" w:eastAsia="zh-CN"/>
              </w:rPr>
            </w:pPr>
          </w:p>
        </w:tc>
      </w:tr>
    </w:tbl>
    <w:p>
      <w:pPr>
        <w:bidi w:val="0"/>
        <w:spacing w:line="360" w:lineRule="auto"/>
        <w:rPr>
          <w:rFonts w:hint="eastAsia" w:ascii="仿宋" w:hAnsi="仿宋" w:eastAsia="仿宋" w:cs="仿宋"/>
          <w:b/>
          <w:bCs/>
          <w:lang w:val="en-US" w:eastAsia="zh-CN"/>
        </w:rPr>
      </w:pPr>
      <w:r>
        <w:rPr>
          <w:rFonts w:hint="eastAsia" w:ascii="仿宋" w:hAnsi="仿宋" w:eastAsia="仿宋" w:cs="仿宋"/>
          <w:b/>
          <w:bCs/>
          <w:lang w:val="en-US" w:eastAsia="zh-CN"/>
        </w:rPr>
        <w:t>2.4安装试用与考核验收</w:t>
      </w:r>
    </w:p>
    <w:p>
      <w:pPr>
        <w:bidi w:val="0"/>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2.4.1</w:t>
      </w:r>
      <w:r>
        <w:rPr>
          <w:rFonts w:hint="eastAsia" w:ascii="仿宋" w:hAnsi="仿宋" w:eastAsia="仿宋" w:cs="仿宋"/>
          <w:color w:val="auto"/>
          <w:sz w:val="21"/>
          <w:szCs w:val="21"/>
          <w:highlight w:val="none"/>
          <w:lang w:val="en-US" w:eastAsia="zh-CN"/>
        </w:rPr>
        <w:t>试件的安装试用与质量考核分为三个阶段，即装机验收、性能验收和最终验收。装机验收在试件装机无误，安全运行 2000小时后进行；性能验收在试件通过试用期后进行，最终验收在试件通过质保期后进行。试件的试用期为装机验收后再运行3000小时，质保期为通过试用期后再运行5000小时，延伸质保期为通过质保期后再运行20000小时。各阶段验收完成时间节点为签署相应鉴定报告单之日。</w:t>
      </w:r>
    </w:p>
    <w:p>
      <w:pPr>
        <w:bidi w:val="0"/>
        <w:spacing w:line="360" w:lineRule="auto"/>
        <w:rPr>
          <w:rFonts w:hint="eastAsia" w:ascii="仿宋" w:hAnsi="仿宋" w:eastAsia="仿宋" w:cs="仿宋"/>
          <w:color w:val="FF0000"/>
          <w:sz w:val="21"/>
          <w:szCs w:val="21"/>
          <w:lang w:val="en-US" w:eastAsia="zh-CN"/>
        </w:rPr>
      </w:pPr>
      <w:r>
        <w:rPr>
          <w:rFonts w:hint="eastAsia" w:ascii="仿宋" w:hAnsi="仿宋" w:eastAsia="仿宋" w:cs="仿宋"/>
          <w:color w:val="auto"/>
          <w:sz w:val="21"/>
          <w:szCs w:val="21"/>
          <w:highlight w:val="none"/>
          <w:lang w:val="en-US" w:eastAsia="zh-CN"/>
        </w:rPr>
        <w:t>2.4.2装机验收标准为符合招标技术要求、装配尺寸无误、安装后设备运行正常，安全运行 2000小时。厢斗总成重量（含所有附件）＜31吨，招标方现场使用三维激光扫描仪对堆料进行容积计算，检验轻量化厢斗的斗容≥142m³ ；性能验收标准为在试用期内设备运行</w:t>
      </w:r>
      <w:r>
        <w:rPr>
          <w:rFonts w:hint="eastAsia" w:ascii="仿宋" w:hAnsi="仿宋" w:eastAsia="仿宋" w:cs="仿宋"/>
          <w:color w:val="auto"/>
          <w:sz w:val="21"/>
          <w:szCs w:val="21"/>
          <w:lang w:val="en-US" w:eastAsia="zh-CN"/>
        </w:rPr>
        <w:t>正常、试件磨损正常（将依据耐磨性分析表做为</w:t>
      </w:r>
      <w:r>
        <w:rPr>
          <w:rFonts w:hint="eastAsia" w:ascii="仿宋" w:hAnsi="仿宋" w:eastAsia="仿宋" w:cs="仿宋"/>
          <w:b w:val="0"/>
          <w:bCs/>
          <w:color w:val="auto"/>
          <w:sz w:val="21"/>
          <w:szCs w:val="21"/>
          <w:highlight w:val="none"/>
          <w:lang w:val="en-US" w:eastAsia="zh-CN"/>
        </w:rPr>
        <w:t>验收参考值</w:t>
      </w:r>
      <w:r>
        <w:rPr>
          <w:rFonts w:hint="eastAsia" w:ascii="仿宋" w:hAnsi="仿宋" w:eastAsia="仿宋" w:cs="仿宋"/>
          <w:color w:val="auto"/>
          <w:sz w:val="21"/>
          <w:szCs w:val="21"/>
          <w:lang w:val="en-US" w:eastAsia="zh-CN"/>
        </w:rPr>
        <w:t>）；最终验收标准为试件在质保期内各项性能稳定（将依据耐磨性分析表做为</w:t>
      </w:r>
      <w:r>
        <w:rPr>
          <w:rFonts w:hint="eastAsia" w:ascii="仿宋" w:hAnsi="仿宋" w:eastAsia="仿宋" w:cs="仿宋"/>
          <w:b w:val="0"/>
          <w:bCs/>
          <w:color w:val="auto"/>
          <w:sz w:val="21"/>
          <w:szCs w:val="21"/>
          <w:highlight w:val="none"/>
          <w:lang w:val="en-US" w:eastAsia="zh-CN"/>
        </w:rPr>
        <w:t>验收参考值</w:t>
      </w:r>
      <w:r>
        <w:rPr>
          <w:rFonts w:hint="eastAsia" w:ascii="仿宋" w:hAnsi="仿宋" w:eastAsia="仿宋" w:cs="仿宋"/>
          <w:color w:val="auto"/>
          <w:sz w:val="21"/>
          <w:szCs w:val="21"/>
          <w:lang w:val="en-US" w:eastAsia="zh-CN"/>
        </w:rPr>
        <w:t>）、可靠，已达到或预估可达到合同规定寿命。招标人对该项目的所有配件种类进行质量鉴定。对通过考核的试件种类出具各阶段验收报告。</w:t>
      </w:r>
    </w:p>
    <w:p>
      <w:pPr>
        <w:bidi w:val="0"/>
        <w:spacing w:line="360" w:lineRule="auto"/>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2.4.3招标人将根据生产和维修情况尽快安排试件的试用。原则上在试件入库半年之内安排试用。</w:t>
      </w:r>
      <w:r>
        <w:rPr>
          <w:rFonts w:hint="eastAsia" w:ascii="仿宋" w:hAnsi="仿宋" w:eastAsia="仿宋" w:cs="仿宋"/>
          <w:color w:val="auto"/>
          <w:sz w:val="21"/>
          <w:szCs w:val="21"/>
        </w:rPr>
        <w:t>试件的安装由招标人负责，中标人负责安装过程中的技术支持。双方共同做好试件的跟踪记录</w:t>
      </w:r>
      <w:r>
        <w:rPr>
          <w:rFonts w:hint="eastAsia" w:ascii="仿宋" w:hAnsi="仿宋" w:eastAsia="仿宋" w:cs="仿宋"/>
          <w:color w:val="auto"/>
          <w:sz w:val="21"/>
          <w:szCs w:val="21"/>
          <w:lang w:eastAsia="zh-CN"/>
        </w:rPr>
        <w:t>。</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2.4.</w:t>
      </w:r>
      <w:r>
        <w:rPr>
          <w:rFonts w:hint="eastAsia" w:ascii="仿宋" w:hAnsi="仿宋" w:eastAsia="仿宋" w:cs="仿宋"/>
          <w:color w:val="auto"/>
          <w:sz w:val="21"/>
          <w:szCs w:val="21"/>
          <w:lang w:val="en-US" w:eastAsia="zh-CN"/>
        </w:rPr>
        <w:t>4</w:t>
      </w:r>
      <w:r>
        <w:rPr>
          <w:rFonts w:hint="eastAsia" w:ascii="仿宋" w:hAnsi="仿宋" w:eastAsia="仿宋" w:cs="仿宋"/>
          <w:color w:val="auto"/>
          <w:sz w:val="21"/>
          <w:szCs w:val="21"/>
        </w:rPr>
        <w:t xml:space="preserve">在试用过程中，如试件出现问题，招标人通知中标人后，中标人必须48小时内到达现场，双方共同检查问题试件，共同鉴定分析损坏原因。鉴定结果双方认定一致，并且对责任划分没有异议，则各负其责。如双方对鉴定结果和责任划分存在争议，有必要聘请第三方权威鉴定机构介入的，按照第三方的鉴定结果和责任划分处理。聘请费用由与第三方鉴定结果（损坏的主要原因）不一致或与第三方责任划分区别较大的一方负责。如没有必要由第三方介入的，视为投标人自行负责，并妥善处理。如果是由于试件的设计、材质及制造工艺等原因造成，则中标人应承担由此产生的直接损失。 </w:t>
      </w:r>
    </w:p>
    <w:p>
      <w:pPr>
        <w:bidi w:val="0"/>
        <w:spacing w:line="360" w:lineRule="auto"/>
        <w:rPr>
          <w:rFonts w:hint="eastAsia" w:ascii="仿宋" w:hAnsi="仿宋" w:eastAsia="仿宋" w:cs="仿宋"/>
          <w:color w:val="auto"/>
          <w:sz w:val="21"/>
          <w:szCs w:val="21"/>
          <w:highlight w:val="yellow"/>
        </w:rPr>
      </w:pPr>
      <w:r>
        <w:rPr>
          <w:rFonts w:hint="eastAsia" w:ascii="仿宋" w:hAnsi="仿宋" w:eastAsia="仿宋" w:cs="仿宋"/>
          <w:color w:val="auto"/>
          <w:sz w:val="21"/>
          <w:szCs w:val="21"/>
          <w:lang w:val="en-US" w:eastAsia="zh-CN"/>
        </w:rPr>
        <w:t>2.4.5</w:t>
      </w:r>
      <w:r>
        <w:rPr>
          <w:rFonts w:hint="eastAsia" w:ascii="仿宋" w:hAnsi="仿宋" w:eastAsia="仿宋" w:cs="仿宋"/>
          <w:color w:val="auto"/>
          <w:sz w:val="21"/>
          <w:szCs w:val="21"/>
        </w:rPr>
        <w:t>如果试件初次试用质量不符合合同要求，经招标人同意，投标人短期内对试件进行改造或重新制造并提供新试件，新试件的试用期重新计时。连续2次仍不能成功的新试件，招标人终止试用，招标人不支付合同剩余费用，由此产生的一切费用均由中标人承担。</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2.4.6</w:t>
      </w:r>
      <w:r>
        <w:rPr>
          <w:rFonts w:hint="eastAsia" w:ascii="仿宋" w:hAnsi="仿宋" w:eastAsia="仿宋" w:cs="仿宋"/>
          <w:color w:val="auto"/>
          <w:sz w:val="21"/>
          <w:szCs w:val="21"/>
        </w:rPr>
        <w:t>若开发试件装机后出现设备损坏或发生事故，经双方鉴定，如果是由于试件的设计、材质及制造工艺等原因造成，则投标人应承担由此产生的直接损失。试件在延伸质保期内发生质量问题，招标人有权提出索赔要求，中标人应免费提供新试件，否则视为中标人违约</w:t>
      </w:r>
      <w:r>
        <w:rPr>
          <w:rFonts w:hint="eastAsia" w:ascii="仿宋" w:hAnsi="仿宋" w:eastAsia="仿宋" w:cs="仿宋"/>
          <w:color w:val="auto"/>
          <w:sz w:val="21"/>
          <w:szCs w:val="21"/>
          <w:lang w:val="en-US" w:eastAsia="zh-CN"/>
        </w:rPr>
        <w:t>且高端开发失败</w:t>
      </w:r>
      <w:r>
        <w:rPr>
          <w:rFonts w:hint="eastAsia" w:ascii="仿宋" w:hAnsi="仿宋" w:eastAsia="仿宋" w:cs="仿宋"/>
          <w:color w:val="auto"/>
          <w:sz w:val="21"/>
          <w:szCs w:val="21"/>
        </w:rPr>
        <w:t>，招标人有权终止中标人以后投标同类项目的资格。</w:t>
      </w:r>
    </w:p>
    <w:p>
      <w:pPr>
        <w:bidi w:val="0"/>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2.</w:t>
      </w:r>
      <w:r>
        <w:rPr>
          <w:rFonts w:hint="eastAsia" w:ascii="仿宋" w:hAnsi="仿宋" w:eastAsia="仿宋" w:cs="仿宋"/>
          <w:color w:val="auto"/>
          <w:sz w:val="21"/>
          <w:szCs w:val="21"/>
          <w:lang w:val="en-US" w:eastAsia="zh-CN"/>
        </w:rPr>
        <w:t>4.7</w:t>
      </w:r>
      <w:r>
        <w:rPr>
          <w:rFonts w:hint="eastAsia" w:ascii="仿宋" w:hAnsi="仿宋" w:eastAsia="仿宋" w:cs="仿宋"/>
          <w:color w:val="auto"/>
          <w:sz w:val="21"/>
          <w:szCs w:val="21"/>
        </w:rPr>
        <w:t>招标人对试件的全寿命进行跟踪记录。</w:t>
      </w:r>
    </w:p>
    <w:p>
      <w:pPr>
        <w:bidi w:val="0"/>
        <w:spacing w:line="360" w:lineRule="auto"/>
        <w:rPr>
          <w:rFonts w:hint="eastAsia" w:ascii="仿宋" w:hAnsi="仿宋" w:eastAsia="仿宋" w:cs="仿宋"/>
          <w:b/>
          <w:bCs/>
          <w:lang w:val="en-US" w:eastAsia="zh-CN"/>
        </w:rPr>
      </w:pPr>
      <w:bookmarkStart w:id="10" w:name="_Toc24215"/>
      <w:bookmarkStart w:id="11" w:name="_Toc30247"/>
      <w:r>
        <w:rPr>
          <w:rFonts w:hint="eastAsia" w:ascii="仿宋" w:hAnsi="仿宋" w:eastAsia="仿宋" w:cs="仿宋"/>
          <w:b/>
          <w:bCs/>
          <w:lang w:val="en-US" w:eastAsia="zh-CN"/>
        </w:rPr>
        <w:t>2.5结算</w:t>
      </w:r>
      <w:bookmarkEnd w:id="10"/>
      <w:bookmarkEnd w:id="11"/>
      <w:r>
        <w:rPr>
          <w:rFonts w:hint="eastAsia" w:ascii="仿宋" w:hAnsi="仿宋" w:eastAsia="仿宋" w:cs="仿宋"/>
          <w:b/>
          <w:bCs/>
          <w:lang w:val="en-US" w:eastAsia="zh-CN"/>
        </w:rPr>
        <w:t>方式</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b w:val="0"/>
          <w:bCs/>
          <w:color w:val="auto"/>
          <w:kern w:val="44"/>
          <w:sz w:val="21"/>
          <w:szCs w:val="21"/>
          <w:highlight w:val="none"/>
          <w:lang w:val="en-US" w:eastAsia="zh-CN" w:bidi="ar-SA"/>
        </w:rPr>
      </w:pPr>
      <w:r>
        <w:rPr>
          <w:rFonts w:hint="eastAsia" w:ascii="仿宋" w:hAnsi="仿宋" w:eastAsia="仿宋" w:cs="仿宋"/>
          <w:b w:val="0"/>
          <w:bCs/>
          <w:color w:val="auto"/>
          <w:kern w:val="44"/>
          <w:sz w:val="21"/>
          <w:szCs w:val="21"/>
          <w:highlight w:val="none"/>
          <w:lang w:val="en-US" w:eastAsia="zh-CN" w:bidi="ar-SA"/>
        </w:rPr>
        <w:t>试件到货依据技术资料验收入库后，经安装试用无误通过装机验收后，支付合同总费用的30%；通过试用期，性能验收合格后支付合同总费用的60%；质保期满无任何质量问题后支付合同总费用的10%。按照实际安装情况，据实结算。</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b w:val="0"/>
          <w:bCs/>
          <w:color w:val="auto"/>
          <w:kern w:val="44"/>
          <w:sz w:val="21"/>
          <w:szCs w:val="21"/>
          <w:highlight w:val="none"/>
          <w:lang w:val="en-US" w:eastAsia="zh-CN" w:bidi="ar-SA"/>
        </w:rPr>
      </w:pPr>
      <w:r>
        <w:rPr>
          <w:rFonts w:hint="eastAsia" w:ascii="仿宋" w:hAnsi="仿宋" w:eastAsia="仿宋" w:cs="仿宋"/>
          <w:b w:val="0"/>
          <w:bCs/>
          <w:color w:val="auto"/>
          <w:kern w:val="44"/>
          <w:sz w:val="21"/>
          <w:szCs w:val="21"/>
          <w:highlight w:val="none"/>
          <w:lang w:val="en-US" w:eastAsia="zh-CN" w:bidi="ar-SA"/>
        </w:rPr>
        <w:t>若入库后8个月后未装机试用，则可先预支付出卖方到货产品合同金额的30%，但装机验收期及试用期以实际装机之日算起。</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b w:val="0"/>
          <w:bCs/>
          <w:color w:val="auto"/>
          <w:kern w:val="44"/>
          <w:sz w:val="21"/>
          <w:szCs w:val="21"/>
          <w:highlight w:val="none"/>
          <w:lang w:val="en-US" w:eastAsia="zh-CN" w:bidi="ar-SA"/>
        </w:rPr>
      </w:pPr>
      <w:r>
        <w:rPr>
          <w:rFonts w:hint="eastAsia" w:ascii="仿宋" w:hAnsi="仿宋" w:eastAsia="仿宋" w:cs="仿宋"/>
          <w:b w:val="0"/>
          <w:bCs/>
          <w:color w:val="auto"/>
          <w:kern w:val="44"/>
          <w:sz w:val="21"/>
          <w:szCs w:val="21"/>
          <w:highlight w:val="none"/>
          <w:lang w:val="en-US" w:eastAsia="zh-CN" w:bidi="ar-SA"/>
        </w:rPr>
        <w:t>付款方根据资金周转情况部分或全部以承汇方式结算。</w:t>
      </w:r>
    </w:p>
    <w:p>
      <w:pPr>
        <w:bidi w:val="0"/>
        <w:spacing w:line="360" w:lineRule="auto"/>
        <w:rPr>
          <w:rFonts w:hint="eastAsia" w:ascii="仿宋" w:hAnsi="仿宋" w:eastAsia="仿宋" w:cs="仿宋"/>
          <w:b/>
          <w:bCs/>
          <w:lang w:val="en-US" w:eastAsia="zh-CN"/>
        </w:rPr>
      </w:pPr>
      <w:r>
        <w:rPr>
          <w:rFonts w:hint="eastAsia" w:ascii="仿宋" w:hAnsi="仿宋" w:eastAsia="仿宋" w:cs="仿宋"/>
          <w:b/>
          <w:bCs/>
          <w:lang w:val="en-US" w:eastAsia="zh-CN"/>
        </w:rPr>
        <w:t>3.双方的权利和义务</w:t>
      </w:r>
      <w:bookmarkEnd w:id="9"/>
    </w:p>
    <w:p>
      <w:pPr>
        <w:spacing w:line="360" w:lineRule="auto"/>
        <w:rPr>
          <w:rFonts w:hint="eastAsia" w:ascii="仿宋" w:hAnsi="仿宋" w:eastAsia="仿宋" w:cs="仿宋"/>
          <w:color w:val="auto"/>
          <w:sz w:val="21"/>
          <w:szCs w:val="21"/>
        </w:rPr>
      </w:pPr>
      <w:bookmarkStart w:id="12" w:name="_Toc866"/>
      <w:bookmarkStart w:id="13" w:name="_Toc7614"/>
      <w:r>
        <w:rPr>
          <w:rFonts w:hint="eastAsia" w:ascii="仿宋" w:hAnsi="仿宋" w:eastAsia="仿宋" w:cs="仿宋"/>
          <w:color w:val="auto"/>
          <w:sz w:val="21"/>
          <w:szCs w:val="21"/>
        </w:rPr>
        <w:t>3.1招标人</w:t>
      </w:r>
      <w:bookmarkEnd w:id="12"/>
      <w:bookmarkEnd w:id="13"/>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3.1.1对投标人的制造能力和资质进行核查，核查结果与投标文件不一致，则做废标处理。</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3.1.2向投标人提供试制所需的测绘条件，以便投标人进行测绘。在测绘过程中，对测绘人员的人身安全做出必要的提示、提供必要的保护用品。</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3.1.3对试件进行安装、试用、鉴定和验收。</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3.1.4对试件的试用情况做跟踪记录。</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3.1.5由于试件的原因给招标人造成损失，招标人有权向投标人提出索赔。</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3.2投标人</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3.2.1负责测绘并自行准备测绘工具。在测绘过程前后，听从招标人人员的提示，穿戴保护用品，若发生人身伤害由投标人负责。</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3.2.2提供试件，并提供完整的技术资料及图纸。</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3.2.3对试件进行安装技术指导，服从招标人现场统一管理，在招标人指定的场地范围内施工，遵守招标人有关安全管理规定，并主动接受招标人的检查、监督，并承担与试件安装有关的一切安全责任。</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3.2.4承担问题试件所带来的所有责任，包括更换、重制及给招标人带来的所有损失。</w:t>
      </w:r>
    </w:p>
    <w:p>
      <w:pPr>
        <w:bidi w:val="0"/>
        <w:spacing w:line="360" w:lineRule="auto"/>
        <w:rPr>
          <w:rFonts w:hint="eastAsia" w:ascii="仿宋" w:hAnsi="仿宋" w:eastAsia="仿宋" w:cs="仿宋"/>
          <w:b/>
          <w:bCs/>
          <w:lang w:val="en-US" w:eastAsia="zh-CN"/>
        </w:rPr>
      </w:pPr>
      <w:bookmarkStart w:id="14" w:name="_Toc11872"/>
      <w:bookmarkStart w:id="15" w:name="_Toc24246"/>
      <w:bookmarkStart w:id="16" w:name="_Toc17093"/>
      <w:r>
        <w:rPr>
          <w:rFonts w:hint="eastAsia" w:ascii="仿宋" w:hAnsi="仿宋" w:eastAsia="仿宋" w:cs="仿宋"/>
          <w:b/>
          <w:bCs/>
          <w:lang w:val="en-US" w:eastAsia="zh-CN"/>
        </w:rPr>
        <w:t>4.违约责任</w:t>
      </w:r>
      <w:bookmarkEnd w:id="14"/>
      <w:bookmarkEnd w:id="15"/>
      <w:bookmarkEnd w:id="16"/>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4.1投标人不能按规定的时间准时交货，也未取得招标人同意推迟交货的，超过交货期</w:t>
      </w:r>
      <w:r>
        <w:rPr>
          <w:rFonts w:hint="eastAsia" w:ascii="仿宋" w:hAnsi="仿宋" w:eastAsia="仿宋" w:cs="仿宋"/>
          <w:color w:val="auto"/>
          <w:sz w:val="21"/>
          <w:szCs w:val="21"/>
          <w:lang w:val="en-US" w:eastAsia="zh-CN"/>
        </w:rPr>
        <w:t>1</w:t>
      </w:r>
      <w:r>
        <w:rPr>
          <w:rFonts w:hint="eastAsia" w:ascii="仿宋" w:hAnsi="仿宋" w:eastAsia="仿宋" w:cs="仿宋"/>
          <w:color w:val="auto"/>
          <w:sz w:val="21"/>
          <w:szCs w:val="21"/>
        </w:rPr>
        <w:t>0天的，视为投标人违约，取消合同。</w:t>
      </w:r>
    </w:p>
    <w:p>
      <w:pPr>
        <w:spacing w:line="360" w:lineRule="auto"/>
        <w:rPr>
          <w:rFonts w:hint="eastAsia" w:ascii="仿宋" w:hAnsi="仿宋" w:eastAsia="仿宋" w:cs="仿宋"/>
          <w:color w:val="auto"/>
          <w:sz w:val="21"/>
          <w:szCs w:val="21"/>
        </w:rPr>
      </w:pPr>
      <w:r>
        <w:rPr>
          <w:rFonts w:hint="eastAsia" w:ascii="仿宋" w:hAnsi="仿宋" w:eastAsia="仿宋" w:cs="仿宋"/>
          <w:color w:val="auto"/>
          <w:sz w:val="21"/>
          <w:szCs w:val="21"/>
        </w:rPr>
        <w:t>4.2 试件经过多次更换、重新开发后仍不能够达到使用要求的，视为投标人违约，招标人有权中止合同、退货、扣除质保金；造成招标人损失的，招标人有权提出索赔。</w:t>
      </w:r>
    </w:p>
    <w:p>
      <w:pPr>
        <w:bidi w:val="0"/>
        <w:spacing w:line="360" w:lineRule="auto"/>
        <w:rPr>
          <w:rFonts w:hint="eastAsia" w:ascii="仿宋" w:hAnsi="仿宋" w:eastAsia="仿宋" w:cs="仿宋"/>
          <w:b/>
          <w:bCs/>
          <w:lang w:val="en-US" w:eastAsia="zh-CN"/>
        </w:rPr>
      </w:pPr>
      <w:bookmarkStart w:id="17" w:name="_Toc874"/>
      <w:bookmarkStart w:id="18" w:name="_Toc31805"/>
      <w:r>
        <w:rPr>
          <w:rFonts w:hint="eastAsia" w:ascii="仿宋" w:hAnsi="仿宋" w:eastAsia="仿宋" w:cs="仿宋"/>
          <w:b/>
          <w:bCs/>
          <w:lang w:val="en-US" w:eastAsia="zh-CN"/>
        </w:rPr>
        <w:t>5.报价</w:t>
      </w:r>
      <w:bookmarkEnd w:id="17"/>
      <w:bookmarkEnd w:id="18"/>
      <w:r>
        <w:rPr>
          <w:rFonts w:hint="eastAsia" w:ascii="仿宋" w:hAnsi="仿宋" w:eastAsia="仿宋" w:cs="仿宋"/>
          <w:b/>
          <w:bCs/>
          <w:lang w:val="en-US" w:eastAsia="zh-CN"/>
        </w:rPr>
        <w:t>要求</w:t>
      </w:r>
    </w:p>
    <w:p>
      <w:pPr>
        <w:bidi w:val="0"/>
        <w:spacing w:line="360" w:lineRule="auto"/>
        <w:rPr>
          <w:rFonts w:hint="eastAsia" w:ascii="仿宋" w:hAnsi="仿宋" w:eastAsia="仿宋" w:cs="仿宋"/>
          <w:b/>
          <w:bCs/>
          <w:color w:val="auto"/>
          <w:sz w:val="21"/>
          <w:szCs w:val="21"/>
        </w:rPr>
      </w:pPr>
      <w:bookmarkStart w:id="19" w:name="_Toc4845"/>
      <w:bookmarkStart w:id="20" w:name="_Toc27265"/>
      <w:r>
        <w:rPr>
          <w:rFonts w:hint="eastAsia" w:ascii="仿宋" w:hAnsi="仿宋" w:eastAsia="仿宋" w:cs="仿宋"/>
          <w:b/>
          <w:bCs/>
          <w:color w:val="auto"/>
          <w:sz w:val="21"/>
          <w:szCs w:val="21"/>
        </w:rPr>
        <w:t>*5.1</w:t>
      </w:r>
      <w:bookmarkEnd w:id="19"/>
      <w:bookmarkEnd w:id="20"/>
      <w:r>
        <w:rPr>
          <w:rFonts w:hint="eastAsia" w:ascii="仿宋" w:hAnsi="仿宋" w:eastAsia="仿宋" w:cs="仿宋"/>
          <w:b/>
          <w:bCs/>
          <w:color w:val="auto"/>
          <w:sz w:val="21"/>
          <w:szCs w:val="21"/>
        </w:rPr>
        <w:t>最高限价</w:t>
      </w:r>
    </w:p>
    <w:p>
      <w:pPr>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本项目最高总限价为￥</w:t>
      </w:r>
      <w:r>
        <w:rPr>
          <w:rFonts w:hint="eastAsia" w:ascii="仿宋" w:hAnsi="仿宋" w:eastAsia="仿宋" w:cs="仿宋"/>
          <w:color w:val="auto"/>
          <w:sz w:val="21"/>
          <w:szCs w:val="21"/>
          <w:lang w:val="en-US" w:eastAsia="zh-CN"/>
        </w:rPr>
        <w:t>3600000.00</w:t>
      </w:r>
      <w:r>
        <w:rPr>
          <w:rFonts w:hint="eastAsia" w:ascii="仿宋" w:hAnsi="仿宋" w:eastAsia="仿宋" w:cs="仿宋"/>
          <w:color w:val="auto"/>
          <w:sz w:val="21"/>
          <w:szCs w:val="21"/>
        </w:rPr>
        <w:t xml:space="preserve"> 元（含税13%），若任一种配件所报单价高于相应的最高限单价或项目总报价高于最高总限价，视为不响应招标文件要求。 </w:t>
      </w:r>
    </w:p>
    <w:tbl>
      <w:tblPr>
        <w:tblStyle w:val="3"/>
        <w:tblW w:w="0" w:type="auto"/>
        <w:jc w:val="center"/>
        <w:tblLayout w:type="fixed"/>
        <w:tblCellMar>
          <w:top w:w="15" w:type="dxa"/>
          <w:left w:w="15" w:type="dxa"/>
          <w:bottom w:w="15" w:type="dxa"/>
          <w:right w:w="15" w:type="dxa"/>
        </w:tblCellMar>
      </w:tblPr>
      <w:tblGrid>
        <w:gridCol w:w="470"/>
        <w:gridCol w:w="3395"/>
        <w:gridCol w:w="1105"/>
        <w:gridCol w:w="2043"/>
        <w:gridCol w:w="1917"/>
      </w:tblGrid>
      <w:tr>
        <w:tblPrEx>
          <w:tblCellMar>
            <w:top w:w="15" w:type="dxa"/>
            <w:left w:w="15" w:type="dxa"/>
            <w:bottom w:w="15" w:type="dxa"/>
            <w:right w:w="15" w:type="dxa"/>
          </w:tblCellMar>
        </w:tblPrEx>
        <w:trPr>
          <w:trHeight w:val="294" w:hRule="atLeast"/>
          <w:jc w:val="center"/>
        </w:trPr>
        <w:tc>
          <w:tcPr>
            <w:tcW w:w="470" w:type="dxa"/>
            <w:tcBorders>
              <w:top w:val="single" w:color="auto" w:sz="4" w:space="0"/>
              <w:left w:val="single" w:color="auto"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hint="eastAsia" w:ascii="仿宋" w:hAnsi="仿宋" w:eastAsia="仿宋" w:cs="仿宋"/>
                <w:sz w:val="21"/>
                <w:szCs w:val="21"/>
              </w:rPr>
            </w:pPr>
            <w:r>
              <w:rPr>
                <w:rFonts w:hint="eastAsia" w:ascii="仿宋" w:hAnsi="仿宋" w:eastAsia="仿宋" w:cs="仿宋"/>
                <w:kern w:val="0"/>
                <w:sz w:val="21"/>
                <w:szCs w:val="21"/>
                <w:lang w:bidi="ar"/>
              </w:rPr>
              <w:t>序号</w:t>
            </w:r>
          </w:p>
        </w:tc>
        <w:tc>
          <w:tcPr>
            <w:tcW w:w="3395" w:type="dxa"/>
            <w:tcBorders>
              <w:top w:val="single" w:color="auto"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hint="eastAsia" w:ascii="仿宋" w:hAnsi="仿宋" w:eastAsia="仿宋" w:cs="仿宋"/>
                <w:sz w:val="21"/>
                <w:szCs w:val="21"/>
              </w:rPr>
            </w:pPr>
            <w:r>
              <w:rPr>
                <w:rFonts w:hint="eastAsia" w:ascii="仿宋" w:hAnsi="仿宋" w:eastAsia="仿宋" w:cs="仿宋"/>
                <w:kern w:val="0"/>
                <w:sz w:val="21"/>
                <w:szCs w:val="21"/>
                <w:lang w:bidi="ar"/>
              </w:rPr>
              <w:t>物料描述</w:t>
            </w:r>
          </w:p>
        </w:tc>
        <w:tc>
          <w:tcPr>
            <w:tcW w:w="1105" w:type="dxa"/>
            <w:tcBorders>
              <w:top w:val="single" w:color="auto" w:sz="4" w:space="0"/>
              <w:left w:val="single" w:color="000000"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hint="eastAsia" w:ascii="仿宋" w:hAnsi="仿宋" w:eastAsia="仿宋" w:cs="仿宋"/>
                <w:sz w:val="21"/>
                <w:szCs w:val="21"/>
              </w:rPr>
            </w:pPr>
            <w:r>
              <w:rPr>
                <w:rFonts w:hint="eastAsia" w:ascii="仿宋" w:hAnsi="仿宋" w:eastAsia="仿宋" w:cs="仿宋"/>
                <w:kern w:val="0"/>
                <w:sz w:val="21"/>
                <w:szCs w:val="21"/>
                <w:lang w:bidi="ar"/>
              </w:rPr>
              <w:t>需求数量</w:t>
            </w:r>
            <w:r>
              <w:rPr>
                <w:rFonts w:hint="eastAsia" w:ascii="仿宋" w:hAnsi="仿宋" w:eastAsia="仿宋" w:cs="仿宋"/>
                <w:kern w:val="0"/>
                <w:sz w:val="21"/>
                <w:szCs w:val="21"/>
                <w:lang w:eastAsia="zh-CN" w:bidi="ar"/>
              </w:rPr>
              <w:t>（</w:t>
            </w:r>
            <w:r>
              <w:rPr>
                <w:rFonts w:hint="eastAsia" w:ascii="仿宋" w:hAnsi="仿宋" w:eastAsia="仿宋" w:cs="仿宋"/>
                <w:kern w:val="0"/>
                <w:sz w:val="21"/>
                <w:szCs w:val="21"/>
                <w:lang w:bidi="ar"/>
              </w:rPr>
              <w:t>件</w:t>
            </w:r>
            <w:r>
              <w:rPr>
                <w:rFonts w:hint="eastAsia" w:ascii="仿宋" w:hAnsi="仿宋" w:eastAsia="仿宋" w:cs="仿宋"/>
                <w:kern w:val="0"/>
                <w:sz w:val="21"/>
                <w:szCs w:val="21"/>
                <w:lang w:eastAsia="zh-CN" w:bidi="ar"/>
              </w:rPr>
              <w:t>）</w:t>
            </w:r>
          </w:p>
        </w:tc>
        <w:tc>
          <w:tcPr>
            <w:tcW w:w="2043" w:type="dxa"/>
            <w:tcBorders>
              <w:top w:val="single" w:color="auto" w:sz="4" w:space="0"/>
              <w:left w:val="single" w:color="000000" w:sz="4" w:space="0"/>
              <w:bottom w:val="single" w:color="000000" w:sz="4" w:space="0"/>
              <w:right w:val="single" w:color="000000" w:sz="4" w:space="0"/>
            </w:tcBorders>
            <w:noWrap w:val="0"/>
            <w:vAlign w:val="center"/>
          </w:tcPr>
          <w:p>
            <w:pPr>
              <w:adjustRightInd w:val="0"/>
              <w:snapToGrid w:val="0"/>
              <w:spacing w:line="360" w:lineRule="auto"/>
              <w:jc w:val="center"/>
              <w:rPr>
                <w:rFonts w:hint="eastAsia" w:ascii="仿宋" w:hAnsi="仿宋" w:eastAsia="仿宋" w:cs="仿宋"/>
                <w:sz w:val="21"/>
                <w:szCs w:val="21"/>
              </w:rPr>
            </w:pPr>
            <w:r>
              <w:rPr>
                <w:rFonts w:hint="eastAsia" w:ascii="仿宋" w:hAnsi="仿宋" w:eastAsia="仿宋" w:cs="仿宋"/>
                <w:sz w:val="21"/>
                <w:szCs w:val="21"/>
              </w:rPr>
              <w:t>单价最高限价</w:t>
            </w:r>
            <w:r>
              <w:rPr>
                <w:rFonts w:hint="eastAsia" w:ascii="仿宋" w:hAnsi="仿宋" w:eastAsia="仿宋" w:cs="仿宋"/>
                <w:sz w:val="21"/>
                <w:szCs w:val="21"/>
              </w:rPr>
              <w:br w:type="textWrapping"/>
            </w:r>
            <w:r>
              <w:rPr>
                <w:rFonts w:hint="eastAsia" w:ascii="仿宋" w:hAnsi="仿宋" w:eastAsia="仿宋" w:cs="仿宋"/>
                <w:sz w:val="21"/>
                <w:szCs w:val="21"/>
              </w:rPr>
              <w:t>（</w:t>
            </w:r>
            <w:r>
              <w:rPr>
                <w:rFonts w:hint="eastAsia" w:ascii="仿宋" w:hAnsi="仿宋" w:eastAsia="仿宋" w:cs="仿宋"/>
                <w:sz w:val="21"/>
                <w:szCs w:val="21"/>
                <w:lang w:eastAsia="zh-CN"/>
              </w:rPr>
              <w:t>单位元，</w:t>
            </w:r>
            <w:r>
              <w:rPr>
                <w:rFonts w:hint="eastAsia" w:ascii="仿宋" w:hAnsi="仿宋" w:eastAsia="仿宋" w:cs="仿宋"/>
                <w:sz w:val="21"/>
                <w:szCs w:val="21"/>
              </w:rPr>
              <w:t>含</w:t>
            </w:r>
            <w:r>
              <w:rPr>
                <w:rFonts w:hint="eastAsia" w:ascii="仿宋" w:hAnsi="仿宋" w:eastAsia="仿宋" w:cs="仿宋"/>
                <w:sz w:val="21"/>
                <w:szCs w:val="21"/>
                <w:lang w:val="en-US" w:eastAsia="zh-CN"/>
              </w:rPr>
              <w:t>13%</w:t>
            </w:r>
            <w:r>
              <w:rPr>
                <w:rFonts w:hint="eastAsia" w:ascii="仿宋" w:hAnsi="仿宋" w:eastAsia="仿宋" w:cs="仿宋"/>
                <w:sz w:val="21"/>
                <w:szCs w:val="21"/>
              </w:rPr>
              <w:t>税）</w:t>
            </w:r>
          </w:p>
        </w:tc>
        <w:tc>
          <w:tcPr>
            <w:tcW w:w="1917" w:type="dxa"/>
            <w:tcBorders>
              <w:top w:val="single" w:color="auto" w:sz="4" w:space="0"/>
              <w:left w:val="single" w:color="000000" w:sz="4" w:space="0"/>
              <w:bottom w:val="single" w:color="000000" w:sz="4" w:space="0"/>
              <w:right w:val="single" w:color="auto" w:sz="4" w:space="0"/>
            </w:tcBorders>
            <w:noWrap w:val="0"/>
            <w:vAlign w:val="center"/>
          </w:tcPr>
          <w:p>
            <w:pPr>
              <w:adjustRightInd w:val="0"/>
              <w:snapToGrid w:val="0"/>
              <w:spacing w:line="360" w:lineRule="auto"/>
              <w:jc w:val="center"/>
              <w:rPr>
                <w:rFonts w:hint="eastAsia" w:ascii="仿宋" w:hAnsi="仿宋" w:eastAsia="仿宋" w:cs="仿宋"/>
                <w:kern w:val="0"/>
                <w:sz w:val="21"/>
                <w:szCs w:val="21"/>
                <w:lang w:bidi="ar"/>
              </w:rPr>
            </w:pPr>
            <w:r>
              <w:rPr>
                <w:rFonts w:hint="eastAsia" w:ascii="仿宋" w:hAnsi="仿宋" w:eastAsia="仿宋" w:cs="仿宋"/>
                <w:sz w:val="21"/>
                <w:szCs w:val="21"/>
              </w:rPr>
              <w:t>总价最高限价</w:t>
            </w:r>
            <w:r>
              <w:rPr>
                <w:rFonts w:hint="eastAsia" w:ascii="仿宋" w:hAnsi="仿宋" w:eastAsia="仿宋" w:cs="仿宋"/>
                <w:sz w:val="21"/>
                <w:szCs w:val="21"/>
              </w:rPr>
              <w:br w:type="textWrapping"/>
            </w:r>
            <w:r>
              <w:rPr>
                <w:rFonts w:hint="eastAsia" w:ascii="仿宋" w:hAnsi="仿宋" w:eastAsia="仿宋" w:cs="仿宋"/>
                <w:sz w:val="21"/>
                <w:szCs w:val="21"/>
              </w:rPr>
              <w:t>（</w:t>
            </w:r>
            <w:r>
              <w:rPr>
                <w:rFonts w:hint="eastAsia" w:ascii="仿宋" w:hAnsi="仿宋" w:eastAsia="仿宋" w:cs="仿宋"/>
                <w:sz w:val="21"/>
                <w:szCs w:val="21"/>
                <w:lang w:eastAsia="zh-CN"/>
              </w:rPr>
              <w:t>单位元，</w:t>
            </w:r>
            <w:r>
              <w:rPr>
                <w:rFonts w:hint="eastAsia" w:ascii="仿宋" w:hAnsi="仿宋" w:eastAsia="仿宋" w:cs="仿宋"/>
                <w:sz w:val="21"/>
                <w:szCs w:val="21"/>
              </w:rPr>
              <w:t>含</w:t>
            </w:r>
            <w:r>
              <w:rPr>
                <w:rFonts w:hint="eastAsia" w:ascii="仿宋" w:hAnsi="仿宋" w:eastAsia="仿宋" w:cs="仿宋"/>
                <w:sz w:val="21"/>
                <w:szCs w:val="21"/>
                <w:lang w:val="en-US" w:eastAsia="zh-CN"/>
              </w:rPr>
              <w:t>13%</w:t>
            </w:r>
            <w:r>
              <w:rPr>
                <w:rFonts w:hint="eastAsia" w:ascii="仿宋" w:hAnsi="仿宋" w:eastAsia="仿宋" w:cs="仿宋"/>
                <w:sz w:val="21"/>
                <w:szCs w:val="21"/>
              </w:rPr>
              <w:t>税）</w:t>
            </w:r>
          </w:p>
        </w:tc>
      </w:tr>
      <w:tr>
        <w:tblPrEx>
          <w:tblCellMar>
            <w:top w:w="15" w:type="dxa"/>
            <w:left w:w="15" w:type="dxa"/>
            <w:bottom w:w="15" w:type="dxa"/>
            <w:right w:w="15" w:type="dxa"/>
          </w:tblCellMar>
        </w:tblPrEx>
        <w:trPr>
          <w:trHeight w:val="484" w:hRule="atLeast"/>
          <w:jc w:val="center"/>
        </w:trPr>
        <w:tc>
          <w:tcPr>
            <w:tcW w:w="470" w:type="dxa"/>
            <w:tcBorders>
              <w:top w:val="single" w:color="000000" w:sz="4" w:space="0"/>
              <w:left w:val="single" w:color="auto" w:sz="4" w:space="0"/>
              <w:bottom w:val="single" w:color="000000" w:sz="4" w:space="0"/>
              <w:right w:val="single" w:color="000000" w:sz="4" w:space="0"/>
            </w:tcBorders>
            <w:noWrap w:val="0"/>
            <w:vAlign w:val="center"/>
          </w:tcPr>
          <w:p>
            <w:pPr>
              <w:widowControl/>
              <w:adjustRightInd w:val="0"/>
              <w:snapToGrid w:val="0"/>
              <w:spacing w:line="360" w:lineRule="auto"/>
              <w:jc w:val="center"/>
              <w:textAlignment w:val="center"/>
              <w:rPr>
                <w:rFonts w:hint="eastAsia" w:ascii="仿宋" w:hAnsi="仿宋" w:eastAsia="仿宋" w:cs="仿宋"/>
                <w:sz w:val="21"/>
                <w:szCs w:val="21"/>
              </w:rPr>
            </w:pPr>
            <w:r>
              <w:rPr>
                <w:rFonts w:hint="eastAsia" w:ascii="仿宋" w:hAnsi="仿宋" w:eastAsia="仿宋" w:cs="仿宋"/>
                <w:kern w:val="0"/>
                <w:sz w:val="21"/>
                <w:szCs w:val="21"/>
                <w:lang w:bidi="ar"/>
              </w:rPr>
              <w:t>1</w:t>
            </w:r>
          </w:p>
        </w:tc>
        <w:tc>
          <w:tcPr>
            <w:tcW w:w="33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textAlignment w:val="center"/>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厢斗总成110立方\SF33900-8500000\卡车\SF33900\国产</w:t>
            </w:r>
          </w:p>
        </w:tc>
        <w:tc>
          <w:tcPr>
            <w:tcW w:w="11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仿宋" w:hAnsi="仿宋" w:eastAsia="仿宋" w:cs="仿宋"/>
                <w:sz w:val="21"/>
                <w:szCs w:val="21"/>
                <w:lang w:eastAsia="zh-CN"/>
              </w:rPr>
            </w:pPr>
            <w:r>
              <w:rPr>
                <w:rFonts w:hint="eastAsia" w:ascii="仿宋" w:hAnsi="仿宋" w:eastAsia="仿宋" w:cs="仿宋"/>
                <w:kern w:val="0"/>
                <w:sz w:val="21"/>
                <w:szCs w:val="21"/>
                <w:lang w:val="en-US" w:eastAsia="zh-CN" w:bidi="ar"/>
              </w:rPr>
              <w:t>2</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1800000.00</w:t>
            </w:r>
          </w:p>
        </w:tc>
        <w:tc>
          <w:tcPr>
            <w:tcW w:w="1917" w:type="dxa"/>
            <w:tcBorders>
              <w:top w:val="single" w:color="000000" w:sz="4" w:space="0"/>
              <w:left w:val="single" w:color="000000" w:sz="4" w:space="0"/>
              <w:bottom w:val="single" w:color="000000" w:sz="4" w:space="0"/>
              <w:right w:val="single" w:color="auto" w:sz="4" w:space="0"/>
            </w:tcBorders>
            <w:noWrap w:val="0"/>
            <w:vAlign w:val="center"/>
          </w:tcPr>
          <w:p>
            <w:pPr>
              <w:widowControl/>
              <w:spacing w:line="360" w:lineRule="auto"/>
              <w:jc w:val="center"/>
              <w:textAlignment w:val="center"/>
              <w:rPr>
                <w:rFonts w:hint="eastAsia" w:ascii="仿宋" w:hAnsi="仿宋" w:eastAsia="仿宋" w:cs="仿宋"/>
                <w:kern w:val="0"/>
                <w:sz w:val="21"/>
                <w:szCs w:val="21"/>
                <w:lang w:val="en-US" w:eastAsia="zh-CN" w:bidi="ar"/>
              </w:rPr>
            </w:pPr>
            <w:r>
              <w:rPr>
                <w:rFonts w:hint="eastAsia" w:ascii="仿宋" w:hAnsi="仿宋" w:eastAsia="仿宋" w:cs="仿宋"/>
                <w:kern w:val="0"/>
                <w:sz w:val="21"/>
                <w:szCs w:val="21"/>
                <w:lang w:val="en-US" w:eastAsia="zh-CN" w:bidi="ar"/>
              </w:rPr>
              <w:t>3600000.00</w:t>
            </w:r>
          </w:p>
        </w:tc>
      </w:tr>
      <w:tr>
        <w:tblPrEx>
          <w:tblCellMar>
            <w:top w:w="15" w:type="dxa"/>
            <w:left w:w="15" w:type="dxa"/>
            <w:bottom w:w="15" w:type="dxa"/>
            <w:right w:w="15" w:type="dxa"/>
          </w:tblCellMar>
        </w:tblPrEx>
        <w:trPr>
          <w:trHeight w:val="496" w:hRule="atLeast"/>
          <w:jc w:val="center"/>
        </w:trPr>
        <w:tc>
          <w:tcPr>
            <w:tcW w:w="7013" w:type="dxa"/>
            <w:gridSpan w:val="4"/>
            <w:tcBorders>
              <w:top w:val="single" w:color="000000" w:sz="4" w:space="0"/>
              <w:left w:val="single" w:color="auto"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仿宋" w:hAnsi="仿宋" w:eastAsia="仿宋" w:cs="仿宋"/>
                <w:kern w:val="0"/>
                <w:sz w:val="21"/>
                <w:szCs w:val="21"/>
                <w:lang w:eastAsia="zh-CN" w:bidi="ar"/>
              </w:rPr>
            </w:pPr>
            <w:r>
              <w:rPr>
                <w:rFonts w:hint="eastAsia" w:ascii="仿宋" w:hAnsi="仿宋" w:eastAsia="仿宋" w:cs="仿宋"/>
                <w:kern w:val="0"/>
                <w:sz w:val="21"/>
                <w:szCs w:val="21"/>
                <w:lang w:bidi="ar"/>
              </w:rPr>
              <w:t>项目最高总限价</w:t>
            </w:r>
          </w:p>
        </w:tc>
        <w:tc>
          <w:tcPr>
            <w:tcW w:w="1917" w:type="dxa"/>
            <w:tcBorders>
              <w:top w:val="single" w:color="000000" w:sz="4" w:space="0"/>
              <w:left w:val="single" w:color="000000" w:sz="4" w:space="0"/>
              <w:bottom w:val="single" w:color="000000" w:sz="4" w:space="0"/>
              <w:right w:val="single" w:color="auto" w:sz="4" w:space="0"/>
            </w:tcBorders>
            <w:noWrap w:val="0"/>
            <w:vAlign w:val="center"/>
          </w:tcPr>
          <w:p>
            <w:pPr>
              <w:widowControl/>
              <w:spacing w:line="360" w:lineRule="auto"/>
              <w:jc w:val="center"/>
              <w:textAlignment w:val="center"/>
              <w:rPr>
                <w:rFonts w:hint="eastAsia" w:ascii="仿宋" w:hAnsi="仿宋" w:eastAsia="仿宋" w:cs="仿宋"/>
                <w:kern w:val="0"/>
                <w:sz w:val="21"/>
                <w:szCs w:val="21"/>
                <w:lang w:bidi="ar"/>
              </w:rPr>
            </w:pPr>
            <w:r>
              <w:rPr>
                <w:rFonts w:hint="eastAsia" w:ascii="仿宋" w:hAnsi="仿宋" w:eastAsia="仿宋" w:cs="仿宋"/>
                <w:kern w:val="0"/>
                <w:sz w:val="21"/>
                <w:szCs w:val="21"/>
                <w:lang w:bidi="ar"/>
              </w:rPr>
              <w:t>￥</w:t>
            </w:r>
            <w:r>
              <w:rPr>
                <w:rFonts w:hint="eastAsia" w:ascii="仿宋" w:hAnsi="仿宋" w:eastAsia="仿宋" w:cs="仿宋"/>
                <w:kern w:val="0"/>
                <w:sz w:val="21"/>
                <w:szCs w:val="21"/>
                <w:lang w:val="en-US" w:eastAsia="zh-CN" w:bidi="ar"/>
              </w:rPr>
              <w:t>3600000.00</w:t>
            </w:r>
          </w:p>
        </w:tc>
      </w:tr>
    </w:tbl>
    <w:p>
      <w:pPr>
        <w:rPr>
          <w:rFonts w:hint="eastAsia"/>
          <w:lang w:val="en-US" w:eastAsia="zh-CN"/>
        </w:rPr>
      </w:pPr>
      <w:bookmarkStart w:id="21" w:name="_GoBack"/>
      <w:bookmarkEnd w:id="2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7B58C2"/>
    <w:multiLevelType w:val="singleLevel"/>
    <w:tmpl w:val="737B58C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A477DD"/>
    <w:rsid w:val="3EA47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keepNext/>
      <w:keepLines/>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2020-06-02T08:51:00Z</dcterms:created>
  <dc:creator>Administrator</dc:creator>
  <cp:lastModifiedBy>Administrator</cp:lastModifiedBy>
  <dcterms:modified xsi:type="dcterms:W3CDTF">2020-06-02T08:51:21Z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